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5472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472430"/>
                    </a:xfrm>
                    <a:prstGeom prst="rect">
                      <a:avLst/>
                    </a:prstGeom>
                    <a:noFill/>
                  </pic:spPr>
                </pic:pic>
              </a:graphicData>
            </a:graphic>
          </wp:anchor>
        </w:drawing>
      </w:r>
    </w:p>
    <w:p>
      <w:pPr>
        <w:spacing w:after="0" w:line="1025" w:lineRule="exact"/>
        <w:rPr>
          <w:sz w:val="24"/>
          <w:szCs w:val="24"/>
          <w:color w:val="auto"/>
        </w:rPr>
      </w:pPr>
    </w:p>
    <w:p>
      <w:pPr>
        <w:sectPr>
          <w:pgSz w:w="11900" w:h="16838" w:orient="portrait"/>
          <w:cols w:equalWidth="0" w:num="2">
            <w:col w:w="2320" w:space="360"/>
            <w:col w:w="8400"/>
          </w:cols>
          <w:pgMar w:left="460" w:top="214" w:right="359" w:bottom="222"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Shesky Craig</w:t>
              </w:r>
            </w:hyperlink>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00" w:type="dxa"/>
            <w:vAlign w:val="bottom"/>
            <w:tcBorders>
              <w:top w:val="single" w:sz="8" w:color="0000EE"/>
            </w:tcBorders>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2"/>
                <w:szCs w:val="12"/>
                <w:color w:val="auto"/>
              </w:rPr>
              <w:t>(Last)</w:t>
            </w:r>
          </w:p>
        </w:tc>
        <w:tc>
          <w:tcPr>
            <w:tcW w:w="1260" w:type="dxa"/>
            <w:vAlign w:val="bottom"/>
            <w:vMerge w:val="restart"/>
          </w:tcPr>
          <w:p>
            <w:pPr>
              <w:ind w:left="80"/>
              <w:spacing w:after="0"/>
              <w:rPr>
                <w:sz w:val="20"/>
                <w:szCs w:val="20"/>
                <w:color w:val="auto"/>
              </w:rPr>
            </w:pPr>
            <w:r>
              <w:rPr>
                <w:rFonts w:ascii="Arial" w:cs="Arial" w:eastAsia="Arial" w:hAnsi="Arial"/>
                <w:sz w:val="12"/>
                <w:szCs w:val="12"/>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80" w:type="dxa"/>
            <w:vAlign w:val="bottom"/>
            <w:gridSpan w:val="3"/>
          </w:tcPr>
          <w:p>
            <w:pPr>
              <w:ind w:left="140"/>
              <w:spacing w:after="0"/>
              <w:rPr>
                <w:sz w:val="20"/>
                <w:szCs w:val="20"/>
                <w:color w:val="auto"/>
              </w:rPr>
            </w:pPr>
            <w:r>
              <w:rPr>
                <w:rFonts w:ascii="Arial" w:cs="Arial" w:eastAsia="Arial" w:hAnsi="Arial"/>
                <w:sz w:val="12"/>
                <w:szCs w:val="12"/>
                <w:color w:val="auto"/>
              </w:rPr>
              <w:t>3.</w:t>
            </w:r>
          </w:p>
        </w:tc>
        <w:tc>
          <w:tcPr>
            <w:tcW w:w="364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TMC THE METALS COMPANY INC.,</w:t>
            </w:r>
          </w:p>
        </w:tc>
        <w:tc>
          <w:tcPr>
            <w:tcW w:w="20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03/20/2025</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1111 WEST HASTINGS STREET, 15TH FLOOR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3" w:right="720" w:firstLine="3"/>
        <w:spacing w:after="0" w:line="270"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0"/>
          <w:szCs w:val="20"/>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0"/>
          <w:szCs w:val="20"/>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0"/>
          <w:szCs w:val="20"/>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0"/>
          <w:szCs w:val="20"/>
          <w:color w:val="auto"/>
        </w:rPr>
      </w:pPr>
    </w:p>
    <w:p>
      <w:pPr>
        <w:ind w:left="837"/>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512" w:lineRule="exact"/>
        <w:rPr>
          <w:sz w:val="20"/>
          <w:szCs w:val="20"/>
          <w:color w:val="auto"/>
        </w:rPr>
      </w:pPr>
    </w:p>
    <w:p>
      <w:pPr>
        <w:sectPr>
          <w:pgSz w:w="11900" w:h="16838" w:orient="portrait"/>
          <w:cols w:equalWidth="0" w:num="2">
            <w:col w:w="7680" w:space="63"/>
            <w:col w:w="3337"/>
          </w:cols>
          <w:pgMar w:left="460" w:top="214" w:right="359" w:bottom="222" w:gutter="0" w:footer="0" w:header="0"/>
          <w:type w:val="continuous"/>
        </w:sect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3720" w:type="dxa"/>
            <w:vAlign w:val="bottom"/>
            <w:gridSpan w:val="7"/>
            <w:vMerge w:val="restart"/>
          </w:tcPr>
          <w:p>
            <w:pPr>
              <w:jc w:val="center"/>
              <w:ind w:right="214"/>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VANCOUVER   A1</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V6E 2J3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6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jc w:val="center"/>
              <w:ind w:left="632"/>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03/20/2025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187,662</w:t>
            </w:r>
            <w:r>
              <w:rPr>
                <w:rFonts w:ascii="Times New Roman" w:cs="Times New Roman" w:eastAsia="Times New Roman" w:hAnsi="Times New Roman"/>
                <w:sz w:val="20"/>
                <w:szCs w:val="20"/>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7"/>
              </w:rPr>
              <w:t>1,087,381</w:t>
            </w:r>
            <w:r>
              <w:rPr>
                <w:rFonts w:ascii="Times New Roman" w:cs="Times New Roman" w:eastAsia="Times New Roman" w:hAnsi="Times New Roman"/>
                <w:sz w:val="20"/>
                <w:szCs w:val="20"/>
                <w:color w:val="008000"/>
                <w:w w:val="97"/>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03/20/2025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166,502</w:t>
            </w:r>
            <w:r>
              <w:rPr>
                <w:rFonts w:ascii="Times New Roman" w:cs="Times New Roman" w:eastAsia="Times New Roman" w:hAnsi="Times New Roman"/>
                <w:sz w:val="20"/>
                <w:szCs w:val="20"/>
                <w:color w:val="008000"/>
                <w:w w:val="91"/>
                <w:vertAlign w:val="superscript"/>
              </w:rPr>
              <w:t>(3)</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1,253,883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03/20/2025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245,536</w:t>
            </w:r>
            <w:r>
              <w:rPr>
                <w:rFonts w:ascii="Times New Roman" w:cs="Times New Roman" w:eastAsia="Times New Roman" w:hAnsi="Times New Roman"/>
                <w:sz w:val="20"/>
                <w:szCs w:val="20"/>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1,499,419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187,662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center"/>
              <w:ind w:left="21"/>
              <w:spacing w:after="0" w:line="125" w:lineRule="exact"/>
              <w:rPr>
                <w:sz w:val="20"/>
                <w:szCs w:val="20"/>
                <w:color w:val="auto"/>
              </w:rPr>
            </w:pPr>
            <w:r>
              <w:rPr>
                <w:rFonts w:ascii="Times New Roman" w:cs="Times New Roman" w:eastAsia="Times New Roman" w:hAnsi="Times New Roman"/>
                <w:sz w:val="12"/>
                <w:szCs w:val="12"/>
                <w:color w:val="0000FF"/>
              </w:rPr>
              <w:t>03/20/2025</w:t>
            </w:r>
          </w:p>
        </w:tc>
        <w:tc>
          <w:tcPr>
            <w:tcW w:w="1100" w:type="dxa"/>
            <w:vAlign w:val="bottom"/>
          </w:tcPr>
          <w:p>
            <w:pPr>
              <w:spacing w:after="0"/>
              <w:rPr>
                <w:sz w:val="10"/>
                <w:szCs w:val="10"/>
                <w:color w:val="auto"/>
              </w:rPr>
            </w:pPr>
          </w:p>
        </w:tc>
        <w:tc>
          <w:tcPr>
            <w:tcW w:w="800" w:type="dxa"/>
            <w:vAlign w:val="bottom"/>
            <w:gridSpan w:val="2"/>
          </w:tcPr>
          <w:p>
            <w:pPr>
              <w:jc w:val="center"/>
              <w:ind w:right="318"/>
              <w:spacing w:after="0" w:line="125" w:lineRule="exact"/>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187,662</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16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2"/>
                <w:szCs w:val="12"/>
                <w:color w:val="0000FF"/>
              </w:rPr>
              <w:t>187,662</w:t>
            </w: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2"/>
                <w:szCs w:val="12"/>
                <w:color w:val="0000FF"/>
                <w:w w:val="99"/>
              </w:rPr>
              <w:t>Shares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6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166,502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center"/>
              <w:ind w:left="21"/>
              <w:spacing w:after="0" w:line="125" w:lineRule="exact"/>
              <w:rPr>
                <w:sz w:val="20"/>
                <w:szCs w:val="20"/>
                <w:color w:val="auto"/>
              </w:rPr>
            </w:pPr>
            <w:r>
              <w:rPr>
                <w:rFonts w:ascii="Times New Roman" w:cs="Times New Roman" w:eastAsia="Times New Roman" w:hAnsi="Times New Roman"/>
                <w:sz w:val="12"/>
                <w:szCs w:val="12"/>
                <w:color w:val="0000FF"/>
              </w:rPr>
              <w:t>03/20/2025</w:t>
            </w:r>
          </w:p>
        </w:tc>
        <w:tc>
          <w:tcPr>
            <w:tcW w:w="1100" w:type="dxa"/>
            <w:vAlign w:val="bottom"/>
          </w:tcPr>
          <w:p>
            <w:pPr>
              <w:spacing w:after="0"/>
              <w:rPr>
                <w:sz w:val="10"/>
                <w:szCs w:val="10"/>
                <w:color w:val="auto"/>
              </w:rPr>
            </w:pPr>
          </w:p>
        </w:tc>
        <w:tc>
          <w:tcPr>
            <w:tcW w:w="800" w:type="dxa"/>
            <w:vAlign w:val="bottom"/>
            <w:gridSpan w:val="2"/>
          </w:tcPr>
          <w:p>
            <w:pPr>
              <w:jc w:val="center"/>
              <w:ind w:right="318"/>
              <w:spacing w:after="0" w:line="125" w:lineRule="exact"/>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166,502</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16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2"/>
                <w:szCs w:val="12"/>
                <w:color w:val="0000FF"/>
              </w:rPr>
              <w:t>333,003</w:t>
            </w: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2"/>
                <w:szCs w:val="12"/>
                <w:color w:val="0000FF"/>
                <w:w w:val="99"/>
              </w:rPr>
              <w:t>Shares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(8)</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(8)</w:t>
            </w:r>
          </w:p>
        </w:tc>
        <w:tc>
          <w:tcPr>
            <w:tcW w:w="6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625,125</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center"/>
              <w:ind w:left="21"/>
              <w:spacing w:after="0" w:line="125" w:lineRule="exact"/>
              <w:rPr>
                <w:sz w:val="20"/>
                <w:szCs w:val="20"/>
                <w:color w:val="auto"/>
              </w:rPr>
            </w:pPr>
            <w:r>
              <w:rPr>
                <w:rFonts w:ascii="Times New Roman" w:cs="Times New Roman" w:eastAsia="Times New Roman" w:hAnsi="Times New Roman"/>
                <w:sz w:val="12"/>
                <w:szCs w:val="12"/>
                <w:color w:val="0000FF"/>
              </w:rPr>
              <w:t>03/20/2025</w:t>
            </w:r>
          </w:p>
        </w:tc>
        <w:tc>
          <w:tcPr>
            <w:tcW w:w="1100" w:type="dxa"/>
            <w:vAlign w:val="bottom"/>
          </w:tcPr>
          <w:p>
            <w:pPr>
              <w:spacing w:after="0"/>
              <w:rPr>
                <w:sz w:val="10"/>
                <w:szCs w:val="10"/>
                <w:color w:val="auto"/>
              </w:rPr>
            </w:pPr>
          </w:p>
        </w:tc>
        <w:tc>
          <w:tcPr>
            <w:tcW w:w="800" w:type="dxa"/>
            <w:vAlign w:val="bottom"/>
            <w:gridSpan w:val="2"/>
          </w:tcPr>
          <w:p>
            <w:pPr>
              <w:jc w:val="center"/>
              <w:ind w:right="318"/>
              <w:spacing w:after="0" w:line="125" w:lineRule="exact"/>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625,125</w:t>
            </w:r>
          </w:p>
        </w:tc>
        <w:tc>
          <w:tcPr>
            <w:tcW w:w="4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16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2"/>
                <w:szCs w:val="12"/>
                <w:color w:val="0000FF"/>
              </w:rPr>
              <w:t>625,125</w:t>
            </w: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2"/>
                <w:szCs w:val="12"/>
                <w:color w:val="0000FF"/>
                <w:w w:val="99"/>
              </w:rPr>
              <w:t>Shares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-2304415</wp:posOffset>
            </wp:positionV>
            <wp:extent cx="28575" cy="231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10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0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restricted stock units ("RSUs") that converted to common shares on a one-to-one basis. The RSUs were granted on March 20, 2023 and 1/3 vested on March 20, 2024 and 1/3 vested on March 20, 2025. The remaining RSUs will vest on March 20, 2026, subject to continued service through such date.</w:t>
      </w:r>
    </w:p>
    <w:p>
      <w:pPr>
        <w:ind w:left="40" w:right="2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number updates information included in the Form 4 filed for the reporting person on November 27, 2024, to reflect the amount of securities beneficially owned following the reported transaction as 899,719 (as opposed to 977,844).</w:t>
      </w:r>
    </w:p>
    <w:p>
      <w:pPr>
        <w:ind w:left="40" w:right="6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RSUs that converted to common shares on a one-to-one basis. The RSUs were granted on March 20, 2024 and 1/3 vested on March 20, 2025. The remaining RSUs will vest as follows, subject to continued service through each vesting date: 1/3 of the total award on March 20, 2026 and the remaining amount on March 20, 2027.</w:t>
      </w:r>
    </w:p>
    <w:p>
      <w:pPr>
        <w:ind w:left="40" w:right="34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common shares underlying RSUs granted on March 20, 2025. Each RSU represents the right to receive one common share upon vesting. The RSUs were granted and vested upon issuance as part of the Issuer's short-term incentive plan.</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common share upon vesting.</w:t>
      </w:r>
    </w:p>
    <w:p>
      <w:pPr>
        <w:spacing w:after="0" w:line="48" w:lineRule="exact"/>
        <w:rPr>
          <w:rFonts w:ascii="Times New Roman" w:cs="Times New Roman" w:eastAsia="Times New Roman" w:hAnsi="Times New Roman"/>
          <w:sz w:val="12"/>
          <w:szCs w:val="12"/>
          <w:color w:val="008000"/>
        </w:rPr>
      </w:pPr>
    </w:p>
    <w:p>
      <w:pPr>
        <w:jc w:val="both"/>
        <w:ind w:left="40" w:right="3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granted as part of the Issuer's long-term incentive plan and vest over a three year period as follows, subject to continued service through each vesting date: 1/3 on the first anniversary of March 20, 2023 (the "2023 Grant Date"), 1/3 on the second anniversary of the 2023 Grant Date and 1/3 on the third anniversary of the 2023 Grant Date. 2/3 of the RSUs have vested and have been settled as of the date hereof.</w:t>
      </w:r>
    </w:p>
    <w:p>
      <w:pPr>
        <w:jc w:val="both"/>
        <w:ind w:left="40" w:right="3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granted as part of the Issuer's long-term incentive plan and vest over a three year period as follows, subject to continued service through each vesting date: 1/3 on the first anniversary of March 20, 2024 (the "2024 Grant Date"), 1/3 on the second anniversary of the 2024 Grant Date and 1/3 on the third anniversary of the 2024 Grant Date. 1/3 of the RSUs have vested and have been settled as of the date hereof.</w:t>
      </w:r>
    </w:p>
    <w:p>
      <w:pPr>
        <w:ind w:left="40" w:right="3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granted as part of the Issuer's long-term incentive plan and vest over a three year period as follows, subject to continued service through each vesting date: 1/3 on the first anniversary of March 20, 2025 (the "2025 Grant Date"), 1/3 on the second anniversary of the 2025 Grant Date and 1/3 on the third anniversary of the 2025 Grant Date.</w:t>
      </w:r>
    </w:p>
    <w:p>
      <w:pPr>
        <w:ind w:left="4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24.1 - Power of Attorney</w:t>
      </w:r>
    </w:p>
    <w:p>
      <w:pPr>
        <w:spacing w:after="0" w:line="15"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Michelle Ancosky, Attorney-</w:t>
      </w:r>
      <w:r>
        <w:rPr>
          <w:sz w:val="20"/>
          <w:szCs w:val="20"/>
          <w:color w:val="auto"/>
        </w:rPr>
        <w:tab/>
      </w:r>
      <w:r>
        <w:rPr>
          <w:rFonts w:ascii="Times New Roman" w:cs="Times New Roman" w:eastAsia="Times New Roman" w:hAnsi="Times New Roman"/>
          <w:sz w:val="24"/>
          <w:szCs w:val="24"/>
          <w:color w:val="0000FF"/>
          <w:vertAlign w:val="subscript"/>
        </w:rPr>
        <w:t>03/24/2025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3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2965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222"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07" w:lineRule="exact"/>
        <w:rPr>
          <w:sz w:val="20"/>
          <w:szCs w:val="20"/>
          <w:color w:val="auto"/>
        </w:rPr>
      </w:pPr>
    </w:p>
    <w:p>
      <w:pPr>
        <w:jc w:val="both"/>
        <w:ind w:firstLine="598"/>
        <w:spacing w:after="0" w:line="252" w:lineRule="auto"/>
        <w:rPr>
          <w:sz w:val="20"/>
          <w:szCs w:val="20"/>
          <w:color w:val="auto"/>
        </w:rPr>
      </w:pPr>
      <w:r>
        <w:rPr>
          <w:rFonts w:ascii="Times New Roman" w:cs="Times New Roman" w:eastAsia="Times New Roman" w:hAnsi="Times New Roman"/>
          <w:sz w:val="17"/>
          <w:szCs w:val="17"/>
          <w:color w:val="auto"/>
        </w:rPr>
        <w:t>Know all by these present, that the undersigned hereby constitutes and appoints each of Meg Green,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           execute for and on behalf of the undersigned, forms and authentication documents for EDGAR Filing Access;</w:t>
      </w:r>
    </w:p>
    <w:p>
      <w:pPr>
        <w:spacing w:after="0" w:line="203" w:lineRule="exact"/>
        <w:rPr>
          <w:sz w:val="20"/>
          <w:szCs w:val="20"/>
          <w:color w:val="auto"/>
        </w:rPr>
      </w:pPr>
    </w:p>
    <w:p>
      <w:pPr>
        <w:jc w:val="both"/>
        <w:ind w:firstLine="598"/>
        <w:spacing w:after="0" w:line="269" w:lineRule="auto"/>
        <w:rPr>
          <w:sz w:val="20"/>
          <w:szCs w:val="20"/>
          <w:color w:val="auto"/>
        </w:rPr>
      </w:pPr>
      <w:r>
        <w:rPr>
          <w:rFonts w:ascii="Times New Roman" w:cs="Times New Roman" w:eastAsia="Times New Roman" w:hAnsi="Times New Roman"/>
          <w:sz w:val="17"/>
          <w:szCs w:val="17"/>
          <w:color w:val="auto"/>
        </w:rPr>
        <w:t>(2)           do and perform any and all acts for and on behalf of the undersigned which may be necessary or desirable to complete and execute any such forms and authentication documents;</w:t>
      </w:r>
    </w:p>
    <w:p>
      <w:pPr>
        <w:spacing w:after="0" w:line="159" w:lineRule="exact"/>
        <w:rPr>
          <w:sz w:val="20"/>
          <w:szCs w:val="20"/>
          <w:color w:val="auto"/>
        </w:rPr>
      </w:pPr>
    </w:p>
    <w:p>
      <w:pPr>
        <w:jc w:val="both"/>
        <w:ind w:right="20" w:firstLine="598"/>
        <w:spacing w:after="0" w:line="269" w:lineRule="auto"/>
        <w:rPr>
          <w:sz w:val="20"/>
          <w:szCs w:val="20"/>
          <w:color w:val="auto"/>
        </w:rPr>
      </w:pPr>
      <w:r>
        <w:rPr>
          <w:rFonts w:ascii="Times New Roman" w:cs="Times New Roman" w:eastAsia="Times New Roman" w:hAnsi="Times New Roman"/>
          <w:sz w:val="17"/>
          <w:szCs w:val="17"/>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(4)           do and perform any and all acts for and on behalf of the undersigned which may be necessary or desirable to complete and execute any such Form 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or 5 and timely file such form with the United States Securities and Exchange Commission and any stock exchange or similar authority; and</w:t>
      </w:r>
    </w:p>
    <w:p>
      <w:pPr>
        <w:spacing w:after="0" w:line="186" w:lineRule="exact"/>
        <w:rPr>
          <w:sz w:val="20"/>
          <w:szCs w:val="20"/>
          <w:color w:val="auto"/>
        </w:rPr>
      </w:pPr>
    </w:p>
    <w:p>
      <w:pPr>
        <w:jc w:val="both"/>
        <w:ind w:firstLine="598"/>
        <w:spacing w:after="0" w:line="252" w:lineRule="auto"/>
        <w:rPr>
          <w:sz w:val="20"/>
          <w:szCs w:val="20"/>
          <w:color w:val="auto"/>
        </w:rPr>
      </w:pPr>
      <w:r>
        <w:rPr>
          <w:rFonts w:ascii="Times New Roman" w:cs="Times New Roman" w:eastAsia="Times New Roman" w:hAnsi="Times New Roman"/>
          <w:sz w:val="17"/>
          <w:szCs w:val="17"/>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598"/>
        <w:spacing w:after="0" w:line="24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8"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effective as of December 31, 2023.</w:t>
      </w:r>
    </w:p>
    <w:p>
      <w:pPr>
        <w:spacing w:after="0" w:line="2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12700</wp:posOffset>
            </wp:positionV>
            <wp:extent cx="34861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86150" cy="7620"/>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7"/>
          <w:szCs w:val="17"/>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69729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72935" cy="7620"/>
                    </a:xfrm>
                    <a:prstGeom prst="rect">
                      <a:avLst/>
                    </a:prstGeom>
                    <a:noFill/>
                  </pic:spPr>
                </pic:pic>
              </a:graphicData>
            </a:graphic>
          </wp:anchor>
        </w:drawing>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7430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2025-03-24T17:04:53Z</dcterms:created>
  <dcterms:modified xsi:type="dcterms:W3CDTF">2025-03-24T17:04:53Z</dcterms:modified>
</cp:coreProperties>
</file>