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27, 2025</w:t>
      </w:r>
    </w:p>
    <w:p>
      <w:pPr>
        <w:spacing w:after="0" w:line="225" w:lineRule="exact"/>
        <w:rPr>
          <w:sz w:val="24"/>
          <w:szCs w:val="24"/>
          <w:color w:val="auto"/>
        </w:rPr>
      </w:pPr>
    </w:p>
    <w:p>
      <w:pPr>
        <w:ind w:left="9380"/>
        <w:spacing w:after="0"/>
        <w:rPr>
          <w:sz w:val="20"/>
          <w:szCs w:val="20"/>
          <w:color w:val="auto"/>
        </w:rPr>
      </w:pPr>
      <w:r>
        <w:rPr>
          <w:rFonts w:ascii="Times New Roman" w:cs="Times New Roman" w:eastAsia="Times New Roman" w:hAnsi="Times New Roman"/>
          <w:sz w:val="17"/>
          <w:szCs w:val="17"/>
          <w:b w:val="1"/>
          <w:bCs w:val="1"/>
          <w:color w:val="auto"/>
        </w:rPr>
        <w:t>Registration No. 333 –</w:t>
      </w:r>
      <w:r>
        <w:rPr>
          <w:rFonts w:ascii="Times New Roman" w:cs="Times New Roman" w:eastAsia="Times New Roman" w:hAnsi="Times New Roman"/>
          <w:sz w:val="17"/>
          <w:szCs w:val="17"/>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6060" w:type="dxa"/>
            <w:vAlign w:val="bottom"/>
          </w:tcPr>
          <w:p>
            <w:pPr>
              <w:jc w:val="center"/>
              <w:ind w:left="1863"/>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1540" w:type="dxa"/>
            <w:vAlign w:val="bottom"/>
          </w:tcPr>
          <w:p>
            <w:pPr>
              <w:spacing w:after="0"/>
              <w:rPr>
                <w:sz w:val="20"/>
                <w:szCs w:val="20"/>
                <w:color w:val="auto"/>
              </w:rPr>
            </w:pPr>
          </w:p>
        </w:tc>
      </w:tr>
      <w:tr>
        <w:trPr>
          <w:trHeight w:val="497"/>
        </w:trPr>
        <w:tc>
          <w:tcPr>
            <w:tcW w:w="6060" w:type="dxa"/>
            <w:vAlign w:val="bottom"/>
          </w:tcPr>
          <w:p>
            <w:pPr>
              <w:jc w:val="center"/>
              <w:ind w:left="1863"/>
              <w:spacing w:after="0"/>
              <w:rPr>
                <w:sz w:val="20"/>
                <w:szCs w:val="20"/>
                <w:color w:val="auto"/>
              </w:rPr>
            </w:pPr>
            <w:r>
              <w:rPr>
                <w:rFonts w:ascii="Times New Roman" w:cs="Times New Roman" w:eastAsia="Times New Roman" w:hAnsi="Times New Roman"/>
                <w:sz w:val="25"/>
                <w:szCs w:val="25"/>
                <w:b w:val="1"/>
                <w:bCs w:val="1"/>
                <w:color w:val="auto"/>
              </w:rPr>
              <w:t>FORM S-8</w:t>
            </w:r>
          </w:p>
        </w:tc>
        <w:tc>
          <w:tcPr>
            <w:tcW w:w="1540" w:type="dxa"/>
            <w:vAlign w:val="bottom"/>
          </w:tcPr>
          <w:p>
            <w:pPr>
              <w:spacing w:after="0"/>
              <w:rPr>
                <w:sz w:val="24"/>
                <w:szCs w:val="24"/>
                <w:color w:val="auto"/>
              </w:rPr>
            </w:pPr>
          </w:p>
        </w:tc>
      </w:tr>
      <w:tr>
        <w:trPr>
          <w:trHeight w:val="401"/>
        </w:trPr>
        <w:tc>
          <w:tcPr>
            <w:tcW w:w="6060" w:type="dxa"/>
            <w:vAlign w:val="bottom"/>
          </w:tcPr>
          <w:p>
            <w:pPr>
              <w:jc w:val="center"/>
              <w:ind w:left="1823"/>
              <w:spacing w:after="0"/>
              <w:rPr>
                <w:sz w:val="20"/>
                <w:szCs w:val="20"/>
                <w:color w:val="auto"/>
              </w:rPr>
            </w:pPr>
            <w:r>
              <w:rPr>
                <w:rFonts w:ascii="Times New Roman" w:cs="Times New Roman" w:eastAsia="Times New Roman" w:hAnsi="Times New Roman"/>
                <w:sz w:val="18"/>
                <w:szCs w:val="18"/>
                <w:b w:val="1"/>
                <w:bCs w:val="1"/>
                <w:color w:val="auto"/>
                <w:w w:val="98"/>
              </w:rPr>
              <w:t>REGISTRATION STATEMENT</w:t>
            </w:r>
          </w:p>
        </w:tc>
        <w:tc>
          <w:tcPr>
            <w:tcW w:w="1540" w:type="dxa"/>
            <w:vAlign w:val="bottom"/>
          </w:tcPr>
          <w:p>
            <w:pPr>
              <w:spacing w:after="0"/>
              <w:rPr>
                <w:sz w:val="24"/>
                <w:szCs w:val="24"/>
                <w:color w:val="auto"/>
              </w:rPr>
            </w:pPr>
          </w:p>
        </w:tc>
      </w:tr>
      <w:tr>
        <w:trPr>
          <w:trHeight w:val="216"/>
        </w:trPr>
        <w:tc>
          <w:tcPr>
            <w:tcW w:w="6060" w:type="dxa"/>
            <w:vAlign w:val="bottom"/>
          </w:tcPr>
          <w:p>
            <w:pPr>
              <w:jc w:val="center"/>
              <w:ind w:left="1803"/>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1540" w:type="dxa"/>
            <w:vAlign w:val="bottom"/>
          </w:tcPr>
          <w:p>
            <w:pPr>
              <w:spacing w:after="0"/>
              <w:rPr>
                <w:sz w:val="18"/>
                <w:szCs w:val="18"/>
                <w:color w:val="auto"/>
              </w:rPr>
            </w:pPr>
          </w:p>
        </w:tc>
      </w:tr>
      <w:tr>
        <w:trPr>
          <w:trHeight w:val="238"/>
        </w:trPr>
        <w:tc>
          <w:tcPr>
            <w:tcW w:w="6060" w:type="dxa"/>
            <w:vAlign w:val="bottom"/>
          </w:tcPr>
          <w:p>
            <w:pPr>
              <w:jc w:val="center"/>
              <w:ind w:left="1843"/>
              <w:spacing w:after="0"/>
              <w:rPr>
                <w:sz w:val="20"/>
                <w:szCs w:val="20"/>
                <w:color w:val="auto"/>
              </w:rPr>
            </w:pPr>
            <w:r>
              <w:rPr>
                <w:rFonts w:ascii="Times New Roman" w:cs="Times New Roman" w:eastAsia="Times New Roman" w:hAnsi="Times New Roman"/>
                <w:sz w:val="18"/>
                <w:szCs w:val="18"/>
                <w:b w:val="1"/>
                <w:bCs w:val="1"/>
                <w:color w:val="auto"/>
                <w:w w:val="99"/>
              </w:rPr>
              <w:t>THE SECURITIES ACT OF 1933</w:t>
            </w:r>
          </w:p>
        </w:tc>
        <w:tc>
          <w:tcPr>
            <w:tcW w:w="1540" w:type="dxa"/>
            <w:vAlign w:val="bottom"/>
          </w:tcPr>
          <w:p>
            <w:pPr>
              <w:spacing w:after="0"/>
              <w:rPr>
                <w:sz w:val="20"/>
                <w:szCs w:val="20"/>
                <w:color w:val="auto"/>
              </w:rPr>
            </w:pPr>
          </w:p>
        </w:tc>
      </w:tr>
      <w:tr>
        <w:trPr>
          <w:trHeight w:val="495"/>
        </w:trPr>
        <w:tc>
          <w:tcPr>
            <w:tcW w:w="6060" w:type="dxa"/>
            <w:vAlign w:val="bottom"/>
          </w:tcPr>
          <w:p>
            <w:pPr>
              <w:ind w:left="2340"/>
              <w:spacing w:after="0"/>
              <w:rPr>
                <w:sz w:val="20"/>
                <w:szCs w:val="20"/>
                <w:color w:val="auto"/>
              </w:rPr>
            </w:pPr>
            <w:r>
              <w:rPr>
                <w:rFonts w:ascii="Times New Roman" w:cs="Times New Roman" w:eastAsia="Times New Roman" w:hAnsi="Times New Roman"/>
                <w:sz w:val="25"/>
                <w:szCs w:val="25"/>
                <w:b w:val="1"/>
                <w:bCs w:val="1"/>
                <w:color w:val="auto"/>
              </w:rPr>
              <w:t>TMC the metals company Inc.</w:t>
            </w:r>
          </w:p>
        </w:tc>
        <w:tc>
          <w:tcPr>
            <w:tcW w:w="1540" w:type="dxa"/>
            <w:vAlign w:val="bottom"/>
          </w:tcPr>
          <w:p>
            <w:pPr>
              <w:spacing w:after="0"/>
              <w:rPr>
                <w:sz w:val="24"/>
                <w:szCs w:val="24"/>
                <w:color w:val="auto"/>
              </w:rPr>
            </w:pPr>
          </w:p>
        </w:tc>
      </w:tr>
      <w:tr>
        <w:trPr>
          <w:trHeight w:val="234"/>
        </w:trPr>
        <w:tc>
          <w:tcPr>
            <w:tcW w:w="6060" w:type="dxa"/>
            <w:vAlign w:val="bottom"/>
          </w:tcPr>
          <w:p>
            <w:pPr>
              <w:jc w:val="center"/>
              <w:ind w:left="184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40" w:type="dxa"/>
            <w:vAlign w:val="bottom"/>
          </w:tcPr>
          <w:p>
            <w:pPr>
              <w:spacing w:after="0"/>
              <w:rPr>
                <w:sz w:val="20"/>
                <w:szCs w:val="20"/>
                <w:color w:val="auto"/>
              </w:rPr>
            </w:pPr>
          </w:p>
        </w:tc>
      </w:tr>
      <w:tr>
        <w:trPr>
          <w:trHeight w:val="414"/>
        </w:trPr>
        <w:tc>
          <w:tcPr>
            <w:tcW w:w="6060" w:type="dxa"/>
            <w:vAlign w:val="bottom"/>
          </w:tcPr>
          <w:p>
            <w:pPr>
              <w:jc w:val="center"/>
              <w:ind w:right="3783"/>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15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6060" w:type="dxa"/>
            <w:vAlign w:val="bottom"/>
          </w:tcPr>
          <w:p>
            <w:pPr>
              <w:jc w:val="center"/>
              <w:ind w:right="3783"/>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060" w:type="dxa"/>
            <w:vAlign w:val="bottom"/>
          </w:tcPr>
          <w:p>
            <w:pPr>
              <w:jc w:val="center"/>
              <w:ind w:right="3783"/>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1111 West Hastings Street, 15th Floor</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Vancouver, British Columbia</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V6E 2J3</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(888) 458-3420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TMC the metals company Inc. 2021 Employee Stock Purchase Plan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(Full Title of the Plans)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(800) 221-0102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Michael L. Fantozzi, Esq.</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Daniel T. Kajunski, Esq.</w:t>
      </w:r>
    </w:p>
    <w:p>
      <w:pPr>
        <w:spacing w:after="0" w:line="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Telephone: (617) 542-6000</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Registration Statement registers additional securities of the same class as other securities for which the registration statements filed on Form S-8 (SEC File Nos. </w:t>
      </w:r>
      <w:hyperlink r:id="rId13">
        <w:r>
          <w:rPr>
            <w:rFonts w:ascii="Times New Roman" w:cs="Times New Roman" w:eastAsia="Times New Roman" w:hAnsi="Times New Roman"/>
            <w:sz w:val="18"/>
            <w:szCs w:val="18"/>
            <w:u w:val="single" w:color="auto"/>
            <w:color w:val="0000EE"/>
          </w:rPr>
          <w:t>333-265318</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333-270876</w:t>
        </w:r>
      </w:hyperlink>
      <w:r>
        <w:rPr>
          <w:rFonts w:ascii="Times New Roman" w:cs="Times New Roman" w:eastAsia="Times New Roman" w:hAnsi="Times New Roman"/>
          <w:sz w:val="18"/>
          <w:szCs w:val="18"/>
          <w:color w:val="auto"/>
        </w:rPr>
        <w:t xml:space="preserve">, and </w:t>
      </w:r>
      <w:hyperlink r:id="rId15">
        <w:r>
          <w:rPr>
            <w:rFonts w:ascii="Times New Roman" w:cs="Times New Roman" w:eastAsia="Times New Roman" w:hAnsi="Times New Roman"/>
            <w:sz w:val="18"/>
            <w:szCs w:val="18"/>
            <w:u w:val="single" w:color="auto"/>
            <w:color w:val="0000EE"/>
          </w:rPr>
          <w:t>333-278223</w:t>
        </w:r>
      </w:hyperlink>
      <w:r>
        <w:rPr>
          <w:rFonts w:ascii="Times New Roman" w:cs="Times New Roman" w:eastAsia="Times New Roman" w:hAnsi="Times New Roman"/>
          <w:sz w:val="18"/>
          <w:szCs w:val="18"/>
          <w:color w:val="auto"/>
        </w:rPr>
        <w:t xml:space="preserve">) of TMC the metals company Inc. (the “Registrant”) are effective. The additional securities are 3,407,085 additional Common Shares of the Registrant reserved for issuance under the 2021 Employee Stock Purchase Plan as a result of the automatic increase in the number of shares reserved under this plan on January 1, 2025. The information contained in the Registrant’s registration statements on Form S-8 (SEC File Nos. </w:t>
      </w:r>
      <w:hyperlink r:id="rId13">
        <w:r>
          <w:rPr>
            <w:rFonts w:ascii="Times New Roman" w:cs="Times New Roman" w:eastAsia="Times New Roman" w:hAnsi="Times New Roman"/>
            <w:sz w:val="18"/>
            <w:szCs w:val="18"/>
            <w:u w:val="single" w:color="auto"/>
            <w:color w:val="0000EE"/>
          </w:rPr>
          <w:t>333-265318</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333-270876</w:t>
        </w:r>
      </w:hyperlink>
      <w:r>
        <w:rPr>
          <w:rFonts w:ascii="Times New Roman" w:cs="Times New Roman" w:eastAsia="Times New Roman" w:hAnsi="Times New Roman"/>
          <w:sz w:val="18"/>
          <w:szCs w:val="18"/>
          <w:color w:val="auto"/>
        </w:rPr>
        <w:t xml:space="preserve">, and </w:t>
      </w:r>
      <w:hyperlink r:id="rId15">
        <w:r>
          <w:rPr>
            <w:rFonts w:ascii="Times New Roman" w:cs="Times New Roman" w:eastAsia="Times New Roman" w:hAnsi="Times New Roman"/>
            <w:sz w:val="18"/>
            <w:szCs w:val="18"/>
            <w:u w:val="single" w:color="auto"/>
            <w:color w:val="0000EE"/>
          </w:rPr>
          <w:t>333-278223</w:t>
        </w:r>
      </w:hyperlink>
      <w:r>
        <w:rPr>
          <w:rFonts w:ascii="Times New Roman" w:cs="Times New Roman" w:eastAsia="Times New Roman" w:hAnsi="Times New Roman"/>
          <w:sz w:val="18"/>
          <w:szCs w:val="18"/>
          <w:color w:val="auto"/>
        </w:rPr>
        <w:t>) is hereby incorporated by reference pursuant to General Instruction E of Form S-8.</w:t>
      </w:r>
    </w:p>
    <w:p>
      <w:pPr>
        <w:spacing w:after="0" w:line="179"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80" w:type="dxa"/>
            <w:vAlign w:val="bottom"/>
            <w:gridSpan w:val="23"/>
          </w:tcPr>
          <w:p>
            <w:pPr>
              <w:ind w:left="9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8"/>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Reference</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 File/</w:t>
            </w:r>
          </w:p>
        </w:tc>
        <w:tc>
          <w:tcPr>
            <w:tcW w:w="0" w:type="dxa"/>
            <w:vAlign w:val="bottom"/>
          </w:tcPr>
          <w:p>
            <w:pPr>
              <w:spacing w:after="0"/>
              <w:rPr>
                <w:sz w:val="1"/>
                <w:szCs w:val="1"/>
                <w:color w:val="auto"/>
              </w:rPr>
            </w:pPr>
          </w:p>
        </w:tc>
      </w:tr>
      <w:tr>
        <w:trPr>
          <w:trHeight w:val="216"/>
        </w:trPr>
        <w:tc>
          <w:tcPr>
            <w:tcW w:w="7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herein from</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Reg.</w:t>
            </w:r>
          </w:p>
        </w:tc>
        <w:tc>
          <w:tcPr>
            <w:tcW w:w="0" w:type="dxa"/>
            <w:vAlign w:val="bottom"/>
          </w:tcPr>
          <w:p>
            <w:pPr>
              <w:spacing w:after="0"/>
              <w:rPr>
                <w:sz w:val="1"/>
                <w:szCs w:val="1"/>
                <w:color w:val="auto"/>
              </w:rPr>
            </w:pPr>
          </w:p>
        </w:tc>
      </w:tr>
      <w:tr>
        <w:trPr>
          <w:trHeight w:val="238"/>
        </w:trPr>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0" w:type="dxa"/>
            <w:vAlign w:val="bottom"/>
            <w:gridSpan w:val="10"/>
          </w:tcPr>
          <w:p>
            <w:pPr>
              <w:ind w:left="9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40" w:type="dxa"/>
            <w:vAlign w:val="bottom"/>
          </w:tcPr>
          <w:p>
            <w:pPr>
              <w:spacing w:after="0"/>
              <w:rPr>
                <w:sz w:val="20"/>
                <w:szCs w:val="20"/>
                <w:color w:val="auto"/>
              </w:rPr>
            </w:pPr>
          </w:p>
        </w:tc>
        <w:tc>
          <w:tcPr>
            <w:tcW w:w="316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Herewith Form or Schedule Filing Date</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385"/>
        </w:trPr>
        <w:tc>
          <w:tcPr>
            <w:tcW w:w="440" w:type="dxa"/>
            <w:vAlign w:val="bottom"/>
            <w:tcBorders>
              <w:top w:val="single" w:sz="8" w:color="auto"/>
            </w:tcBorders>
            <w:gridSpan w:val="2"/>
          </w:tcPr>
          <w:p>
            <w:pPr>
              <w:jc w:val="center"/>
              <w:ind w:left="130"/>
              <w:spacing w:after="0"/>
              <w:rPr>
                <w:rFonts w:ascii="Times New Roman" w:cs="Times New Roman" w:eastAsia="Times New Roman" w:hAnsi="Times New Roman"/>
                <w:sz w:val="18"/>
                <w:szCs w:val="18"/>
                <w:color w:val="0000EE"/>
                <w:w w:val="97"/>
              </w:rPr>
            </w:pPr>
            <w:hyperlink r:id="rId1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780" w:type="dxa"/>
            <w:vAlign w:val="bottom"/>
            <w:tcBorders>
              <w:top w:val="single" w:sz="8" w:color="auto"/>
            </w:tcBorders>
            <w:gridSpan w:val="11"/>
          </w:tcPr>
          <w:p>
            <w:pPr>
              <w:ind w:left="20"/>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Notice of Articles of TMC the metals company Inc.</w:t>
              </w:r>
            </w:hyperlink>
          </w:p>
        </w:tc>
        <w:tc>
          <w:tcPr>
            <w:tcW w:w="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gridSpan w:val="5"/>
          </w:tcPr>
          <w:p>
            <w:pPr>
              <w:jc w:val="center"/>
              <w:ind w:right="240"/>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Form 8-K</w:t>
              </w:r>
            </w:hyperlink>
          </w:p>
        </w:tc>
        <w:tc>
          <w:tcPr>
            <w:tcW w:w="60" w:type="dxa"/>
            <w:vAlign w:val="bottom"/>
          </w:tcPr>
          <w:p>
            <w:pPr>
              <w:spacing w:after="0"/>
              <w:rPr>
                <w:sz w:val="24"/>
                <w:szCs w:val="24"/>
                <w:color w:val="auto"/>
              </w:rPr>
            </w:pPr>
          </w:p>
        </w:tc>
        <w:tc>
          <w:tcPr>
            <w:tcW w:w="860" w:type="dxa"/>
            <w:vAlign w:val="bottom"/>
            <w:tcBorders>
              <w:top w:val="single" w:sz="8" w:color="auto"/>
            </w:tcBorders>
            <w:gridSpan w:val="3"/>
          </w:tcPr>
          <w:p>
            <w:pPr>
              <w:jc w:val="right"/>
              <w:ind w:right="60"/>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9/15/2021</w:t>
              </w:r>
            </w:hyperlink>
          </w:p>
        </w:tc>
        <w:tc>
          <w:tcPr>
            <w:tcW w:w="60" w:type="dxa"/>
            <w:vAlign w:val="bottom"/>
          </w:tcPr>
          <w:p>
            <w:pPr>
              <w:spacing w:after="0"/>
              <w:rPr>
                <w:sz w:val="24"/>
                <w:szCs w:val="24"/>
                <w:color w:val="auto"/>
              </w:rPr>
            </w:pPr>
          </w:p>
        </w:tc>
        <w:tc>
          <w:tcPr>
            <w:tcW w:w="780" w:type="dxa"/>
            <w:vAlign w:val="bottom"/>
            <w:tcBorders>
              <w:top w:val="single" w:sz="8" w:color="auto"/>
            </w:tcBorders>
          </w:tcPr>
          <w:p>
            <w:pPr>
              <w:spacing w:after="0"/>
              <w:rPr>
                <w:rFonts w:ascii="Times New Roman" w:cs="Times New Roman" w:eastAsia="Times New Roman" w:hAnsi="Times New Roman"/>
                <w:sz w:val="18"/>
                <w:szCs w:val="18"/>
                <w:color w:val="0000EE"/>
                <w:w w:val="97"/>
              </w:rPr>
            </w:pPr>
            <w:hyperlink r:id="rId16">
              <w:r>
                <w:rPr>
                  <w:rFonts w:ascii="Times New Roman" w:cs="Times New Roman" w:eastAsia="Times New Roman" w:hAnsi="Times New Roman"/>
                  <w:sz w:val="18"/>
                  <w:szCs w:val="18"/>
                  <w:color w:val="0000EE"/>
                  <w:w w:val="97"/>
                </w:rPr>
                <w:t>001-39281</w:t>
              </w:r>
            </w:hyperlink>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6"/>
          </w:tcPr>
          <w:p>
            <w:pPr>
              <w:jc w:val="center"/>
              <w:ind w:right="300"/>
              <w:spacing w:after="0" w:line="196" w:lineRule="exact"/>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(Exhibit 3.1)</w:t>
              </w:r>
            </w:hyperlink>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2"/>
          </w:tcPr>
          <w:p>
            <w:pPr>
              <w:jc w:val="center"/>
              <w:ind w:left="130"/>
              <w:spacing w:after="0" w:line="196"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gridSpan w:val="12"/>
          </w:tcPr>
          <w:p>
            <w:pPr>
              <w:ind w:left="20"/>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Articles of TMC the metals company Inc.</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top w:val="single" w:sz="8" w:color="0000EE"/>
            </w:tcBorders>
            <w:gridSpan w:val="3"/>
          </w:tcPr>
          <w:p>
            <w:pPr>
              <w:jc w:val="cente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Form 8-K</w:t>
              </w:r>
            </w:hyperlink>
          </w:p>
        </w:tc>
        <w:tc>
          <w:tcPr>
            <w:tcW w:w="300" w:type="dxa"/>
            <w:vAlign w:val="bottom"/>
            <w:gridSpan w:val="3"/>
          </w:tcPr>
          <w:p>
            <w:pPr>
              <w:spacing w:after="0"/>
              <w:rPr>
                <w:sz w:val="17"/>
                <w:szCs w:val="17"/>
                <w:color w:val="auto"/>
              </w:rPr>
            </w:pPr>
          </w:p>
        </w:tc>
        <w:tc>
          <w:tcPr>
            <w:tcW w:w="860" w:type="dxa"/>
            <w:vAlign w:val="bottom"/>
            <w:gridSpan w:val="3"/>
          </w:tcPr>
          <w:p>
            <w:pPr>
              <w:jc w:val="right"/>
              <w:ind w:right="60"/>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9/15/2021</w:t>
              </w:r>
            </w:hyperlink>
          </w:p>
        </w:tc>
        <w:tc>
          <w:tcPr>
            <w:tcW w:w="60" w:type="dxa"/>
            <w:vAlign w:val="bottom"/>
          </w:tcPr>
          <w:p>
            <w:pPr>
              <w:spacing w:after="0"/>
              <w:rPr>
                <w:sz w:val="17"/>
                <w:szCs w:val="17"/>
                <w:color w:val="auto"/>
              </w:rPr>
            </w:pPr>
          </w:p>
        </w:tc>
        <w:tc>
          <w:tcPr>
            <w:tcW w:w="780" w:type="dxa"/>
            <w:vAlign w:val="bottom"/>
          </w:tcPr>
          <w:p>
            <w:pPr>
              <w:spacing w:after="0" w:line="196" w:lineRule="exact"/>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001-39281</w:t>
              </w:r>
            </w:hyperlink>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6"/>
          </w:tcPr>
          <w:p>
            <w:pPr>
              <w:jc w:val="center"/>
              <w:ind w:right="300"/>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(Exhibit 3.2)</w:t>
              </w:r>
            </w:hyperlink>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2"/>
          </w:tcPr>
          <w:p>
            <w:pPr>
              <w:jc w:val="center"/>
              <w:ind w:left="130"/>
              <w:spacing w:after="0" w:line="196" w:lineRule="exact"/>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gridSpan w:val="12"/>
          </w:tcPr>
          <w:p>
            <w:pPr>
              <w:ind w:left="20"/>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TMC the metals company Inc. Common Share Certificate</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top w:val="single" w:sz="8" w:color="0000EE"/>
            </w:tcBorders>
            <w:gridSpan w:val="3"/>
          </w:tcPr>
          <w:p>
            <w:pPr>
              <w:jc w:val="cente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Form 8-K</w:t>
              </w:r>
            </w:hyperlink>
          </w:p>
        </w:tc>
        <w:tc>
          <w:tcPr>
            <w:tcW w:w="300" w:type="dxa"/>
            <w:vAlign w:val="bottom"/>
            <w:gridSpan w:val="3"/>
          </w:tcPr>
          <w:p>
            <w:pPr>
              <w:spacing w:after="0"/>
              <w:rPr>
                <w:sz w:val="17"/>
                <w:szCs w:val="17"/>
                <w:color w:val="auto"/>
              </w:rPr>
            </w:pPr>
          </w:p>
        </w:tc>
        <w:tc>
          <w:tcPr>
            <w:tcW w:w="860" w:type="dxa"/>
            <w:vAlign w:val="bottom"/>
            <w:gridSpan w:val="3"/>
          </w:tcPr>
          <w:p>
            <w:pPr>
              <w:jc w:val="right"/>
              <w:ind w:right="60"/>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9/15/2021</w:t>
              </w:r>
            </w:hyperlink>
          </w:p>
        </w:tc>
        <w:tc>
          <w:tcPr>
            <w:tcW w:w="60" w:type="dxa"/>
            <w:vAlign w:val="bottom"/>
          </w:tcPr>
          <w:p>
            <w:pPr>
              <w:spacing w:after="0"/>
              <w:rPr>
                <w:sz w:val="17"/>
                <w:szCs w:val="17"/>
                <w:color w:val="auto"/>
              </w:rPr>
            </w:pPr>
          </w:p>
        </w:tc>
        <w:tc>
          <w:tcPr>
            <w:tcW w:w="780" w:type="dxa"/>
            <w:vAlign w:val="bottom"/>
          </w:tcPr>
          <w:p>
            <w:pPr>
              <w:spacing w:after="0" w:line="196" w:lineRule="exact"/>
              <w:rPr>
                <w:rFonts w:ascii="Times New Roman" w:cs="Times New Roman" w:eastAsia="Times New Roman" w:hAnsi="Times New Roman"/>
                <w:sz w:val="18"/>
                <w:szCs w:val="18"/>
                <w:color w:val="0000EE"/>
                <w:w w:val="97"/>
              </w:rPr>
            </w:pPr>
            <w:hyperlink r:id="rId18">
              <w:r>
                <w:rPr>
                  <w:rFonts w:ascii="Times New Roman" w:cs="Times New Roman" w:eastAsia="Times New Roman" w:hAnsi="Times New Roman"/>
                  <w:sz w:val="18"/>
                  <w:szCs w:val="18"/>
                  <w:color w:val="0000EE"/>
                  <w:w w:val="97"/>
                </w:rPr>
                <w:t>001-39281</w:t>
              </w:r>
            </w:hyperlink>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2"/>
            <w:vMerge w:val="restart"/>
          </w:tcPr>
          <w:p>
            <w:pPr>
              <w:jc w:val="center"/>
              <w:ind w:left="130"/>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0000EE"/>
              </w:rPr>
              <w:t xml:space="preserve">Opinion of </w:t>
            </w:r>
            <w:r>
              <w:rPr>
                <w:rFonts w:ascii="Times New Roman" w:cs="Times New Roman" w:eastAsia="Times New Roman" w:hAnsi="Times New Roman"/>
                <w:sz w:val="18"/>
                <w:szCs w:val="18"/>
                <w:color w:val="0000EE"/>
                <w:highlight w:val="white"/>
              </w:rPr>
              <w:t>Fasken Martineau DuMoulin LLP</w:t>
            </w:r>
          </w:p>
        </w:tc>
        <w:tc>
          <w:tcPr>
            <w:tcW w:w="8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8"/>
                <w:szCs w:val="18"/>
                <w:color w:val="0000EE"/>
              </w:rPr>
              <w:t>X</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gridSpan w:val="6"/>
          </w:tcPr>
          <w:p>
            <w:pPr>
              <w:jc w:val="center"/>
              <w:ind w:right="300"/>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(Exhibit 4.1)</w:t>
              </w:r>
            </w:hyperlink>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gridSpan w:val="12"/>
            <w:vMerge w:val="continue"/>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2"/>
          </w:tcPr>
          <w:p>
            <w:pPr>
              <w:jc w:val="center"/>
              <w:ind w:left="50"/>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c>
          <w:tcPr>
            <w:tcW w:w="800" w:type="dxa"/>
            <w:vAlign w:val="bottom"/>
            <w:gridSpan w:val="4"/>
          </w:tcPr>
          <w:p>
            <w:pPr>
              <w:jc w:val="center"/>
              <w:ind w:right="6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of TMC the metals company Inc.</w:t>
            </w:r>
          </w:p>
        </w:tc>
        <w:tc>
          <w:tcPr>
            <w:tcW w:w="3240" w:type="dxa"/>
            <w:vAlign w:val="bottom"/>
            <w:tcBorders>
              <w:top w:val="single" w:sz="8" w:color="0000EE"/>
            </w:tcBorders>
            <w:gridSpan w:val="8"/>
          </w:tcPr>
          <w:p>
            <w:pPr>
              <w:spacing w:after="0"/>
              <w:rPr>
                <w:sz w:val="17"/>
                <w:szCs w:val="17"/>
                <w:color w:val="auto"/>
              </w:rPr>
            </w:pPr>
          </w:p>
        </w:tc>
        <w:tc>
          <w:tcPr>
            <w:tcW w:w="1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gridSpan w:val="2"/>
          </w:tcPr>
          <w:p>
            <w:pPr>
              <w:jc w:val="center"/>
              <w:ind w:left="50"/>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Consent of </w:t>
            </w:r>
            <w:r>
              <w:rPr>
                <w:rFonts w:ascii="Times New Roman" w:cs="Times New Roman" w:eastAsia="Times New Roman" w:hAnsi="Times New Roman"/>
                <w:sz w:val="18"/>
                <w:szCs w:val="18"/>
                <w:color w:val="0000EE"/>
                <w:highlight w:val="white"/>
              </w:rPr>
              <w:t>Fasken Martineau DuMoulin LLP</w:t>
            </w:r>
            <w:r>
              <w:rPr>
                <w:rFonts w:ascii="Times New Roman" w:cs="Times New Roman" w:eastAsia="Times New Roman" w:hAnsi="Times New Roman"/>
                <w:sz w:val="18"/>
                <w:szCs w:val="18"/>
                <w:color w:val="0000EE"/>
              </w:rPr>
              <w:t xml:space="preserve"> (included in Exhibit 5.1)</w:t>
            </w:r>
          </w:p>
        </w:tc>
        <w:tc>
          <w:tcPr>
            <w:tcW w:w="800" w:type="dxa"/>
            <w:vAlign w:val="bottom"/>
            <w:gridSpan w:val="4"/>
          </w:tcPr>
          <w:p>
            <w:pPr>
              <w:jc w:val="center"/>
              <w:ind w:right="6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gridSpan w:val="2"/>
          </w:tcPr>
          <w:p>
            <w:pPr>
              <w:jc w:val="center"/>
              <w:ind w:left="50"/>
              <w:spacing w:after="0" w:line="196" w:lineRule="exact"/>
              <w:rPr>
                <w:sz w:val="20"/>
                <w:szCs w:val="20"/>
                <w:color w:val="auto"/>
              </w:rPr>
            </w:pPr>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hereof)</w:t>
            </w:r>
          </w:p>
        </w:tc>
        <w:tc>
          <w:tcPr>
            <w:tcW w:w="800" w:type="dxa"/>
            <w:vAlign w:val="bottom"/>
            <w:gridSpan w:val="4"/>
          </w:tcPr>
          <w:p>
            <w:pPr>
              <w:jc w:val="center"/>
              <w:ind w:right="6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40" w:type="dxa"/>
            <w:vAlign w:val="bottom"/>
            <w:gridSpan w:val="6"/>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40" w:type="dxa"/>
            <w:vAlign w:val="bottom"/>
            <w:gridSpan w:val="3"/>
          </w:tcPr>
          <w:p>
            <w:pPr>
              <w:jc w:val="center"/>
              <w:ind w:right="120"/>
              <w:spacing w:after="0" w:line="196" w:lineRule="exact"/>
              <w:rPr>
                <w:rFonts w:ascii="Times New Roman" w:cs="Times New Roman" w:eastAsia="Times New Roman" w:hAnsi="Times New Roman"/>
                <w:sz w:val="18"/>
                <w:szCs w:val="18"/>
                <w:color w:val="0000EE"/>
                <w:w w:val="76"/>
              </w:rPr>
            </w:pPr>
            <w:hyperlink r:id="rId19">
              <w:r>
                <w:rPr>
                  <w:rFonts w:ascii="Times New Roman" w:cs="Times New Roman" w:eastAsia="Times New Roman" w:hAnsi="Times New Roman"/>
                  <w:sz w:val="18"/>
                  <w:szCs w:val="18"/>
                  <w:color w:val="0000EE"/>
                  <w:w w:val="76"/>
                </w:rPr>
                <w:t>99.</w:t>
              </w:r>
              <w:r>
                <w:rPr>
                  <w:rFonts w:ascii="Times New Roman" w:cs="Times New Roman" w:eastAsia="Times New Roman" w:hAnsi="Times New Roman"/>
                  <w:sz w:val="18"/>
                  <w:szCs w:val="18"/>
                  <w:u w:val="single" w:color="auto"/>
                  <w:color w:val="0000EE"/>
                  <w:w w:val="76"/>
                </w:rPr>
                <w:t>1+</w:t>
              </w:r>
            </w:hyperlink>
          </w:p>
        </w:tc>
        <w:tc>
          <w:tcPr>
            <w:tcW w:w="40" w:type="dxa"/>
            <w:vAlign w:val="bottom"/>
          </w:tcPr>
          <w:p>
            <w:pPr>
              <w:spacing w:after="0"/>
              <w:rPr>
                <w:sz w:val="17"/>
                <w:szCs w:val="17"/>
                <w:color w:val="auto"/>
              </w:rPr>
            </w:pPr>
          </w:p>
        </w:tc>
        <w:tc>
          <w:tcPr>
            <w:tcW w:w="5820" w:type="dxa"/>
            <w:vAlign w:val="bottom"/>
            <w:gridSpan w:val="12"/>
          </w:tcPr>
          <w:p>
            <w:pPr>
              <w:ind w:left="20"/>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TMC the metals company Inc. 2021 Employee Stock Purchase Plan</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5"/>
          </w:tcPr>
          <w:p>
            <w:pPr>
              <w:jc w:val="center"/>
              <w:ind w:right="420"/>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Form S-8</w:t>
              </w:r>
            </w:hyperlink>
          </w:p>
        </w:tc>
        <w:tc>
          <w:tcPr>
            <w:tcW w:w="860" w:type="dxa"/>
            <w:vAlign w:val="bottom"/>
            <w:gridSpan w:val="3"/>
          </w:tcPr>
          <w:p>
            <w:pPr>
              <w:jc w:val="right"/>
              <w:ind w:right="60"/>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5/31/2022</w:t>
              </w:r>
            </w:hyperlink>
          </w:p>
        </w:tc>
        <w:tc>
          <w:tcPr>
            <w:tcW w:w="60" w:type="dxa"/>
            <w:vAlign w:val="bottom"/>
          </w:tcPr>
          <w:p>
            <w:pPr>
              <w:spacing w:after="0"/>
              <w:rPr>
                <w:sz w:val="17"/>
                <w:szCs w:val="17"/>
                <w:color w:val="auto"/>
              </w:rPr>
            </w:pPr>
          </w:p>
        </w:tc>
        <w:tc>
          <w:tcPr>
            <w:tcW w:w="1560" w:type="dxa"/>
            <w:vAlign w:val="bottom"/>
            <w:gridSpan w:val="3"/>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333-265318</w:t>
              </w:r>
            </w:hyperlink>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Borders>
              <w:bottom w:val="single" w:sz="8" w:color="0000EE"/>
            </w:tcBorders>
            <w:shd w:val="clear" w:color="auto" w:fill="0000EE"/>
          </w:tcPr>
          <w:p>
            <w:pPr>
              <w:spacing w:after="0" w:line="20" w:lineRule="exact"/>
              <w:rPr>
                <w:sz w:val="1"/>
                <w:szCs w:val="1"/>
                <w:color w:val="auto"/>
              </w:rPr>
            </w:pPr>
          </w:p>
        </w:tc>
        <w:tc>
          <w:tcPr>
            <w:tcW w:w="1220" w:type="dxa"/>
            <w:vAlign w:val="bottom"/>
            <w:tcBorders>
              <w:bottom w:val="single" w:sz="8" w:color="0000EE"/>
            </w:tcBorders>
            <w:shd w:val="clear" w:color="auto" w:fill="0000EE"/>
          </w:tcPr>
          <w:p>
            <w:pPr>
              <w:spacing w:after="0" w:line="20" w:lineRule="exact"/>
              <w:rPr>
                <w:sz w:val="1"/>
                <w:szCs w:val="1"/>
                <w:color w:val="auto"/>
              </w:rPr>
            </w:pPr>
          </w:p>
        </w:tc>
        <w:tc>
          <w:tcPr>
            <w:tcW w:w="620" w:type="dxa"/>
            <w:vAlign w:val="bottom"/>
            <w:tcBorders>
              <w:bottom w:val="single" w:sz="8" w:color="0000EE"/>
            </w:tcBorders>
            <w:shd w:val="clear" w:color="auto" w:fill="0000EE"/>
          </w:tcPr>
          <w:p>
            <w:pPr>
              <w:spacing w:after="0" w:line="20" w:lineRule="exact"/>
              <w:rPr>
                <w:sz w:val="1"/>
                <w:szCs w:val="1"/>
                <w:color w:val="auto"/>
              </w:rPr>
            </w:pPr>
          </w:p>
        </w:tc>
        <w:tc>
          <w:tcPr>
            <w:tcW w:w="28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68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gridSpan w:val="2"/>
            <w:vMerge w:val="restart"/>
          </w:tcPr>
          <w:p>
            <w:pPr>
              <w:jc w:val="center"/>
              <w:ind w:left="90"/>
              <w:spacing w:after="0"/>
              <w:rPr>
                <w:sz w:val="20"/>
                <w:szCs w:val="20"/>
                <w:color w:val="auto"/>
              </w:rPr>
            </w:pPr>
            <w:r>
              <w:rPr>
                <w:rFonts w:ascii="Times New Roman" w:cs="Times New Roman" w:eastAsia="Times New Roman" w:hAnsi="Times New Roman"/>
                <w:sz w:val="18"/>
                <w:szCs w:val="18"/>
                <w:color w:val="0000EE"/>
                <w:w w:val="96"/>
              </w:rPr>
              <w:t>107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2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0000EE"/>
              </w:rPr>
              <w:t>Filing Fee Table</w:t>
            </w:r>
          </w:p>
        </w:tc>
        <w:tc>
          <w:tcPr>
            <w:tcW w:w="8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8"/>
                <w:szCs w:val="18"/>
                <w:color w:val="0000EE"/>
              </w:rPr>
              <w:t>X</w:t>
            </w:r>
          </w:p>
        </w:tc>
        <w:tc>
          <w:tcPr>
            <w:tcW w:w="180" w:type="dxa"/>
            <w:vAlign w:val="bottom"/>
          </w:tcPr>
          <w:p>
            <w:pPr>
              <w:spacing w:after="0"/>
              <w:rPr>
                <w:sz w:val="15"/>
                <w:szCs w:val="15"/>
                <w:color w:val="auto"/>
              </w:rPr>
            </w:pPr>
          </w:p>
        </w:tc>
        <w:tc>
          <w:tcPr>
            <w:tcW w:w="1260" w:type="dxa"/>
            <w:vAlign w:val="bottom"/>
            <w:gridSpan w:val="7"/>
          </w:tcPr>
          <w:p>
            <w:pPr>
              <w:jc w:val="center"/>
              <w:ind w:right="240"/>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99.1)</w:t>
              </w:r>
            </w:hyperlink>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20" w:type="dxa"/>
            <w:vAlign w:val="bottom"/>
            <w:gridSpan w:val="12"/>
            <w:vMerge w:val="continue"/>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on Form S-8 to be signed on its behalf by the undersigned, thereunto duly authorized in New York, New York on March 27, 2025.</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Craig Shesky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dated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80" w:type="dxa"/>
            <w:vAlign w:val="bottom"/>
          </w:tcPr>
          <w:p>
            <w:pPr>
              <w:spacing w:after="0"/>
              <w:rPr>
                <w:sz w:val="21"/>
                <w:szCs w:val="21"/>
                <w:color w:val="auto"/>
              </w:rPr>
            </w:pPr>
          </w:p>
        </w:tc>
        <w:tc>
          <w:tcPr>
            <w:tcW w:w="5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80" w:type="dxa"/>
            <w:vAlign w:val="bottom"/>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2"/>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Gerard Barron</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Gerard Barron</w:t>
            </w:r>
          </w:p>
        </w:tc>
        <w:tc>
          <w:tcPr>
            <w:tcW w:w="8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Craig Shesky</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Craig Shesky</w:t>
            </w:r>
          </w:p>
        </w:tc>
        <w:tc>
          <w:tcPr>
            <w:tcW w:w="8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C. Greig</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C. Greig</w:t>
            </w:r>
          </w:p>
        </w:tc>
        <w:tc>
          <w:tcPr>
            <w:tcW w:w="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Hall</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Hall</w:t>
            </w:r>
          </w:p>
        </w:tc>
        <w:tc>
          <w:tcPr>
            <w:tcW w:w="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2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Jurvetson</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Stephen Jurvetson</w:t>
            </w:r>
          </w:p>
        </w:tc>
        <w:tc>
          <w:tcPr>
            <w:tcW w:w="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Andrei Karkar</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Andrei Karkar</w:t>
            </w:r>
          </w:p>
        </w:tc>
        <w:tc>
          <w:tcPr>
            <w:tcW w:w="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Sheila Khama</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Sheila Khama</w:t>
            </w:r>
          </w:p>
        </w:tc>
        <w:tc>
          <w:tcPr>
            <w:tcW w:w="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Christian Madsbjerg</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Christian Madsbjerg</w:t>
            </w:r>
          </w:p>
        </w:tc>
        <w:tc>
          <w:tcPr>
            <w:tcW w:w="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Amelia Kinahoi Siamomua</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Amelia Kinahoi Siamomua</w:t>
            </w:r>
          </w:p>
        </w:tc>
        <w:tc>
          <w:tcPr>
            <w:tcW w:w="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Brendan May</w:t>
            </w:r>
          </w:p>
        </w:tc>
        <w:tc>
          <w:tcPr>
            <w:tcW w:w="8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r>
      <w:tr>
        <w:trPr>
          <w:trHeight w:val="228"/>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Brendan May</w:t>
            </w:r>
          </w:p>
        </w:tc>
        <w:tc>
          <w:tcPr>
            <w:tcW w:w="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657"/>
        </w:trPr>
        <w:tc>
          <w:tcPr>
            <w:tcW w:w="3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156845</wp:posOffset>
            </wp:positionV>
            <wp:extent cx="6180455" cy="1054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618045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328015.00001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TMC the metals company Inc.</w:t>
      </w:r>
    </w:p>
    <w:p>
      <w:pPr>
        <w:spacing w:after="0" w:line="205" w:lineRule="auto"/>
        <w:rPr>
          <w:sz w:val="20"/>
          <w:szCs w:val="20"/>
          <w:color w:val="auto"/>
        </w:rPr>
      </w:pPr>
      <w:r>
        <w:rPr>
          <w:rFonts w:ascii="Times New Roman" w:cs="Times New Roman" w:eastAsia="Times New Roman" w:hAnsi="Times New Roman"/>
          <w:sz w:val="18"/>
          <w:szCs w:val="18"/>
          <w:color w:val="auto"/>
        </w:rPr>
        <w:t>1111 West Hastings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British Columbia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V6E 2J3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Sirs/Mesdames: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TMC the metals company Inc. – Registration Statement on Form S-8</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acted as Canadian counsel to TMC the metals company Inc., a corporation continued under the laws of the Province of British Columbia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in connection with the filing of a registration statement on Form S-8 (as may be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The Registration Statement relates to registering the issuance of an additional aggregate of 3,407,085 common shares without par value in the capital of the Corporation (the “</w:t>
      </w:r>
      <w:r>
        <w:rPr>
          <w:rFonts w:ascii="Times New Roman" w:cs="Times New Roman" w:eastAsia="Times New Roman" w:hAnsi="Times New Roman"/>
          <w:sz w:val="18"/>
          <w:szCs w:val="18"/>
          <w:b w:val="1"/>
          <w:bCs w:val="1"/>
          <w:color w:val="auto"/>
        </w:rPr>
        <w:t>2025 ESPP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issuable upon exercise of the option awards (the “</w:t>
      </w:r>
      <w:r>
        <w:rPr>
          <w:rFonts w:ascii="Times New Roman" w:cs="Times New Roman" w:eastAsia="Times New Roman" w:hAnsi="Times New Roman"/>
          <w:sz w:val="18"/>
          <w:szCs w:val="18"/>
          <w:b w:val="1"/>
          <w:bCs w:val="1"/>
          <w:color w:val="auto"/>
        </w:rPr>
        <w:t>2025 ESPP Options</w:t>
      </w:r>
      <w:r>
        <w:rPr>
          <w:rFonts w:ascii="Times New Roman" w:cs="Times New Roman" w:eastAsia="Times New Roman" w:hAnsi="Times New Roman"/>
          <w:sz w:val="18"/>
          <w:szCs w:val="18"/>
          <w:color w:val="auto"/>
        </w:rPr>
        <w:t>”) outstanding under and in accordance with the terms of the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Stock Purchase Plan of the Corporation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Reviewed and Reliance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Canadian counsel to the Corporation, we have examined original executed or electronically delivered copies, which have been certified or otherwise identified to our satisfaction, of:</w:t>
      </w:r>
    </w:p>
    <w:p>
      <w:pPr>
        <w:spacing w:after="0" w:line="162"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ESPP;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spacing w:after="0" w:line="174" w:lineRule="exact"/>
        <w:rPr>
          <w:sz w:val="20"/>
          <w:szCs w:val="20"/>
          <w:color w:val="auto"/>
        </w:rPr>
      </w:pPr>
    </w:p>
    <w:p>
      <w:pPr>
        <w:ind w:left="1300" w:hanging="644"/>
        <w:spacing w:after="0" w:line="284"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March 27, 2025 issued pursuant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(British Columbia) relating to the Corporation; and</w:t>
      </w:r>
    </w:p>
    <w:p>
      <w:pPr>
        <w:spacing w:after="0" w:line="160"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rFonts w:ascii="Times New Roman" w:cs="Times New Roman" w:eastAsia="Times New Roman" w:hAnsi="Times New Roman"/>
          <w:sz w:val="18"/>
          <w:szCs w:val="18"/>
          <w:b w:val="1"/>
          <w:bCs w:val="1"/>
          <w:color w:val="auto"/>
        </w:rPr>
        <w:t>Constating Documents</w:t>
      </w:r>
      <w:r>
        <w:rPr>
          <w:rFonts w:ascii="Times New Roman" w:cs="Times New Roman" w:eastAsia="Times New Roman" w:hAnsi="Times New Roman"/>
          <w:sz w:val="18"/>
          <w:szCs w:val="18"/>
          <w:color w:val="auto"/>
        </w:rPr>
        <w:t>”), and the resolutions of the directors of the Corporation authorizing and approving the issuance of the 2025 ESPP Shares (the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3277235</wp:posOffset>
            </wp:positionH>
            <wp:positionV relativeFrom="page">
              <wp:posOffset>586105</wp:posOffset>
            </wp:positionV>
            <wp:extent cx="9601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60120" cy="2146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As to various questions of fact material to the opinions provided herein, we have relied upon the Officer’s Certificate.</w:t>
      </w:r>
    </w:p>
    <w:p>
      <w:pPr>
        <w:spacing w:after="0" w:line="221"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Laws Addressed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spacing w:after="0" w:line="172"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Assumptions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the opinions expressed herein, we have assumed, without independent investigation, the following:</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accuracy and currency of the indices and filing systems maintained at the public offices where we have searched or made relevant inquiries and of other documents and certificates supplied by public officials;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Officer’s Certificate continues to be accurate on the date hereof;</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minute books and corporate records of the Corporation, or excerpts thereof, made available to us are the original minute books and records, or excerpts thereof, of the Corporation and contain all of the articles and constating documents of the Corporation and any amendments thereto and all of the respective minutes, or copies thereof, of all applicable proceedings of the shareholders and directors;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ESPP and the 2025 ESPP Options constitutes a legal, valid and binding obligation of the Corporation and the other parties thereto, enforceable against each of the parties thereto in accordance with its terms and the execution and delivery thereof was duly authorized by the parties thereto;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any obligation under any document is required to be performed in a jurisdiction outside of the Province of British Columbia, the performance of that obligation will not be illegal under the laws of that jurisdiction.</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3294380</wp:posOffset>
            </wp:positionH>
            <wp:positionV relativeFrom="page">
              <wp:posOffset>586105</wp:posOffset>
            </wp:positionV>
            <wp:extent cx="96012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960120" cy="214630"/>
                    </a:xfrm>
                    <a:prstGeom prst="rect">
                      <a:avLst/>
                    </a:prstGeom>
                    <a:noFill/>
                  </pic:spPr>
                </pic:pic>
              </a:graphicData>
            </a:graphic>
          </wp:anchor>
        </w:drawing>
      </w: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Reliance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expressing the opinions set forth herein, in connection with certain factual matters pertaining to this opinion, we have relied exclusively and without independent investigation upon the Officer’s Certificate.</w:t>
      </w:r>
    </w:p>
    <w:p>
      <w:pPr>
        <w:spacing w:after="0" w:line="158"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Opinions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upon and relying on the foregoing and the qualifications hereinafter expressed, we are of the opinion that the 2025 ESPP Shares when issued in accordance with the terms of the ESPP will be validly issued, fully paid and non-assessable common shares in the capital of the Corporation.</w:t>
      </w:r>
    </w:p>
    <w:p>
      <w:pPr>
        <w:spacing w:after="0" w:line="158"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Qualifications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Fasken Martineau DuMoulin LLP</w:t>
      </w: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pertaining to the 2021 Employee Stock Purchase Plan of our report dated March 27, 2025 with respect to the consolidated financial statements of TMC the metals company Inc., included in its Annual Report (Form 10-K) for the year ended December 31, 2024, filed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TMC the metal company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Table 1: Newly Registered Securitie-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Fee</w:t>
            </w: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16"/>
        </w:trPr>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Type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(1)</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0" w:type="dxa"/>
            <w:vAlign w:val="bottom"/>
          </w:tcPr>
          <w:p>
            <w:pPr>
              <w:spacing w:after="0"/>
              <w:rPr>
                <w:sz w:val="20"/>
                <w:szCs w:val="20"/>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191"/>
        </w:trPr>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Common shares</w:t>
            </w: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457(c) and</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248"/>
        </w:trPr>
        <w:tc>
          <w:tcPr>
            <w:tcW w:w="14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Equity</w:t>
            </w:r>
          </w:p>
        </w:tc>
        <w:tc>
          <w:tcPr>
            <w:tcW w:w="14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without par value</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457(h)</w:t>
            </w:r>
          </w:p>
        </w:tc>
        <w:tc>
          <w:tcPr>
            <w:tcW w:w="14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3,407,085(2)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1.8125(3)</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$ 6,175,341.56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0.0001531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945.44</w:t>
            </w:r>
          </w:p>
        </w:tc>
        <w:tc>
          <w:tcPr>
            <w:tcW w:w="80" w:type="dxa"/>
            <w:vAlign w:val="bottom"/>
            <w:shd w:val="clear" w:color="auto" w:fill="CCEEFF"/>
          </w:tcPr>
          <w:p>
            <w:pPr>
              <w:spacing w:after="0"/>
              <w:rPr>
                <w:sz w:val="21"/>
                <w:szCs w:val="21"/>
                <w:color w:val="auto"/>
              </w:rPr>
            </w:pPr>
          </w:p>
        </w:tc>
      </w:tr>
      <w:tr>
        <w:trPr>
          <w:trHeight w:val="210"/>
        </w:trPr>
        <w:tc>
          <w:tcPr>
            <w:tcW w:w="28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$ 6,175,341.56</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945.44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shd w:val="clear" w:color="auto" w:fill="CCEEFF"/>
          </w:tcPr>
          <w:p>
            <w:pPr>
              <w:spacing w:after="0"/>
              <w:rPr>
                <w:sz w:val="18"/>
                <w:szCs w:val="18"/>
                <w:color w:val="auto"/>
              </w:rPr>
            </w:pPr>
          </w:p>
        </w:tc>
      </w:tr>
      <w:tr>
        <w:trPr>
          <w:trHeight w:val="209"/>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left="460" w:hanging="452"/>
        <w:spacing w:after="0" w:line="258"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without par value (“Common Shares”) that may be issued under the TMC the metals company Inc. 2021 Employee Stock Purchase Plan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Registrant’s receipt of consideration which would increase the number of outstanding Common Shares.</w:t>
      </w:r>
    </w:p>
    <w:p>
      <w:pPr>
        <w:spacing w:after="0" w:line="183"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additional Common Shares reserved for issuance under the Plan as a result of the automatic increase in the number of shares reserved under the Plan on January 1, 2025.</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amount of the registration fee pursuant to Rule 457(c) and Rule 457(h) promulgated under the Securities Act on the basis of the average of the high and the low price of Registrant’s Common Shares as reported on the Nasdaq Stock Market LLC on 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upperLetter"/>
      <w:start w:val="2"/>
    </w:lvl>
  </w:abstractNum>
  <w:abstractNum w:abstractNumId="4">
    <w:nsid w:val="79E2A9E3"/>
    <w:multiLevelType w:val="hybridMultilevel"/>
    <w:lvl w:ilvl="0">
      <w:lvlJc w:val="left"/>
      <w:lvlText w:val="%1."/>
      <w:numFmt w:val="upperLetter"/>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upperLetter"/>
      <w:start w:val="4"/>
    </w:lvl>
  </w:abstractNum>
  <w:abstractNum w:abstractNumId="7">
    <w:nsid w:val="5BD062C2"/>
    <w:multiLevelType w:val="hybridMultilevel"/>
    <w:lvl w:ilvl="0">
      <w:lvlJc w:val="left"/>
      <w:lvlText w:val="%1."/>
      <w:numFmt w:val="upperLetter"/>
      <w:start w:val="5"/>
    </w:lvl>
  </w:abstractNum>
  <w:abstractNum w:abstractNumId="8">
    <w:nsid w:val="12200854"/>
    <w:multiLevelType w:val="hybridMultilevel"/>
    <w:lvl w:ilvl="0">
      <w:lvlJc w:val="left"/>
      <w:lvlText w:val="%1."/>
      <w:numFmt w:val="upperLetter"/>
      <w:start w:val="6"/>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eg"/><Relationship Id="rId23" Type="http://schemas.openxmlformats.org/officeDocument/2006/relationships/image" Target="media/image9.png"/><Relationship Id="rId24" Type="http://schemas.openxmlformats.org/officeDocument/2006/relationships/image" Target="media/image10.jpeg"/><Relationship Id="rId25" Type="http://schemas.openxmlformats.org/officeDocument/2006/relationships/image" Target="media/image11.png"/><Relationship Id="rId26" Type="http://schemas.openxmlformats.org/officeDocument/2006/relationships/image" Target="media/image12.jpe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13" Type="http://schemas.openxmlformats.org/officeDocument/2006/relationships/hyperlink" Target="https://www.sec.gov/Archives/edgar/data/1798562/000110465922066562/tm2217188d2_s8.htm" TargetMode="External"/><Relationship Id="rId14" Type="http://schemas.openxmlformats.org/officeDocument/2006/relationships/hyperlink" Target="https://www.sec.gov/Archives/edgar/data/1798562/000110465923037158/tm2310193d2_s8.htm" TargetMode="External"/><Relationship Id="rId15" Type="http://schemas.openxmlformats.org/officeDocument/2006/relationships/hyperlink" Target="https://www.sec.gov/Archives/edgar/data/1798562/000110465924038568/tm249497d2_s8.htm" TargetMode="External"/><Relationship Id="rId16" Type="http://schemas.openxmlformats.org/officeDocument/2006/relationships/hyperlink" Target="https://www.sec.gov/Archives/edgar/data/1798562/000121390021048261/ea147253ex3-1_tmcthemet.htm" TargetMode="External"/><Relationship Id="rId17" Type="http://schemas.openxmlformats.org/officeDocument/2006/relationships/hyperlink" Target="https://www.sec.gov/Archives/edgar/data/1798562/000121390021048261/ea147253ex3-2_tmcthemet.htm" TargetMode="External"/><Relationship Id="rId18" Type="http://schemas.openxmlformats.org/officeDocument/2006/relationships/hyperlink" Target="https://www.sec.gov/Archives/edgar/data/1798562/000121390021048261/ea147253ex4-1_tmcthemet.htm" TargetMode="External"/><Relationship Id="rId19" Type="http://schemas.openxmlformats.org/officeDocument/2006/relationships/hyperlink" Target="https://www.sec.gov/Archives/edgar/data/1798562/000110465922066562/tm2217188d2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2025-03-27T17:05:41Z</dcterms:created>
  <dcterms:modified xsi:type="dcterms:W3CDTF">2025-03-27T17:05:41Z</dcterms:modified>
</cp:coreProperties>
</file>