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Shesky Craig</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82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04/01/2025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4"/>
                <w:szCs w:val="14"/>
                <w:color w:val="auto"/>
              </w:rPr>
            </w:pPr>
          </w:p>
        </w:tc>
        <w:tc>
          <w:tcPr>
            <w:tcW w:w="360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tcPr>
          <w:p>
            <w:pPr>
              <w:ind w:left="2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VANCOUVER  A1</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353,702</w:t>
            </w:r>
            <w:r>
              <w:rPr>
                <w:rFonts w:ascii="Times New Roman" w:cs="Times New Roman" w:eastAsia="Times New Roman" w:hAnsi="Times New Roman"/>
                <w:sz w:val="22"/>
                <w:szCs w:val="22"/>
                <w:color w:val="008000"/>
                <w:w w:val="99"/>
                <w:vertAlign w:val="superscript"/>
              </w:rPr>
              <w:t>(2)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1.6554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1,145,717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to cover tax withholding obligations in connection with the vesting of restricted stock units that were granted to the Reporting Person on March 20, 2023, March 20, 2024 and March 20, 2025 previously reported by the Reporting Person on the Statement of Changes in Beneficial Ownership of Securities on Form 4 filed on March 24, 2025 pursuant to an automatic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$1.61 to $1.78 per common share. The Reporting Person undertakes to provide, upon request by the SEC staff, the Issuer or a security holder of the Issuer, full information regarding the number of common shares sold at each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30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2025-04-02T09:54:16Z</dcterms:created>
  <dcterms:modified xsi:type="dcterms:W3CDTF">2025-04-02T09:54:16Z</dcterms:modified>
</cp:coreProperties>
</file>