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13976d4_424b5.htm"/>
      <w:bookmarkStart w:id="1" w:name="kstm2513976d4_424b5"/>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br/>
        <w:t>Registration Nos. 333-267479 and 333-275822</w:t>
      </w:r>
    </w:p>
    <w:p>
      <w:pPr>
        <w:pStyle w:val="TextBody"/>
        <w:bidi w:val="0"/>
        <w:spacing w:before="0" w:after="0"/>
        <w:ind w:left="0" w:right="0" w:hanging="0"/>
        <w:jc w:val="left"/>
        <w:rPr>
          <w:caps w:val="false"/>
          <w:smallCaps w:val="false"/>
        </w:rPr>
      </w:pPr>
      <w:r>
        <w:rPr>
          <w:caps w:val="false"/>
          <w:smallCaps w:val="false"/>
        </w:rPr>
        <w:t> </w:t>
      </w:r>
    </w:p>
    <w:tbl>
      <w:tblPr>
        <w:tblW w:w="5525" w:type="dxa"/>
        <w:jc w:val="left"/>
        <w:tblInd w:w="0" w:type="dxa"/>
        <w:tblLayout w:type="fixed"/>
        <w:tblCellMar>
          <w:top w:w="0" w:type="dxa"/>
          <w:left w:w="0" w:type="dxa"/>
          <w:bottom w:w="0" w:type="dxa"/>
          <w:right w:w="0" w:type="dxa"/>
        </w:tblCellMar>
      </w:tblPr>
      <w:tblGrid>
        <w:gridCol w:w="5450"/>
        <w:gridCol w:w="75"/>
      </w:tblGrid>
      <w:tr>
        <w:trPr/>
        <w:tc>
          <w:tcPr>
            <w:tcW w:w="54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PROSPECTUS SUPPLEMENT</w:t>
              <w:br/>
              <w:t>(To Prospectuses dated October 14, 2022 and December 8, 2023)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628900"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28900" cy="9144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12,333,333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C Warrants to Purchase 12,333,333 Common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 is offering 12,333,333 of its common shares and accompanying Class C warrants to purchase 12,333,333 of our common shares in this offering (and the common shares issuable from time to time upon exercise of these Class C warrants). Each common share we sell in the offering will be accompanied by a Class C warrant to purchase one common share at an exercise price of $4.50 per share. Each common share and accompanying Class C warrant will be sold at a negotiated price of $3.00. The common shares and accompanying Class C warrants will be issued separately but can only be purchased together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C warrant will be exercisable from and after the date of issuance. The Class C warrants will expire three years from the date of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and publicly listed warrants to purchase common shares, or the Public Warrants, are listed on the Nasdaq Global Select Market, or Nasdaq, under the symbol “TMC” and “TMCWW,” respectively. On May 9, 2025, the closing price of our common shares on the Nasdaq was $3.11 per share and the closing price of our Public Warrants was $0.59 per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and an investment in our securities involve a high degree of risk. These risks are described under the caption “Risk Factors,” beginning on page S-8 of this prospectus supplement, and in “Item 1A. Risk Factors” in our Annual Report on Form 10-K for the year ended December 31, 2024.</w:t>
      </w:r>
    </w:p>
    <w:p>
      <w:pPr>
        <w:pStyle w:val="TextBody"/>
        <w:bidi w:val="0"/>
        <w:spacing w:before="0" w:after="0"/>
        <w:ind w:left="0" w:right="0" w:hanging="0"/>
        <w:jc w:val="left"/>
        <w:rPr>
          <w:caps w:val="false"/>
          <w:smallCaps w:val="false"/>
        </w:rPr>
      </w:pPr>
      <w:r>
        <w:rPr>
          <w:caps w:val="false"/>
          <w:smallCaps w:val="false"/>
        </w:rPr>
        <w:t> </w:t>
      </w:r>
    </w:p>
    <w:tbl>
      <w:tblPr>
        <w:tblW w:w="6259" w:type="dxa"/>
        <w:jc w:val="left"/>
        <w:tblInd w:w="0" w:type="dxa"/>
        <w:tblLayout w:type="fixed"/>
        <w:tblCellMar>
          <w:top w:w="0" w:type="dxa"/>
          <w:left w:w="0" w:type="dxa"/>
          <w:bottom w:w="0" w:type="dxa"/>
          <w:right w:w="0" w:type="dxa"/>
        </w:tblCellMar>
      </w:tblPr>
      <w:tblGrid>
        <w:gridCol w:w="2615"/>
        <w:gridCol w:w="60"/>
        <w:gridCol w:w="505"/>
        <w:gridCol w:w="1539"/>
        <w:gridCol w:w="60"/>
        <w:gridCol w:w="60"/>
        <w:gridCol w:w="125"/>
        <w:gridCol w:w="1220"/>
        <w:gridCol w:w="75"/>
      </w:tblGrid>
      <w:tr>
        <w:trPr/>
        <w:tc>
          <w:tcPr>
            <w:tcW w:w="26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Common Share and</w:t>
              <w:br/>
              <w:t>Accompanying Class C</w:t>
              <w:br/>
              <w:t>Warrant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r>
              <w:rPr>
                <w:rFonts w:ascii="Times New Roman;Times;Serif" w:hAnsi="Times New Roman;Times;Serif"/>
                <w:b/>
                <w:i w:val="false"/>
                <w:caps w:val="false"/>
                <w:smallCaps w:val="false"/>
                <w:position w:val="7"/>
                <w:sz w:val="16"/>
                <w:sz w:val="20"/>
              </w:rPr>
              <w:t>(1)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9"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37,000,000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before expenses, to 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283"/>
              <w:jc w:val="both"/>
              <w:rPr/>
            </w:pPr>
            <w:r>
              <w:rPr/>
              <w:t>The amount of the offering proceeds to us presented in this table does not include proceeds from the exercise of the Class C warrants for cash, if any, issued in this offering. The proceeds to us before expenses is $3.00 per common share and accompanying Class C warrant and $37,000,000 in total. See “Plan of Distribution” beginning on page S-20 of this prospectus supplement for additional information about the expenses payable in connection with this offering.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or other securities commission has approved or disapproved of these securities or determined if this prospectus supplement or the accompanying prospectuses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offered by this prospectus supplement have not been qualified for distribution in Canada and may not be offered or sold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“smaller reporting company” under the federal securities laws and, as such, are subject to reduced public company reporting requirements. See “Prospectus Supplement Summary—Implications of Being an Emerging Growth Company and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common shares and Class C warrants offered hereby is expected to occur on or about May 22,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May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tc>
        <w:tc>
          <w:tcPr>
            <w:tcW w:w="455" w:type="dxa"/>
            <w:tcBorders/>
            <w:shd w:fill="FFFFFF" w:val="clear"/>
            <w:vAlign w:val="center"/>
          </w:tcPr>
          <w:p>
            <w:pPr>
              <w:pStyle w:val="TableContents"/>
              <w:bidi w:val="0"/>
              <w:spacing w:before="0" w:after="283"/>
              <w:jc w:val="right"/>
              <w:rPr>
                <w:b/>
                <w:sz w:val="20"/>
              </w:rPr>
            </w:pPr>
            <w:r>
              <w:rPr>
                <w:b/>
                <w:sz w:val="20"/>
              </w:rPr>
              <w:t>Page</w:t>
            </w:r>
          </w:p>
        </w:tc>
      </w:tr>
      <w:tr>
        <w:trPr/>
        <w:tc>
          <w:tcPr>
            <w:tcW w:w="9750" w:type="dxa"/>
            <w:tcBorders/>
            <w:shd w:fill="CCEEFF" w:val="clear"/>
            <w:vAlign w:val="center"/>
          </w:tcPr>
          <w:p>
            <w:pPr>
              <w:pStyle w:val="TableContents"/>
              <w:bidi w:val="0"/>
              <w:spacing w:before="0" w:after="283"/>
              <w:jc w:val="left"/>
              <w:rPr/>
            </w:pPr>
            <w:hyperlink w:anchor="aaa_001">
              <w:r>
                <w:rPr>
                  <w:rStyle w:val="InternetLink"/>
                  <w:rFonts w:ascii="Times New Roman;Times;Serif" w:hAnsi="Times New Roman;Times;Serif"/>
                  <w:b w:val="false"/>
                  <w:i w:val="false"/>
                  <w:caps w:val="false"/>
                  <w:smallCaps w:val="false"/>
                  <w:sz w:val="20"/>
                </w:rPr>
                <w:t>ABOUT THIS PROSPECTUS SUPPLEMENT</w:t>
              </w:r>
            </w:hyperlink>
          </w:p>
        </w:tc>
        <w:tc>
          <w:tcPr>
            <w:tcW w:w="455" w:type="dxa"/>
            <w:tcBorders/>
            <w:shd w:fill="CCEEFF" w:val="clear"/>
            <w:vAlign w:val="center"/>
          </w:tcPr>
          <w:p>
            <w:pPr>
              <w:pStyle w:val="TableContents"/>
              <w:bidi w:val="0"/>
              <w:spacing w:before="0" w:after="283"/>
              <w:jc w:val="right"/>
              <w:rPr/>
            </w:pPr>
            <w:hyperlink w:anchor="aaa_001">
              <w:r>
                <w:rPr>
                  <w:rStyle w:val="InternetLink"/>
                  <w:sz w:val="20"/>
                </w:rPr>
                <w:t>S-1</w:t>
              </w:r>
            </w:hyperlink>
          </w:p>
        </w:tc>
      </w:tr>
      <w:tr>
        <w:trPr/>
        <w:tc>
          <w:tcPr>
            <w:tcW w:w="9750" w:type="dxa"/>
            <w:tcBorders/>
            <w:shd w:fill="FFFFFF" w:val="clear"/>
            <w:vAlign w:val="center"/>
          </w:tcPr>
          <w:p>
            <w:pPr>
              <w:pStyle w:val="TableContents"/>
              <w:bidi w:val="0"/>
              <w:spacing w:before="0" w:after="283"/>
              <w:jc w:val="left"/>
              <w:rPr/>
            </w:pPr>
            <w:hyperlink w:anchor="aaa_002">
              <w:r>
                <w:rPr>
                  <w:rStyle w:val="InternetLink"/>
                  <w:rFonts w:ascii="Times New Roman;Times;Serif" w:hAnsi="Times New Roman;Times;Serif"/>
                  <w:b w:val="false"/>
                  <w:i w:val="false"/>
                  <w:caps w:val="false"/>
                  <w:smallCaps w:val="false"/>
                  <w:sz w:val="20"/>
                </w:rPr>
                <w:t>PROSPECTUS SUPPLEMENT SUMMARY</w:t>
              </w:r>
            </w:hyperlink>
          </w:p>
        </w:tc>
        <w:tc>
          <w:tcPr>
            <w:tcW w:w="455" w:type="dxa"/>
            <w:tcBorders/>
            <w:shd w:fill="FFFFFF" w:val="clear"/>
            <w:vAlign w:val="center"/>
          </w:tcPr>
          <w:p>
            <w:pPr>
              <w:pStyle w:val="TableContents"/>
              <w:bidi w:val="0"/>
              <w:spacing w:before="0" w:after="283"/>
              <w:jc w:val="right"/>
              <w:rPr/>
            </w:pPr>
            <w:hyperlink w:anchor="aaa_002">
              <w:r>
                <w:rPr>
                  <w:rStyle w:val="InternetLink"/>
                  <w:sz w:val="20"/>
                </w:rPr>
                <w:t>S-2</w:t>
              </w:r>
            </w:hyperlink>
          </w:p>
        </w:tc>
      </w:tr>
      <w:tr>
        <w:trPr/>
        <w:tc>
          <w:tcPr>
            <w:tcW w:w="9750" w:type="dxa"/>
            <w:tcBorders/>
            <w:shd w:fill="CCEEFF" w:val="clear"/>
            <w:vAlign w:val="center"/>
          </w:tcPr>
          <w:p>
            <w:pPr>
              <w:pStyle w:val="TableContents"/>
              <w:bidi w:val="0"/>
              <w:spacing w:before="0" w:after="283"/>
              <w:jc w:val="left"/>
              <w:rPr/>
            </w:pPr>
            <w:hyperlink w:anchor="aaa_003">
              <w:r>
                <w:rPr>
                  <w:rStyle w:val="InternetLink"/>
                  <w:rFonts w:ascii="Times New Roman;Times;Serif" w:hAnsi="Times New Roman;Times;Serif"/>
                  <w:b w:val="false"/>
                  <w:i w:val="false"/>
                  <w:caps w:val="false"/>
                  <w:smallCaps w:val="false"/>
                  <w:sz w:val="20"/>
                </w:rPr>
                <w:t>THE OFFERING</w:t>
              </w:r>
            </w:hyperlink>
          </w:p>
        </w:tc>
        <w:tc>
          <w:tcPr>
            <w:tcW w:w="455" w:type="dxa"/>
            <w:tcBorders/>
            <w:shd w:fill="CCEEFF" w:val="clear"/>
            <w:vAlign w:val="center"/>
          </w:tcPr>
          <w:p>
            <w:pPr>
              <w:pStyle w:val="TableContents"/>
              <w:bidi w:val="0"/>
              <w:spacing w:before="0" w:after="283"/>
              <w:jc w:val="right"/>
              <w:rPr/>
            </w:pPr>
            <w:hyperlink w:anchor="aaa_003">
              <w:r>
                <w:rPr>
                  <w:rStyle w:val="InternetLink"/>
                  <w:sz w:val="20"/>
                </w:rPr>
                <w:t>S-7</w:t>
              </w:r>
            </w:hyperlink>
          </w:p>
        </w:tc>
      </w:tr>
      <w:tr>
        <w:trPr/>
        <w:tc>
          <w:tcPr>
            <w:tcW w:w="9750" w:type="dxa"/>
            <w:tcBorders/>
            <w:shd w:fill="FFFFFF" w:val="clear"/>
            <w:vAlign w:val="center"/>
          </w:tcPr>
          <w:p>
            <w:pPr>
              <w:pStyle w:val="TableContents"/>
              <w:bidi w:val="0"/>
              <w:spacing w:before="0" w:after="283"/>
              <w:jc w:val="left"/>
              <w:rPr/>
            </w:pPr>
            <w:hyperlink w:anchor="aaa_004">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right"/>
              <w:rPr/>
            </w:pPr>
            <w:hyperlink w:anchor="aaa_004">
              <w:r>
                <w:rPr>
                  <w:rStyle w:val="InternetLink"/>
                  <w:sz w:val="20"/>
                </w:rPr>
                <w:t>S-8</w:t>
              </w:r>
            </w:hyperlink>
          </w:p>
        </w:tc>
      </w:tr>
      <w:tr>
        <w:trPr/>
        <w:tc>
          <w:tcPr>
            <w:tcW w:w="9750" w:type="dxa"/>
            <w:tcBorders/>
            <w:shd w:fill="CCEEFF" w:val="clear"/>
            <w:vAlign w:val="center"/>
          </w:tcPr>
          <w:p>
            <w:pPr>
              <w:pStyle w:val="TableContents"/>
              <w:bidi w:val="0"/>
              <w:spacing w:before="0" w:after="283"/>
              <w:jc w:val="left"/>
              <w:rPr/>
            </w:pPr>
            <w:hyperlink w:anchor="aaa_005">
              <w:r>
                <w:rPr>
                  <w:rStyle w:val="InternetLink"/>
                  <w:rFonts w:ascii="Times New Roman;Times;Serif" w:hAnsi="Times New Roman;Times;Serif"/>
                  <w:b w:val="false"/>
                  <w:i w:val="false"/>
                  <w:caps w:val="false"/>
                  <w:smallCaps w:val="false"/>
                  <w:sz w:val="20"/>
                </w:rPr>
                <w:t>CAUTIONARY NOTICE REGARDING FORWARD-LOOKING STATEMENTS</w:t>
              </w:r>
            </w:hyperlink>
          </w:p>
        </w:tc>
        <w:tc>
          <w:tcPr>
            <w:tcW w:w="455" w:type="dxa"/>
            <w:tcBorders/>
            <w:shd w:fill="CCEEFF" w:val="clear"/>
            <w:vAlign w:val="center"/>
          </w:tcPr>
          <w:p>
            <w:pPr>
              <w:pStyle w:val="TableContents"/>
              <w:bidi w:val="0"/>
              <w:spacing w:before="0" w:after="283"/>
              <w:jc w:val="right"/>
              <w:rPr/>
            </w:pPr>
            <w:hyperlink w:anchor="aaa_005">
              <w:r>
                <w:rPr>
                  <w:rStyle w:val="InternetLink"/>
                  <w:sz w:val="20"/>
                </w:rPr>
                <w:t>S-11</w:t>
              </w:r>
            </w:hyperlink>
          </w:p>
        </w:tc>
      </w:tr>
      <w:tr>
        <w:trPr/>
        <w:tc>
          <w:tcPr>
            <w:tcW w:w="9750" w:type="dxa"/>
            <w:tcBorders/>
            <w:shd w:fill="FFFFFF" w:val="clear"/>
            <w:vAlign w:val="center"/>
          </w:tcPr>
          <w:p>
            <w:pPr>
              <w:pStyle w:val="TableContents"/>
              <w:bidi w:val="0"/>
              <w:spacing w:before="0" w:after="283"/>
              <w:jc w:val="left"/>
              <w:rPr/>
            </w:pPr>
            <w:hyperlink w:anchor="aaa_006">
              <w:r>
                <w:rPr>
                  <w:rStyle w:val="InternetLink"/>
                  <w:rFonts w:ascii="Times New Roman;Times;Serif" w:hAnsi="Times New Roman;Times;Serif"/>
                  <w:b w:val="false"/>
                  <w:i w:val="false"/>
                  <w:caps w:val="false"/>
                  <w:smallCaps w:val="false"/>
                  <w:sz w:val="20"/>
                </w:rPr>
                <w:t>NO CANADIAN PROSPECTUS QUALIFICATION</w:t>
              </w:r>
            </w:hyperlink>
          </w:p>
        </w:tc>
        <w:tc>
          <w:tcPr>
            <w:tcW w:w="455" w:type="dxa"/>
            <w:tcBorders/>
            <w:shd w:fill="FFFFFF" w:val="clear"/>
            <w:vAlign w:val="center"/>
          </w:tcPr>
          <w:p>
            <w:pPr>
              <w:pStyle w:val="TableContents"/>
              <w:bidi w:val="0"/>
              <w:spacing w:before="0" w:after="283"/>
              <w:jc w:val="right"/>
              <w:rPr/>
            </w:pPr>
            <w:hyperlink w:anchor="aaa_006">
              <w:r>
                <w:rPr>
                  <w:rStyle w:val="InternetLink"/>
                  <w:sz w:val="20"/>
                </w:rPr>
                <w:t>S-13</w:t>
              </w:r>
            </w:hyperlink>
          </w:p>
        </w:tc>
      </w:tr>
      <w:tr>
        <w:trPr/>
        <w:tc>
          <w:tcPr>
            <w:tcW w:w="9750" w:type="dxa"/>
            <w:tcBorders/>
            <w:shd w:fill="CCEEFF" w:val="clear"/>
            <w:vAlign w:val="center"/>
          </w:tcPr>
          <w:p>
            <w:pPr>
              <w:pStyle w:val="TableContents"/>
              <w:bidi w:val="0"/>
              <w:spacing w:before="0" w:after="283"/>
              <w:jc w:val="left"/>
              <w:rPr/>
            </w:pPr>
            <w:hyperlink w:anchor="aaa_007">
              <w:r>
                <w:rPr>
                  <w:rStyle w:val="InternetLink"/>
                  <w:rFonts w:ascii="Times New Roman;Times;Serif" w:hAnsi="Times New Roman;Times;Serif"/>
                  <w:b w:val="false"/>
                  <w:i w:val="false"/>
                  <w:caps w:val="false"/>
                  <w:smallCaps w:val="false"/>
                  <w:sz w:val="20"/>
                </w:rPr>
                <w:t>CAUTIONARY STATEMENTS REGARDING THE NORI INITIAL ASSESSMENT AND TOML MINERAL RESOURCE STATEMENT</w:t>
              </w:r>
            </w:hyperlink>
          </w:p>
        </w:tc>
        <w:tc>
          <w:tcPr>
            <w:tcW w:w="455" w:type="dxa"/>
            <w:tcBorders/>
            <w:shd w:fill="CCEEFF" w:val="clear"/>
            <w:vAlign w:val="center"/>
          </w:tcPr>
          <w:p>
            <w:pPr>
              <w:pStyle w:val="TableContents"/>
              <w:bidi w:val="0"/>
              <w:spacing w:before="0" w:after="283"/>
              <w:jc w:val="right"/>
              <w:rPr/>
            </w:pPr>
            <w:hyperlink w:anchor="aaa_007">
              <w:r>
                <w:rPr>
                  <w:rStyle w:val="InternetLink"/>
                  <w:sz w:val="20"/>
                </w:rPr>
                <w:t>S-14</w:t>
              </w:r>
            </w:hyperlink>
          </w:p>
        </w:tc>
      </w:tr>
      <w:tr>
        <w:trPr/>
        <w:tc>
          <w:tcPr>
            <w:tcW w:w="9750" w:type="dxa"/>
            <w:tcBorders/>
            <w:shd w:fill="FFFFFF" w:val="clear"/>
            <w:vAlign w:val="center"/>
          </w:tcPr>
          <w:p>
            <w:pPr>
              <w:pStyle w:val="TableContents"/>
              <w:bidi w:val="0"/>
              <w:spacing w:before="0" w:after="283"/>
              <w:jc w:val="left"/>
              <w:rPr/>
            </w:pPr>
            <w:hyperlink w:anchor="aaa_008">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right"/>
              <w:rPr/>
            </w:pPr>
            <w:hyperlink w:anchor="aaa_008">
              <w:r>
                <w:rPr>
                  <w:rStyle w:val="InternetLink"/>
                  <w:sz w:val="20"/>
                </w:rPr>
                <w:t>S-16</w:t>
              </w:r>
            </w:hyperlink>
          </w:p>
        </w:tc>
      </w:tr>
      <w:tr>
        <w:trPr/>
        <w:tc>
          <w:tcPr>
            <w:tcW w:w="9750" w:type="dxa"/>
            <w:tcBorders/>
            <w:shd w:fill="CCEEFF" w:val="clear"/>
            <w:vAlign w:val="center"/>
          </w:tcPr>
          <w:p>
            <w:pPr>
              <w:pStyle w:val="TableContents"/>
              <w:bidi w:val="0"/>
              <w:spacing w:before="0" w:after="283"/>
              <w:jc w:val="left"/>
              <w:rPr/>
            </w:pPr>
            <w:hyperlink w:anchor="aaa_009">
              <w:r>
                <w:rPr>
                  <w:rStyle w:val="InternetLink"/>
                  <w:rFonts w:ascii="Times New Roman;Times;Serif" w:hAnsi="Times New Roman;Times;Serif"/>
                  <w:b w:val="false"/>
                  <w:i w:val="false"/>
                  <w:caps w:val="false"/>
                  <w:smallCaps w:val="false"/>
                  <w:sz w:val="20"/>
                </w:rPr>
                <w:t>DILUTION</w:t>
              </w:r>
            </w:hyperlink>
          </w:p>
        </w:tc>
        <w:tc>
          <w:tcPr>
            <w:tcW w:w="455" w:type="dxa"/>
            <w:tcBorders/>
            <w:shd w:fill="CCEEFF" w:val="clear"/>
            <w:vAlign w:val="center"/>
          </w:tcPr>
          <w:p>
            <w:pPr>
              <w:pStyle w:val="TableContents"/>
              <w:bidi w:val="0"/>
              <w:spacing w:before="0" w:after="283"/>
              <w:jc w:val="right"/>
              <w:rPr/>
            </w:pPr>
            <w:hyperlink w:anchor="aaa_009">
              <w:r>
                <w:rPr>
                  <w:rStyle w:val="InternetLink"/>
                  <w:sz w:val="20"/>
                </w:rPr>
                <w:t>S-17</w:t>
              </w:r>
            </w:hyperlink>
          </w:p>
        </w:tc>
      </w:tr>
      <w:tr>
        <w:trPr/>
        <w:tc>
          <w:tcPr>
            <w:tcW w:w="9750" w:type="dxa"/>
            <w:tcBorders/>
            <w:shd w:fill="FFFFFF" w:val="clear"/>
            <w:vAlign w:val="center"/>
          </w:tcPr>
          <w:p>
            <w:pPr>
              <w:pStyle w:val="TableContents"/>
              <w:bidi w:val="0"/>
              <w:spacing w:before="0" w:after="283"/>
              <w:jc w:val="left"/>
              <w:rPr/>
            </w:pPr>
            <w:hyperlink w:anchor="aaa_010">
              <w:r>
                <w:rPr>
                  <w:rStyle w:val="InternetLink"/>
                  <w:rFonts w:ascii="Times New Roman;Times;Serif" w:hAnsi="Times New Roman;Times;Serif"/>
                  <w:b w:val="false"/>
                  <w:i w:val="false"/>
                  <w:caps w:val="false"/>
                  <w:smallCaps w:val="false"/>
                  <w:sz w:val="20"/>
                </w:rPr>
                <w:t>DESCRIPTION OF SECURITIES WE ARE OFFERING</w:t>
              </w:r>
            </w:hyperlink>
          </w:p>
        </w:tc>
        <w:tc>
          <w:tcPr>
            <w:tcW w:w="455" w:type="dxa"/>
            <w:tcBorders/>
            <w:shd w:fill="FFFFFF" w:val="clear"/>
            <w:vAlign w:val="center"/>
          </w:tcPr>
          <w:p>
            <w:pPr>
              <w:pStyle w:val="TableContents"/>
              <w:bidi w:val="0"/>
              <w:spacing w:before="0" w:after="283"/>
              <w:jc w:val="right"/>
              <w:rPr/>
            </w:pPr>
            <w:hyperlink w:anchor="aaa_010">
              <w:r>
                <w:rPr>
                  <w:rStyle w:val="InternetLink"/>
                  <w:sz w:val="20"/>
                </w:rPr>
                <w:t>S-19</w:t>
              </w:r>
            </w:hyperlink>
          </w:p>
        </w:tc>
      </w:tr>
      <w:tr>
        <w:trPr/>
        <w:tc>
          <w:tcPr>
            <w:tcW w:w="9750" w:type="dxa"/>
            <w:tcBorders/>
            <w:shd w:fill="CCEEFF" w:val="clear"/>
            <w:vAlign w:val="center"/>
          </w:tcPr>
          <w:p>
            <w:pPr>
              <w:pStyle w:val="TableContents"/>
              <w:bidi w:val="0"/>
              <w:spacing w:before="0" w:after="283"/>
              <w:jc w:val="left"/>
              <w:rPr/>
            </w:pPr>
            <w:hyperlink w:anchor="ve_001">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CCEEFF" w:val="clear"/>
            <w:vAlign w:val="center"/>
          </w:tcPr>
          <w:p>
            <w:pPr>
              <w:pStyle w:val="TableContents"/>
              <w:bidi w:val="0"/>
              <w:spacing w:before="0" w:after="283"/>
              <w:jc w:val="right"/>
              <w:rPr/>
            </w:pPr>
            <w:hyperlink w:anchor="ve_001">
              <w:r>
                <w:rPr>
                  <w:rStyle w:val="InternetLink"/>
                  <w:sz w:val="20"/>
                </w:rPr>
                <w:t>S-20</w:t>
              </w:r>
            </w:hyperlink>
          </w:p>
        </w:tc>
      </w:tr>
      <w:tr>
        <w:trPr/>
        <w:tc>
          <w:tcPr>
            <w:tcW w:w="9750" w:type="dxa"/>
            <w:tcBorders/>
            <w:shd w:fill="FFFFFF" w:val="clear"/>
            <w:vAlign w:val="center"/>
          </w:tcPr>
          <w:p>
            <w:pPr>
              <w:pStyle w:val="TableContents"/>
              <w:bidi w:val="0"/>
              <w:spacing w:before="0" w:after="283"/>
              <w:jc w:val="left"/>
              <w:rPr/>
            </w:pPr>
            <w:hyperlink w:anchor="aaa_011">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right"/>
              <w:rPr/>
            </w:pPr>
            <w:hyperlink w:anchor="aaa_011">
              <w:r>
                <w:rPr>
                  <w:rStyle w:val="InternetLink"/>
                  <w:sz w:val="20"/>
                </w:rPr>
                <w:t>S-21</w:t>
              </w:r>
            </w:hyperlink>
          </w:p>
        </w:tc>
      </w:tr>
      <w:tr>
        <w:trPr/>
        <w:tc>
          <w:tcPr>
            <w:tcW w:w="9750" w:type="dxa"/>
            <w:tcBorders/>
            <w:shd w:fill="CCEEFF" w:val="clear"/>
            <w:vAlign w:val="center"/>
          </w:tcPr>
          <w:p>
            <w:pPr>
              <w:pStyle w:val="TableContents"/>
              <w:bidi w:val="0"/>
              <w:spacing w:before="0" w:after="283"/>
              <w:jc w:val="left"/>
              <w:rPr/>
            </w:pPr>
            <w:hyperlink w:anchor="aaa_012">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right"/>
              <w:rPr/>
            </w:pPr>
            <w:hyperlink w:anchor="aaa_012">
              <w:r>
                <w:rPr>
                  <w:rStyle w:val="InternetLink"/>
                  <w:sz w:val="20"/>
                </w:rPr>
                <w:t>S-21</w:t>
              </w:r>
            </w:hyperlink>
          </w:p>
        </w:tc>
      </w:tr>
      <w:tr>
        <w:trPr/>
        <w:tc>
          <w:tcPr>
            <w:tcW w:w="9750" w:type="dxa"/>
            <w:tcBorders/>
            <w:shd w:fill="FFFFFF" w:val="clear"/>
            <w:vAlign w:val="center"/>
          </w:tcPr>
          <w:p>
            <w:pPr>
              <w:pStyle w:val="TableContents"/>
              <w:bidi w:val="0"/>
              <w:spacing w:before="0" w:after="283"/>
              <w:jc w:val="left"/>
              <w:rPr/>
            </w:pPr>
            <w:hyperlink w:anchor="aaa_013">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FFFFFF" w:val="clear"/>
            <w:vAlign w:val="center"/>
          </w:tcPr>
          <w:p>
            <w:pPr>
              <w:pStyle w:val="TableContents"/>
              <w:bidi w:val="0"/>
              <w:spacing w:before="0" w:after="283"/>
              <w:jc w:val="right"/>
              <w:rPr/>
            </w:pPr>
            <w:hyperlink w:anchor="aaa_013">
              <w:r>
                <w:rPr>
                  <w:rStyle w:val="InternetLink"/>
                  <w:sz w:val="20"/>
                </w:rPr>
                <w:t>S-21</w:t>
              </w:r>
            </w:hyperlink>
          </w:p>
        </w:tc>
      </w:tr>
      <w:tr>
        <w:trPr/>
        <w:tc>
          <w:tcPr>
            <w:tcW w:w="9750" w:type="dxa"/>
            <w:tcBorders/>
            <w:shd w:fill="CCEEFF" w:val="clear"/>
            <w:vAlign w:val="center"/>
          </w:tcPr>
          <w:p>
            <w:pPr>
              <w:pStyle w:val="TableContents"/>
              <w:bidi w:val="0"/>
              <w:spacing w:before="0" w:after="283"/>
              <w:jc w:val="left"/>
              <w:rPr/>
            </w:pPr>
            <w:hyperlink w:anchor="aaa_014">
              <w:r>
                <w:rPr>
                  <w:rStyle w:val="InternetLink"/>
                  <w:rFonts w:ascii="Times New Roman;Times;Serif" w:hAnsi="Times New Roman;Times;Serif"/>
                  <w:b w:val="false"/>
                  <w:i w:val="false"/>
                  <w:caps w:val="false"/>
                  <w:smallCaps w:val="false"/>
                  <w:sz w:val="20"/>
                </w:rPr>
                <w:t>ENFORCEABILITY OF CIVIL LIABILITIES AND SERVICE OF PROCESS</w:t>
              </w:r>
            </w:hyperlink>
          </w:p>
        </w:tc>
        <w:tc>
          <w:tcPr>
            <w:tcW w:w="455" w:type="dxa"/>
            <w:tcBorders/>
            <w:shd w:fill="CCEEFF" w:val="clear"/>
            <w:vAlign w:val="center"/>
          </w:tcPr>
          <w:p>
            <w:pPr>
              <w:pStyle w:val="TableContents"/>
              <w:bidi w:val="0"/>
              <w:spacing w:before="0" w:after="283"/>
              <w:jc w:val="right"/>
              <w:rPr/>
            </w:pPr>
            <w:hyperlink w:anchor="aaa_014">
              <w:r>
                <w:rPr>
                  <w:rStyle w:val="InternetLink"/>
                  <w:sz w:val="20"/>
                </w:rPr>
                <w:t>S-21</w:t>
              </w:r>
            </w:hyperlink>
          </w:p>
        </w:tc>
      </w:tr>
      <w:tr>
        <w:trPr/>
        <w:tc>
          <w:tcPr>
            <w:tcW w:w="9750" w:type="dxa"/>
            <w:tcBorders/>
            <w:shd w:fill="FFFFFF" w:val="clear"/>
            <w:vAlign w:val="center"/>
          </w:tcPr>
          <w:p>
            <w:pPr>
              <w:pStyle w:val="TableContents"/>
              <w:bidi w:val="0"/>
              <w:spacing w:before="0" w:after="283"/>
              <w:jc w:val="left"/>
              <w:rPr/>
            </w:pPr>
            <w:hyperlink w:anchor="aaa_015">
              <w:r>
                <w:rPr>
                  <w:rStyle w:val="InternetLink"/>
                  <w:rFonts w:ascii="Times New Roman;Times;Serif" w:hAnsi="Times New Roman;Times;Serif"/>
                  <w:b w:val="false"/>
                  <w:i w:val="false"/>
                  <w:caps w:val="false"/>
                  <w:smallCaps w:val="false"/>
                  <w:sz w:val="20"/>
                </w:rPr>
                <w:t>INCORPORATION OF CERTAIN INFORMATION BY REFERENCE</w:t>
              </w:r>
            </w:hyperlink>
          </w:p>
        </w:tc>
        <w:tc>
          <w:tcPr>
            <w:tcW w:w="455" w:type="dxa"/>
            <w:tcBorders/>
            <w:shd w:fill="FFFFFF" w:val="clear"/>
            <w:vAlign w:val="center"/>
          </w:tcPr>
          <w:p>
            <w:pPr>
              <w:pStyle w:val="TableContents"/>
              <w:bidi w:val="0"/>
              <w:spacing w:before="0" w:after="283"/>
              <w:jc w:val="right"/>
              <w:rPr/>
            </w:pPr>
            <w:hyperlink w:anchor="aaa_015">
              <w:r>
                <w:rPr>
                  <w:rStyle w:val="InternetLink"/>
                  <w:sz w:val="20"/>
                </w:rPr>
                <w:t>S-22</w:t>
              </w:r>
            </w:hyperlink>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8930"/>
        <w:gridCol w:w="455"/>
      </w:tblGrid>
      <w:tr>
        <w:trPr/>
        <w:tc>
          <w:tcPr>
            <w:tcW w:w="89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2022 PROSPECTUS</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8930" w:type="dxa"/>
            <w:tcBorders/>
            <w:shd w:fill="CCEEFF" w:val="clear"/>
            <w:vAlign w:val="center"/>
          </w:tcPr>
          <w:p>
            <w:pPr>
              <w:pStyle w:val="TableContents"/>
              <w:bidi w:val="0"/>
              <w:spacing w:before="0" w:after="283"/>
              <w:jc w:val="left"/>
              <w:rPr/>
            </w:pPr>
            <w:hyperlink w:anchor="m1">
              <w:r>
                <w:rPr>
                  <w:rStyle w:val="InternetLink"/>
                  <w:rFonts w:ascii="Times New Roman;Times;Serif" w:hAnsi="Times New Roman;Times;Serif"/>
                  <w:sz w:val="20"/>
                </w:rPr>
                <w:t>ABOUT THIS PROSPECTUS</w:t>
              </w:r>
            </w:hyperlink>
          </w:p>
        </w:tc>
        <w:tc>
          <w:tcPr>
            <w:tcW w:w="455" w:type="dxa"/>
            <w:tcBorders/>
            <w:shd w:fill="CCEEFF" w:val="clear"/>
            <w:vAlign w:val="center"/>
          </w:tcPr>
          <w:p>
            <w:pPr>
              <w:pStyle w:val="TableContents"/>
              <w:bidi w:val="0"/>
              <w:spacing w:before="0" w:after="283"/>
              <w:jc w:val="right"/>
              <w:rPr/>
            </w:pPr>
            <w:hyperlink w:anchor="m1">
              <w:r>
                <w:rPr>
                  <w:rStyle w:val="InternetLink"/>
                  <w:rFonts w:ascii="Times New Roman;Times;Serif" w:hAnsi="Times New Roman;Times;Serif"/>
                  <w:sz w:val="20"/>
                </w:rPr>
                <w:t>1</w:t>
              </w:r>
            </w:hyperlink>
          </w:p>
        </w:tc>
      </w:tr>
      <w:tr>
        <w:trPr/>
        <w:tc>
          <w:tcPr>
            <w:tcW w:w="8930" w:type="dxa"/>
            <w:tcBorders/>
            <w:shd w:fill="FFFFFF" w:val="clear"/>
            <w:vAlign w:val="center"/>
          </w:tcPr>
          <w:p>
            <w:pPr>
              <w:pStyle w:val="TableContents"/>
              <w:bidi w:val="0"/>
              <w:spacing w:before="0" w:after="283"/>
              <w:jc w:val="left"/>
              <w:rPr/>
            </w:pPr>
            <w:hyperlink w:anchor="m2">
              <w:r>
                <w:rPr>
                  <w:rStyle w:val="InternetLink"/>
                  <w:rFonts w:ascii="Times New Roman;Times;Serif" w:hAnsi="Times New Roman;Times;Serif"/>
                  <w:sz w:val="20"/>
                </w:rPr>
                <w:t>PROSPECTUS SUMMARY</w:t>
              </w:r>
            </w:hyperlink>
          </w:p>
        </w:tc>
        <w:tc>
          <w:tcPr>
            <w:tcW w:w="455" w:type="dxa"/>
            <w:tcBorders/>
            <w:shd w:fill="FFFFFF" w:val="clear"/>
            <w:vAlign w:val="center"/>
          </w:tcPr>
          <w:p>
            <w:pPr>
              <w:pStyle w:val="TableContents"/>
              <w:bidi w:val="0"/>
              <w:spacing w:before="0" w:after="283"/>
              <w:jc w:val="right"/>
              <w:rPr/>
            </w:pPr>
            <w:hyperlink w:anchor="m2">
              <w:r>
                <w:rPr>
                  <w:rStyle w:val="InternetLink"/>
                  <w:rFonts w:ascii="Times New Roman;Times;Serif" w:hAnsi="Times New Roman;Times;Serif"/>
                  <w:sz w:val="20"/>
                </w:rPr>
                <w:t>2</w:t>
              </w:r>
            </w:hyperlink>
          </w:p>
        </w:tc>
      </w:tr>
      <w:tr>
        <w:trPr/>
        <w:tc>
          <w:tcPr>
            <w:tcW w:w="8930" w:type="dxa"/>
            <w:tcBorders/>
            <w:shd w:fill="CCEEFF" w:val="clear"/>
            <w:vAlign w:val="center"/>
          </w:tcPr>
          <w:p>
            <w:pPr>
              <w:pStyle w:val="TableContents"/>
              <w:bidi w:val="0"/>
              <w:spacing w:before="0" w:after="283"/>
              <w:jc w:val="left"/>
              <w:rPr/>
            </w:pPr>
            <w:hyperlink w:anchor="m3">
              <w:r>
                <w:rPr>
                  <w:rStyle w:val="InternetLink"/>
                  <w:rFonts w:ascii="Times New Roman;Times;Serif" w:hAnsi="Times New Roman;Times;Serif"/>
                  <w:sz w:val="20"/>
                </w:rPr>
                <w:t>RISK FACTORS</w:t>
              </w:r>
            </w:hyperlink>
          </w:p>
        </w:tc>
        <w:tc>
          <w:tcPr>
            <w:tcW w:w="455" w:type="dxa"/>
            <w:tcBorders/>
            <w:shd w:fill="CCEEFF" w:val="clear"/>
            <w:vAlign w:val="center"/>
          </w:tcPr>
          <w:p>
            <w:pPr>
              <w:pStyle w:val="TableContents"/>
              <w:bidi w:val="0"/>
              <w:spacing w:before="0" w:after="283"/>
              <w:jc w:val="right"/>
              <w:rPr/>
            </w:pPr>
            <w:hyperlink w:anchor="m3">
              <w:r>
                <w:rPr>
                  <w:rStyle w:val="InternetLink"/>
                  <w:rFonts w:ascii="Times New Roman;Times;Serif" w:hAnsi="Times New Roman;Times;Serif"/>
                  <w:sz w:val="20"/>
                </w:rPr>
                <w:t>5</w:t>
              </w:r>
            </w:hyperlink>
          </w:p>
        </w:tc>
      </w:tr>
      <w:tr>
        <w:trPr/>
        <w:tc>
          <w:tcPr>
            <w:tcW w:w="8930" w:type="dxa"/>
            <w:tcBorders/>
            <w:shd w:fill="FFFFFF" w:val="clear"/>
            <w:vAlign w:val="center"/>
          </w:tcPr>
          <w:p>
            <w:pPr>
              <w:pStyle w:val="TableContents"/>
              <w:bidi w:val="0"/>
              <w:spacing w:before="0" w:after="283"/>
              <w:jc w:val="left"/>
              <w:rPr/>
            </w:pPr>
            <w:hyperlink w:anchor="m4">
              <w:r>
                <w:rPr>
                  <w:rStyle w:val="InternetLink"/>
                  <w:rFonts w:ascii="Times New Roman;Times;Serif" w:hAnsi="Times New Roman;Times;Serif"/>
                  <w:sz w:val="20"/>
                </w:rPr>
                <w:t>SPECIAL NOTE REGARDING FORWARD-LOOKING STATEMENTS</w:t>
              </w:r>
            </w:hyperlink>
          </w:p>
        </w:tc>
        <w:tc>
          <w:tcPr>
            <w:tcW w:w="455" w:type="dxa"/>
            <w:tcBorders/>
            <w:shd w:fill="FFFFFF" w:val="clear"/>
            <w:vAlign w:val="center"/>
          </w:tcPr>
          <w:p>
            <w:pPr>
              <w:pStyle w:val="TableContents"/>
              <w:bidi w:val="0"/>
              <w:spacing w:before="0" w:after="283"/>
              <w:jc w:val="right"/>
              <w:rPr/>
            </w:pPr>
            <w:hyperlink w:anchor="m4">
              <w:r>
                <w:rPr>
                  <w:rStyle w:val="InternetLink"/>
                  <w:rFonts w:ascii="Times New Roman;Times;Serif" w:hAnsi="Times New Roman;Times;Serif"/>
                  <w:sz w:val="20"/>
                </w:rPr>
                <w:t>6</w:t>
              </w:r>
            </w:hyperlink>
          </w:p>
        </w:tc>
      </w:tr>
      <w:tr>
        <w:trPr/>
        <w:tc>
          <w:tcPr>
            <w:tcW w:w="8930" w:type="dxa"/>
            <w:tcBorders/>
            <w:shd w:fill="CCEEFF" w:val="clear"/>
            <w:vAlign w:val="center"/>
          </w:tcPr>
          <w:p>
            <w:pPr>
              <w:pStyle w:val="TableContents"/>
              <w:bidi w:val="0"/>
              <w:spacing w:before="0" w:after="283"/>
              <w:jc w:val="left"/>
              <w:rPr/>
            </w:pPr>
            <w:hyperlink w:anchor="m5">
              <w:r>
                <w:rPr>
                  <w:rStyle w:val="InternetLink"/>
                  <w:rFonts w:ascii="Times New Roman;Times;Serif" w:hAnsi="Times New Roman;Times;Serif"/>
                  <w:sz w:val="20"/>
                </w:rPr>
                <w:t>USE OF PROCEEDS</w:t>
              </w:r>
            </w:hyperlink>
          </w:p>
        </w:tc>
        <w:tc>
          <w:tcPr>
            <w:tcW w:w="455" w:type="dxa"/>
            <w:tcBorders/>
            <w:shd w:fill="CCEEFF" w:val="clear"/>
            <w:vAlign w:val="center"/>
          </w:tcPr>
          <w:p>
            <w:pPr>
              <w:pStyle w:val="TableContents"/>
              <w:bidi w:val="0"/>
              <w:spacing w:before="0" w:after="283"/>
              <w:jc w:val="right"/>
              <w:rPr/>
            </w:pPr>
            <w:hyperlink w:anchor="m5">
              <w:r>
                <w:rPr>
                  <w:rStyle w:val="InternetLink"/>
                  <w:rFonts w:ascii="Times New Roman;Times;Serif" w:hAnsi="Times New Roman;Times;Serif"/>
                  <w:sz w:val="20"/>
                </w:rPr>
                <w:t>8</w:t>
              </w:r>
            </w:hyperlink>
          </w:p>
        </w:tc>
      </w:tr>
      <w:tr>
        <w:trPr/>
        <w:tc>
          <w:tcPr>
            <w:tcW w:w="8930" w:type="dxa"/>
            <w:tcBorders/>
            <w:shd w:fill="FFFFFF" w:val="clear"/>
            <w:vAlign w:val="center"/>
          </w:tcPr>
          <w:p>
            <w:pPr>
              <w:pStyle w:val="TableContents"/>
              <w:bidi w:val="0"/>
              <w:spacing w:before="0" w:after="283"/>
              <w:jc w:val="left"/>
              <w:rPr/>
            </w:pPr>
            <w:hyperlink w:anchor="B_002">
              <w:r>
                <w:rPr>
                  <w:rStyle w:val="InternetLink"/>
                  <w:rFonts w:ascii="Times New Roman;Times;Serif" w:hAnsi="Times New Roman;Times;Serif"/>
                  <w:sz w:val="20"/>
                </w:rPr>
                <w:t>SELLING SHAREHOLDERS</w:t>
              </w:r>
            </w:hyperlink>
          </w:p>
        </w:tc>
        <w:tc>
          <w:tcPr>
            <w:tcW w:w="455" w:type="dxa"/>
            <w:tcBorders/>
            <w:shd w:fill="FFFFFF" w:val="clear"/>
            <w:vAlign w:val="center"/>
          </w:tcPr>
          <w:p>
            <w:pPr>
              <w:pStyle w:val="TableContents"/>
              <w:bidi w:val="0"/>
              <w:spacing w:before="0" w:after="283"/>
              <w:jc w:val="right"/>
              <w:rPr/>
            </w:pPr>
            <w:hyperlink w:anchor="B_002">
              <w:r>
                <w:rPr>
                  <w:rStyle w:val="InternetLink"/>
                  <w:rFonts w:ascii="Times New Roman;Times;Serif" w:hAnsi="Times New Roman;Times;Serif"/>
                  <w:sz w:val="20"/>
                </w:rPr>
                <w:t>9</w:t>
              </w:r>
            </w:hyperlink>
          </w:p>
        </w:tc>
      </w:tr>
      <w:tr>
        <w:trPr/>
        <w:tc>
          <w:tcPr>
            <w:tcW w:w="8930" w:type="dxa"/>
            <w:tcBorders/>
            <w:shd w:fill="CCEEFF" w:val="clear"/>
            <w:vAlign w:val="center"/>
          </w:tcPr>
          <w:p>
            <w:pPr>
              <w:pStyle w:val="TableContents"/>
              <w:bidi w:val="0"/>
              <w:spacing w:before="0" w:after="283"/>
              <w:jc w:val="left"/>
              <w:rPr/>
            </w:pPr>
            <w:hyperlink w:anchor="m7">
              <w:r>
                <w:rPr>
                  <w:rStyle w:val="InternetLink"/>
                  <w:rFonts w:ascii="Times New Roman;Times;Serif" w:hAnsi="Times New Roman;Times;Serif"/>
                  <w:sz w:val="20"/>
                </w:rPr>
                <w:t>PLAN OF DISTRIBUTION</w:t>
              </w:r>
            </w:hyperlink>
          </w:p>
        </w:tc>
        <w:tc>
          <w:tcPr>
            <w:tcW w:w="455" w:type="dxa"/>
            <w:tcBorders/>
            <w:shd w:fill="CCEEFF" w:val="clear"/>
            <w:vAlign w:val="center"/>
          </w:tcPr>
          <w:p>
            <w:pPr>
              <w:pStyle w:val="TableContents"/>
              <w:bidi w:val="0"/>
              <w:spacing w:before="0" w:after="283"/>
              <w:jc w:val="right"/>
              <w:rPr/>
            </w:pPr>
            <w:hyperlink w:anchor="m7">
              <w:r>
                <w:rPr>
                  <w:rStyle w:val="InternetLink"/>
                  <w:rFonts w:ascii="Times New Roman;Times;Serif" w:hAnsi="Times New Roman;Times;Serif"/>
                  <w:sz w:val="20"/>
                </w:rPr>
                <w:t>12</w:t>
              </w:r>
            </w:hyperlink>
          </w:p>
        </w:tc>
      </w:tr>
      <w:tr>
        <w:trPr/>
        <w:tc>
          <w:tcPr>
            <w:tcW w:w="8930" w:type="dxa"/>
            <w:tcBorders/>
            <w:shd w:fill="FFFFFF" w:val="clear"/>
            <w:vAlign w:val="center"/>
          </w:tcPr>
          <w:p>
            <w:pPr>
              <w:pStyle w:val="TableContents"/>
              <w:bidi w:val="0"/>
              <w:spacing w:before="0" w:after="283"/>
              <w:jc w:val="left"/>
              <w:rPr/>
            </w:pPr>
            <w:hyperlink w:anchor="m8">
              <w:r>
                <w:rPr>
                  <w:rStyle w:val="InternetLink"/>
                  <w:rFonts w:ascii="Times New Roman;Times;Serif" w:hAnsi="Times New Roman;Times;Serif"/>
                  <w:sz w:val="20"/>
                </w:rPr>
                <w:t>DESCRIPTION OF COMMON SHARES AND SPECIAL SHARES</w:t>
              </w:r>
            </w:hyperlink>
          </w:p>
        </w:tc>
        <w:tc>
          <w:tcPr>
            <w:tcW w:w="455" w:type="dxa"/>
            <w:tcBorders/>
            <w:shd w:fill="FFFFFF" w:val="clear"/>
            <w:vAlign w:val="center"/>
          </w:tcPr>
          <w:p>
            <w:pPr>
              <w:pStyle w:val="TableContents"/>
              <w:bidi w:val="0"/>
              <w:spacing w:before="0" w:after="283"/>
              <w:jc w:val="right"/>
              <w:rPr/>
            </w:pPr>
            <w:hyperlink w:anchor="m8">
              <w:r>
                <w:rPr>
                  <w:rStyle w:val="InternetLink"/>
                  <w:rFonts w:ascii="Times New Roman;Times;Serif" w:hAnsi="Times New Roman;Times;Serif"/>
                  <w:sz w:val="20"/>
                </w:rPr>
                <w:t>16</w:t>
              </w:r>
            </w:hyperlink>
          </w:p>
        </w:tc>
      </w:tr>
      <w:tr>
        <w:trPr/>
        <w:tc>
          <w:tcPr>
            <w:tcW w:w="8930" w:type="dxa"/>
            <w:tcBorders/>
            <w:shd w:fill="CCEEFF" w:val="clear"/>
            <w:vAlign w:val="center"/>
          </w:tcPr>
          <w:p>
            <w:pPr>
              <w:pStyle w:val="TableContents"/>
              <w:bidi w:val="0"/>
              <w:spacing w:before="0" w:after="283"/>
              <w:jc w:val="left"/>
              <w:rPr/>
            </w:pPr>
            <w:hyperlink w:anchor="m9">
              <w:r>
                <w:rPr>
                  <w:rStyle w:val="InternetLink"/>
                  <w:rFonts w:ascii="Times New Roman;Times;Serif" w:hAnsi="Times New Roman;Times;Serif"/>
                  <w:sz w:val="20"/>
                </w:rPr>
                <w:t>DESCRIPTION OF PREFERRED SHARES</w:t>
              </w:r>
            </w:hyperlink>
          </w:p>
        </w:tc>
        <w:tc>
          <w:tcPr>
            <w:tcW w:w="455" w:type="dxa"/>
            <w:tcBorders/>
            <w:shd w:fill="CCEEFF" w:val="clear"/>
            <w:vAlign w:val="center"/>
          </w:tcPr>
          <w:p>
            <w:pPr>
              <w:pStyle w:val="TableContents"/>
              <w:bidi w:val="0"/>
              <w:spacing w:before="0" w:after="283"/>
              <w:jc w:val="right"/>
              <w:rPr/>
            </w:pPr>
            <w:hyperlink w:anchor="m9">
              <w:r>
                <w:rPr>
                  <w:rStyle w:val="InternetLink"/>
                  <w:rFonts w:ascii="Times New Roman;Times;Serif" w:hAnsi="Times New Roman;Times;Serif"/>
                  <w:sz w:val="20"/>
                </w:rPr>
                <w:t>19</w:t>
              </w:r>
            </w:hyperlink>
          </w:p>
        </w:tc>
      </w:tr>
      <w:tr>
        <w:trPr/>
        <w:tc>
          <w:tcPr>
            <w:tcW w:w="8930" w:type="dxa"/>
            <w:tcBorders/>
            <w:shd w:fill="FFFFFF" w:val="clear"/>
            <w:vAlign w:val="center"/>
          </w:tcPr>
          <w:p>
            <w:pPr>
              <w:pStyle w:val="TableContents"/>
              <w:bidi w:val="0"/>
              <w:spacing w:before="0" w:after="283"/>
              <w:jc w:val="left"/>
              <w:rPr/>
            </w:pPr>
            <w:hyperlink w:anchor="m10">
              <w:r>
                <w:rPr>
                  <w:rStyle w:val="InternetLink"/>
                  <w:rFonts w:ascii="Times New Roman;Times;Serif" w:hAnsi="Times New Roman;Times;Serif"/>
                  <w:sz w:val="20"/>
                </w:rPr>
                <w:t>DESCRIPTION OF DEBT SECURITIES</w:t>
              </w:r>
            </w:hyperlink>
          </w:p>
        </w:tc>
        <w:tc>
          <w:tcPr>
            <w:tcW w:w="455" w:type="dxa"/>
            <w:tcBorders/>
            <w:shd w:fill="FFFFFF" w:val="clear"/>
            <w:vAlign w:val="center"/>
          </w:tcPr>
          <w:p>
            <w:pPr>
              <w:pStyle w:val="TableContents"/>
              <w:bidi w:val="0"/>
              <w:spacing w:before="0" w:after="283"/>
              <w:jc w:val="right"/>
              <w:rPr/>
            </w:pPr>
            <w:hyperlink w:anchor="m10">
              <w:r>
                <w:rPr>
                  <w:rStyle w:val="InternetLink"/>
                  <w:rFonts w:ascii="Times New Roman;Times;Serif" w:hAnsi="Times New Roman;Times;Serif"/>
                  <w:sz w:val="20"/>
                </w:rPr>
                <w:t>20</w:t>
              </w:r>
            </w:hyperlink>
          </w:p>
        </w:tc>
      </w:tr>
      <w:tr>
        <w:trPr/>
        <w:tc>
          <w:tcPr>
            <w:tcW w:w="8930" w:type="dxa"/>
            <w:tcBorders/>
            <w:shd w:fill="CCEEFF" w:val="clear"/>
            <w:vAlign w:val="center"/>
          </w:tcPr>
          <w:p>
            <w:pPr>
              <w:pStyle w:val="TableContents"/>
              <w:bidi w:val="0"/>
              <w:spacing w:before="0" w:after="283"/>
              <w:jc w:val="left"/>
              <w:rPr/>
            </w:pPr>
            <w:hyperlink w:anchor="m11">
              <w:r>
                <w:rPr>
                  <w:rStyle w:val="InternetLink"/>
                  <w:rFonts w:ascii="Times New Roman;Times;Serif" w:hAnsi="Times New Roman;Times;Serif"/>
                  <w:sz w:val="20"/>
                </w:rPr>
                <w:t>DESCRIPTION OF WARRANTS</w:t>
              </w:r>
            </w:hyperlink>
          </w:p>
        </w:tc>
        <w:tc>
          <w:tcPr>
            <w:tcW w:w="455" w:type="dxa"/>
            <w:tcBorders/>
            <w:shd w:fill="CCEEFF" w:val="clear"/>
            <w:vAlign w:val="center"/>
          </w:tcPr>
          <w:p>
            <w:pPr>
              <w:pStyle w:val="TableContents"/>
              <w:bidi w:val="0"/>
              <w:spacing w:before="0" w:after="283"/>
              <w:jc w:val="right"/>
              <w:rPr/>
            </w:pPr>
            <w:hyperlink w:anchor="m11">
              <w:r>
                <w:rPr>
                  <w:rStyle w:val="InternetLink"/>
                  <w:rFonts w:ascii="Times New Roman;Times;Serif" w:hAnsi="Times New Roman;Times;Serif"/>
                  <w:sz w:val="20"/>
                </w:rPr>
                <w:t>26</w:t>
              </w:r>
            </w:hyperlink>
          </w:p>
        </w:tc>
      </w:tr>
      <w:tr>
        <w:trPr/>
        <w:tc>
          <w:tcPr>
            <w:tcW w:w="8930" w:type="dxa"/>
            <w:tcBorders/>
            <w:shd w:fill="FFFFFF" w:val="clear"/>
            <w:vAlign w:val="center"/>
          </w:tcPr>
          <w:p>
            <w:pPr>
              <w:pStyle w:val="TableContents"/>
              <w:bidi w:val="0"/>
              <w:spacing w:before="0" w:after="283"/>
              <w:jc w:val="left"/>
              <w:rPr/>
            </w:pPr>
            <w:hyperlink w:anchor="m12">
              <w:r>
                <w:rPr>
                  <w:rStyle w:val="InternetLink"/>
                  <w:rFonts w:ascii="Times New Roman;Times;Serif" w:hAnsi="Times New Roman;Times;Serif"/>
                  <w:sz w:val="20"/>
                </w:rPr>
                <w:t>DESCRIPTION OF UNITS</w:t>
              </w:r>
            </w:hyperlink>
          </w:p>
        </w:tc>
        <w:tc>
          <w:tcPr>
            <w:tcW w:w="455" w:type="dxa"/>
            <w:tcBorders/>
            <w:shd w:fill="FFFFFF" w:val="clear"/>
            <w:vAlign w:val="center"/>
          </w:tcPr>
          <w:p>
            <w:pPr>
              <w:pStyle w:val="TableContents"/>
              <w:bidi w:val="0"/>
              <w:spacing w:before="0" w:after="283"/>
              <w:jc w:val="right"/>
              <w:rPr/>
            </w:pPr>
            <w:hyperlink w:anchor="m12">
              <w:r>
                <w:rPr>
                  <w:rStyle w:val="InternetLink"/>
                  <w:rFonts w:ascii="Times New Roman;Times;Serif" w:hAnsi="Times New Roman;Times;Serif"/>
                  <w:sz w:val="20"/>
                </w:rPr>
                <w:t>31</w:t>
              </w:r>
            </w:hyperlink>
          </w:p>
        </w:tc>
      </w:tr>
      <w:tr>
        <w:trPr/>
        <w:tc>
          <w:tcPr>
            <w:tcW w:w="8930" w:type="dxa"/>
            <w:tcBorders/>
            <w:shd w:fill="CCEEFF" w:val="clear"/>
            <w:vAlign w:val="center"/>
          </w:tcPr>
          <w:p>
            <w:pPr>
              <w:pStyle w:val="TableContents"/>
              <w:bidi w:val="0"/>
              <w:spacing w:before="0" w:after="283"/>
              <w:jc w:val="left"/>
              <w:rPr/>
            </w:pPr>
            <w:hyperlink w:anchor="m13">
              <w:r>
                <w:rPr>
                  <w:rStyle w:val="InternetLink"/>
                  <w:rFonts w:ascii="Times New Roman;Times;Serif" w:hAnsi="Times New Roman;Times;Serif"/>
                  <w:sz w:val="20"/>
                </w:rPr>
                <w:t>CERTAIN IMPORTANT PROVISIONS OF THE NOTICE OF ARTICLES AND ARTICLES AND THE BCBCA</w:t>
              </w:r>
            </w:hyperlink>
          </w:p>
        </w:tc>
        <w:tc>
          <w:tcPr>
            <w:tcW w:w="455" w:type="dxa"/>
            <w:tcBorders/>
            <w:shd w:fill="CCEEFF" w:val="clear"/>
            <w:vAlign w:val="center"/>
          </w:tcPr>
          <w:p>
            <w:pPr>
              <w:pStyle w:val="TableContents"/>
              <w:bidi w:val="0"/>
              <w:spacing w:before="0" w:after="283"/>
              <w:jc w:val="right"/>
              <w:rPr/>
            </w:pPr>
            <w:hyperlink w:anchor="m13">
              <w:r>
                <w:rPr>
                  <w:rStyle w:val="InternetLink"/>
                  <w:rFonts w:ascii="Times New Roman;Times;Serif" w:hAnsi="Times New Roman;Times;Serif"/>
                  <w:sz w:val="20"/>
                </w:rPr>
                <w:t>32</w:t>
              </w:r>
            </w:hyperlink>
          </w:p>
        </w:tc>
      </w:tr>
      <w:tr>
        <w:trPr/>
        <w:tc>
          <w:tcPr>
            <w:tcW w:w="8930" w:type="dxa"/>
            <w:tcBorders/>
            <w:shd w:fill="FFFFFF" w:val="clear"/>
            <w:vAlign w:val="center"/>
          </w:tcPr>
          <w:p>
            <w:pPr>
              <w:pStyle w:val="TableContents"/>
              <w:bidi w:val="0"/>
              <w:spacing w:before="0" w:after="283"/>
              <w:jc w:val="left"/>
              <w:rPr/>
            </w:pPr>
            <w:hyperlink w:anchor="m14">
              <w:r>
                <w:rPr>
                  <w:rStyle w:val="InternetLink"/>
                  <w:rFonts w:ascii="Times New Roman;Times;Serif" w:hAnsi="Times New Roman;Times;Serif"/>
                  <w:sz w:val="20"/>
                </w:rPr>
                <w:t>OWNERSHIP AND EXCHANGE CONTROLS</w:t>
              </w:r>
            </w:hyperlink>
          </w:p>
        </w:tc>
        <w:tc>
          <w:tcPr>
            <w:tcW w:w="455" w:type="dxa"/>
            <w:tcBorders/>
            <w:shd w:fill="FFFFFF" w:val="clear"/>
            <w:vAlign w:val="center"/>
          </w:tcPr>
          <w:p>
            <w:pPr>
              <w:pStyle w:val="TableContents"/>
              <w:bidi w:val="0"/>
              <w:spacing w:before="0" w:after="283"/>
              <w:jc w:val="right"/>
              <w:rPr/>
            </w:pPr>
            <w:hyperlink w:anchor="m14">
              <w:r>
                <w:rPr>
                  <w:rStyle w:val="InternetLink"/>
                  <w:rFonts w:ascii="Times New Roman;Times;Serif" w:hAnsi="Times New Roman;Times;Serif"/>
                  <w:sz w:val="20"/>
                </w:rPr>
                <w:t>35</w:t>
              </w:r>
            </w:hyperlink>
          </w:p>
        </w:tc>
      </w:tr>
      <w:tr>
        <w:trPr/>
        <w:tc>
          <w:tcPr>
            <w:tcW w:w="8930" w:type="dxa"/>
            <w:tcBorders/>
            <w:shd w:fill="CCEEFF" w:val="clear"/>
            <w:vAlign w:val="center"/>
          </w:tcPr>
          <w:p>
            <w:pPr>
              <w:pStyle w:val="TableContents"/>
              <w:bidi w:val="0"/>
              <w:spacing w:before="0" w:after="283"/>
              <w:jc w:val="left"/>
              <w:rPr/>
            </w:pPr>
            <w:hyperlink w:anchor="m15">
              <w:r>
                <w:rPr>
                  <w:rStyle w:val="InternetLink"/>
                  <w:rFonts w:ascii="Times New Roman;Times;Serif" w:hAnsi="Times New Roman;Times;Serif"/>
                  <w:sz w:val="20"/>
                </w:rPr>
                <w:t>MATERIAL U.S. FEDERAL INCOME TAX CONSIDERATIONS</w:t>
              </w:r>
            </w:hyperlink>
          </w:p>
        </w:tc>
        <w:tc>
          <w:tcPr>
            <w:tcW w:w="455" w:type="dxa"/>
            <w:tcBorders/>
            <w:shd w:fill="CCEEFF" w:val="clear"/>
            <w:vAlign w:val="center"/>
          </w:tcPr>
          <w:p>
            <w:pPr>
              <w:pStyle w:val="TableContents"/>
              <w:bidi w:val="0"/>
              <w:spacing w:before="0" w:after="283"/>
              <w:jc w:val="right"/>
              <w:rPr/>
            </w:pPr>
            <w:hyperlink w:anchor="m15">
              <w:r>
                <w:rPr>
                  <w:rStyle w:val="InternetLink"/>
                  <w:rFonts w:ascii="Times New Roman;Times;Serif" w:hAnsi="Times New Roman;Times;Serif"/>
                  <w:sz w:val="20"/>
                </w:rPr>
                <w:t>37</w:t>
              </w:r>
            </w:hyperlink>
          </w:p>
        </w:tc>
      </w:tr>
      <w:tr>
        <w:trPr/>
        <w:tc>
          <w:tcPr>
            <w:tcW w:w="8930" w:type="dxa"/>
            <w:tcBorders/>
            <w:shd w:fill="FFFFFF" w:val="clear"/>
            <w:vAlign w:val="center"/>
          </w:tcPr>
          <w:p>
            <w:pPr>
              <w:pStyle w:val="TableContents"/>
              <w:bidi w:val="0"/>
              <w:spacing w:before="0" w:after="283"/>
              <w:jc w:val="left"/>
              <w:rPr/>
            </w:pPr>
            <w:hyperlink w:anchor="m16">
              <w:r>
                <w:rPr>
                  <w:rStyle w:val="InternetLink"/>
                  <w:rFonts w:ascii="Times New Roman;Times;Serif" w:hAnsi="Times New Roman;Times;Serif"/>
                  <w:sz w:val="20"/>
                </w:rPr>
                <w:t>MATERIAL CANADIAN FEDERAL INCOME TAX CONSIDERATIONS</w:t>
              </w:r>
            </w:hyperlink>
          </w:p>
        </w:tc>
        <w:tc>
          <w:tcPr>
            <w:tcW w:w="455" w:type="dxa"/>
            <w:tcBorders/>
            <w:shd w:fill="FFFFFF" w:val="clear"/>
            <w:vAlign w:val="center"/>
          </w:tcPr>
          <w:p>
            <w:pPr>
              <w:pStyle w:val="TableContents"/>
              <w:bidi w:val="0"/>
              <w:spacing w:before="0" w:after="283"/>
              <w:jc w:val="right"/>
              <w:rPr/>
            </w:pPr>
            <w:hyperlink w:anchor="m16">
              <w:r>
                <w:rPr>
                  <w:rStyle w:val="InternetLink"/>
                  <w:rFonts w:ascii="Times New Roman;Times;Serif" w:hAnsi="Times New Roman;Times;Serif"/>
                  <w:sz w:val="20"/>
                </w:rPr>
                <w:t>44</w:t>
              </w:r>
            </w:hyperlink>
          </w:p>
        </w:tc>
      </w:tr>
      <w:tr>
        <w:trPr/>
        <w:tc>
          <w:tcPr>
            <w:tcW w:w="8930" w:type="dxa"/>
            <w:tcBorders/>
            <w:shd w:fill="CCEEFF" w:val="clear"/>
            <w:vAlign w:val="center"/>
          </w:tcPr>
          <w:p>
            <w:pPr>
              <w:pStyle w:val="TableContents"/>
              <w:bidi w:val="0"/>
              <w:spacing w:before="0" w:after="283"/>
              <w:jc w:val="left"/>
              <w:rPr/>
            </w:pPr>
            <w:hyperlink w:anchor="m17">
              <w:r>
                <w:rPr>
                  <w:rStyle w:val="InternetLink"/>
                  <w:rFonts w:ascii="Times New Roman;Times;Serif" w:hAnsi="Times New Roman;Times;Serif"/>
                  <w:sz w:val="20"/>
                </w:rPr>
                <w:t>LEGAL MATTERS</w:t>
              </w:r>
            </w:hyperlink>
          </w:p>
        </w:tc>
        <w:tc>
          <w:tcPr>
            <w:tcW w:w="455" w:type="dxa"/>
            <w:tcBorders/>
            <w:shd w:fill="CCEEFF" w:val="clear"/>
            <w:vAlign w:val="center"/>
          </w:tcPr>
          <w:p>
            <w:pPr>
              <w:pStyle w:val="TableContents"/>
              <w:bidi w:val="0"/>
              <w:spacing w:before="0" w:after="283"/>
              <w:jc w:val="right"/>
              <w:rPr/>
            </w:pPr>
            <w:hyperlink w:anchor="m17">
              <w:r>
                <w:rPr>
                  <w:rStyle w:val="InternetLink"/>
                  <w:rFonts w:ascii="Times New Roman;Times;Serif" w:hAnsi="Times New Roman;Times;Serif"/>
                  <w:sz w:val="20"/>
                </w:rPr>
                <w:t>46</w:t>
              </w:r>
            </w:hyperlink>
          </w:p>
        </w:tc>
      </w:tr>
      <w:tr>
        <w:trPr/>
        <w:tc>
          <w:tcPr>
            <w:tcW w:w="8930" w:type="dxa"/>
            <w:tcBorders/>
            <w:shd w:fill="FFFFFF" w:val="clear"/>
            <w:vAlign w:val="center"/>
          </w:tcPr>
          <w:p>
            <w:pPr>
              <w:pStyle w:val="TableContents"/>
              <w:bidi w:val="0"/>
              <w:spacing w:before="0" w:after="283"/>
              <w:jc w:val="left"/>
              <w:rPr/>
            </w:pPr>
            <w:hyperlink w:anchor="m18">
              <w:r>
                <w:rPr>
                  <w:rStyle w:val="InternetLink"/>
                  <w:rFonts w:ascii="Times New Roman;Times;Serif" w:hAnsi="Times New Roman;Times;Serif"/>
                  <w:sz w:val="20"/>
                </w:rPr>
                <w:t>EXPERTS</w:t>
              </w:r>
            </w:hyperlink>
          </w:p>
        </w:tc>
        <w:tc>
          <w:tcPr>
            <w:tcW w:w="455" w:type="dxa"/>
            <w:tcBorders/>
            <w:shd w:fill="FFFFFF" w:val="clear"/>
            <w:vAlign w:val="center"/>
          </w:tcPr>
          <w:p>
            <w:pPr>
              <w:pStyle w:val="TableContents"/>
              <w:bidi w:val="0"/>
              <w:spacing w:before="0" w:after="283"/>
              <w:jc w:val="right"/>
              <w:rPr/>
            </w:pPr>
            <w:hyperlink w:anchor="m18">
              <w:r>
                <w:rPr>
                  <w:rStyle w:val="InternetLink"/>
                  <w:rFonts w:ascii="Times New Roman;Times;Serif" w:hAnsi="Times New Roman;Times;Serif"/>
                  <w:sz w:val="20"/>
                </w:rPr>
                <w:t>46</w:t>
              </w:r>
            </w:hyperlink>
          </w:p>
        </w:tc>
      </w:tr>
      <w:tr>
        <w:trPr/>
        <w:tc>
          <w:tcPr>
            <w:tcW w:w="8930" w:type="dxa"/>
            <w:tcBorders/>
            <w:shd w:fill="CCEEFF" w:val="clear"/>
            <w:vAlign w:val="center"/>
          </w:tcPr>
          <w:p>
            <w:pPr>
              <w:pStyle w:val="TableContents"/>
              <w:bidi w:val="0"/>
              <w:spacing w:before="0" w:after="283"/>
              <w:jc w:val="left"/>
              <w:rPr/>
            </w:pPr>
            <w:hyperlink w:anchor="m19">
              <w:r>
                <w:rPr>
                  <w:rStyle w:val="InternetLink"/>
                  <w:rFonts w:ascii="Times New Roman;Times;Serif" w:hAnsi="Times New Roman;Times;Serif"/>
                  <w:sz w:val="20"/>
                </w:rPr>
                <w:t>WHERE YOU CAN FIND MORE INFORMATION</w:t>
              </w:r>
            </w:hyperlink>
          </w:p>
        </w:tc>
        <w:tc>
          <w:tcPr>
            <w:tcW w:w="455" w:type="dxa"/>
            <w:tcBorders/>
            <w:shd w:fill="CCEEFF" w:val="clear"/>
            <w:vAlign w:val="center"/>
          </w:tcPr>
          <w:p>
            <w:pPr>
              <w:pStyle w:val="TableContents"/>
              <w:bidi w:val="0"/>
              <w:spacing w:before="0" w:after="283"/>
              <w:jc w:val="right"/>
              <w:rPr/>
            </w:pPr>
            <w:hyperlink w:anchor="m19">
              <w:r>
                <w:rPr>
                  <w:rStyle w:val="InternetLink"/>
                  <w:rFonts w:ascii="Times New Roman;Times;Serif" w:hAnsi="Times New Roman;Times;Serif"/>
                  <w:sz w:val="20"/>
                </w:rPr>
                <w:t>46</w:t>
              </w:r>
            </w:hyperlink>
          </w:p>
        </w:tc>
      </w:tr>
      <w:tr>
        <w:trPr/>
        <w:tc>
          <w:tcPr>
            <w:tcW w:w="8930" w:type="dxa"/>
            <w:tcBorders/>
            <w:shd w:fill="FFFFFF" w:val="clear"/>
            <w:vAlign w:val="center"/>
          </w:tcPr>
          <w:p>
            <w:pPr>
              <w:pStyle w:val="TableContents"/>
              <w:bidi w:val="0"/>
              <w:spacing w:before="0" w:after="283"/>
              <w:jc w:val="left"/>
              <w:rPr/>
            </w:pPr>
            <w:hyperlink w:anchor="m20">
              <w:r>
                <w:rPr>
                  <w:rStyle w:val="InternetLink"/>
                  <w:rFonts w:ascii="Times New Roman;Times;Serif" w:hAnsi="Times New Roman;Times;Serif"/>
                  <w:sz w:val="20"/>
                </w:rPr>
                <w:t>INCORPORATION OF DOCUMENTS BY REFERENCE</w:t>
              </w:r>
            </w:hyperlink>
          </w:p>
        </w:tc>
        <w:tc>
          <w:tcPr>
            <w:tcW w:w="455" w:type="dxa"/>
            <w:tcBorders/>
            <w:shd w:fill="FFFFFF" w:val="clear"/>
            <w:vAlign w:val="center"/>
          </w:tcPr>
          <w:p>
            <w:pPr>
              <w:pStyle w:val="TableContents"/>
              <w:bidi w:val="0"/>
              <w:spacing w:before="0" w:after="283"/>
              <w:jc w:val="right"/>
              <w:rPr/>
            </w:pPr>
            <w:hyperlink w:anchor="m20">
              <w:r>
                <w:rPr>
                  <w:rStyle w:val="InternetLink"/>
                  <w:rFonts w:ascii="Times New Roman;Times;Serif" w:hAnsi="Times New Roman;Times;Serif"/>
                  <w:sz w:val="20"/>
                </w:rPr>
                <w:t>46</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2023 PROSPECTUS</w:t>
            </w:r>
          </w:p>
        </w:tc>
        <w:tc>
          <w:tcPr>
            <w:tcW w:w="45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975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455" w:type="dxa"/>
            <w:tcBorders/>
            <w:shd w:fill="CCEEFF" w:val="clear"/>
            <w:vAlign w:val="center"/>
          </w:tcPr>
          <w:p>
            <w:pPr>
              <w:pStyle w:val="TableContents"/>
              <w:bidi w:val="0"/>
              <w:spacing w:before="0" w:after="283"/>
              <w:jc w:val="right"/>
              <w:rPr/>
            </w:pPr>
            <w:hyperlink w:anchor="a_001">
              <w:r>
                <w:rPr>
                  <w:rStyle w:val="InternetLink"/>
                </w:rPr>
                <w:t>1</w:t>
              </w:r>
            </w:hyperlink>
          </w:p>
        </w:tc>
      </w:tr>
      <w:tr>
        <w:trPr/>
        <w:tc>
          <w:tcPr>
            <w:tcW w:w="9750" w:type="dxa"/>
            <w:tcBorders/>
            <w:shd w:fill="FFFFFF" w:val="clear"/>
            <w:vAlign w:val="center"/>
          </w:tcPr>
          <w:p>
            <w:pPr>
              <w:pStyle w:val="TableContents"/>
              <w:bidi w:val="0"/>
              <w:spacing w:before="0" w:after="283"/>
              <w:jc w:val="left"/>
              <w:rPr/>
            </w:pPr>
            <w:hyperlink w:anchor="a_002">
              <w:r>
                <w:rPr>
                  <w:rStyle w:val="InternetLink"/>
                </w:rPr>
                <w:t>PROSPECTUS SUMMARY</w:t>
              </w:r>
            </w:hyperlink>
          </w:p>
        </w:tc>
        <w:tc>
          <w:tcPr>
            <w:tcW w:w="455" w:type="dxa"/>
            <w:tcBorders/>
            <w:shd w:fill="FFFFFF" w:val="clear"/>
            <w:vAlign w:val="center"/>
          </w:tcPr>
          <w:p>
            <w:pPr>
              <w:pStyle w:val="TableContents"/>
              <w:bidi w:val="0"/>
              <w:spacing w:before="0" w:after="283"/>
              <w:jc w:val="right"/>
              <w:rPr/>
            </w:pPr>
            <w:hyperlink w:anchor="a_002">
              <w:r>
                <w:rPr>
                  <w:rStyle w:val="InternetLink"/>
                </w:rPr>
                <w:t>2</w:t>
              </w:r>
            </w:hyperlink>
          </w:p>
        </w:tc>
      </w:tr>
      <w:tr>
        <w:trPr/>
        <w:tc>
          <w:tcPr>
            <w:tcW w:w="9750" w:type="dxa"/>
            <w:tcBorders/>
            <w:shd w:fill="CCEEFF" w:val="clear"/>
            <w:vAlign w:val="center"/>
          </w:tcPr>
          <w:p>
            <w:pPr>
              <w:pStyle w:val="TableContents"/>
              <w:bidi w:val="0"/>
              <w:spacing w:before="0" w:after="283"/>
              <w:jc w:val="left"/>
              <w:rPr/>
            </w:pPr>
            <w:hyperlink w:anchor="a_003">
              <w:r>
                <w:rPr>
                  <w:rStyle w:val="InternetLink"/>
                </w:rPr>
                <w:t>RISK FACTORS</w:t>
              </w:r>
            </w:hyperlink>
          </w:p>
        </w:tc>
        <w:tc>
          <w:tcPr>
            <w:tcW w:w="455" w:type="dxa"/>
            <w:tcBorders/>
            <w:shd w:fill="CCEEFF" w:val="clear"/>
            <w:vAlign w:val="center"/>
          </w:tcPr>
          <w:p>
            <w:pPr>
              <w:pStyle w:val="TableContents"/>
              <w:bidi w:val="0"/>
              <w:spacing w:before="0" w:after="283"/>
              <w:jc w:val="right"/>
              <w:rPr/>
            </w:pPr>
            <w:hyperlink w:anchor="a_003">
              <w:r>
                <w:rPr>
                  <w:rStyle w:val="InternetLink"/>
                </w:rPr>
                <w:t>5</w:t>
              </w:r>
            </w:hyperlink>
          </w:p>
        </w:tc>
      </w:tr>
      <w:tr>
        <w:trPr/>
        <w:tc>
          <w:tcPr>
            <w:tcW w:w="9750" w:type="dxa"/>
            <w:tcBorders/>
            <w:shd w:fill="FFFFFF" w:val="clear"/>
            <w:vAlign w:val="center"/>
          </w:tcPr>
          <w:p>
            <w:pPr>
              <w:pStyle w:val="TableContents"/>
              <w:bidi w:val="0"/>
              <w:spacing w:before="0" w:after="283"/>
              <w:jc w:val="left"/>
              <w:rPr/>
            </w:pPr>
            <w:hyperlink w:anchor="a_004">
              <w:r>
                <w:rPr>
                  <w:rStyle w:val="InternetLink"/>
                </w:rPr>
                <w:t>SPECIAL NOTE REGARDING FORWARD-LOOKING STATEMENTS</w:t>
              </w:r>
            </w:hyperlink>
          </w:p>
        </w:tc>
        <w:tc>
          <w:tcPr>
            <w:tcW w:w="455" w:type="dxa"/>
            <w:tcBorders/>
            <w:shd w:fill="FFFFFF" w:val="clear"/>
            <w:vAlign w:val="center"/>
          </w:tcPr>
          <w:p>
            <w:pPr>
              <w:pStyle w:val="TableContents"/>
              <w:bidi w:val="0"/>
              <w:spacing w:before="0" w:after="283"/>
              <w:jc w:val="right"/>
              <w:rPr/>
            </w:pPr>
            <w:hyperlink w:anchor="a_004">
              <w:r>
                <w:rPr>
                  <w:rStyle w:val="InternetLink"/>
                </w:rPr>
                <w:t>6</w:t>
              </w:r>
            </w:hyperlink>
          </w:p>
        </w:tc>
      </w:tr>
      <w:tr>
        <w:trPr/>
        <w:tc>
          <w:tcPr>
            <w:tcW w:w="9750" w:type="dxa"/>
            <w:tcBorders/>
            <w:shd w:fill="CCEEFF" w:val="clear"/>
            <w:vAlign w:val="center"/>
          </w:tcPr>
          <w:p>
            <w:pPr>
              <w:pStyle w:val="TableContents"/>
              <w:bidi w:val="0"/>
              <w:spacing w:before="0" w:after="283"/>
              <w:jc w:val="left"/>
              <w:rPr/>
            </w:pPr>
            <w:hyperlink w:anchor="a_005">
              <w:r>
                <w:rPr>
                  <w:rStyle w:val="InternetLink"/>
                </w:rPr>
                <w:t>USE OF PROCEEDS</w:t>
              </w:r>
            </w:hyperlink>
          </w:p>
        </w:tc>
        <w:tc>
          <w:tcPr>
            <w:tcW w:w="455" w:type="dxa"/>
            <w:tcBorders/>
            <w:shd w:fill="CCEEFF" w:val="clear"/>
            <w:vAlign w:val="center"/>
          </w:tcPr>
          <w:p>
            <w:pPr>
              <w:pStyle w:val="TableContents"/>
              <w:bidi w:val="0"/>
              <w:spacing w:before="0" w:after="283"/>
              <w:jc w:val="right"/>
              <w:rPr/>
            </w:pPr>
            <w:hyperlink w:anchor="a_005">
              <w:r>
                <w:rPr>
                  <w:rStyle w:val="InternetLink"/>
                </w:rPr>
                <w:t>8</w:t>
              </w:r>
            </w:hyperlink>
          </w:p>
        </w:tc>
      </w:tr>
      <w:tr>
        <w:trPr/>
        <w:tc>
          <w:tcPr>
            <w:tcW w:w="9750" w:type="dxa"/>
            <w:tcBorders/>
            <w:shd w:fill="FFFFFF" w:val="clear"/>
            <w:vAlign w:val="center"/>
          </w:tcPr>
          <w:p>
            <w:pPr>
              <w:pStyle w:val="TableContents"/>
              <w:bidi w:val="0"/>
              <w:spacing w:before="0" w:after="283"/>
              <w:jc w:val="left"/>
              <w:rPr/>
            </w:pPr>
            <w:hyperlink w:anchor="a_006">
              <w:r>
                <w:rPr>
                  <w:rStyle w:val="InternetLink"/>
                </w:rPr>
                <w:t>PLAN OF DISTRIBUTION</w:t>
              </w:r>
            </w:hyperlink>
          </w:p>
        </w:tc>
        <w:tc>
          <w:tcPr>
            <w:tcW w:w="455" w:type="dxa"/>
            <w:tcBorders/>
            <w:shd w:fill="FFFFFF" w:val="clear"/>
            <w:vAlign w:val="center"/>
          </w:tcPr>
          <w:p>
            <w:pPr>
              <w:pStyle w:val="TableContents"/>
              <w:bidi w:val="0"/>
              <w:spacing w:before="0" w:after="283"/>
              <w:jc w:val="right"/>
              <w:rPr/>
            </w:pPr>
            <w:hyperlink w:anchor="a_006">
              <w:r>
                <w:rPr>
                  <w:rStyle w:val="InternetLink"/>
                </w:rPr>
                <w:t>9</w:t>
              </w:r>
            </w:hyperlink>
          </w:p>
        </w:tc>
      </w:tr>
      <w:tr>
        <w:trPr/>
        <w:tc>
          <w:tcPr>
            <w:tcW w:w="9750" w:type="dxa"/>
            <w:tcBorders/>
            <w:shd w:fill="CCEEFF" w:val="clear"/>
            <w:vAlign w:val="center"/>
          </w:tcPr>
          <w:p>
            <w:pPr>
              <w:pStyle w:val="TableContents"/>
              <w:bidi w:val="0"/>
              <w:spacing w:before="0" w:after="283"/>
              <w:jc w:val="left"/>
              <w:rPr/>
            </w:pPr>
            <w:hyperlink w:anchor="a_007">
              <w:r>
                <w:rPr>
                  <w:rStyle w:val="InternetLink"/>
                </w:rPr>
                <w:t>DESCRIPTION OF COMMON SHARES AND SPECIAL SHARES</w:t>
              </w:r>
            </w:hyperlink>
          </w:p>
        </w:tc>
        <w:tc>
          <w:tcPr>
            <w:tcW w:w="455" w:type="dxa"/>
            <w:tcBorders/>
            <w:shd w:fill="CCEEFF" w:val="clear"/>
            <w:vAlign w:val="center"/>
          </w:tcPr>
          <w:p>
            <w:pPr>
              <w:pStyle w:val="TableContents"/>
              <w:bidi w:val="0"/>
              <w:spacing w:before="0" w:after="283"/>
              <w:jc w:val="right"/>
              <w:rPr/>
            </w:pPr>
            <w:hyperlink w:anchor="a_007">
              <w:r>
                <w:rPr>
                  <w:rStyle w:val="InternetLink"/>
                </w:rPr>
                <w:t>12</w:t>
              </w:r>
            </w:hyperlink>
          </w:p>
        </w:tc>
      </w:tr>
      <w:tr>
        <w:trPr/>
        <w:tc>
          <w:tcPr>
            <w:tcW w:w="9750" w:type="dxa"/>
            <w:tcBorders/>
            <w:shd w:fill="FFFFFF" w:val="clear"/>
            <w:vAlign w:val="center"/>
          </w:tcPr>
          <w:p>
            <w:pPr>
              <w:pStyle w:val="TableContents"/>
              <w:bidi w:val="0"/>
              <w:spacing w:before="0" w:after="283"/>
              <w:jc w:val="left"/>
              <w:rPr/>
            </w:pPr>
            <w:hyperlink w:anchor="a_008">
              <w:r>
                <w:rPr>
                  <w:rStyle w:val="InternetLink"/>
                </w:rPr>
                <w:t>DESCRIPTION OF PREFERRED SHARES</w:t>
              </w:r>
            </w:hyperlink>
          </w:p>
        </w:tc>
        <w:tc>
          <w:tcPr>
            <w:tcW w:w="455" w:type="dxa"/>
            <w:tcBorders/>
            <w:shd w:fill="FFFFFF" w:val="clear"/>
            <w:vAlign w:val="center"/>
          </w:tcPr>
          <w:p>
            <w:pPr>
              <w:pStyle w:val="TableContents"/>
              <w:bidi w:val="0"/>
              <w:spacing w:before="0" w:after="283"/>
              <w:jc w:val="right"/>
              <w:rPr/>
            </w:pPr>
            <w:hyperlink w:anchor="a_008">
              <w:r>
                <w:rPr>
                  <w:rStyle w:val="InternetLink"/>
                </w:rPr>
                <w:t>15</w:t>
              </w:r>
            </w:hyperlink>
          </w:p>
        </w:tc>
      </w:tr>
      <w:tr>
        <w:trPr/>
        <w:tc>
          <w:tcPr>
            <w:tcW w:w="9750" w:type="dxa"/>
            <w:tcBorders/>
            <w:shd w:fill="CCEEFF" w:val="clear"/>
            <w:vAlign w:val="center"/>
          </w:tcPr>
          <w:p>
            <w:pPr>
              <w:pStyle w:val="TableContents"/>
              <w:bidi w:val="0"/>
              <w:spacing w:before="0" w:after="283"/>
              <w:jc w:val="left"/>
              <w:rPr/>
            </w:pPr>
            <w:hyperlink w:anchor="a_009">
              <w:r>
                <w:rPr>
                  <w:rStyle w:val="InternetLink"/>
                </w:rPr>
                <w:t>DESCRIPTION OF DEBT SECURITIES</w:t>
              </w:r>
            </w:hyperlink>
          </w:p>
        </w:tc>
        <w:tc>
          <w:tcPr>
            <w:tcW w:w="455" w:type="dxa"/>
            <w:tcBorders/>
            <w:shd w:fill="CCEEFF" w:val="clear"/>
            <w:vAlign w:val="center"/>
          </w:tcPr>
          <w:p>
            <w:pPr>
              <w:pStyle w:val="TableContents"/>
              <w:bidi w:val="0"/>
              <w:spacing w:before="0" w:after="283"/>
              <w:jc w:val="right"/>
              <w:rPr/>
            </w:pPr>
            <w:hyperlink w:anchor="a_009">
              <w:r>
                <w:rPr>
                  <w:rStyle w:val="InternetLink"/>
                </w:rPr>
                <w:t>16</w:t>
              </w:r>
            </w:hyperlink>
          </w:p>
        </w:tc>
      </w:tr>
      <w:tr>
        <w:trPr/>
        <w:tc>
          <w:tcPr>
            <w:tcW w:w="9750" w:type="dxa"/>
            <w:tcBorders/>
            <w:shd w:fill="FFFFFF" w:val="clear"/>
            <w:vAlign w:val="center"/>
          </w:tcPr>
          <w:p>
            <w:pPr>
              <w:pStyle w:val="TableContents"/>
              <w:bidi w:val="0"/>
              <w:spacing w:before="0" w:after="283"/>
              <w:jc w:val="left"/>
              <w:rPr/>
            </w:pPr>
            <w:hyperlink w:anchor="a_010">
              <w:r>
                <w:rPr>
                  <w:rStyle w:val="InternetLink"/>
                </w:rPr>
                <w:t>DESCRIPTION OF WARRANTS</w:t>
              </w:r>
            </w:hyperlink>
          </w:p>
        </w:tc>
        <w:tc>
          <w:tcPr>
            <w:tcW w:w="455" w:type="dxa"/>
            <w:tcBorders/>
            <w:shd w:fill="FFFFFF" w:val="clear"/>
            <w:vAlign w:val="center"/>
          </w:tcPr>
          <w:p>
            <w:pPr>
              <w:pStyle w:val="TableContents"/>
              <w:bidi w:val="0"/>
              <w:spacing w:before="0" w:after="283"/>
              <w:jc w:val="right"/>
              <w:rPr/>
            </w:pPr>
            <w:hyperlink w:anchor="a_010">
              <w:r>
                <w:rPr>
                  <w:rStyle w:val="InternetLink"/>
                </w:rPr>
                <w:t>22</w:t>
              </w:r>
            </w:hyperlink>
          </w:p>
        </w:tc>
      </w:tr>
      <w:tr>
        <w:trPr/>
        <w:tc>
          <w:tcPr>
            <w:tcW w:w="9750" w:type="dxa"/>
            <w:tcBorders/>
            <w:shd w:fill="CCEEFF" w:val="clear"/>
            <w:vAlign w:val="center"/>
          </w:tcPr>
          <w:p>
            <w:pPr>
              <w:pStyle w:val="TableContents"/>
              <w:bidi w:val="0"/>
              <w:spacing w:before="0" w:after="283"/>
              <w:jc w:val="left"/>
              <w:rPr/>
            </w:pPr>
            <w:hyperlink w:anchor="a_011">
              <w:r>
                <w:rPr>
                  <w:rStyle w:val="InternetLink"/>
                </w:rPr>
                <w:t>DESCRIPTION OF UNITS</w:t>
              </w:r>
            </w:hyperlink>
          </w:p>
        </w:tc>
        <w:tc>
          <w:tcPr>
            <w:tcW w:w="455" w:type="dxa"/>
            <w:tcBorders/>
            <w:shd w:fill="CCEEFF" w:val="clear"/>
            <w:vAlign w:val="center"/>
          </w:tcPr>
          <w:p>
            <w:pPr>
              <w:pStyle w:val="TableContents"/>
              <w:bidi w:val="0"/>
              <w:spacing w:before="0" w:after="283"/>
              <w:jc w:val="right"/>
              <w:rPr/>
            </w:pPr>
            <w:hyperlink w:anchor="a_011">
              <w:r>
                <w:rPr>
                  <w:rStyle w:val="InternetLink"/>
                </w:rPr>
                <w:t>29</w:t>
              </w:r>
            </w:hyperlink>
          </w:p>
        </w:tc>
      </w:tr>
      <w:tr>
        <w:trPr/>
        <w:tc>
          <w:tcPr>
            <w:tcW w:w="9750" w:type="dxa"/>
            <w:tcBorders/>
            <w:shd w:fill="FFFFFF" w:val="clear"/>
            <w:vAlign w:val="center"/>
          </w:tcPr>
          <w:p>
            <w:pPr>
              <w:pStyle w:val="TableContents"/>
              <w:bidi w:val="0"/>
              <w:spacing w:before="0" w:after="283"/>
              <w:jc w:val="left"/>
              <w:rPr/>
            </w:pPr>
            <w:hyperlink w:anchor="a_012">
              <w:r>
                <w:rPr>
                  <w:rStyle w:val="InternetLink"/>
                </w:rPr>
                <w:t>CERTAIN IMPORTANT PROVISIONS OF THE NOTICE OF ARTICLES AND ARTICLES AND THE BCBCA</w:t>
              </w:r>
            </w:hyperlink>
          </w:p>
        </w:tc>
        <w:tc>
          <w:tcPr>
            <w:tcW w:w="455" w:type="dxa"/>
            <w:tcBorders/>
            <w:shd w:fill="FFFFFF" w:val="clear"/>
            <w:vAlign w:val="center"/>
          </w:tcPr>
          <w:p>
            <w:pPr>
              <w:pStyle w:val="TableContents"/>
              <w:bidi w:val="0"/>
              <w:spacing w:before="0" w:after="283"/>
              <w:jc w:val="right"/>
              <w:rPr/>
            </w:pPr>
            <w:hyperlink w:anchor="a_012">
              <w:r>
                <w:rPr>
                  <w:rStyle w:val="InternetLink"/>
                </w:rPr>
                <w:t>30</w:t>
              </w:r>
            </w:hyperlink>
          </w:p>
        </w:tc>
      </w:tr>
      <w:tr>
        <w:trPr/>
        <w:tc>
          <w:tcPr>
            <w:tcW w:w="9750" w:type="dxa"/>
            <w:tcBorders/>
            <w:shd w:fill="CCEEFF" w:val="clear"/>
            <w:vAlign w:val="center"/>
          </w:tcPr>
          <w:p>
            <w:pPr>
              <w:pStyle w:val="TableContents"/>
              <w:bidi w:val="0"/>
              <w:spacing w:before="0" w:after="283"/>
              <w:jc w:val="left"/>
              <w:rPr/>
            </w:pPr>
            <w:hyperlink w:anchor="a_013">
              <w:r>
                <w:rPr>
                  <w:rStyle w:val="InternetLink"/>
                </w:rPr>
                <w:t>OWNERSHIP AND EXCHANGE CONTROLS</w:t>
              </w:r>
            </w:hyperlink>
          </w:p>
        </w:tc>
        <w:tc>
          <w:tcPr>
            <w:tcW w:w="455" w:type="dxa"/>
            <w:tcBorders/>
            <w:shd w:fill="CCEEFF" w:val="clear"/>
            <w:vAlign w:val="center"/>
          </w:tcPr>
          <w:p>
            <w:pPr>
              <w:pStyle w:val="TableContents"/>
              <w:bidi w:val="0"/>
              <w:spacing w:before="0" w:after="283"/>
              <w:jc w:val="right"/>
              <w:rPr/>
            </w:pPr>
            <w:hyperlink w:anchor="a_013">
              <w:r>
                <w:rPr>
                  <w:rStyle w:val="InternetLink"/>
                </w:rPr>
                <w:t>33</w:t>
              </w:r>
            </w:hyperlink>
          </w:p>
        </w:tc>
      </w:tr>
      <w:tr>
        <w:trPr/>
        <w:tc>
          <w:tcPr>
            <w:tcW w:w="9750" w:type="dxa"/>
            <w:tcBorders/>
            <w:shd w:fill="FFFFFF" w:val="clear"/>
            <w:vAlign w:val="center"/>
          </w:tcPr>
          <w:p>
            <w:pPr>
              <w:pStyle w:val="TableContents"/>
              <w:bidi w:val="0"/>
              <w:spacing w:before="0" w:after="283"/>
              <w:jc w:val="left"/>
              <w:rPr/>
            </w:pPr>
            <w:hyperlink w:anchor="a_014">
              <w:r>
                <w:rPr>
                  <w:rStyle w:val="InternetLink"/>
                </w:rPr>
                <w:t>MATERIAL U.S. FEDERAL INCOME TAX CONSIDERATIONS</w:t>
              </w:r>
            </w:hyperlink>
          </w:p>
        </w:tc>
        <w:tc>
          <w:tcPr>
            <w:tcW w:w="455" w:type="dxa"/>
            <w:tcBorders/>
            <w:shd w:fill="FFFFFF" w:val="clear"/>
            <w:vAlign w:val="center"/>
          </w:tcPr>
          <w:p>
            <w:pPr>
              <w:pStyle w:val="TableContents"/>
              <w:bidi w:val="0"/>
              <w:spacing w:before="0" w:after="283"/>
              <w:jc w:val="right"/>
              <w:rPr/>
            </w:pPr>
            <w:hyperlink w:anchor="a_014">
              <w:r>
                <w:rPr>
                  <w:rStyle w:val="InternetLink"/>
                </w:rPr>
                <w:t>35</w:t>
              </w:r>
            </w:hyperlink>
          </w:p>
        </w:tc>
      </w:tr>
      <w:tr>
        <w:trPr/>
        <w:tc>
          <w:tcPr>
            <w:tcW w:w="9750" w:type="dxa"/>
            <w:tcBorders/>
            <w:shd w:fill="CCEEFF" w:val="clear"/>
            <w:vAlign w:val="center"/>
          </w:tcPr>
          <w:p>
            <w:pPr>
              <w:pStyle w:val="TableContents"/>
              <w:bidi w:val="0"/>
              <w:spacing w:before="0" w:after="283"/>
              <w:jc w:val="left"/>
              <w:rPr/>
            </w:pPr>
            <w:hyperlink w:anchor="a_015">
              <w:r>
                <w:rPr>
                  <w:rStyle w:val="InternetLink"/>
                </w:rPr>
                <w:t>MATERIAL CANADIAN FEDERAL INCOME TAX CONSIDERATIONS</w:t>
              </w:r>
            </w:hyperlink>
          </w:p>
        </w:tc>
        <w:tc>
          <w:tcPr>
            <w:tcW w:w="455" w:type="dxa"/>
            <w:tcBorders/>
            <w:shd w:fill="CCEEFF" w:val="clear"/>
            <w:vAlign w:val="center"/>
          </w:tcPr>
          <w:p>
            <w:pPr>
              <w:pStyle w:val="TableContents"/>
              <w:bidi w:val="0"/>
              <w:spacing w:before="0" w:after="283"/>
              <w:jc w:val="right"/>
              <w:rPr/>
            </w:pPr>
            <w:hyperlink w:anchor="a_015">
              <w:r>
                <w:rPr>
                  <w:rStyle w:val="InternetLink"/>
                </w:rPr>
                <w:t>42</w:t>
              </w:r>
            </w:hyperlink>
          </w:p>
        </w:tc>
      </w:tr>
      <w:tr>
        <w:trPr/>
        <w:tc>
          <w:tcPr>
            <w:tcW w:w="9750" w:type="dxa"/>
            <w:tcBorders/>
            <w:shd w:fill="FFFFFF" w:val="clear"/>
            <w:vAlign w:val="center"/>
          </w:tcPr>
          <w:p>
            <w:pPr>
              <w:pStyle w:val="TableContents"/>
              <w:bidi w:val="0"/>
              <w:spacing w:before="0" w:after="283"/>
              <w:jc w:val="left"/>
              <w:rPr/>
            </w:pPr>
            <w:hyperlink w:anchor="a_016">
              <w:r>
                <w:rPr>
                  <w:rStyle w:val="InternetLink"/>
                </w:rPr>
                <w:t>LEGAL MATTERS</w:t>
              </w:r>
            </w:hyperlink>
          </w:p>
        </w:tc>
        <w:tc>
          <w:tcPr>
            <w:tcW w:w="455" w:type="dxa"/>
            <w:tcBorders/>
            <w:shd w:fill="FFFFFF" w:val="clear"/>
            <w:vAlign w:val="center"/>
          </w:tcPr>
          <w:p>
            <w:pPr>
              <w:pStyle w:val="TableContents"/>
              <w:bidi w:val="0"/>
              <w:spacing w:before="0" w:after="283"/>
              <w:jc w:val="right"/>
              <w:rPr/>
            </w:pPr>
            <w:hyperlink w:anchor="a_016">
              <w:r>
                <w:rPr>
                  <w:rStyle w:val="InternetLink"/>
                </w:rPr>
                <w:t>44</w:t>
              </w:r>
            </w:hyperlink>
          </w:p>
        </w:tc>
      </w:tr>
      <w:tr>
        <w:trPr/>
        <w:tc>
          <w:tcPr>
            <w:tcW w:w="9750" w:type="dxa"/>
            <w:tcBorders/>
            <w:shd w:fill="CCEEFF" w:val="clear"/>
            <w:vAlign w:val="center"/>
          </w:tcPr>
          <w:p>
            <w:pPr>
              <w:pStyle w:val="TableContents"/>
              <w:bidi w:val="0"/>
              <w:spacing w:before="0" w:after="283"/>
              <w:jc w:val="left"/>
              <w:rPr/>
            </w:pPr>
            <w:hyperlink w:anchor="a_018">
              <w:r>
                <w:rPr>
                  <w:rStyle w:val="InternetLink"/>
                </w:rPr>
                <w:t>EXPERTS</w:t>
              </w:r>
            </w:hyperlink>
          </w:p>
        </w:tc>
        <w:tc>
          <w:tcPr>
            <w:tcW w:w="455" w:type="dxa"/>
            <w:tcBorders/>
            <w:shd w:fill="CCEEFF" w:val="clear"/>
            <w:vAlign w:val="center"/>
          </w:tcPr>
          <w:p>
            <w:pPr>
              <w:pStyle w:val="TableContents"/>
              <w:bidi w:val="0"/>
              <w:spacing w:before="0" w:after="283"/>
              <w:jc w:val="right"/>
              <w:rPr/>
            </w:pPr>
            <w:hyperlink w:anchor="a_018">
              <w:r>
                <w:rPr>
                  <w:rStyle w:val="InternetLink"/>
                </w:rPr>
                <w:t>44</w:t>
              </w:r>
            </w:hyperlink>
          </w:p>
        </w:tc>
      </w:tr>
      <w:tr>
        <w:trPr/>
        <w:tc>
          <w:tcPr>
            <w:tcW w:w="9750" w:type="dxa"/>
            <w:tcBorders/>
            <w:shd w:fill="FFFFFF" w:val="clear"/>
            <w:vAlign w:val="center"/>
          </w:tcPr>
          <w:p>
            <w:pPr>
              <w:pStyle w:val="TableContents"/>
              <w:bidi w:val="0"/>
              <w:spacing w:before="0" w:after="283"/>
              <w:jc w:val="left"/>
              <w:rPr/>
            </w:pPr>
            <w:hyperlink w:anchor="a_019">
              <w:r>
                <w:rPr>
                  <w:rStyle w:val="InternetLink"/>
                </w:rPr>
                <w:t>WHERE YOU CAN FIND MORE INFORMATION</w:t>
              </w:r>
            </w:hyperlink>
          </w:p>
        </w:tc>
        <w:tc>
          <w:tcPr>
            <w:tcW w:w="455" w:type="dxa"/>
            <w:tcBorders/>
            <w:shd w:fill="FFFFFF" w:val="clear"/>
            <w:vAlign w:val="center"/>
          </w:tcPr>
          <w:p>
            <w:pPr>
              <w:pStyle w:val="TableContents"/>
              <w:bidi w:val="0"/>
              <w:spacing w:before="0" w:after="283"/>
              <w:jc w:val="right"/>
              <w:rPr/>
            </w:pPr>
            <w:hyperlink w:anchor="a_019">
              <w:r>
                <w:rPr>
                  <w:rStyle w:val="InternetLink"/>
                </w:rPr>
                <w:t>44</w:t>
              </w:r>
            </w:hyperlink>
          </w:p>
        </w:tc>
      </w:tr>
      <w:tr>
        <w:trPr/>
        <w:tc>
          <w:tcPr>
            <w:tcW w:w="9750" w:type="dxa"/>
            <w:tcBorders/>
            <w:shd w:fill="CCEEFF" w:val="clear"/>
            <w:vAlign w:val="center"/>
          </w:tcPr>
          <w:p>
            <w:pPr>
              <w:pStyle w:val="TableContents"/>
              <w:bidi w:val="0"/>
              <w:spacing w:before="0" w:after="283"/>
              <w:jc w:val="left"/>
              <w:rPr/>
            </w:pPr>
            <w:hyperlink w:anchor="a_020">
              <w:r>
                <w:rPr>
                  <w:rStyle w:val="InternetLink"/>
                </w:rPr>
                <w:t>INCORPORATION OF DOCUMENTS BY REFERENCE</w:t>
              </w:r>
            </w:hyperlink>
          </w:p>
        </w:tc>
        <w:tc>
          <w:tcPr>
            <w:tcW w:w="455" w:type="dxa"/>
            <w:tcBorders/>
            <w:shd w:fill="CCEEFF" w:val="clear"/>
            <w:vAlign w:val="center"/>
          </w:tcPr>
          <w:p>
            <w:pPr>
              <w:pStyle w:val="TableContents"/>
              <w:bidi w:val="0"/>
              <w:spacing w:before="0" w:after="283"/>
              <w:jc w:val="right"/>
              <w:rPr/>
            </w:pPr>
            <w:hyperlink w:anchor="a_020">
              <w:r>
                <w:rPr>
                  <w:rStyle w:val="InternetLink"/>
                </w:rPr>
                <w:t>44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Industry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and other statistical data included or incorporated by reference in this prospectus supplement were obtained from industry publications, market research and publicly available information as well as publications and research conducted by or on our behalf. Industry publications generally state that the information contained therein has been obtained from sources believed to be reliable, but that the accuracy and completeness of such information is not guaranteed. Similarly, market research and publicly available information, while believed to be reliable, have not been independently verified, and we make no representation as to the accuracy of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Service marks and Trade Names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service marks, trademarks and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supplement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 symbols, but such references are not intended to indicate in any way that we will not assert, to the fullest extent under applicable law, our rights, or that the applicable owner will not assert its rights, to these trademarks and tradenames.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aa_001"/>
      <w:bookmarkEnd w:id="2"/>
      <w:r>
        <w:rPr>
          <w:rFonts w:ascii="Times New Roman;Times;Serif" w:hAnsi="Times New Roman;Times;Serif"/>
          <w:b/>
          <w:i w:val="false"/>
          <w:caps/>
          <w:sz w:val="20"/>
        </w:rPr>
        <w:t>ABOUT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base prospectuses are part of two “shelf” registration statements on Form S-3, one of which we filed with the U.S. Securities and Exchange Commission, or the SEC, on September 16, 2022, which was declared effective by the SEC on October 14, 2022, or the 2022 Registration Statement, and the other of which we filed with the SEC on November 30, 2023, which was declared effective by the SEC on December 8, 2023, or the 2023 Registration Statement and together with the 2022 Registration Statement, the Registration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three parts. The first part is this prospectus supplement, which describes the specific terms of this offering and adds to and updates information contained in the accompanying prospectuses and the documents incorporated by reference into the accompanying prospectuses and this prospectus supplement. The second part is the accompanying prospectus filed with the SEC, as part of the 2022 Registration Statement, registering securities of up to a maximum aggregate initial offering price of $100,000,000, $32,615,380 of which remained unsold, unallocated and available for sale prior to the commencement of this offering. The third part is the accompanying prospectus filed with the SEC as part of the 2023 Registration Statement, registering securities of up to a maximum aggregate initial offering price of $100,000,000, $60,200,000 of which remained unsold, unallocated and available for sale prior to the commencement of this offering. The second and third parts provide more general information, some of which may not apply to this offering. We are including both accompanying prospectuses with this prospectus supplement because $32,615,380 of the common shares and Class C warrants offered by us are registered under the 2022 Registration Statement and $59,884,618.50 of the Class C warrants and all of the common shares issuable from time to time upon exercise of the Class C warrants offered by us are registered under the 2023 Registration Statement, each of which contains one of the foregoing prospectuses.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carefully read this prospectus supplement, the accompanying base prospectuses, the documents incorporated by reference herein and therein and the additional information under the headings “Where You Can Find More Information” and “Incorporation of Certain Information by Reference” before making a decision to invest in the common shares offered under this prospectus supplement. These documents contain important information you should consider when making your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supplement and the accompanying base prospectuses. We have not authorized anyone to provide you with additional or different information. If anyone provides you with additional or different information, you should not rely on it. This prospectus supplement may add, update or change information contained in the accompanying base prospectuses. To the extent any information in this prospectus supplement is inconsistent with the accompanying base prospectuses, you should rely on the information in this prospectus supplement. The information in this prospectus supplement will be deemed to modify or supersede the information in the accompanying base prospectuses and the documents incorporated by reference therein, except for those documents incorporated by reference therein which we file with the SEC after the date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assume that the information contained or incorporated by reference in this prospectus supplement and the accompanying base prospectuses is accurate on any date subsequent to the date set forth on the front cover of this prospectus supplement and the accompanying base prospectuses or on any date subsequent to the date of the document incorporated by reference or other dates specified in such documents, as applicable. Our business, financial condition, liquidity, results of operations and prospects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to sell, and seeking offers to buy, the securities described in this prospectus supplement only in jurisdictions where offers and sales are permitted. The distribution of this prospectus supplement and the offering of the securities in certain jurisdictions may be restricted by law. Persons outside the United States who come into possession of this prospectus supplement must inform themselves about, and observe any restrictions relating to, the offering of the securities and the distribution of this prospectus supplement outside the United States. This prospectus supplement and the accompanying base prospectuses do not constitute, and may not be used in connection with, an offer to sell, or a solicitation of an offer to buy, any securities by any person in any jurisdiction in which it is unlawful for such person to make such an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into this prospectus supplement or the accompanying base prospectuses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supplement, unless otherwise indicated or required by the context, the terms “TMC,” “we,” “our,” “us” and the “Company” refer to TMC the metals company Inc.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bdr w:val="single" w:sz="8" w:space="5" w:color="000000"/>
        </w:rPr>
      </w:pPr>
      <w:bookmarkStart w:id="3" w:name="aaa_002"/>
      <w:bookmarkEnd w:id="3"/>
      <w:r>
        <w:rPr>
          <w:rFonts w:ascii="Times New Roman;Times;Serif" w:hAnsi="Times New Roman;Times;Serif"/>
          <w:b/>
          <w:i w:val="false"/>
          <w:caps/>
          <w:sz w:val="20"/>
          <w:bdr w:val="single" w:sz="8" w:space="5" w:color="000000"/>
        </w:rPr>
        <w:t>PROSPECTUS SUPPLEMENT SUMMARY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bdr w:val="single" w:sz="8" w:space="5" w:color="000000"/>
        </w:rPr>
        <w:t xml:space="preserve">This summary contains basic information about us and this offering. This summary highlights selected information contained elsewhere in, or incorporated by reference into, this prospectus supplement. This summary is not complete and may not contain all of the information that may be important to you and that you should consider before deciding whether or not to invest in our securities. For a more complete understanding of TMC and this offering, you should carefully read this prospectus supplement, including the information incorporated by reference into this prospectus supplement, and the base prospectuses in their entirety. Our business and an investment in our common shares involve a high degree of risk that is described in this prospectus supplement under the heading “Risk Factors” and in our </w:t>
      </w:r>
      <w:hyperlink r:id="rId3">
        <w:r>
          <w:rPr>
            <w:rStyle w:val="InternetLink"/>
            <w:rFonts w:ascii="Times New Roman;Times;Serif" w:hAnsi="Times New Roman;Times;Serif"/>
            <w:b w:val="false"/>
            <w:i w:val="false"/>
            <w:caps w:val="false"/>
            <w:smallCaps w:val="false"/>
            <w:sz w:val="20"/>
            <w:bdr w:val="single" w:sz="8" w:space="5" w:color="000000"/>
          </w:rPr>
          <w:t>Annual Report on Form 10-K for the year ended December 31, 2024</w:t>
        </w:r>
      </w:hyperlink>
      <w:r>
        <w:rPr>
          <w:rFonts w:ascii="Times New Roman;Times;Serif" w:hAnsi="Times New Roman;Times;Serif"/>
          <w:b w:val="false"/>
          <w:i w:val="false"/>
          <w:caps w:val="false"/>
          <w:smallCaps w:val="false"/>
          <w:sz w:val="20"/>
          <w:bdr w:val="single" w:sz="8" w:space="5" w:color="000000"/>
        </w:rPr>
        <w:t xml:space="preserve"> under the heading “Item 1A. Risk Factors.”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About TMC the metals company Inc.</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Overview</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deep-sea minerals exploration company focused on the collection, processing and refining of polymetallic nodules found on the seafloor in international waters of the Clarion Clipperton Zone, or the CCZ, approximately 1,500 miles (or 2,400 kilometers) south-west of San Diego, California. The CCZ is a geological submarine fracture zone of abyssal plains and other formations in the Eastern Pacific Ocean, with a length of around 7,240 kilometers (4,500 miles) that spans approximately 4,500,000 square kilometers (1,737,000 square miles). Polymetallic nodules are discrete rocks that sit unattached to the seafloor, occur in significant quantities in the CCZ and have high concentrations of nickel, copper, cobalt and manganese in a single rock.</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believe these four metals contained in the polymetallic nodules are critical for energy infrastructure and industrial manufacturing. Our resource definition work to date shows that nodules in our target areas represent the world’s largest estimated undeveloped resource of these critical metals. If we are able to collect polymetallic nodules from the seafloor on a commercial scale, we plan to use such nodules to produce three types of metal products: (i) feedstock for battery cathode precursors (nickel and cobalt sulfates, or intermediary nickel-copper-cobalt matte, or nickel-copper-cobalt alloy) for electric vehicles, or EVs, and energy storage markets, (ii) copper cathode for EV wiring, energy transmission and other applications, and (iii) manganese silicate for manganese alloy production required for steel production. Our mission is to build a carefully managed, shared stock of metal, called a metal commons, that can be used, recovered and reused for generations to come. Significant quantities of newly mined metal are required because existing metal stocks are insufficient to meet rising demand.</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still in the exploration phase and have not yet obtained an exploitation contract or a permit for commercial recovery from any regulators. Additionally, we do not yet hold the environmental or other permits required to construct and operate commercial-scale polymetallic nodule processing and refining facilities on land.</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There are currently two primary legal frameworks governing the commercial recovery of deep-sea minerals from areas beyond national jurisdiction. The first is the Deep Seabed Hard Mineral Resources Act of 1980, or DSHMRA, a U.S. domestic statute administered by the U.S. Department of Commerce through the National Oceanic and Atmospheric Administration, or NOAA, and the second is the United Nations Convention on the Law of the Sea, or UNCLOS. The United States has not ratified UNCLOS, and is not a member state of the International Seabed Authority, or ISA, which administers the international regime.</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increasingly focused on advancing our commercial production strategy under the U.S.-based DSHMRA regime. Our wholly owned subsidiary, The Metals Company USA, LLC, or TMC USA, is a “United States citizen” under DSHMRA and, in April 2025, it submitted two exploration license applications (covering 199,895 square kilometers in the CCZ referred to as TMC USA-A and TMC USA-B) and one commercial recovery permit application (covering 25,160 square kilometers in the CCZ referred to as TMC USA-A_2) to NOAA. These applications include the areas under which our subsidiaries hold exploration contracts from the ISA, which are estimated to hold approximately 1.635 billion wet tonnes of measured, indicated and inferred mineral resources. Together, the resource is estimated to include approximately 15.5 million tonnes of nickel, 12.8 million tonnes of copper, 2.0 million tonnes of cobalt, and 345 million tonnes of manganese.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These applications reflect our belief that DSHMRA provides a viable and independent regulatory path to commercial production, distinct from the ISA regime under UNCLOS. We also welcomed the recent Executive Order signed by President Trump on April 24, 2025, titled “</w:t>
      </w:r>
      <w:r>
        <w:rPr>
          <w:rFonts w:ascii="Times New Roman;Times;Serif" w:hAnsi="Times New Roman;Times;Serif"/>
          <w:b w:val="false"/>
          <w:i/>
          <w:caps w:val="false"/>
          <w:smallCaps w:val="false"/>
          <w:sz w:val="20"/>
          <w:bdr w:val="single" w:sz="8" w:space="5" w:color="000000"/>
        </w:rPr>
        <w:t>Unleashing America’s Offshore Critical Minerals and Resources</w:t>
      </w:r>
      <w:r>
        <w:rPr>
          <w:rFonts w:ascii="Times New Roman;Times;Serif" w:hAnsi="Times New Roman;Times;Serif"/>
          <w:b w:val="false"/>
          <w:i w:val="false"/>
          <w:caps w:val="false"/>
          <w:smallCaps w:val="false"/>
          <w:sz w:val="20"/>
          <w:bdr w:val="single" w:sz="8" w:space="5" w:color="000000"/>
        </w:rPr>
        <w:t>”, which directs the Commerce Secretary to implement an expedited permitting process under DSHMRA. In addition to directing the International Development Finance Corporation, Export-Import Bank and Trade and Development Agency to identify tools to support this new industry, the Executive Order also instructs the Departments of Defense and Energy to assess the use of the National Defense Stockpile for nodule-derived minerals and of entering into offtake agreements for the procurement of these minerals. In addition, these departments are also directed to review and revise domestic processing capabilities for seabed mineral resources.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At the same time as we pursue the U.S. pathway, we continue to preserve our rights under the ISA system. The ISA is an intergovernmental organization established pursuant to UNCLOS and the 1994 Agreement Relating to the Implementation of UNCLOS and regulates seabed mineral activities by its member states and their sponsored contractors. While the ISA does not have jurisdiction over U.S.-based operations, we maintain two exploration contracts in the CCZ—one held by our subsidiary Nauru Ocean Resources Inc., or NORI, sponsored by the Republic of Nauru, and one held by Tonga Offshore Mining Limited, or TOML, sponsored by the Kingdom of Tonga. The ISA has issued a total of 19 exploration contracts covering approximately 1.28 million square kilometers, 17 of which are located in the CCZ. On November 12, 2024, we announced our intention to submit an application for an exploitation contract to the ISA on June 27, 2025. Today, we are increasingly focused on pursuing commercial production through the U.S. regulatory pathway under DSHMRA, following the April 2025 submission of TMC USA’s exploration license and commercial recovery permit applications to NOAA. We do not believe pursuing licenses and permits with NOAA under DSHMRA nullifies our ISA exploration contracts. However, if ISA progress on adopting final exploitation regulations stalls or the resulting regulations prove commercially or legally unworkable, we may pivot fully to the U.S. regime.</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have key strategic alliances with (i) Allseas Group S.A., a major contractor in the global offshore energy industry, which developed and tested a pilot collection system and is now working to modify it into the first commercial production system, and (ii) Glencore International AG, which holds offtake rights (i.e., a contractual right to purchase a specific quantity of products over a defined period) to 50% of the NORI nickel and copper production if produced from a DeepGreen Engineering Pte. Ltd.-owned or controlled facility. In addition, we have worked with engineering firm Hatch and consultants KPM to develop a near-zero solid waste flowsheet (i.e., the potential to process and refine nodules into critical metals while leaving almost no solid waste streams behind). The primary processing stages of the flowsheet from nodule to NiCuCo matte intermediate were demonstrated as part of our pilot plant program at FLSmidth and XPS’ facilities. The matte refining stages are being tested at SGS Lakefield. The near-zero solid waste flowsheet provides a design that is expected to serve as the basis for our onshore processing facilities. In November 2022, we entered into a non-binding memorandum of understanding, or MoU, with Pacific Metals Co Ltd, or PAMCO, of Japan pursuant to which PAMCO completed prefeasibility work assessing the prospect of processing nodules using their existing facilities. In November 2023, we entered into a binding MoU with PAMCO whereby they committed to completing a feasibility study (expected to be completed by mid-2025) to toll treat 1.3 million tonnes of wet polymetallic nodules per year at its Hachinohe, Japan smelting facility, provided we obtain commercial production rights. The toll treatment is intended to take place on a dedicated Rotary Kiln Electric Arc Furnace, or RKEF, processing line and produce two products: nickel-copper-cobalt alloy, an intermediate product used as feedstock to produce lithium-ion battery cathodes, and a manganese silicate product used to make silico-manganese alloy, a critical input into steel manufacturing. In February 2025, PAMCO successfully processed approximately 2,000 tonnes of nodules from our integrated pilot collection system on their existing RKEF line, producing both nickel-copper-cobalt alloy and manganese silicate. We expect this relationship to progress to a definitive tolling agreement in 2025, subject to successful evaluation study outcomes and agreement to mutually acceptable commercial terms. There can be no assurance that we will enter into such definitive strategic alliance with PAMCO in a particular time period and with sufficient scale, or at all, or on terms similar to those set forth in the binding MoU, or that the existing facility will be able to successfully process nodules in a particular time period, or at all.</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To reach our objective and initiate commercial production, we are continuing to (i) define our resource and project economics, (ii) develop a commercial offshore nodule collection system, (iii) assess the environmental and social impacts of offshore nodule collection, and (iv) develop onshore technology to process collected polymetallic nodules into a manganese silicate product and an intermediate nickel-copper-cobalt alloy or matte product and/or end-products like nickel and cobalt sulfates, and copper cathode. We are also working towards our initial pre-feasibility study, which we are now updating to reflect the U.S. regulatory pathway under DSHMRA.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Regulation of Mining of Deep-Sea Polymetallic Nodules by the United States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Deep Seabed Hard Mineral Resources Act of 1980, or DSHMRA, establishes a domestic legal regime for U.S. citizens to explore for and commercially recover hard mineral resources from the seabed in areas beyond U.S. national jurisdiction. DSHMRA affirms that deep-sea mining is a lawful freedom of the high seas, subject to a duty of reasonable regard to the interests of other states in their exercise of those and other freedoms recognized by the general principles of international law, and provides a regulatory structure administered by NOAA, an agency under the U.S. Department of Commerce. NOAA’s implementing regulations detail the criteria and conditions for issuance of deep seabed exploration licenses and commercial recovery permits to U.S. citizens.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purpose of DSHMRA is to promote the development of seabed minerals by U.S. citizens while ensuring environmental protection, avoidance of conflict with other high seas uses, and consistency with international law. Before any license or permit is issued, NOAA must determine that the proposed activities meet a series of statutory requirements, including that the activity: (i) will not unreasonably interfere with the lawful use of the high seas by other states; (ii) is consistent with U.S. foreign policy and international obligations; (iii) does not create a risk to international peace and security; (iv) is not expected to result in significant adverse environmental effects; and (v) does not pose undue risk to life or property at sea. These findings reflect NOAA’s dual mandate of advancing U.S. commercial interests in seabed minerals while minimizing environmental and diplomatic risk.</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Eligibility for licensing under DSHMRA is limited to “United States citizens,” a term defined to include any individual, corporation, or other entity organized under the laws of a U.S. state or territory. This includes foreign-owned entities organized in the United States, as well as foreign entities with majority U.S. ownership or control. We believe that our wholly owned subsidiary TMC USA, as a North Carolina limited liability company, qualifies as a “United States citizen” under these provisions and is eligible to apply for and hold NOAA-issued licenses and permits.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TMC USA has submitted three formal applications to NOAA: two for exploration licenses and one for a commercial recovery permit. The DSHMRA framework contemplates sequential applications—first for an exploration license, then for a recovery permit—but neither the statute nor its regulations expressly prohibit concurrent or direct permitting where sufficient data is available. TMC USA previously submitted a legal memorandum requesting clarification from NOAA on this point and, if required, has also reserved the option of requesting a waiver from NOAA of the exploration license prerequisite.</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Exploration licenses grant exclusive rights to conduct technical studies and test mining in a defined area and are typically issued for five-year terms. Commercial recovery permits authorize full-scale extraction for a period of 20 years subject to extension and are subject to enhanced environmental and operational requirements. NOAA grants licenses and permits to particular areas, in part, based on when applications are received. To date, NOAA has not issued any commercial recovery permits under DSHMRA as no U.S. citizen had applied for a commercial recovery permit prior to TMC USA.</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TMC USA initiated pre-application consultations with NOAA in the first quarter of 2025 and, following those discussions, submitted its applications in April 2025. These are now under agency review. Each application includes the full environmental, technical, financial, and operational data required under DSHMRA and the National Environmental Policy Act, or NEPA. The NOAA review process includes a determination whether applications for exploration licenses are in full or substantial compliance with the applicable requirements under DSHMRA and its implementing regulations within 30 days of receipt and whether applications for a commercial recovery permit is complete within 60 days. NOAA is then expected to proceed with a full review of the applications, including interagency consultation with other U.S. government departments (including the Department of State, the Department of Defense, and the Environmental Protection Agency), preparation of an Environmental Impact Statement, or EIS, under NEPA, and a public comment period. NOAA will determine whether to issue the requested licenses and permit, and if so, under what terms and conditions. All licenses and permits issued under DSHMRA are subject to oversight, periodic reporting, and potential suspension or revocation for noncompliance or unforeseen environmental harm.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DSHMRA and its regulations do not include a statutory deadline for application review. However, the Executive Order signed by President Trump on April 24, 2025, directs the Commerce Secretary to implement an expedited permitting process under DSHMRA.</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NOAA issued four exploration licenses in 1984 to U.S.-sponsored consortia for polymetallic nodule exploration in the CCZ. Two of these licenses (USA-1 and USA-4) remain active and are currently held by a Lockheed Martin subsidiary. These licenses have been renewed in accordance with DSHMRA’s statutory provisions, which require NOAA to grant extensions if the licensee has substantially complied with license terms. Lockheed Martin has not conducted recent offshore activities under these licenses, citing market conditions and the lack of international recognition of DSHMRA licenses. In 2022, NOAA acknowledged these factors and extended the licenses to 2027.</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believe NOAA has historically adopted a cautious and science-based regulatory posture under DSHMRA, coordinating with other U.S. federal agencies and supporting environmental studies to inform future decisions. In the 1980s, the United States entered into reciprocal recognition arrangements with other nations with similar domestic seabed mining laws, helping avoid overlapping claims prior to the establishment of the ISA. Once the ISA became operational in the 1990s, most seabed mining states transitioned to the UNCLOS/ISA system. The United States, however, remains outside that framework. NOAA is not restricted under DSHMRA from issuing licenses or permits over areas that are also subject to ISA exploration or exploitation contracts.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addition, DSHMRA requires that recovered minerals be processed in the United States unless a waiver is granted. We are currently evaluating U.S.-based processing options to satisfy this requirement. If necessary, we expect to seek a waiver based on the statutory criteria and applicable regulations.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expect to become subject to additional U.S. laws and regulations as development progresses and are in the early stages of analyzing their applicability and potential impact on our operations.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Preliminary Unaudited Financial Information as of and for the Three Months Ended March 31, 2025</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As of March 31, 2025, we estimate that we had cash on hand of $2.3 million. In addition, as of March 31, 2025, we estimate that we had short-term debt of approximately $10 million, representing amounts outstanding under the Unsecured Credit Facility, dated March 22, 2024, as amended, with Gerard Barron, our Chief Executive Officer and Chairman, and ERAS Capital LLC, the family fund of our director, Andrei Karkar, or the 2024 Credit Facility, and the Working Capital Loan Agreement, dated September 9, 2024, with Allseas Investments S.A., or the Working Capital Loan Agreement. We also estimate that operating expenses, operating loss and net cash used in operating activities for the three months ended March 31, 2025 were approximately $18.0 million, $20.6 million and $9.3 million, respectively. As of March 31, 2025, there remained $41.5 million undrawn under the 2024 Credit Facility. The lenders may terminate the 2024 Credit Facility if we raise at least $50 million in aggregate net proceeds from certain financings and commercial arrangements following the inception of the 2024 Credit Facility, which will include the proceeds from this offering. In addition, as of March 31, 2025, we had approximately $19.3 million available to be sold under the At-the-Market Equity Distribution Agreement, or the Sales Agreement, with Wedbush Securities Inc., having raised $5.7 million through the issuance of 2,975,226 common shares in the three months ended March 31, 2025 at an average per share price of $1.93.</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information presented above is estimated, unaudited and preliminary and is subject to completion. We are in the process of finalizing our financial results for the quarter ended March 31, 2025. As a result, the estimates above may differ, potentially materially, from the actual results that will be presented in our condensed consolidated financial statements as of March 31, 2025 and the three-month period then ended when these condensed consolidated financial statements are completed. The information presented above is based upon management estimates to date and is the responsibility of management. Our independent registered public accounting firm has not audited, reviewed, compiled or performed any procedures with respect to this information and, accordingly, does not express an opinion or any other form of assurance upon this information.</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Our Corporate Information</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Company was originally known as Sustainable Opportunities Acquisition Corp., or SOAC. On September 9, 2021, or the Closing Date, we consummated a business combination, or the Business Combination, pursuant to the terms of the business combination agreement, or the Business Combination Agreement, dated as of March 4, 2021, by and among SOAC, 1291924 B.C. Unlimited Liability Company, an unlimited liability company existing under the laws of the Province of British Columbia, Canada, and DeepGreen Metals Inc., a company existing under the laws of the Province of British Columbia, Canada, or DeepGreen. In connection with the closing of the Business Combination, or the Closing, SOAC changed its name to “TMC the metals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registered and records office is located at 1111 West Hastings Street, 15th Floor, Vancouver, British Columbia V6E 2J3, Canada, and our telephone number is (888) 458-3420. We do not have a physical office in Vancouver, British Columbia, our directors and executive officers work remotely in various countries around the world, and the Vancouver, British Columbia address disclosed is our registered and records office required under the Business Corporations Act (British Columbia). Our website address is www.metals.co. The information contained on, or that can be accessed through, our website is not and shall not be deemed to be part of this prospectus supplement or the base prospectuses. We have included our website address in this prospectus supplement solely as an inactive textual reference. Investors should not rely on any such information in deciding whether to purchase our common shares in this offering.</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Implications of Being an Emerging Growth Company and a Smaller Reporting Company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an “emerging growth company” as defined in the Jumpstart Our Business Startups Act of 2012, or the JOBS Act. For so long as we remain an emerging growth company, we may take advantage of certain exemptions from various reporting requirements and other burdens that are otherwise applicable generally to public companies. These provisions include:</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reduced obligations with respect to financial data, including only being required to present two years of audited financial statements, in addition to any required unaudited interim financial statements with correspondingly reduced “Management’s Discussion and Analysis of Financial Condition and Results of Operations” disclosure;</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an exception from compliance with the auditor attestation requirements of Section 404 of the Sarbanes-Oxley Act of 2002, as amended;</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reduced disclosure about our executive compensation arrangements in our periodic reports, proxy statements and registration statements;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exemptions from the requirements of holding non-binding advisory votes on executive compensation or golden parachute arrangements; and</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an exemption from compliance with the requirements of the Public Company Accounting Oversight Board regarding the communication of critical audit matters in the auditor’s report on financial statements.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$1.235 billion in total annual gross revenues, (iii) the date on which we are deemed to be a “large accelerated filer” under the rules of the SEC, which means the market value of our common shares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prospectus supplement. Accordingly, the information contained herein may be different than you might obtain from other public companies in which you hold equity interests.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supplement may be different than the information you may receive from other public companies in which you hold equity interests. In addition, it is possible that some investors will find our common shares less attractive as a result of these elections, which may result in a less active trading market for our common shares and higher volatility in our share price.</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bdr w:val="single" w:sz="8" w:space="5" w:color="000000"/>
        </w:rPr>
      </w:pPr>
      <w:bookmarkStart w:id="4" w:name="aaa_003"/>
      <w:bookmarkEnd w:id="4"/>
      <w:r>
        <w:rPr>
          <w:rFonts w:ascii="Times New Roman;Times;Serif" w:hAnsi="Times New Roman;Times;Serif"/>
          <w:b/>
          <w:i w:val="false"/>
          <w:caps/>
          <w:sz w:val="20"/>
          <w:bdr w:val="single" w:sz="8" w:space="5" w:color="000000"/>
        </w:rPr>
        <w:t>THE OFFERING</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800"/>
        <w:gridCol w:w="60"/>
        <w:gridCol w:w="8345"/>
      </w:tblGrid>
      <w:tr>
        <w:trPr/>
        <w:tc>
          <w:tcPr>
            <w:tcW w:w="1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Common shares offered by us</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12,333,333 common shares</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b/>
              </w:rPr>
            </w:pPr>
            <w:r>
              <w:rPr>
                <w:b/>
              </w:rPr>
              <w:t>Class C warrants offered by us</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Class C warrants to purchase up to an aggregate of 12,333,333 common shares. The common shares are being sold together with the Class C warrants. Each common share will be accompanied by a Class C warrant to purchase one common share. The Class C warrants are exercisable beginning on the issuance date at an exercise price of $4.50 per share, and will terminate on the third anniversary of the date of the securities purchase agreement, or the Termination Date.</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Common shares outstanding before this offering</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340,708,460 shares. </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Common shares to be outstanding immediately after this offering</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353,041,793 shares, assuming no exercise of any Class C warrants issued in this offering.</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b/>
              </w:rPr>
            </w:pPr>
            <w:r>
              <w:rPr>
                <w:b/>
              </w:rPr>
              <w:t>Offering price</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Each common share and accompanying Class C Warrant will be sold at a negotiated price of $3.00.</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estimate that the net proceeds to us from this offering, after deducting estimated offering expenses payable by us, will be approximately $36.75 million and assuming no exercise of the Class C warrants issued in this offering. We intend to use the net proceeds from this offering for working capital and general corporate purposes and to repay in whole or in part the outstanding balance of the 2024 Credit Facility and the Working Capital Loan Agreement. See “Use of Proceeds” beginning on page S-16 of this prospectus supplement for additional detail.</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Trading symbol</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common shares are listed on Nasdaq under the symbol “TMC”. We do not intend to list the Class C warrants, nor do we expect the Class C warrants to be quoted on Nasdaq or any other national securities exchange or any other nationally recognized trading system.</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b/>
              </w:rPr>
            </w:pPr>
            <w:r>
              <w:rPr>
                <w:b/>
              </w:rPr>
              <w:t>Settlement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Delivery of the common shares and Class C warrants will be made against any payment therefor on or before May 22, 2025.</w:t>
            </w:r>
          </w:p>
        </w:tc>
      </w:tr>
      <w:tr>
        <w:trPr/>
        <w:tc>
          <w:tcPr>
            <w:tcW w:w="1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r>
              <w:rPr/>
              <w:t> </w:t>
            </w:r>
          </w:p>
        </w:tc>
      </w:tr>
      <w:tr>
        <w:trPr/>
        <w:tc>
          <w:tcPr>
            <w:tcW w:w="18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factors</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and an investment in our common shares involve a high degree of risk. See “Risk Factors,” beginning on page S-8 of this prospectus supplement, “Item 1A. Risk Factors” in our Annual Report on Form 10-K for the year ended December 31, 2024 and other information included or incorporated in this prospectus supplement for a discussion of factors you should carefully consider before investing in our securities.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number of our common shares that will be outstanding immediately after this offering is based on 340,708,460 common shares outstanding as of December 31, 2024, and excludes: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27,885,450 common shares and 14,106,452 special shares, which are automatically convertible into common shares on a one-for-one basis if certain price thresholds are met, issuable upon exercise of share options outstanding as of December 31, 2024 under our stock incentive plans, at a weighted average per option exercise price of $1.21;</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34,312,655 common shares issuable upon the vesting of restricted share units outstanding as of December 31, 2024;</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13,246,054 common shares available for future grant under the 2021 Incentive Equity Plan, which includes the evergreen increase in the number of shares available under the 2021 Incentive Equity Plan made in January 2025;</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t>14,055,707 common shares available for future issuance under the 2021 Employee Stock Purchase Plan, which includes the evergreen increase in the number of shares available under the 2021 Employee Stock Purchase Plan made in January 2025;</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136,239,964 common shares reserved for issuance upon conversion of our outstanding special shares (including 14,106,452 special shares issuable upon outstanding options), which are automatically convertible into common shares on a one-for-one basis if certain price thresholds are met;</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38,180,770 common shares issuable upon exercise of outstanding warrants as of December 31, 2024 to purchase common shares, at a weighted average per warrant exercise price of $8.10;</w:t>
            </w:r>
          </w:p>
        </w:tc>
      </w:tr>
    </w:tbl>
    <w:tbl>
      <w:tblPr>
        <w:tblW w:w="5000" w:type="pct"/>
        <w:jc w:val="left"/>
        <w:tblInd w:w="0" w:type="dxa"/>
        <w:tblLayout w:type="fixed"/>
        <w:tblCellMar>
          <w:top w:w="0" w:type="dxa"/>
          <w:left w:w="0" w:type="dxa"/>
          <w:bottom w:w="0" w:type="dxa"/>
          <w:right w:w="0" w:type="dxa"/>
        </w:tblCellMar>
      </w:tblPr>
      <w:tblGrid>
        <w:gridCol w:w="41"/>
        <w:gridCol w:w="104"/>
        <w:gridCol w:w="10060"/>
      </w:tblGrid>
      <w:tr>
        <w:trPr/>
        <w:tc>
          <w:tcPr>
            <w:tcW w:w="41"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0" w:type="dxa"/>
            <w:tcBorders/>
            <w:vAlign w:val="center"/>
          </w:tcPr>
          <w:p>
            <w:pPr>
              <w:pStyle w:val="TableContents"/>
              <w:bidi w:val="0"/>
              <w:spacing w:before="0" w:after="283"/>
              <w:jc w:val="both"/>
              <w:rPr/>
            </w:pPr>
            <w:r>
              <w:rPr/>
              <w:t>7,542,996 common shares issued after December 31, 2024 pursuant to the Sales Agreement; and</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5,000,000 common shares and 2,500,000 common shares issuable upon exercise of our Class B warrants at an exercise price of $2.00 per share issued on February 6, 2025 in connection with the registered direct offering of common shares and Class B warrants pursuant to a securities purchase agreement, dated as of November 14, 2024, as amended on November 26, 2024.</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Except as otherwise indicated, all information in this prospectus supplement assumes no exercise of the Class C warrants issued in this offering and does not reflect the potential issuance of our common shares that remain available for sale as of the date of this prospectus supplement under the Sales Agreement, pursuant to which we may sell common shares for remaining gross proceeds of up to $9.8 million after giving effect to the sale of an aggregate of $20.2 million common shares under the Sales Agreement as of the date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aa_004"/>
      <w:bookmarkEnd w:id="5"/>
      <w:r>
        <w:rPr>
          <w:rFonts w:ascii="Times New Roman;Times;Serif" w:hAnsi="Times New Roman;Times;Serif"/>
          <w:b/>
          <w:i w:val="false"/>
          <w:caps/>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caps w:val="false"/>
          <w:smallCaps w:val="false"/>
          <w:sz w:val="20"/>
        </w:rPr>
        <w:t xml:space="preserve">Our </w:t>
      </w:r>
      <w:hyperlink r:id="rId4">
        <w:r>
          <w:rPr>
            <w:rStyle w:val="InternetLink"/>
            <w:rFonts w:ascii="Times New Roman;Times;Serif" w:hAnsi="Times New Roman;Times;Serif"/>
            <w:b w:val="false"/>
            <w:i/>
            <w:caps w:val="false"/>
            <w:smallCaps w:val="false"/>
            <w:sz w:val="20"/>
          </w:rPr>
          <w:t>Annual Report on Form 10-K for the year ended December 31, 2024</w:t>
        </w:r>
      </w:hyperlink>
      <w:r>
        <w:rPr>
          <w:rFonts w:ascii="Times New Roman;Times;Serif" w:hAnsi="Times New Roman;Times;Serif"/>
          <w:b w:val="false"/>
          <w:i/>
          <w:caps w:val="false"/>
          <w:smallCaps w:val="false"/>
          <w:sz w:val="20"/>
        </w:rPr>
        <w:t xml:space="preserve">, which is incorporated by reference into this prospectus supplement, as well as our other filings with the SEC, include material risk factors relating to us and an investment in our common shares.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financial condition, liquidity, results of operations and prospects. If any of those risks and uncertainties or the risks and uncertainties described below actually occurs, our business, financial condition, liquidity, results of operations or prospects could be harmed substantially. In such a case, you may lose all or part of your investment. You should carefully consider the risks and uncertainties described below and those risks and uncertainties incorporated by reference into this prospectus supplement, including from our </w:t>
      </w:r>
      <w:hyperlink r:id="rId5">
        <w:r>
          <w:rPr>
            <w:rStyle w:val="InternetLink"/>
            <w:rFonts w:ascii="Times New Roman;Times;Serif" w:hAnsi="Times New Roman;Times;Serif"/>
            <w:b w:val="false"/>
            <w:i/>
            <w:caps w:val="false"/>
            <w:smallCaps w:val="false"/>
            <w:sz w:val="20"/>
          </w:rPr>
          <w:t>Annual Report on Form 10-K for the year ended December 31, 2024</w:t>
        </w:r>
      </w:hyperlink>
      <w:r>
        <w:rPr>
          <w:rFonts w:ascii="Times New Roman;Times;Serif" w:hAnsi="Times New Roman;Times;Serif"/>
          <w:b w:val="false"/>
          <w:i/>
          <w:caps w:val="false"/>
          <w:smallCaps w:val="false"/>
          <w:sz w:val="20"/>
        </w:rPr>
        <w:t>, as well as the other information included in this prospectus supplement, before making an investment decision with respect to our common shares. Since the filing of our Form 10-K, there have been no material changes in our risk factors relating to us from those disclosed therein, other than as provided below under “Risks Related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efforts to pursue deep-sea nodule exploration licenses and a commercial recovery permit under the U.S. Deep Seabed Hard Mineral Resources Act may subject us to conflicting regulatory regimes, uncertain legal interpretations, and operational risks that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initiated a U.S.-based regulatory pathway with the U.S. Department of Commerce and NOAA under DSHMRA for the commercial recovery of polymetallic nodules in the CCZ, while maintaining our rights under our exploration contracts issued by the ISA under UNCLOS. We are now prioritizing this U.S. pathway, while preserving our rights under our subsidiaries’ ISA exploration contracts. Although we believe this dual-path approach enhances optionality, it introduces additional risks and complexities.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ISA under UNCLOS and the U.S. regime under DSHMRA have not yet been used for commercial production of seafloor polymetallic nodules. To date, NOAA has not issued a commercial recovery permit, and the legal framework, while established, has not yet been applied to the full lifecycle of a seabed mining project. Despite our April 2025 applications now under NOAA review, the applications are subject to an initial determination by NOAA as to substantial compliance and completeness under DSHMRA, and there can be no assurance that such determinations will be favorable, that the applications will proceed to full review without delay, or that NOAA will not request additional information, modifications, or clarifications prior to accepting the applications for full review or that any of the applications will lead to NOAA granting the Company any exploration licenses or a commercial recovery permit on a timely basis or at all, or on commercially viable terms and conditions, which would materially and negatively impact our business, financial condition, liquidity, results of operations and prospects. In particular, NOAA’s regulations have been interpreted by some as requiring a sequential process in which an exploration license must first be obtained before a commercial recovery permit can be granted. Although we believe the regulations may allow for a direct or simultaneous application for a commercial recovery permit in cases where sufficient environmental and technical data already exists, there is no assurance that NOAA will agree with this interpretation . If NOAA requires us to begin the permitting process under DSHMRA with an exploration license, this likely would delay our intended commercialization timeline and increase permitting costs and complexity. Also, if TMC USA is required to resubmit any of its applications to NOAA because the initial applications are not in substantial compliance or complete, we could lose rights under DSHMRA to the areas covered by TMC USA’s initial applications if NOAA received another application covering the same areas before TMC USA resubmits the applications. In addition, there is no assurance that we will be able to comply with, or obtain a waiver of, the requirement under DSHMRA that minerals be processed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permitting under DSHMRA will subject us to a complex regulatory system in the United States which we are in the initial stages of analyzing to determine applicability and how compliance will impact our development plans and potential commercial operations. For example, we will be subject to the Merchant Marine Act of 1920 and will need to be in full compliance with U.S. environmental laws, and NOAA may deny a commercial recovery permit if it determines that significant adverse environmental effects cannot be adequately mitigated. The review and approval process will also be subject to a full EIS process under NEPA, as well as public comment and potential legal challenge in U.S. courts by third parties. Although the recent Executive Order signed by President Trump on April 24, 2025 directs the Commerce Secretary to implement an expedited permitting process under DSHMRA, the timing of license or permit issuance remains uncertain, as there is no statutory deadline under DSHMRA and actual review timelines will depend on the scope and outcome of NOAA’s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 U.S.-issued permit would be a unilateral authorization by the United States not formally recognized by the ISA or by countries that are parties to UNCLOS. We do not believe pursuing licenses and permits with NOAA under DSHMRA nullifies our ISA exploration contracts or our sponsorship contracts with the Republic of Nauru and the Kingdom of Tonga, and we believe NORI and TOML are in compliance with each of their ISA exploration contracts and each of their sponsorship contracts. There can be no assurances, however, that the ISA may not attempt to suspend or terminate our existing exploration contracts or that it will renew our NORI exploration contract when it expires in July 2026 or our TOML exploration contract when it expires in January 2027. Nor can there be assurances that our sponsorship contracts will not be suspended or terminated. In addition, if we proceed under the DSHMRA regime and secure U.S. permits, we may need to relinquish or suspend overlapping rights held under our ISA exploration contracts, which could raise diplomatic concerns or be perceived as undermining the ISA’s authority and allow the ISA to grant rights to these overlapping areas to other parties. While we believe our dual-path strategy is legally sound and the Trump administration, the U.S. Department of Commerce and NOAA have stated that U.S. companies can apply for exploration licenses and commercial recovery permits for deep-sea mining in ocean areas beyond national jurisdiction under DSHMRA, the announcement or implementation of this strategy may cause additional regulatory and political tensions, delay ISA decision-making, or impair our ability to secure or maintain exploration contracts or an exploitation contract under the ISA framework and may result in our need to engage in costly and time-consuming litigation to enforce our rights. In addition, UNCLOS parties and the ISA are under a legal obligation, under UNCLOS, not to recognize any commercial recovery permit issued to us under DSHMRA; many UNCLOS parties and the ISA are likely to regard such a permit as a violation of international law, including UNCLOS, which could affect international perceptions of the project, and could have implications for logistics, processing, and market access in UNCLOS parties for seabed minerals extracted under a U.S. license and for downstream products containing them, or for partnerships involving foreign entities, and could also result in actions, pursuant to UNCLOS, against TMC under the national laws of UNCLOS parties, any or all of which could have a material adverse affect on our business, financial condition, liquidity,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 under the U.S. regulatory pathway will also require continued policy support from the U.S. executive branch and agencies such as NOAA and the Department of Commerce. Shifts in U.S. political priorities, legal interpretations, or agency leadership could adversely affect our ability to obtain and maintain required approvals or to rely on DSHMRA as a viable permitting pathway.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Purchasers of securities in this offering will experience immediate and substantial dilution in this offering. You may experience further dilution upon exercise of our outstanding options and warrants or vesting of our restricted share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share and accompanying Class C warrant in this offering may exceed the net tangible book value (deficit) per share. Based on the offering price of $3.00 per common share and accompanying Class C warrant and after deducting estimated offering expenses payable by us, investors in this offering would experience immediate dilution of $2.936 per share, representing the difference between our as adjusted net tangible book value (deficit) per share (not including the impact of exercise of Class C warrants) as of December 31, 2024, after giving effect to this offering, and the offering price. In addition, if our outstanding options or warrants are exercised or restricted share units vest, you could experience further dilution. For a further description of the dilution that you will experience immediately after this offering, see the section in this prospectus supplement entitled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of our common shares, or the perception that such future issuances may occur, may cause our share price to decline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 substantial number of our common shares through sales, compensation programs or otherwise, or the perception that these issuances could occur, following this offering could cause the market price of our common shares to decline significantly. A substantial majority of the outstanding common shares are, and the common shares sold in this offering upon issuance will be, freely tradable without restriction or further registration under the Securities Act of 1933, as amended, or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to determine how to use the funds raised in this offering, and may use them in ways that may not enhance our operating results or the price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over the use of proceeds from this offering, and we could spend the proceeds from this offering in ways our shareholders may not agree with or that do not yield a favorable return, if at all. We intend to use the net proceeds from this offering for working capital and general corporate purposes and to repay in whole or in part the outstanding balance of the 2024 Credit Facility and the Working Capital Loan Agreement. See “Use of Proceeds” beginning on page S-16 of this prospectus supplement for additional detail. However, our use of these proceeds may differ substantially from our current plans. If we do not invest or apply the proceeds from this offering in ways that improve our operating results, we may fail to achieve expected financial results, which could cause our share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expect to pay dividends in the foreseeable future. As a result, you must rely on capital appreciation, if any, for any return on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cash dividends on our common shares in the foreseeable future. Any payment of cash dividends would also depend on a number of factors, including our financial condition, liquidity, results of operations, capital requirements, prospects and other factors, and will be at the discretion of our board of directors. Accordingly, you will have to rely on capital appreciation, if any, to earn a return on your investment in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b/>
          <w:i/>
        </w:rPr>
      </w:pPr>
      <w:r>
        <w:rPr>
          <w:b/>
          <w:i/>
        </w:rPr>
        <w:t>There is no public market for the Class C warrants to purchase common shares being offered in this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Class C warrants being offered in this offering, and we do not expect a market to develop. In addition, we do not intend to apply to list the Class C warrants on any national securities exchange or other nationally recognized trading system, including Nasdaq. Without an active market, the liquidity of the Class C warrants will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b/>
          <w:i/>
        </w:rPr>
      </w:pPr>
      <w:r>
        <w:rPr>
          <w:b/>
          <w:i/>
        </w:rPr>
        <w:t>Holders of our Class C warrants will have no rights as a common shareholder until they acquire our common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you acquire our common shares upon exercise of the Class C warrants, you will have no rights with respect to our common shares issuable upon exercise of the Class C warrants. Upon exercise of your Class C warrants, you will be entitled to exercise the rights of a common shareholder only as to matters for which the record date occurs after the exercise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b/>
          <w:i/>
        </w:rPr>
      </w:pPr>
      <w:r>
        <w:rPr>
          <w:b/>
          <w:i/>
        </w:rPr>
        <w:t>The Class C warrants are speculative in nature.</w:t>
      </w:r>
    </w:p>
    <w:p>
      <w:pPr>
        <w:pStyle w:val="TextBody"/>
        <w:bidi w:val="0"/>
        <w:spacing w:before="0" w:after="0"/>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C warrants offered hereby do not confer any rights of common share ownership on their holders, such as voting rights or the right to receive dividends, but rather merely represent the right to acquire common shares at a fixed price. Specifically, commencing on the date of issuance, holders of the Class C warrants may acquire the common shares issuable upon exercise of such Class C warrants at an exercise price of $4.50 per share. Moreover, following this offering, the market value of the Class C warrants is uncertain and there can be no assurance that the market value of the Class C warrants will equal or exceed their offering price. There can be no assurance that the market price of the common shares will ever equal or exceed the exercise price of the Class C warrants and consequently, whether it will ever be profitable for holders of the Class C warrants to exercise the Class C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b/>
          <w:i/>
        </w:rPr>
      </w:pPr>
      <w:r>
        <w:rPr>
          <w:b/>
          <w:i/>
        </w:rPr>
        <w:t>The Class C warrants may not have any value.</w:t>
      </w:r>
    </w:p>
    <w:p>
      <w:pPr>
        <w:pStyle w:val="TextBody"/>
        <w:bidi w:val="0"/>
        <w:spacing w:before="0" w:after="0"/>
        <w:jc w:val="left"/>
        <w:rPr/>
      </w:pPr>
      <w:r>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price of our common shares does not exceed the exercise price for the Class C warrants during the period when the Class C warrants are exercisable, the Class C warrants may not have any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aa_005"/>
      <w:bookmarkEnd w:id="6"/>
      <w:r>
        <w:rPr>
          <w:rFonts w:ascii="Times New Roman;Times;Serif" w:hAnsi="Times New Roman;Times;Serif"/>
          <w:b/>
          <w:i w:val="false"/>
          <w:caps/>
          <w:sz w:val="20"/>
        </w:rPr>
        <w:t>CAUTIONARY NOTICE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This prospectus supplement, the accompanying base prospectuses and the documents incorporated by reference include forward-looking statements within the meaning of Section 27A of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supplement, the accompanying base prospectuses and the documents incorporated by reference therein,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information in this prospectus supplement, the accompanying base prospectuses and the incorporated documents, particularly the information in </w:t>
      </w:r>
      <w:hyperlink r:id="rId6">
        <w:r>
          <w:rPr>
            <w:rStyle w:val="InternetLink"/>
            <w:rFonts w:ascii="Times New Roman;Times;Serif" w:hAnsi="Times New Roman;Times;Serif"/>
            <w:b w:val="false"/>
            <w:i w:val="false"/>
            <w:caps w:val="false"/>
            <w:smallCaps w:val="false"/>
            <w:sz w:val="20"/>
          </w:rPr>
          <w:t>our Annual Report on Form 10-K for the year ended December 31, 2024</w:t>
        </w:r>
      </w:hyperlink>
      <w:r>
        <w:rPr>
          <w:rFonts w:ascii="Times New Roman;Times;Serif" w:hAnsi="Times New Roman;Times;Serif"/>
          <w:b w:val="false"/>
          <w:i w:val="false"/>
          <w:caps w:val="false"/>
          <w:smallCaps w:val="false"/>
          <w:sz w:val="20"/>
        </w:rPr>
        <w:t xml:space="preserve"> under the captions “Business,” “Risk Factors,” and “Management’s Discussion and Analysis of Financial Condition and Results of Operations,” and the “Risk Factors” section of this prospectus supplement, discuss some of the factors that could contribute to these differences. These forward-looking statements include, among other things, statements about: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217"/>
        <w:gridCol w:w="9902"/>
      </w:tblGrid>
      <w:tr>
        <w:trPr/>
        <w:tc>
          <w:tcPr>
            <w:tcW w:w="8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02" w:type="dxa"/>
            <w:tcBorders/>
            <w:vAlign w:val="center"/>
          </w:tcPr>
          <w:p>
            <w:pPr>
              <w:pStyle w:val="TableContents"/>
              <w:bidi w:val="0"/>
              <w:spacing w:before="0" w:after="283"/>
              <w:jc w:val="both"/>
              <w:rPr/>
            </w:pPr>
            <w:r>
              <w:rPr/>
              <w:t>our use of the net proceeds from this offering;</w:t>
            </w:r>
          </w:p>
        </w:tc>
      </w:tr>
    </w:tbl>
    <w:tbl>
      <w:tblPr>
        <w:tblW w:w="5000" w:type="pct"/>
        <w:jc w:val="left"/>
        <w:tblInd w:w="0" w:type="dxa"/>
        <w:tblLayout w:type="fixed"/>
        <w:tblCellMar>
          <w:top w:w="0" w:type="dxa"/>
          <w:left w:w="0" w:type="dxa"/>
          <w:bottom w:w="0" w:type="dxa"/>
          <w:right w:w="0" w:type="dxa"/>
        </w:tblCellMar>
      </w:tblPr>
      <w:tblGrid>
        <w:gridCol w:w="41"/>
        <w:gridCol w:w="103"/>
        <w:gridCol w:w="10061"/>
      </w:tblGrid>
      <w:tr>
        <w:trPr/>
        <w:tc>
          <w:tcPr>
            <w:tcW w:w="41"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1" w:type="dxa"/>
            <w:tcBorders/>
            <w:vAlign w:val="center"/>
          </w:tcPr>
          <w:p>
            <w:pPr>
              <w:pStyle w:val="TableContents"/>
              <w:bidi w:val="0"/>
              <w:spacing w:before="0" w:after="283"/>
              <w:jc w:val="both"/>
              <w:rPr/>
            </w:pPr>
            <w:r>
              <w:rPr/>
              <w:t>the commercial and technical feasibility of seafloor polymetallic nodule collection and processing;</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supply and demand for nickel and cobalt (including critical metals and battery cathode feedstocks), steel-making feedstocks, copper cathode and manganese ores;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future prices of nickel and cobalt (including critical metals and battery cathode feedstocks), steel-making feedstocks, copper cathode and manganese ores;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statements concerning the pursuit of a U.S.-based regulatory pathway with NOAA and the U.S. Department of Commerce under DSHMRA for the commercial production of deep-sea polymetallic nodules in the CCZ;</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statements concerning the status of our exploration contracts issued by the ISA and our expectations with respect to preparing, filing an application for an exploitation contract with the ISA and the expected interplay between the two regulatory pathways;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government regulation of mineral extraction from the deep seafloor and changes in mining laws and regulations;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technical, operational, environmental, social and governance risks of developing and deploying equipment to collect and ship polymetallic nodules at sea, and to process such nodules on land;</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sources and timing of potential revenue as well as the timing and amount of estimated future production, costs of production, other expenses, capital expenditures and requirements for additional capital;</w:t>
            </w:r>
          </w:p>
        </w:tc>
      </w:tr>
    </w:tbl>
    <w:tbl>
      <w:tblPr>
        <w:tblW w:w="5000" w:type="pct"/>
        <w:jc w:val="left"/>
        <w:tblInd w:w="0" w:type="dxa"/>
        <w:tblLayout w:type="fixed"/>
        <w:tblCellMar>
          <w:top w:w="0" w:type="dxa"/>
          <w:left w:w="0" w:type="dxa"/>
          <w:bottom w:w="0" w:type="dxa"/>
          <w:right w:w="0" w:type="dxa"/>
        </w:tblCellMar>
      </w:tblPr>
      <w:tblGrid>
        <w:gridCol w:w="92"/>
        <w:gridCol w:w="232"/>
        <w:gridCol w:w="9881"/>
      </w:tblGrid>
      <w:tr>
        <w:trPr/>
        <w:tc>
          <w:tcPr>
            <w:tcW w:w="9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81" w:type="dxa"/>
            <w:tcBorders/>
            <w:vAlign w:val="center"/>
          </w:tcPr>
          <w:p>
            <w:pPr>
              <w:pStyle w:val="TableContents"/>
              <w:bidi w:val="0"/>
              <w:spacing w:before="0" w:after="283"/>
              <w:jc w:val="both"/>
              <w:rPr/>
            </w:pPr>
            <w:r>
              <w:rPr/>
              <w:t>cash flow provided by operating activities;</w:t>
            </w:r>
          </w:p>
        </w:tc>
      </w:tr>
    </w:tbl>
    <w:tbl>
      <w:tblPr>
        <w:tblW w:w="5000" w:type="pct"/>
        <w:jc w:val="left"/>
        <w:tblInd w:w="0" w:type="dxa"/>
        <w:tblLayout w:type="fixed"/>
        <w:tblCellMar>
          <w:top w:w="0" w:type="dxa"/>
          <w:left w:w="0" w:type="dxa"/>
          <w:bottom w:w="0" w:type="dxa"/>
          <w:right w:w="0" w:type="dxa"/>
        </w:tblCellMar>
      </w:tblPr>
      <w:tblGrid>
        <w:gridCol w:w="53"/>
        <w:gridCol w:w="135"/>
        <w:gridCol w:w="10017"/>
      </w:tblGrid>
      <w:tr>
        <w:trPr/>
        <w:tc>
          <w:tcPr>
            <w:tcW w:w="5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7" w:type="dxa"/>
            <w:tcBorders/>
            <w:vAlign w:val="center"/>
          </w:tcPr>
          <w:p>
            <w:pPr>
              <w:pStyle w:val="TableContents"/>
              <w:bidi w:val="0"/>
              <w:spacing w:before="0" w:after="283"/>
              <w:jc w:val="both"/>
              <w:rPr/>
            </w:pPr>
            <w:r>
              <w:rPr/>
              <w:t>the expected activities of our partners under our key strategic relationships;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sufficiency of our cash on hand to meet our working capital and capital expenditure requirements, the need for additional financing and our ability to continue as a going concern;</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our ability to raise financing in the future, the nature of any such financing and our plans with respect thereto;</w:t>
            </w:r>
          </w:p>
        </w:tc>
      </w:tr>
    </w:tbl>
    <w:tbl>
      <w:tblPr>
        <w:tblW w:w="5000" w:type="pct"/>
        <w:jc w:val="left"/>
        <w:tblInd w:w="0" w:type="dxa"/>
        <w:tblLayout w:type="fixed"/>
        <w:tblCellMar>
          <w:top w:w="0" w:type="dxa"/>
          <w:left w:w="0" w:type="dxa"/>
          <w:bottom w:w="0" w:type="dxa"/>
          <w:right w:w="0" w:type="dxa"/>
        </w:tblCellMar>
      </w:tblPr>
      <w:tblGrid>
        <w:gridCol w:w="103"/>
        <w:gridCol w:w="259"/>
        <w:gridCol w:w="9843"/>
      </w:tblGrid>
      <w:tr>
        <w:trPr/>
        <w:tc>
          <w:tcPr>
            <w:tcW w:w="10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43" w:type="dxa"/>
            <w:tcBorders/>
            <w:vAlign w:val="center"/>
          </w:tcPr>
          <w:p>
            <w:pPr>
              <w:pStyle w:val="TableContents"/>
              <w:bidi w:val="0"/>
              <w:spacing w:before="0" w:after="283"/>
              <w:jc w:val="both"/>
              <w:rPr/>
            </w:pPr>
            <w:r>
              <w:rPr/>
              <w:t>any litigation to which we are a party;</w:t>
            </w:r>
          </w:p>
        </w:tc>
      </w:tr>
    </w:tbl>
    <w:tbl>
      <w:tblPr>
        <w:tblW w:w="5000" w:type="pct"/>
        <w:jc w:val="left"/>
        <w:tblInd w:w="0" w:type="dxa"/>
        <w:tblLayout w:type="fixed"/>
        <w:tblCellMar>
          <w:top w:w="0" w:type="dxa"/>
          <w:left w:w="0" w:type="dxa"/>
          <w:bottom w:w="0" w:type="dxa"/>
          <w:right w:w="0" w:type="dxa"/>
        </w:tblCellMar>
      </w:tblPr>
      <w:tblGrid>
        <w:gridCol w:w="87"/>
        <w:gridCol w:w="218"/>
        <w:gridCol w:w="9900"/>
      </w:tblGrid>
      <w:tr>
        <w:trPr/>
        <w:tc>
          <w:tcPr>
            <w:tcW w:w="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00" w:type="dxa"/>
            <w:tcBorders/>
            <w:vAlign w:val="center"/>
          </w:tcPr>
          <w:p>
            <w:pPr>
              <w:pStyle w:val="TableContents"/>
              <w:bidi w:val="0"/>
              <w:spacing w:before="0" w:after="283"/>
              <w:jc w:val="both"/>
              <w:rPr/>
            </w:pPr>
            <w:r>
              <w:rPr/>
              <w:t>claims and limitations on insurance coverage;</w:t>
            </w:r>
          </w:p>
        </w:tc>
      </w:tr>
    </w:tbl>
    <w:tbl>
      <w:tblPr>
        <w:tblW w:w="5000" w:type="pct"/>
        <w:jc w:val="left"/>
        <w:tblInd w:w="0" w:type="dxa"/>
        <w:tblLayout w:type="fixed"/>
        <w:tblCellMar>
          <w:top w:w="0" w:type="dxa"/>
          <w:left w:w="0" w:type="dxa"/>
          <w:bottom w:w="0" w:type="dxa"/>
          <w:right w:w="0" w:type="dxa"/>
        </w:tblCellMar>
      </w:tblPr>
      <w:tblGrid>
        <w:gridCol w:w="44"/>
        <w:gridCol w:w="112"/>
        <w:gridCol w:w="10049"/>
      </w:tblGrid>
      <w:tr>
        <w:trPr/>
        <w:tc>
          <w:tcPr>
            <w:tcW w:w="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9" w:type="dxa"/>
            <w:tcBorders/>
            <w:vAlign w:val="center"/>
          </w:tcPr>
          <w:p>
            <w:pPr>
              <w:pStyle w:val="TableContents"/>
              <w:bidi w:val="0"/>
              <w:spacing w:before="0" w:after="283"/>
              <w:jc w:val="both"/>
              <w:rPr/>
            </w:pPr>
            <w:r>
              <w:rPr/>
              <w:t>our plans to mitigate our material weakness in our internal control over financial reporting;</w:t>
            </w:r>
          </w:p>
        </w:tc>
      </w:tr>
    </w:tbl>
    <w:tbl>
      <w:tblPr>
        <w:tblW w:w="5000" w:type="pct"/>
        <w:jc w:val="left"/>
        <w:tblInd w:w="0" w:type="dxa"/>
        <w:tblLayout w:type="fixed"/>
        <w:tblCellMar>
          <w:top w:w="0" w:type="dxa"/>
          <w:left w:w="0" w:type="dxa"/>
          <w:bottom w:w="0" w:type="dxa"/>
          <w:right w:w="0" w:type="dxa"/>
        </w:tblCellMar>
      </w:tblPr>
      <w:tblGrid>
        <w:gridCol w:w="62"/>
        <w:gridCol w:w="157"/>
        <w:gridCol w:w="9986"/>
      </w:tblGrid>
      <w:tr>
        <w:trPr/>
        <w:tc>
          <w:tcPr>
            <w:tcW w:w="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6" w:type="dxa"/>
            <w:tcBorders/>
            <w:vAlign w:val="center"/>
          </w:tcPr>
          <w:p>
            <w:pPr>
              <w:pStyle w:val="TableContents"/>
              <w:bidi w:val="0"/>
              <w:spacing w:before="0" w:after="283"/>
              <w:jc w:val="both"/>
              <w:rPr/>
            </w:pPr>
            <w:r>
              <w:rPr/>
              <w:t>geological, metallurgical and geotechnical studies and opinions;</w:t>
            </w:r>
          </w:p>
        </w:tc>
      </w:tr>
    </w:tbl>
    <w:tbl>
      <w:tblPr>
        <w:tblW w:w="5000" w:type="pct"/>
        <w:jc w:val="left"/>
        <w:tblInd w:w="0" w:type="dxa"/>
        <w:tblLayout w:type="fixed"/>
        <w:tblCellMar>
          <w:top w:w="0" w:type="dxa"/>
          <w:left w:w="0" w:type="dxa"/>
          <w:bottom w:w="0" w:type="dxa"/>
          <w:right w:w="0" w:type="dxa"/>
        </w:tblCellMar>
      </w:tblPr>
      <w:tblGrid>
        <w:gridCol w:w="49"/>
        <w:gridCol w:w="124"/>
        <w:gridCol w:w="10032"/>
      </w:tblGrid>
      <w:tr>
        <w:trPr/>
        <w:tc>
          <w:tcPr>
            <w:tcW w:w="4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2" w:type="dxa"/>
            <w:tcBorders/>
            <w:vAlign w:val="center"/>
          </w:tcPr>
          <w:p>
            <w:pPr>
              <w:pStyle w:val="TableContents"/>
              <w:bidi w:val="0"/>
              <w:spacing w:before="0" w:after="283"/>
              <w:jc w:val="both"/>
              <w:rPr/>
            </w:pPr>
            <w:r>
              <w:rPr/>
              <w:t>mineral resource estimates and our ability to define and declare reserve estimates;</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our status as an emerging growth company, non-reporting Canadian issuer and passive foreign investment company; and</w:t>
            </w:r>
          </w:p>
        </w:tc>
      </w:tr>
    </w:tbl>
    <w:tbl>
      <w:tblPr>
        <w:tblW w:w="5000" w:type="pct"/>
        <w:jc w:val="left"/>
        <w:tblInd w:w="0" w:type="dxa"/>
        <w:tblLayout w:type="fixed"/>
        <w:tblCellMar>
          <w:top w:w="0" w:type="dxa"/>
          <w:left w:w="0" w:type="dxa"/>
          <w:bottom w:w="0" w:type="dxa"/>
          <w:right w:w="0" w:type="dxa"/>
        </w:tblCellMar>
      </w:tblPr>
      <w:tblGrid>
        <w:gridCol w:w="108"/>
        <w:gridCol w:w="273"/>
        <w:gridCol w:w="9824"/>
      </w:tblGrid>
      <w:tr>
        <w:trPr/>
        <w:tc>
          <w:tcPr>
            <w:tcW w:w="10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24" w:type="dxa"/>
            <w:tcBorders/>
            <w:vAlign w:val="center"/>
          </w:tcPr>
          <w:p>
            <w:pPr>
              <w:pStyle w:val="TableContents"/>
              <w:bidi w:val="0"/>
              <w:spacing w:before="0" w:after="283"/>
              <w:jc w:val="both"/>
              <w:rPr/>
            </w:pPr>
            <w:r>
              <w:rPr/>
              <w:t>our expected financial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supplement, the accompanying base prospectuses and in the documents incorporated by reference therein, particularly in the “Risk Factors” section, that we believe could cause actual results or events to differ materially from the forward-looking statements that we make. For a summary of such factors, please refer to the section entitled “Risk Factors” in this prospectus supplement and in the accompanying base prospectuses, as supplemented by the discussion of risks and uncertainties under “Risk Factors” contained in </w:t>
      </w:r>
      <w:hyperlink r:id="rId7">
        <w:r>
          <w:rPr>
            <w:rStyle w:val="InternetLink"/>
            <w:rFonts w:ascii="Times New Roman;Times;Serif" w:hAnsi="Times New Roman;Times;Serif"/>
            <w:b w:val="false"/>
            <w:i w:val="false"/>
            <w:caps w:val="false"/>
            <w:smallCaps w:val="false"/>
            <w:sz w:val="20"/>
          </w:rPr>
          <w:t>our Annual Report on Form 10-K for the year ended December 31, 2024</w:t>
        </w:r>
      </w:hyperlink>
      <w:r>
        <w:rPr>
          <w:rFonts w:ascii="Times New Roman;Times;Serif" w:hAnsi="Times New Roman;Times;Serif"/>
          <w:b w:val="false"/>
          <w:i w:val="false"/>
          <w:caps w:val="false"/>
          <w:smallCaps w:val="false"/>
          <w:sz w:val="20"/>
        </w:rPr>
        <w:t>, as filed with the SEC and which is incorporated herein by reference. The information contained in this document and the documents incorporated by reference herein is believed to be current as of the date of such documents or other dates as may be specified in such documents. We do not intend to update any of the forward-looking statements after the date of this document to conform these statements to actual results or to changes in our expectations,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assumptions, risks and uncertainties, the results and events discussed in the forward-looking statements contained in this prospectus supplement, the accompanying base prospectuses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supplement.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aa_006"/>
      <w:bookmarkEnd w:id="7"/>
      <w:r>
        <w:rPr>
          <w:rFonts w:ascii="Times New Roman;Times;Serif" w:hAnsi="Times New Roman;Times;Serif"/>
          <w:b/>
          <w:i w:val="false"/>
          <w:caps/>
          <w:sz w:val="20"/>
        </w:rPr>
        <w:t>NO CANADIAN PROSPECTUS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shares, Class C warrants and any common shares issuable from time to time upon exercise of the Class C warrants offered hereby have not been and will not be qualified for distribution to the public under the securities laws of any province or territory of Canada. The common shares, Class C warrants and any common shares issuable from time to time upon exercise of the Class C warrants may not be offered or sold, directly or indirectly, in Canada or to a Canadian purchaser or to any person who is purchasing for distribution to, or for the account of, any person in Canada. The Company is not a reporting issuer under Canadian securities laws and, as such, the common shares, Class C warrants and any common shares issuable from time to time upon exercise of the Class C warrants will be subject to resale restrictions in Canada under such laws for an indefinite amount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aa_007"/>
      <w:bookmarkEnd w:id="8"/>
      <w:r>
        <w:rPr>
          <w:rFonts w:ascii="Times New Roman;Times;Serif" w:hAnsi="Times New Roman;Times;Serif"/>
          <w:b/>
          <w:i w:val="false"/>
          <w:caps/>
          <w:sz w:val="20"/>
        </w:rPr>
        <w:t>CAUTIONARY STATEMENTS REGARDING THE NORI INITIAL ASSESSMENT AND TOML MINERAL RESOURCE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otherwise stated, the scientific and technical information set forth in this prospectus supplement relating to the area under which our subsidiary NORI holds an exploration contract issued by the ISA, or the NORI Area, and the area under which our subsidiary TOML holds an exploration contract issued by the ISA, or the TOML Area, and in the documents incorporated by reference is based on technical reports, or the Technical Reports, prepared in accordance with the SEC rules set forth in subpart 1300 of Regulation S-K as promulgated by the SEC, or S-K 1300.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In respect of the NORI Area, the technical report entitled “Technical Report Summary – Initial Assessment of the NORI Property, Clarion-Clipperton Zone” dated as of March 17, 2021, or the NORI Initial Assessment, prepared by AMC Consultants Pty Ltd. and other qualified persons, each a “qualified person” as defined in S-K 1300; and</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In respect of the TOML Area, the technical report entitled “Technical Report Summary – TOML Mineral Resource, Clarion Clipperton Zone, Pacific Ocean” dated as of March 26, 2021, or the TOML Mineral Resource Statement, prepared by AMC Consultants Pty Ltd. and other qualified persons, each a “qualified person” as defined in S-K 1300.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continue to estimate our resources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 In addition, we have continued to define our resource in the NORI Area, with the goal to develop project economics to pre-feasibility level and are working towards a pre-feasibility study, which is nearing completion. As part of our ongoing refinement of our business plans and resource definition work, we are now pursuing a low-capital asset expenditure, or CAPEX, approach to our development and commercialization of operations for our NORI Area D project where we reuse existing production assets as opposed to the high-CAPEX approach, where the majority of offshore and onshore production assets would be newly built by us as assumed in the 2021 economic analysis included in the NORI Initial Assessment. In addition, we are increasingly focused on advancing our commercial production strategy under the U.S.-based DSHMRA regime. As a result of these changes and the general passage of time since the valuation date of January 1, 2021, the 2021 point-in-time economic analysis included in Section 19 of the NORI Initial Assessment and the estimated capital and operating costs set forth in Section 18 of the NORI Initial Assessment, including any references thereto throughout the NORI Initial Assessment, should no longer be relied upon or used by investors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NORI Initial Assessment and TOML Mineral Resource Statement do not include the conversion of mineral resources to mineral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supplement or in the applicable report summary, the terms “mineral resource,” “measured mineral resource,” “indicated mineral resource” and “inferred mineral resource”, as applicable, are defined and used in accordance with the SEC Mining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supplement includes information that has been prepared in accordance with the requirements of the SEC Mining Rules set forth in S-K 1300.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Likewise, you are cautioned not to assume that all or any part of measured or indicated mineral resources will ever be upgraded to mineral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Further information on each of the polymetallic nodule areas in the CCZ and the Technical Reports referred to above can be found in our </w:t>
      </w:r>
      <w:hyperlink r:id="rId8">
        <w:r>
          <w:rPr>
            <w:rStyle w:val="InternetLink"/>
            <w:rFonts w:ascii="Times New Roman;Times;Serif" w:hAnsi="Times New Roman;Times;Serif"/>
            <w:b w:val="false"/>
            <w:i w:val="false"/>
            <w:caps w:val="false"/>
            <w:smallCaps w:val="false"/>
            <w:sz w:val="20"/>
          </w:rPr>
          <w:t>Annual Report on Form 10-K for the year ended December 31, 2024</w:t>
        </w:r>
      </w:hyperlink>
      <w:r>
        <w:rPr>
          <w:rFonts w:ascii="Times New Roman;Times;Serif" w:hAnsi="Times New Roman;Times;Serif"/>
          <w:b w:val="false"/>
          <w:i w:val="false"/>
          <w:caps w:val="false"/>
          <w:smallCaps w:val="false"/>
          <w:sz w:val="20"/>
        </w:rPr>
        <w:t xml:space="preserve">. The information contained in this prospectus supplement and the documents incorporated by reference herein regarding the NORI Area and the TOML Area has been derived from the Technical Reports, is subject to certain assumptions, qualifications and procedures described in the Technical Reports and is qualified in its entirety by the full text of the Technical Reports, each of which is filed as an exhibit to our </w:t>
      </w:r>
      <w:hyperlink r:id="rId9">
        <w:r>
          <w:rPr>
            <w:rStyle w:val="InternetLink"/>
            <w:rFonts w:ascii="Times New Roman;Times;Serif" w:hAnsi="Times New Roman;Times;Serif"/>
            <w:b w:val="false"/>
            <w:i w:val="false"/>
            <w:caps w:val="false"/>
            <w:smallCaps w:val="false"/>
            <w:sz w:val="20"/>
          </w:rPr>
          <w:t>Annual Report on Form 10-K for the year ended December 31, 2024</w:t>
        </w:r>
      </w:hyperlink>
      <w:r>
        <w:rPr>
          <w:rFonts w:ascii="Times New Roman;Times;Serif" w:hAnsi="Times New Roman;Times;Serif"/>
          <w:b w:val="false"/>
          <w:i w:val="false"/>
          <w:caps w:val="false"/>
          <w:smallCaps w:val="false"/>
          <w:sz w:val="20"/>
        </w:rPr>
        <w:t>, which annual report is incorporated by reference into this prospectus supplement and the accompanying base prospectuses.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aa_008"/>
      <w:bookmarkEnd w:id="9"/>
      <w:r>
        <w:rPr>
          <w:rFonts w:ascii="Times New Roman;Times;Serif" w:hAnsi="Times New Roman;Times;Serif"/>
          <w:b/>
          <w:i w:val="false"/>
          <w:caps/>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the sale of the securities in this offering, after deducting the estimated offering expenses payable by us, will be approximately $36.75 million. This estimate excludes the proceeds, if any, from the exercise of the Class C warrants sold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including any proceeds from the exercise of the Class C warrants sold in this offering, for working capital and general corporate purposes and to repay in whole or in part the outstanding balance of the 2024 Credit Facility with Gerard Barron, our Chief Executive Officer and Chairman, and ERAS Capital LLC, the family fund of our director, Andrei Karkar, and the outstanding balance under the Working Capital Loan with Allseas Investments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outstanding balance of the 2024 Credit Agreement was $2.5 million. The 2024 Credit Facility has a borrowing limit of $44 million ($22 million for each lender), bears interest at the 6-month Secured Overnight Financing Rate, 180-day average plus 4.0% per annum payable in cash semi-annually (or plus 5% if paid-in-kind at maturity, at our election) on the first business day of each of June and January and matures on June 30, 2026 unless extended for up to two additional one-year periods by the lenders. We also pay an underutilization fee equal to 6.5% per annum payable semi-annually for any amounts that remain undrawn under the 2024 Credit Facility. In addition, the lenders may terminate the 2024 Credit Facility if we or any of our subsidiaries raises at least $50 million in the aggregate (i) through the issuance of any debt or equity securities, or (ii) in prepayments under an off-take agreement or similar commercial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outstanding balance of the Working Capital Loan Agreement with Allseas Investments S.A. was $7.5 million. The Working Capital Loan Agreement bears interest based on the 6-month Secured Overnight Financing Rate, 180-day average plus a margin of 4.0% per annum (or plus a margin of 5.0% if all interest payments are deferred to the repayment date) and is repayable on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we cannot specify with certainty all of the particular uses for the net proceeds to be received upon the completion of this offering. Additionally, our management will have broad discretion in the timing and application of these proceeds. Pending application of the net proceeds as described above, we intend to invest the proceeds of this offering in money market funds, certificates of deposit and corporate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planned use of the net proceeds from this offering and our existing cash, cash equivalents and investments, we expect that such funds will be sufficient to enable us to fund our operations through at least the next 12 months, subject to certain assumptions, including our anticipated cash needs. We have based this estimate on assumptions that may prove to be incorrect, and we could use our available capital resources sooner than we currently expect. Our business is capital intensive, and we will be required to raise additional funds in the future to accomplish our objectives. This additional financing may not be available on acceptable terms or at all. Failure to obtain this necessary capital when needed may force us to reduce or terminate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aa_009"/>
      <w:bookmarkEnd w:id="10"/>
      <w:r>
        <w:rPr>
          <w:rFonts w:ascii="Times New Roman;Times;Serif" w:hAnsi="Times New Roman;Times;Serif"/>
          <w:b/>
          <w:i w:val="false"/>
          <w:caps/>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this offering, your ownership interest will be diluted to the extent of the difference between the offering price per share and accompanying Class C warrant and the as adjusted net tangible book value (deficit) per share after giving effect to this offering (excluding the common shares issuable upon exercise of the Class C warrants being offered in this offering and the payment of the exercise price therefor). We calculate net tangible book value (deficit) per share by dividing the net tangible book value (deficit), which is tangible assets (consisting of cash, exploration contracts, equipment and investments) less total liabilities (which excludes deferred tax liabilities), by the number of outstanding common shares. Dilution represents the difference between the amount per share paid by investors in this offering and the as adjusted net tangible book value (deficit) per share immediately after giving effect to this offering. Our net tangible book value (deficit) as of December 31, 2024 was approximately $(14.0) million, or $(0.041)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by us of 12,333,333 common shares and accompanying Class C warrants to purchase one common share at the offering price of $3.00 per common share and accompanying Class C warrant and after deducting estimated aggregate offering expenses payable by us, our as adjusted net tangible book value (deficit) (not including the impact of exercise of Class C warrants) as of December 31, 2024 would be approximately $22.7 million, or $0.064 per share. This represents an immediate increase in net tangible book value (deficit) of $0.105 per share to our existing shareholders and an immediate dilution of $2.936 per share issued to the investors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per share dilution:</w:t>
      </w:r>
    </w:p>
    <w:p>
      <w:pPr>
        <w:pStyle w:val="TextBody"/>
        <w:bidi w:val="0"/>
        <w:spacing w:before="0" w:after="0"/>
        <w:ind w:left="0" w:right="0" w:hanging="0"/>
        <w:jc w:val="left"/>
        <w:rPr>
          <w:caps w:val="false"/>
          <w:smallCaps w:val="false"/>
        </w:rPr>
      </w:pPr>
      <w:r>
        <w:rPr>
          <w:caps w:val="false"/>
          <w:smallCaps w:val="false"/>
        </w:rPr>
        <w:t> </w:t>
      </w:r>
    </w:p>
    <w:tbl>
      <w:tblPr>
        <w:tblW w:w="8130" w:type="dxa"/>
        <w:jc w:val="left"/>
        <w:tblInd w:w="0" w:type="dxa"/>
        <w:tblLayout w:type="fixed"/>
        <w:tblCellMar>
          <w:top w:w="0" w:type="dxa"/>
          <w:left w:w="0" w:type="dxa"/>
          <w:bottom w:w="0" w:type="dxa"/>
          <w:right w:w="0" w:type="dxa"/>
        </w:tblCellMar>
      </w:tblPr>
      <w:tblGrid>
        <w:gridCol w:w="6575"/>
        <w:gridCol w:w="60"/>
        <w:gridCol w:w="125"/>
        <w:gridCol w:w="545"/>
        <w:gridCol w:w="80"/>
        <w:gridCol w:w="60"/>
        <w:gridCol w:w="125"/>
        <w:gridCol w:w="485"/>
        <w:gridCol w:w="75"/>
      </w:tblGrid>
      <w:tr>
        <w:trPr/>
        <w:tc>
          <w:tcPr>
            <w:tcW w:w="65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price per common share and accompanying Class C warrant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3.00</w:t>
            </w:r>
          </w:p>
        </w:tc>
        <w:tc>
          <w:tcPr>
            <w:tcW w:w="75" w:type="dxa"/>
            <w:tcBorders/>
            <w:shd w:fill="CCEEFF" w:val="clear"/>
            <w:vAlign w:val="center"/>
          </w:tcPr>
          <w:p>
            <w:pPr>
              <w:pStyle w:val="TableContents"/>
              <w:bidi w:val="0"/>
              <w:spacing w:before="0" w:after="283"/>
              <w:jc w:val="left"/>
              <w:rPr/>
            </w:pPr>
            <w:r>
              <w:rPr/>
              <w:t> </w:t>
            </w:r>
          </w:p>
        </w:tc>
      </w:tr>
      <w:tr>
        <w:trPr/>
        <w:tc>
          <w:tcPr>
            <w:tcW w:w="65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tangible book value (deficit) per share as of December 31,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5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net tangible book value (deficit)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0.105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65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adjusted net tangible book value (deficit) per share after this offering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0.064</w:t>
            </w:r>
          </w:p>
        </w:tc>
        <w:tc>
          <w:tcPr>
            <w:tcW w:w="75" w:type="dxa"/>
            <w:tcBorders/>
            <w:shd w:fill="FFFFFF" w:val="clear"/>
            <w:vAlign w:val="center"/>
          </w:tcPr>
          <w:p>
            <w:pPr>
              <w:pStyle w:val="TableContents"/>
              <w:bidi w:val="0"/>
              <w:spacing w:before="0" w:after="283"/>
              <w:jc w:val="left"/>
              <w:rPr/>
            </w:pPr>
            <w:r>
              <w:rPr/>
              <w:t> </w:t>
            </w:r>
          </w:p>
        </w:tc>
      </w:tr>
      <w:tr>
        <w:trPr/>
        <w:tc>
          <w:tcPr>
            <w:tcW w:w="65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per share to investors participating in this offering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85" w:type="dxa"/>
            <w:tcBorders/>
            <w:shd w:fill="CCEEFF" w:val="clear"/>
            <w:vAlign w:val="center"/>
          </w:tcPr>
          <w:p>
            <w:pPr>
              <w:pStyle w:val="TableContents"/>
              <w:bidi w:val="0"/>
              <w:spacing w:before="0" w:after="283"/>
              <w:jc w:val="right"/>
              <w:rPr>
                <w:sz w:val="20"/>
              </w:rPr>
            </w:pPr>
            <w:r>
              <w:rPr>
                <w:sz w:val="20"/>
              </w:rPr>
              <w:t>2.936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table and discussion are based on 340,708,460 common shares outstanding as of December 31, 2024, and excludes: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27,885,450 common shares and 14,106,452 special shares, which are automatically convertible into common shares on a one-for-one basis if certain price thresholds are met, issuable upon exercise of share options outstanding as of December 31, 2024 under our stock incentive plans, at a weighted average per option exercise price of $1.21;</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34,312,655 common shares issuable upon the vesting of restricted share units outstanding as of December 31, 2024;</w:t>
            </w:r>
          </w:p>
        </w:tc>
      </w:tr>
    </w:tbl>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13,246,054 common shares available for future grant under the 2021 Incentive Equity Plan, which includes the evergreen increase in the number of shares available under the 2021 Incentive Equity Plan made in January 2025;</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14,055,707 common shares available for future issuance under the 2021 Employee Stock Purchase Plan, which includes the evergreen increase in the number of shares available under the 2021 Employee Stock Purchase Plan made in January 2025;</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136,239,964 common shares reserved for issuance upon conversion of our outstanding special shares (including 14,106,452 special shares issuable upon outstanding options), which are automatically convertible into common shares on a one-for-one basis if certain price thresholds are met;</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38,180,770 common shares issuable upon exercise of outstanding warrants as of December 31, 2024 to purchase common shares, at a weighted average per warrant exercise price of $8.10;</w:t>
            </w:r>
          </w:p>
        </w:tc>
      </w:tr>
    </w:tbl>
    <w:tbl>
      <w:tblPr>
        <w:tblW w:w="5000" w:type="pct"/>
        <w:jc w:val="left"/>
        <w:tblInd w:w="0" w:type="dxa"/>
        <w:tblLayout w:type="fixed"/>
        <w:tblCellMar>
          <w:top w:w="0" w:type="dxa"/>
          <w:left w:w="0" w:type="dxa"/>
          <w:bottom w:w="0" w:type="dxa"/>
          <w:right w:w="0" w:type="dxa"/>
        </w:tblCellMar>
      </w:tblPr>
      <w:tblGrid>
        <w:gridCol w:w="41"/>
        <w:gridCol w:w="104"/>
        <w:gridCol w:w="10060"/>
      </w:tblGrid>
      <w:tr>
        <w:trPr/>
        <w:tc>
          <w:tcPr>
            <w:tcW w:w="41"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0" w:type="dxa"/>
            <w:tcBorders/>
            <w:vAlign w:val="center"/>
          </w:tcPr>
          <w:p>
            <w:pPr>
              <w:pStyle w:val="TableContents"/>
              <w:bidi w:val="0"/>
              <w:spacing w:before="0" w:after="283"/>
              <w:jc w:val="both"/>
              <w:rPr/>
            </w:pPr>
            <w:r>
              <w:rPr/>
              <w:t>7,542,996 common shares issued after December 31, 2024 pursuant to the Sales Agreement; and</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5,000,000 common shares and 2,500,000 common shares issuable upon exercise of our Class B warrants at an exercise price of $2.00 per share issued on February 6, 2025 in connection with the registered direct offering of common shares and Class B warrants pursuant to a securities purchase agreement, dated as of November 14, 2024, as amended on November 26,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options or warrants are exercised, restricted share units vest, new options or restricted share units are issued under our equity incentive plans, or we issue additional common shares or other equity or convertible securities in the future, there may be further dilution to investors participating in this offering. Moreover,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aa_010"/>
      <w:bookmarkEnd w:id="11"/>
      <w:r>
        <w:rPr>
          <w:rFonts w:ascii="Times New Roman;Times;Serif" w:hAnsi="Times New Roman;Times;Serif"/>
          <w:b/>
          <w:i w:val="false"/>
          <w:caps w:val="false"/>
          <w:smallCaps w:val="false"/>
          <w:sz w:val="20"/>
        </w:rPr>
        <w:t>DESCRIPTION OF SECURITIES WE ARE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firstLine="360"/>
        <w:jc w:val="both"/>
        <w:rPr/>
      </w:pPr>
      <w:r>
        <w:rPr/>
        <w:t>The material terms and provisions of our common shares and each other class of our securities that qualifies or limits our common shares are described in Exhibit 4.1 to our Annual Report on Form 10-K for the year ended December 31, 2024, which is incorporated herein by reference. As of December 31, 2024, we had 340,708,460 common shares outstanding.</w:t>
      </w:r>
    </w:p>
    <w:p>
      <w:pPr>
        <w:pStyle w:val="TextBody"/>
        <w:bidi w:val="0"/>
        <w:jc w:val="left"/>
        <w:rPr>
          <w:b/>
        </w:rPr>
      </w:pPr>
      <w:r>
        <w:rPr>
          <w:b/>
        </w:rPr>
        <w:t>Class C Warrants</w:t>
      </w:r>
    </w:p>
    <w:p>
      <w:pPr>
        <w:pStyle w:val="TextBody"/>
        <w:bidi w:val="0"/>
        <w:ind w:left="0" w:right="0" w:firstLine="360"/>
        <w:jc w:val="both"/>
        <w:rPr/>
      </w:pPr>
      <w:r>
        <w:rPr/>
        <w:t>The following summary of certain terms and provisions of the Class C warrants that are being offered hereby is not complete and is subject to, and qualified in its entirety by, the provisions of the Class C warrants, the form of which will be filed as an exhibit to a Current Report on Form 8-K that we will file with the SEC and that will be incorporated by reference into the Registration Statements of which this prospectus supplement forms a part. Prospective investors should carefully review the terms and provisions of the form of Class C warrants for a complete description of the terms and conditions of the Class C warrants.</w:t>
      </w:r>
    </w:p>
    <w:p>
      <w:pPr>
        <w:pStyle w:val="TextBody"/>
        <w:bidi w:val="0"/>
        <w:ind w:left="0" w:right="0" w:firstLine="360"/>
        <w:jc w:val="left"/>
        <w:rPr/>
      </w:pPr>
      <w:r>
        <w:rPr>
          <w:i/>
        </w:rPr>
        <w:t>Form</w:t>
      </w:r>
      <w:r>
        <w:rPr/>
        <w:t>. The Class C warrants will be issued as individual Class C warrant agreements to the investors.</w:t>
      </w:r>
    </w:p>
    <w:p>
      <w:pPr>
        <w:pStyle w:val="TextBody"/>
        <w:bidi w:val="0"/>
        <w:ind w:left="0" w:right="0" w:firstLine="360"/>
        <w:jc w:val="both"/>
        <w:rPr/>
      </w:pPr>
      <w:r>
        <w:rPr>
          <w:i/>
        </w:rPr>
        <w:t>Exercisability</w:t>
      </w:r>
      <w:r>
        <w:rPr/>
        <w:t>. The Class C warrants are exercisable at any time on or after the issuance date until three years after the date of the securities purchase agreement.. The Class C warrants will be exercisable, at the option of each holder, in whole or in part by delivering to us a duly executed exercise notice and, at any time a registration statement registering the issuance of the common shares underlying the Class C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 If a registration statement registering the issuance of the common shares underlying the Class C warrants under the Securities Act is not then effective or available, the holder may only exercise the Class C warrant through a cashless exercise, in which case the holder would receive upon such exercise the net number of common shares determined according to the formula set forth in the Class C warrant. No fractional shares will be issued in connection with the exercise of a Class C warrant. In lieu of fractional shares, we will round down to the next whole share.</w:t>
      </w:r>
    </w:p>
    <w:p>
      <w:pPr>
        <w:pStyle w:val="TextBody"/>
        <w:bidi w:val="0"/>
        <w:ind w:left="0" w:right="0" w:firstLine="360"/>
        <w:jc w:val="both"/>
        <w:rPr/>
      </w:pPr>
      <w:r>
        <w:rPr>
          <w:i/>
        </w:rPr>
        <w:t>Exercise Limitation</w:t>
      </w:r>
      <w:r>
        <w:rPr/>
        <w:t>. A holder will not have the right to exercise any portion of the Class C warrant if the holder (together with its affiliates) would beneficially own in excess of 4.99%, 9.99% or 19.99%, at the election of a holder, of the number of common shares outstanding immediately after giving effect to the exercise, as such percentage ownership is determined in accordance with the terms of the Class C warrants. However, any holder may increase or decrease such percentage to any other percentage not in excess of 9.99% (or 19.99% with prior written approval of the Company) upon at least 61 days’ prior notice from the holder to us.</w:t>
      </w:r>
    </w:p>
    <w:p>
      <w:pPr>
        <w:pStyle w:val="TextBody"/>
        <w:bidi w:val="0"/>
        <w:ind w:left="0" w:right="0" w:firstLine="360"/>
        <w:jc w:val="both"/>
        <w:rPr/>
      </w:pPr>
      <w:r>
        <w:rPr>
          <w:i/>
        </w:rPr>
        <w:t>Exercise Price; Adjustment</w:t>
      </w:r>
      <w:r>
        <w:rPr/>
        <w:t>. The initial exercise price per common share purchasable upon exercise of the Class C warrants is $4.50 per share, subject to adjustment for reverse and forward stock splits, stock dividends, stock combinations and other similar transactions of the common shares. The exercise price is subject to appropriate adjustment in the event of certain stock dividends and distributions, stock splits, stock combinations, reclassifications or similar events affecting our common shares and also upon any distributions of assets, including cash, shares or other property to our shareholders.</w:t>
      </w:r>
    </w:p>
    <w:p>
      <w:pPr>
        <w:pStyle w:val="TextBody"/>
        <w:bidi w:val="0"/>
        <w:ind w:left="0" w:right="0" w:firstLine="360"/>
        <w:jc w:val="both"/>
        <w:rPr/>
      </w:pPr>
      <w:r>
        <w:rPr>
          <w:i/>
        </w:rPr>
        <w:t>Transferability/Warrant Agent</w:t>
      </w:r>
      <w:r>
        <w:rPr/>
        <w:t>. Subject to applicable laws, the Class C warrants may be offered for sale, sold, transferred or assigned without our consent. There is currently no trading market for the Class C warrants and a trading market is not expected to develop. The Company will initially act as warrant agent for the Class C warrants.</w:t>
      </w:r>
    </w:p>
    <w:p>
      <w:pPr>
        <w:pStyle w:val="TextBody"/>
        <w:bidi w:val="0"/>
        <w:ind w:left="0" w:right="0" w:firstLine="360"/>
        <w:jc w:val="both"/>
        <w:rPr/>
      </w:pPr>
      <w:r>
        <w:rPr>
          <w:i/>
        </w:rPr>
        <w:t>Trading Market</w:t>
      </w:r>
      <w:r>
        <w:rPr/>
        <w:t>. We do not plan on making the Class C warrants eligible to trade on any national securities exchange or any other nationally recognized trading system or market.</w:t>
      </w:r>
    </w:p>
    <w:p>
      <w:pPr>
        <w:pStyle w:val="TextBody"/>
        <w:bidi w:val="0"/>
        <w:ind w:left="0" w:right="0" w:firstLine="360"/>
        <w:jc w:val="both"/>
        <w:rPr/>
      </w:pPr>
      <w:r>
        <w:rPr>
          <w:i/>
        </w:rPr>
        <w:t>Fundamental Transactions</w:t>
      </w:r>
      <w:r>
        <w:rPr/>
        <w:t>. In the event of a fundamental transaction, as described in the Class C warrants and generally including any reorganization, recapitalization or reclassification of our common shares, the sale, transfer or other disposition of all or substantially all of our properties or assets, our consolidation or merger with or into another person, the holders of the Class C warrants will be entitled to receive upon exercise of the Class C warrants the kind and amount of securities, cash or other property that the holders would have received had they exercised the Class C warrants immediately prior to such fundamental transaction.</w:t>
      </w:r>
    </w:p>
    <w:p>
      <w:pPr>
        <w:pStyle w:val="TextBody"/>
        <w:bidi w:val="0"/>
        <w:ind w:left="0" w:right="0" w:firstLine="360"/>
        <w:jc w:val="both"/>
        <w:rPr/>
      </w:pPr>
      <w:r>
        <w:rPr>
          <w:i/>
        </w:rPr>
        <w:t>Call Provision</w:t>
      </w:r>
      <w:r>
        <w:rPr/>
        <w:t>. Subject to the terms of the Class C warrants, if (i) the volume weighted average price for each of 20 consecutive trading days exceeds $7.00 per share (subject to adjustment for forward and reverse stock splits, recapitalizations, stock dividends) and (ii) the holder of the Class C warrant is not in possession of any information that constitutes, or might constitute, material non-public information which was provided by the Company, then the Company may, within one trading day of the end of such 20-day period, call for cancellation of all or any portion of the Class C warrants for which a notice of exercise has not yet been delivered for consideration equal to $0.0001 per warrant share.</w:t>
      </w:r>
    </w:p>
    <w:p>
      <w:pPr>
        <w:pStyle w:val="TextBody"/>
        <w:bidi w:val="0"/>
        <w:ind w:left="0" w:right="0" w:firstLine="360"/>
        <w:jc w:val="both"/>
        <w:rPr/>
      </w:pPr>
      <w:r>
        <w:rPr>
          <w:i/>
        </w:rPr>
        <w:t>Rights as a Shareholder</w:t>
      </w:r>
      <w:r>
        <w:rPr/>
        <w:t>. Except as otherwise provided in the Class C warrants or by virtue of such holder’s ownership of common shares, the holder of a Class C warrant does not have the rights or privileges of a holder of our common share, including any voting rights, until the holder exercises the Class C warrant.</w:t>
      </w:r>
    </w:p>
    <w:p>
      <w:pPr>
        <w:pStyle w:val="TextBody"/>
        <w:bidi w:val="0"/>
        <w:ind w:left="0" w:right="0" w:firstLine="360"/>
        <w:jc w:val="left"/>
        <w:rPr/>
      </w:pPr>
      <w:r>
        <w:rPr>
          <w:i/>
        </w:rPr>
        <w:t>Governing Law</w:t>
      </w:r>
      <w:r>
        <w:rPr/>
        <w:t>. The Class C warrants are governed by New York law.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ve_001"/>
      <w:bookmarkEnd w:id="12"/>
      <w:r>
        <w:rPr>
          <w:rFonts w:ascii="Times New Roman;Times;Serif" w:hAnsi="Times New Roman;Times;Serif"/>
          <w:b/>
          <w:i w:val="false"/>
          <w:caps w:val="false"/>
          <w:smallCaps w:val="false"/>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ind w:left="0" w:right="0" w:firstLine="360"/>
        <w:jc w:val="both"/>
        <w:rPr/>
      </w:pPr>
      <w:r>
        <w:rPr/>
        <w:t>We will enter into a securities purchase agreement directly with the investors who have agreed to purchase our securities in this offering. The securities purchase agreement will contain customary representations, warranties and covenants. We will only sell securities in this offering to such investors. This offering is being made by us without an underwriter or a placement agent.</w:t>
      </w:r>
    </w:p>
    <w:p>
      <w:pPr>
        <w:pStyle w:val="TextBody"/>
        <w:bidi w:val="0"/>
        <w:ind w:left="0" w:right="0" w:firstLine="360"/>
        <w:jc w:val="both"/>
        <w:rPr/>
      </w:pPr>
      <w:r>
        <w:rPr/>
        <w:t>We will deliver the securities being issued to the investors in this offering upon receipt of investor funds for the purchase of the securities offered pursuant to this prospectus supplement. We expect to deliver the common shares and Class C warrants being offered pursuant to this prospectus supplement on or before May 22, 2025. The securities purchase agreement may be terminated by us as to any investor's obligations thereunder if the closing with respect to such investor has not been consummated on or before June 30, 2025.</w:t>
      </w:r>
    </w:p>
    <w:p>
      <w:pPr>
        <w:pStyle w:val="TextBody"/>
        <w:bidi w:val="0"/>
        <w:ind w:left="0" w:right="0" w:firstLine="360"/>
        <w:jc w:val="both"/>
        <w:rPr/>
      </w:pPr>
      <w:r>
        <w:rPr/>
        <w:t>The terms of this offering were subject to market conditions and negotiations between us and prospective investors. The factors considered in determining the price of the common shares and the Class C warrants included the recent market price of our common shares, the general condition of the securities market at the time of this offering, the history of, and the prospects, for the industry in which we compete, our past and present operations, and our prospects for future revenues.</w:t>
      </w:r>
    </w:p>
    <w:p>
      <w:pPr>
        <w:pStyle w:val="TextBody"/>
        <w:bidi w:val="0"/>
        <w:jc w:val="left"/>
        <w:rPr>
          <w:b/>
        </w:rPr>
      </w:pPr>
      <w:r>
        <w:rPr>
          <w:b/>
        </w:rPr>
        <w:t>Fees and Expenses</w:t>
      </w:r>
    </w:p>
    <w:p>
      <w:pPr>
        <w:pStyle w:val="TextBody"/>
        <w:bidi w:val="0"/>
        <w:ind w:left="0" w:right="0" w:firstLine="360"/>
        <w:jc w:val="left"/>
        <w:rPr/>
      </w:pPr>
      <w:r>
        <w:rPr/>
        <w:t>We estimate the total offering expenses of this offering that will be payable by us will be approximately $250,000.</w:t>
      </w:r>
    </w:p>
    <w:p>
      <w:pPr>
        <w:pStyle w:val="TextBody"/>
        <w:bidi w:val="0"/>
        <w:jc w:val="left"/>
        <w:rPr>
          <w:b/>
        </w:rPr>
      </w:pPr>
      <w:r>
        <w:rPr>
          <w:b/>
        </w:rPr>
        <w:t>Listing</w:t>
      </w:r>
    </w:p>
    <w:p>
      <w:pPr>
        <w:pStyle w:val="TextBody"/>
        <w:bidi w:val="0"/>
        <w:ind w:left="0" w:right="0" w:firstLine="360"/>
        <w:jc w:val="left"/>
        <w:rPr/>
      </w:pPr>
      <w:r>
        <w:rPr/>
        <w:t>Our common shares and Public Warrants are listed on Nasdaq under the trading symbol “TMC” and “TMCWW,” respectively.</w:t>
      </w:r>
    </w:p>
    <w:p>
      <w:pPr>
        <w:pStyle w:val="TextBody"/>
        <w:bidi w:val="0"/>
        <w:ind w:left="0" w:right="0" w:firstLine="360"/>
        <w:jc w:val="both"/>
        <w:rPr/>
      </w:pPr>
      <w:r>
        <w:rPr/>
        <w:t>There is no established public trading market for the Class C warrants, and we do not expect a market to develop. In addition, we do not intend to list the Class C warrants, nor do we expect Class C warrants to be quoted, on Nasdaq or any other national securities exchange or any other nationally recognized trading system.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aa_011"/>
      <w:bookmarkEnd w:id="13"/>
      <w:r>
        <w:rPr>
          <w:rFonts w:ascii="Times New Roman;Times;Serif" w:hAnsi="Times New Roman;Times;Serif"/>
          <w:b/>
          <w:i w:val="false"/>
          <w:caps/>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Fasken Martineau DuMoulin LLP, or Fasken, will pass upon the validity of the securities offered by this prospectus supplement and certain other legal matters related to Canadian law for us. Mintz, Levin, Cohn, Ferris, Glovsky and Popeo, P.C., or Mintz, will pass upon certain other legal matters for us. Fasken and Mintz own 14,630 and 36,361 common shares,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aaa_012"/>
      <w:bookmarkEnd w:id="14"/>
      <w:r>
        <w:rPr>
          <w:rFonts w:ascii="Times New Roman;Times;Serif" w:hAnsi="Times New Roman;Times;Serif"/>
          <w:b/>
          <w:i w:val="false"/>
          <w:caps/>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TMC the metals company Inc. as of December 31, 2024 and 2023 and for the years then ended have been incorporated by reference herein and in the Registration Statements in reliance on the report of Ernst &amp; Young LLP, independent registered public accounting firm, incorporated by reference herein, and upon the authority of said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aaa_013"/>
      <w:bookmarkEnd w:id="15"/>
      <w:r>
        <w:rPr>
          <w:rFonts w:ascii="Times New Roman;Times;Serif" w:hAnsi="Times New Roman;Times;Serif"/>
          <w:b/>
          <w:i w:val="false"/>
          <w:caps/>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the Registration Statements, of which this prospectus supplement and the accompanying base prospectuses form a part, under the Securities Act, to register our common shares offered by this prospectus supplement. This prospectus supplement and the accompanying base prospectuses do not contain all of the information contained in the Registration Statements and the exhibits and schedules to the Registration Statements. For further information about us and the common shares, please refer to the Registration Statements, including the exhibits to the Registration Statements. The exhibits to the Registration Statements provide more details of the matters discussed in this prospectus supplement and the accompanying base prospectuses.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file annual, quarterly and current reports, proxy statements and other information with the SEC. Our SEC filings are available to the public on a website maintained by the SEC located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We also maintain a website at </w:t>
      </w:r>
      <w:r>
        <w:rPr>
          <w:rFonts w:ascii="Times New Roman;Times;Serif" w:hAnsi="Times New Roman;Times;Serif"/>
          <w:b w:val="false"/>
          <w:i/>
          <w:caps w:val="false"/>
          <w:smallCaps w:val="false"/>
          <w:sz w:val="20"/>
        </w:rPr>
        <w:t>www.metals.co</w:t>
      </w:r>
      <w:r>
        <w:rPr>
          <w:rFonts w:ascii="Times New Roman;Times;Serif" w:hAnsi="Times New Roman;Times;Serif"/>
          <w:b w:val="false"/>
          <w:i w:val="false"/>
          <w:caps w:val="false"/>
          <w:smallCaps w:val="false"/>
          <w:sz w:val="20"/>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supplement or the accompanying base prospectuses. We include our website address in this prospectus supplement and the accompanying base prospectuses only as an inactive textual reference. Information contained in our website does not constitute a part of this prospectus supplement and the accompanying base prospectuses or our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aaa_014"/>
      <w:bookmarkEnd w:id="16"/>
      <w:r>
        <w:rPr>
          <w:rFonts w:ascii="Times New Roman;Times;Serif" w:hAnsi="Times New Roman;Times;Serif"/>
          <w:b/>
          <w:i w:val="false"/>
          <w:caps/>
          <w:sz w:val="20"/>
        </w:rPr>
        <w:t>ENFORCEABILITY OF CIVIL LIABILITIES AND SERVICE OF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Province of British Columbia, Canada with our registered office located in British Columbia, Canada. All or substantially all of our assets are located outside the United States, and substantially all of our business, including our operations, is conducted outside the United States. In addition, some of our directors and officers are nationals and/or residents of countries other than the United States, and all or a substantial portion of such persons’ assets may be located outside the United States. As a result, it could be difficult or impossible for you to effect service of process on us or these individuals in the United States in the event that you believe that your rights have been infringed under applicable securities laws or otherwise or to enforce in the United States judgments obtained in U.S. courts against us or those persons based on civil liability provisions of the U.S. securities laws. There can be no assurance that U.S. investors will be able to enforce against us, members of our board of directors, officers or certain experts named herein who are residents of Canada or other countries outside the United States, any judgments in civil and commercial matters, including judgments under the federal securities laws. There is uncertainty with respect to whether a Canadian or other non-U.S. court would take jurisdiction on a matter of liability predicated solely upon U.S. federal securities laws or any state securities or blue-sky laws, and uncertainty with respect to whether a Canadian or other non-U.S. court would enforce a foreign judgement on liabilities predicated upon the U.S. federal securities laws or any state securities or blue-sky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aaa_015"/>
      <w:bookmarkEnd w:id="17"/>
      <w:r>
        <w:rPr>
          <w:rFonts w:ascii="Times New Roman;Times;Serif" w:hAnsi="Times New Roman;Times;Serif"/>
          <w:b/>
          <w:i w:val="false"/>
          <w:caps/>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supplement, which means that we can disclose important information to you by referring you to another document filed separately with the SEC. The SEC file number for the documents incorporated by reference in this prospectus supplement is 001-39281. The documents incorporated by reference into this prospectus supplement contain important information that you should read about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incorporated by reference into this document: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hyperlink r:id="rId10">
              <w:r>
                <w:rPr>
                  <w:rStyle w:val="InternetLink"/>
                </w:rPr>
                <w:t>our Annual Report on Form 10-K for the fiscal year ended December 31, 2024 that we filed with the SEC on March 27, 2025;</w:t>
              </w:r>
            </w:hyperlink>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our Current Reports on Form 8-K and amendments thereto that we filed with the SEC on </w:t>
            </w:r>
            <w:hyperlink r:id="rId11">
              <w:r>
                <w:rPr>
                  <w:rStyle w:val="InternetLink"/>
                </w:rPr>
                <w:t>January 10, 2025</w:t>
              </w:r>
            </w:hyperlink>
            <w:r>
              <w:rPr/>
              <w:t xml:space="preserve"> and </w:t>
            </w:r>
            <w:hyperlink r:id="rId12">
              <w:r>
                <w:rPr>
                  <w:rStyle w:val="InternetLink"/>
                </w:rPr>
                <w:t>January 23, 2025</w:t>
              </w:r>
            </w:hyperlink>
            <w:r>
              <w:rPr/>
              <w:t xml:space="preserve"> (other than any portion of such filings that are furnished under applicable SEC rules rather than filed);</w:t>
            </w:r>
          </w:p>
        </w:tc>
      </w:tr>
    </w:tbl>
    <w:tbl>
      <w:tblPr>
        <w:tblW w:w="5000" w:type="pct"/>
        <w:jc w:val="left"/>
        <w:tblInd w:w="0" w:type="dxa"/>
        <w:tblLayout w:type="fixed"/>
        <w:tblCellMar>
          <w:top w:w="0" w:type="dxa"/>
          <w:left w:w="0" w:type="dxa"/>
          <w:bottom w:w="0" w:type="dxa"/>
          <w:right w:w="0" w:type="dxa"/>
        </w:tblCellMar>
      </w:tblPr>
      <w:tblGrid>
        <w:gridCol w:w="74"/>
        <w:gridCol w:w="95"/>
        <w:gridCol w:w="10036"/>
      </w:tblGrid>
      <w:tr>
        <w:trPr/>
        <w:tc>
          <w:tcPr>
            <w:tcW w:w="74"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6" w:type="dxa"/>
            <w:tcBorders/>
            <w:vAlign w:val="center"/>
          </w:tcPr>
          <w:p>
            <w:pPr>
              <w:pStyle w:val="TableContents"/>
              <w:bidi w:val="0"/>
              <w:spacing w:before="0" w:after="283"/>
              <w:jc w:val="both"/>
              <w:rPr/>
            </w:pPr>
            <w:r>
              <w:rPr/>
              <w:t xml:space="preserve">the portions of our </w:t>
            </w:r>
            <w:hyperlink r:id="rId13">
              <w:r>
                <w:rPr>
                  <w:rStyle w:val="InternetLink"/>
                </w:rPr>
                <w:t>Definitive Proxy Statement on Schedule 14A that we filed with the SEC on April 18, 2025</w:t>
              </w:r>
            </w:hyperlink>
            <w:r>
              <w:rPr/>
              <w:t xml:space="preserve"> that are deemed filed under applicable SEC rules; </w:t>
            </w:r>
          </w:p>
        </w:tc>
      </w:tr>
      <w:tr>
        <w:trPr/>
        <w:tc>
          <w:tcPr>
            <w:tcW w:w="74"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6" w:type="dxa"/>
            <w:tcBorders/>
            <w:vAlign w:val="center"/>
          </w:tcPr>
          <w:p>
            <w:pPr>
              <w:pStyle w:val="TableContents"/>
              <w:bidi w:val="0"/>
              <w:spacing w:before="0" w:after="283"/>
              <w:jc w:val="both"/>
              <w:rPr/>
            </w:pPr>
            <w:r>
              <w:rPr/>
              <w:t xml:space="preserve">the description of our common shares contained in our Registration Statement on </w:t>
            </w:r>
            <w:hyperlink r:id="rId14">
              <w:r>
                <w:rPr>
                  <w:rStyle w:val="InternetLink"/>
                </w:rPr>
                <w:t>Form 8-A filed on September 10, 2021</w:t>
              </w:r>
            </w:hyperlink>
            <w:r>
              <w:rPr/>
              <w:t xml:space="preserve">, including any amendment or report filed for the purpose of updating such description as updated by </w:t>
            </w:r>
            <w:hyperlink r:id="rId15">
              <w:r>
                <w:rPr>
                  <w:rStyle w:val="InternetLink"/>
                </w:rPr>
                <w:t>Exhibit 4.1</w:t>
              </w:r>
            </w:hyperlink>
            <w:r>
              <w:rPr/>
              <w:t xml:space="preserve"> of our Annual Report on Form 10-K for the fiscal year ended December 31, 2024, and as subsequently amended or updated; and</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all reports and other documents subsequently filed by us with the SEC (other than any portion of such filings that are furnished under applicable SEC rules rather than filed) pursuant to Sections 13(a), 13(c), 14 and 15(d) of the Exchange Act after the date of this prospectus supplement and prior to the termination or completion of the offering of securities under this prospectus supplement shall be deemed to be incorporated by reference in this prospectus supplement and to be a part hereof from the date of filing such reports and other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each person, including any beneficial owner, to whom a prospectus is delivered, without charge upon written or oral request, a copy of any or all of the documents that are incorporated by reference into this prospectus supplement or the accompanying base prospectuses but not delivered with the prospectus, including exhibits which are specifically incorporated by reference into such documents. You should direct any requests for documents to TMC the metals company Inc., 1111 West Hastings Street, 15th Floor, Vancouver, British Columbia V6E 2J3,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Filed Pursuant to Rule 424(b)(3)</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Registration No. 333-267479</w:t>
      </w:r>
    </w:p>
    <w:p>
      <w:pPr>
        <w:pStyle w:val="TextBody"/>
        <w:shd w:fill="FFFFFF" w:val="clear"/>
        <w:bidi w:val="0"/>
        <w:spacing w:before="0" w:after="0"/>
        <w:ind w:left="0" w:right="0" w:hanging="0"/>
        <w:jc w:val="both"/>
        <w:rPr>
          <w:caps w:val="false"/>
          <w:smallCaps w:val="false"/>
          <w:color w:val="D2232A"/>
        </w:rPr>
      </w:pPr>
      <w:r>
        <w:rPr>
          <w:caps w:val="false"/>
          <w:smallCaps w:val="false"/>
          <w:color w:val="D2232A"/>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24100" cy="8229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2324100" cy="82296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MILLION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38,266,180 COMMON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 BY 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securities from time to time in one or more offerings of up to $100 million in aggregate offering price. This prospectus describes the general terms of these securities and the general manner in which these securities will be offered by us.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selling shareholders identified in this prospectus may from time to time sell up to 38,266,180 of our common shares, without par value, or the Common Shares. We will not receive any proceeds from the sale, if any, of Common Shares by the selling shareholders. Unless otherwise set forth in a prospectus supplement, if required, the selling shareholders will pay any underwriting discounts and commissions and transfer taxes incurred by the selling shareholders in disposing of the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and other options to purchase additional securities will be set forth in a prospectus supplement. The price to the public of such securities and the net proceeds that we expect to receive from such sale will also be set forth in a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on the Nasdaq Global Select Market under the symbol “TMC”. On October 4, 2022, the last reported sale price of our Common Shares was $1.02 per share. We also have warrants to purchase Common Shares listed on the Nasdaq Global Select Market under the symbol “TMCWW”. On October 4, 2022, the last reported sale price of these public warrants to purchase Common Shares was $0.148. The applicable prospectus supplement will contain information, where applicable, as to any other listing, if any, on The Nasdaq Stock Market or any securities market or other securities exchange of the securities covered by the prospectus supplement. Prospective purchasers of our securities are urged to obtain current information as to the market prices of our securities, where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“Risk Factors” included in any accompanying prospectus supplement and in the documents incorporated by reference in this prospectus for a discussion of the factors you should carefully consider before deciding to purchase these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October 14,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8930"/>
        <w:gridCol w:w="245"/>
      </w:tblGrid>
      <w:tr>
        <w:trPr/>
        <w:tc>
          <w:tcPr>
            <w:tcW w:w="8930" w:type="dxa"/>
            <w:tcBorders/>
            <w:shd w:fill="CCEEFF" w:val="clear"/>
            <w:vAlign w:val="center"/>
          </w:tcPr>
          <w:p>
            <w:pPr>
              <w:pStyle w:val="TableContents"/>
              <w:bidi w:val="0"/>
              <w:spacing w:before="0" w:after="283"/>
              <w:jc w:val="left"/>
              <w:rPr/>
            </w:pPr>
            <w:hyperlink w:anchor="m1">
              <w:r>
                <w:rPr>
                  <w:rStyle w:val="InternetLink"/>
                  <w:rFonts w:ascii="Times New Roman;Times;Serif" w:hAnsi="Times New Roman;Times;Serif"/>
                  <w:sz w:val="20"/>
                </w:rPr>
                <w:t>ABOUT THIS PROSPECTUS</w:t>
              </w:r>
            </w:hyperlink>
          </w:p>
        </w:tc>
        <w:tc>
          <w:tcPr>
            <w:tcW w:w="245" w:type="dxa"/>
            <w:tcBorders/>
            <w:shd w:fill="CCEEFF" w:val="clear"/>
            <w:vAlign w:val="center"/>
          </w:tcPr>
          <w:p>
            <w:pPr>
              <w:pStyle w:val="TableContents"/>
              <w:bidi w:val="0"/>
              <w:spacing w:before="0" w:after="283"/>
              <w:jc w:val="center"/>
              <w:rPr/>
            </w:pPr>
            <w:hyperlink w:anchor="m1">
              <w:r>
                <w:rPr>
                  <w:rStyle w:val="InternetLink"/>
                  <w:rFonts w:ascii="Times New Roman;Times;Serif" w:hAnsi="Times New Roman;Times;Serif"/>
                  <w:sz w:val="20"/>
                </w:rPr>
                <w:t>1</w:t>
              </w:r>
            </w:hyperlink>
          </w:p>
        </w:tc>
      </w:tr>
      <w:tr>
        <w:trPr/>
        <w:tc>
          <w:tcPr>
            <w:tcW w:w="8930" w:type="dxa"/>
            <w:tcBorders/>
            <w:shd w:fill="FFFFFF" w:val="clear"/>
            <w:vAlign w:val="center"/>
          </w:tcPr>
          <w:p>
            <w:pPr>
              <w:pStyle w:val="TableContents"/>
              <w:bidi w:val="0"/>
              <w:spacing w:before="0" w:after="283"/>
              <w:jc w:val="left"/>
              <w:rPr/>
            </w:pPr>
            <w:hyperlink w:anchor="m2">
              <w:r>
                <w:rPr>
                  <w:rStyle w:val="InternetLink"/>
                  <w:rFonts w:ascii="Times New Roman;Times;Serif" w:hAnsi="Times New Roman;Times;Serif"/>
                  <w:sz w:val="20"/>
                </w:rPr>
                <w:t>PROSPECTUS SUMMARY</w:t>
              </w:r>
            </w:hyperlink>
          </w:p>
        </w:tc>
        <w:tc>
          <w:tcPr>
            <w:tcW w:w="245" w:type="dxa"/>
            <w:tcBorders/>
            <w:shd w:fill="FFFFFF" w:val="clear"/>
            <w:vAlign w:val="center"/>
          </w:tcPr>
          <w:p>
            <w:pPr>
              <w:pStyle w:val="TableContents"/>
              <w:bidi w:val="0"/>
              <w:spacing w:before="0" w:after="283"/>
              <w:jc w:val="center"/>
              <w:rPr/>
            </w:pPr>
            <w:hyperlink w:anchor="m2">
              <w:r>
                <w:rPr>
                  <w:rStyle w:val="InternetLink"/>
                  <w:rFonts w:ascii="Times New Roman;Times;Serif" w:hAnsi="Times New Roman;Times;Serif"/>
                  <w:sz w:val="20"/>
                </w:rPr>
                <w:t>2</w:t>
              </w:r>
            </w:hyperlink>
          </w:p>
        </w:tc>
      </w:tr>
      <w:tr>
        <w:trPr/>
        <w:tc>
          <w:tcPr>
            <w:tcW w:w="8930" w:type="dxa"/>
            <w:tcBorders/>
            <w:shd w:fill="CCEEFF" w:val="clear"/>
            <w:vAlign w:val="center"/>
          </w:tcPr>
          <w:p>
            <w:pPr>
              <w:pStyle w:val="TableContents"/>
              <w:bidi w:val="0"/>
              <w:spacing w:before="0" w:after="283"/>
              <w:jc w:val="left"/>
              <w:rPr/>
            </w:pPr>
            <w:hyperlink w:anchor="m3">
              <w:r>
                <w:rPr>
                  <w:rStyle w:val="InternetLink"/>
                  <w:rFonts w:ascii="Times New Roman;Times;Serif" w:hAnsi="Times New Roman;Times;Serif"/>
                  <w:sz w:val="20"/>
                </w:rPr>
                <w:t>RISK FACTORS</w:t>
              </w:r>
            </w:hyperlink>
          </w:p>
        </w:tc>
        <w:tc>
          <w:tcPr>
            <w:tcW w:w="245" w:type="dxa"/>
            <w:tcBorders/>
            <w:shd w:fill="CCEEFF" w:val="clear"/>
            <w:vAlign w:val="center"/>
          </w:tcPr>
          <w:p>
            <w:pPr>
              <w:pStyle w:val="TableContents"/>
              <w:bidi w:val="0"/>
              <w:spacing w:before="0" w:after="283"/>
              <w:jc w:val="center"/>
              <w:rPr/>
            </w:pPr>
            <w:hyperlink w:anchor="m3">
              <w:r>
                <w:rPr>
                  <w:rStyle w:val="InternetLink"/>
                  <w:rFonts w:ascii="Times New Roman;Times;Serif" w:hAnsi="Times New Roman;Times;Serif"/>
                  <w:sz w:val="20"/>
                </w:rPr>
                <w:t>5</w:t>
              </w:r>
            </w:hyperlink>
          </w:p>
        </w:tc>
      </w:tr>
      <w:tr>
        <w:trPr/>
        <w:tc>
          <w:tcPr>
            <w:tcW w:w="8930" w:type="dxa"/>
            <w:tcBorders/>
            <w:shd w:fill="FFFFFF" w:val="clear"/>
            <w:vAlign w:val="center"/>
          </w:tcPr>
          <w:p>
            <w:pPr>
              <w:pStyle w:val="TableContents"/>
              <w:bidi w:val="0"/>
              <w:spacing w:before="0" w:after="283"/>
              <w:jc w:val="left"/>
              <w:rPr/>
            </w:pPr>
            <w:hyperlink w:anchor="m4">
              <w:r>
                <w:rPr>
                  <w:rStyle w:val="InternetLink"/>
                  <w:rFonts w:ascii="Times New Roman;Times;Serif" w:hAnsi="Times New Roman;Times;Serif"/>
                  <w:sz w:val="20"/>
                </w:rPr>
                <w:t>SPECIAL NOTE REGARDING FORWARD-LOOKING STATEMENTS</w:t>
              </w:r>
            </w:hyperlink>
          </w:p>
        </w:tc>
        <w:tc>
          <w:tcPr>
            <w:tcW w:w="245" w:type="dxa"/>
            <w:tcBorders/>
            <w:shd w:fill="FFFFFF" w:val="clear"/>
            <w:vAlign w:val="center"/>
          </w:tcPr>
          <w:p>
            <w:pPr>
              <w:pStyle w:val="TableContents"/>
              <w:bidi w:val="0"/>
              <w:spacing w:before="0" w:after="283"/>
              <w:jc w:val="center"/>
              <w:rPr/>
            </w:pPr>
            <w:hyperlink w:anchor="m4">
              <w:r>
                <w:rPr>
                  <w:rStyle w:val="InternetLink"/>
                  <w:rFonts w:ascii="Times New Roman;Times;Serif" w:hAnsi="Times New Roman;Times;Serif"/>
                  <w:sz w:val="20"/>
                </w:rPr>
                <w:t>6</w:t>
              </w:r>
            </w:hyperlink>
          </w:p>
        </w:tc>
      </w:tr>
      <w:tr>
        <w:trPr/>
        <w:tc>
          <w:tcPr>
            <w:tcW w:w="8930" w:type="dxa"/>
            <w:tcBorders/>
            <w:shd w:fill="CCEEFF" w:val="clear"/>
            <w:vAlign w:val="center"/>
          </w:tcPr>
          <w:p>
            <w:pPr>
              <w:pStyle w:val="TableContents"/>
              <w:bidi w:val="0"/>
              <w:spacing w:before="0" w:after="283"/>
              <w:jc w:val="left"/>
              <w:rPr/>
            </w:pPr>
            <w:hyperlink w:anchor="m5">
              <w:r>
                <w:rPr>
                  <w:rStyle w:val="InternetLink"/>
                  <w:rFonts w:ascii="Times New Roman;Times;Serif" w:hAnsi="Times New Roman;Times;Serif"/>
                  <w:sz w:val="20"/>
                </w:rPr>
                <w:t>USE OF PROCEEDS</w:t>
              </w:r>
            </w:hyperlink>
          </w:p>
        </w:tc>
        <w:tc>
          <w:tcPr>
            <w:tcW w:w="245" w:type="dxa"/>
            <w:tcBorders/>
            <w:shd w:fill="CCEEFF" w:val="clear"/>
            <w:vAlign w:val="center"/>
          </w:tcPr>
          <w:p>
            <w:pPr>
              <w:pStyle w:val="TableContents"/>
              <w:bidi w:val="0"/>
              <w:spacing w:before="0" w:after="283"/>
              <w:jc w:val="center"/>
              <w:rPr/>
            </w:pPr>
            <w:hyperlink w:anchor="m5">
              <w:r>
                <w:rPr>
                  <w:rStyle w:val="InternetLink"/>
                  <w:rFonts w:ascii="Times New Roman;Times;Serif" w:hAnsi="Times New Roman;Times;Serif"/>
                  <w:sz w:val="20"/>
                </w:rPr>
                <w:t>8</w:t>
              </w:r>
            </w:hyperlink>
          </w:p>
        </w:tc>
      </w:tr>
      <w:tr>
        <w:trPr/>
        <w:tc>
          <w:tcPr>
            <w:tcW w:w="8930" w:type="dxa"/>
            <w:tcBorders/>
            <w:shd w:fill="FFFFFF" w:val="clear"/>
            <w:vAlign w:val="center"/>
          </w:tcPr>
          <w:p>
            <w:pPr>
              <w:pStyle w:val="TableContents"/>
              <w:bidi w:val="0"/>
              <w:spacing w:before="0" w:after="283"/>
              <w:jc w:val="left"/>
              <w:rPr/>
            </w:pPr>
            <w:hyperlink w:anchor="B_002">
              <w:r>
                <w:rPr>
                  <w:rStyle w:val="InternetLink"/>
                  <w:rFonts w:ascii="Times New Roman;Times;Serif" w:hAnsi="Times New Roman;Times;Serif"/>
                  <w:sz w:val="20"/>
                </w:rPr>
                <w:t>SELLING SHAREHOLDERS</w:t>
              </w:r>
            </w:hyperlink>
          </w:p>
        </w:tc>
        <w:tc>
          <w:tcPr>
            <w:tcW w:w="245" w:type="dxa"/>
            <w:tcBorders/>
            <w:shd w:fill="FFFFFF" w:val="clear"/>
            <w:vAlign w:val="center"/>
          </w:tcPr>
          <w:p>
            <w:pPr>
              <w:pStyle w:val="TableContents"/>
              <w:bidi w:val="0"/>
              <w:spacing w:before="0" w:after="283"/>
              <w:jc w:val="center"/>
              <w:rPr/>
            </w:pPr>
            <w:hyperlink w:anchor="B_002">
              <w:r>
                <w:rPr>
                  <w:rStyle w:val="InternetLink"/>
                  <w:rFonts w:ascii="Times New Roman;Times;Serif" w:hAnsi="Times New Roman;Times;Serif"/>
                  <w:sz w:val="20"/>
                </w:rPr>
                <w:t>9</w:t>
              </w:r>
            </w:hyperlink>
          </w:p>
        </w:tc>
      </w:tr>
      <w:tr>
        <w:trPr/>
        <w:tc>
          <w:tcPr>
            <w:tcW w:w="8930" w:type="dxa"/>
            <w:tcBorders/>
            <w:shd w:fill="CCEEFF" w:val="clear"/>
            <w:vAlign w:val="center"/>
          </w:tcPr>
          <w:p>
            <w:pPr>
              <w:pStyle w:val="TableContents"/>
              <w:bidi w:val="0"/>
              <w:spacing w:before="0" w:after="283"/>
              <w:jc w:val="left"/>
              <w:rPr/>
            </w:pPr>
            <w:hyperlink w:anchor="m7">
              <w:r>
                <w:rPr>
                  <w:rStyle w:val="InternetLink"/>
                  <w:rFonts w:ascii="Times New Roman;Times;Serif" w:hAnsi="Times New Roman;Times;Serif"/>
                  <w:sz w:val="20"/>
                </w:rPr>
                <w:t>PLAN OF DISTRIBUTION</w:t>
              </w:r>
            </w:hyperlink>
          </w:p>
        </w:tc>
        <w:tc>
          <w:tcPr>
            <w:tcW w:w="245" w:type="dxa"/>
            <w:tcBorders/>
            <w:shd w:fill="CCEEFF" w:val="clear"/>
            <w:vAlign w:val="center"/>
          </w:tcPr>
          <w:p>
            <w:pPr>
              <w:pStyle w:val="TableContents"/>
              <w:bidi w:val="0"/>
              <w:spacing w:before="0" w:after="283"/>
              <w:jc w:val="center"/>
              <w:rPr/>
            </w:pPr>
            <w:hyperlink w:anchor="m7">
              <w:r>
                <w:rPr>
                  <w:rStyle w:val="InternetLink"/>
                  <w:rFonts w:ascii="Times New Roman;Times;Serif" w:hAnsi="Times New Roman;Times;Serif"/>
                  <w:sz w:val="20"/>
                </w:rPr>
                <w:t>12</w:t>
              </w:r>
            </w:hyperlink>
          </w:p>
        </w:tc>
      </w:tr>
      <w:tr>
        <w:trPr/>
        <w:tc>
          <w:tcPr>
            <w:tcW w:w="8930" w:type="dxa"/>
            <w:tcBorders/>
            <w:shd w:fill="FFFFFF" w:val="clear"/>
            <w:vAlign w:val="center"/>
          </w:tcPr>
          <w:p>
            <w:pPr>
              <w:pStyle w:val="TableContents"/>
              <w:bidi w:val="0"/>
              <w:spacing w:before="0" w:after="283"/>
              <w:jc w:val="left"/>
              <w:rPr/>
            </w:pPr>
            <w:hyperlink w:anchor="m8">
              <w:r>
                <w:rPr>
                  <w:rStyle w:val="InternetLink"/>
                  <w:rFonts w:ascii="Times New Roman;Times;Serif" w:hAnsi="Times New Roman;Times;Serif"/>
                  <w:sz w:val="20"/>
                </w:rPr>
                <w:t>DESCRIPTION OF COMMON SHARES AND SPECIAL SHARES</w:t>
              </w:r>
            </w:hyperlink>
          </w:p>
        </w:tc>
        <w:tc>
          <w:tcPr>
            <w:tcW w:w="245" w:type="dxa"/>
            <w:tcBorders/>
            <w:shd w:fill="FFFFFF" w:val="clear"/>
            <w:vAlign w:val="center"/>
          </w:tcPr>
          <w:p>
            <w:pPr>
              <w:pStyle w:val="TableContents"/>
              <w:bidi w:val="0"/>
              <w:spacing w:before="0" w:after="283"/>
              <w:jc w:val="center"/>
              <w:rPr/>
            </w:pPr>
            <w:hyperlink w:anchor="m8">
              <w:r>
                <w:rPr>
                  <w:rStyle w:val="InternetLink"/>
                  <w:rFonts w:ascii="Times New Roman;Times;Serif" w:hAnsi="Times New Roman;Times;Serif"/>
                  <w:sz w:val="20"/>
                </w:rPr>
                <w:t>16</w:t>
              </w:r>
            </w:hyperlink>
          </w:p>
        </w:tc>
      </w:tr>
      <w:tr>
        <w:trPr/>
        <w:tc>
          <w:tcPr>
            <w:tcW w:w="8930" w:type="dxa"/>
            <w:tcBorders/>
            <w:shd w:fill="CCEEFF" w:val="clear"/>
            <w:vAlign w:val="center"/>
          </w:tcPr>
          <w:p>
            <w:pPr>
              <w:pStyle w:val="TableContents"/>
              <w:bidi w:val="0"/>
              <w:spacing w:before="0" w:after="283"/>
              <w:jc w:val="left"/>
              <w:rPr/>
            </w:pPr>
            <w:hyperlink w:anchor="m9">
              <w:r>
                <w:rPr>
                  <w:rStyle w:val="InternetLink"/>
                  <w:rFonts w:ascii="Times New Roman;Times;Serif" w:hAnsi="Times New Roman;Times;Serif"/>
                  <w:sz w:val="20"/>
                </w:rPr>
                <w:t>DESCRIPTION OF PREFERRED SHARES</w:t>
              </w:r>
            </w:hyperlink>
          </w:p>
        </w:tc>
        <w:tc>
          <w:tcPr>
            <w:tcW w:w="245" w:type="dxa"/>
            <w:tcBorders/>
            <w:shd w:fill="CCEEFF" w:val="clear"/>
            <w:vAlign w:val="center"/>
          </w:tcPr>
          <w:p>
            <w:pPr>
              <w:pStyle w:val="TableContents"/>
              <w:bidi w:val="0"/>
              <w:spacing w:before="0" w:after="283"/>
              <w:jc w:val="center"/>
              <w:rPr/>
            </w:pPr>
            <w:hyperlink w:anchor="m9">
              <w:r>
                <w:rPr>
                  <w:rStyle w:val="InternetLink"/>
                  <w:rFonts w:ascii="Times New Roman;Times;Serif" w:hAnsi="Times New Roman;Times;Serif"/>
                  <w:sz w:val="20"/>
                </w:rPr>
                <w:t>19</w:t>
              </w:r>
            </w:hyperlink>
          </w:p>
        </w:tc>
      </w:tr>
      <w:tr>
        <w:trPr/>
        <w:tc>
          <w:tcPr>
            <w:tcW w:w="8930" w:type="dxa"/>
            <w:tcBorders/>
            <w:shd w:fill="FFFFFF" w:val="clear"/>
            <w:vAlign w:val="center"/>
          </w:tcPr>
          <w:p>
            <w:pPr>
              <w:pStyle w:val="TableContents"/>
              <w:bidi w:val="0"/>
              <w:spacing w:before="0" w:after="283"/>
              <w:jc w:val="left"/>
              <w:rPr/>
            </w:pPr>
            <w:hyperlink w:anchor="m10">
              <w:r>
                <w:rPr>
                  <w:rStyle w:val="InternetLink"/>
                  <w:rFonts w:ascii="Times New Roman;Times;Serif" w:hAnsi="Times New Roman;Times;Serif"/>
                  <w:sz w:val="20"/>
                </w:rPr>
                <w:t>DESCRIPTION OF DEBT SECURITIES</w:t>
              </w:r>
            </w:hyperlink>
          </w:p>
        </w:tc>
        <w:tc>
          <w:tcPr>
            <w:tcW w:w="245" w:type="dxa"/>
            <w:tcBorders/>
            <w:shd w:fill="FFFFFF" w:val="clear"/>
            <w:vAlign w:val="center"/>
          </w:tcPr>
          <w:p>
            <w:pPr>
              <w:pStyle w:val="TableContents"/>
              <w:bidi w:val="0"/>
              <w:spacing w:before="0" w:after="283"/>
              <w:jc w:val="center"/>
              <w:rPr/>
            </w:pPr>
            <w:hyperlink w:anchor="m10">
              <w:r>
                <w:rPr>
                  <w:rStyle w:val="InternetLink"/>
                  <w:rFonts w:ascii="Times New Roman;Times;Serif" w:hAnsi="Times New Roman;Times;Serif"/>
                  <w:sz w:val="20"/>
                </w:rPr>
                <w:t>20</w:t>
              </w:r>
            </w:hyperlink>
          </w:p>
        </w:tc>
      </w:tr>
      <w:tr>
        <w:trPr/>
        <w:tc>
          <w:tcPr>
            <w:tcW w:w="8930" w:type="dxa"/>
            <w:tcBorders/>
            <w:shd w:fill="CCEEFF" w:val="clear"/>
            <w:vAlign w:val="center"/>
          </w:tcPr>
          <w:p>
            <w:pPr>
              <w:pStyle w:val="TableContents"/>
              <w:bidi w:val="0"/>
              <w:spacing w:before="0" w:after="283"/>
              <w:jc w:val="left"/>
              <w:rPr/>
            </w:pPr>
            <w:hyperlink w:anchor="m11">
              <w:r>
                <w:rPr>
                  <w:rStyle w:val="InternetLink"/>
                  <w:rFonts w:ascii="Times New Roman;Times;Serif" w:hAnsi="Times New Roman;Times;Serif"/>
                  <w:sz w:val="20"/>
                </w:rPr>
                <w:t>DESCRIPTION OF WARRANTS</w:t>
              </w:r>
            </w:hyperlink>
          </w:p>
        </w:tc>
        <w:tc>
          <w:tcPr>
            <w:tcW w:w="245" w:type="dxa"/>
            <w:tcBorders/>
            <w:shd w:fill="CCEEFF" w:val="clear"/>
            <w:vAlign w:val="center"/>
          </w:tcPr>
          <w:p>
            <w:pPr>
              <w:pStyle w:val="TableContents"/>
              <w:bidi w:val="0"/>
              <w:spacing w:before="0" w:after="283"/>
              <w:jc w:val="center"/>
              <w:rPr/>
            </w:pPr>
            <w:hyperlink w:anchor="m11">
              <w:r>
                <w:rPr>
                  <w:rStyle w:val="InternetLink"/>
                  <w:rFonts w:ascii="Times New Roman;Times;Serif" w:hAnsi="Times New Roman;Times;Serif"/>
                  <w:sz w:val="20"/>
                </w:rPr>
                <w:t>26</w:t>
              </w:r>
            </w:hyperlink>
          </w:p>
        </w:tc>
      </w:tr>
      <w:tr>
        <w:trPr/>
        <w:tc>
          <w:tcPr>
            <w:tcW w:w="8930" w:type="dxa"/>
            <w:tcBorders/>
            <w:shd w:fill="FFFFFF" w:val="clear"/>
            <w:vAlign w:val="center"/>
          </w:tcPr>
          <w:p>
            <w:pPr>
              <w:pStyle w:val="TableContents"/>
              <w:bidi w:val="0"/>
              <w:spacing w:before="0" w:after="283"/>
              <w:jc w:val="left"/>
              <w:rPr/>
            </w:pPr>
            <w:hyperlink w:anchor="m12">
              <w:r>
                <w:rPr>
                  <w:rStyle w:val="InternetLink"/>
                  <w:rFonts w:ascii="Times New Roman;Times;Serif" w:hAnsi="Times New Roman;Times;Serif"/>
                  <w:sz w:val="20"/>
                </w:rPr>
                <w:t>DESCRIPTION OF UNITS</w:t>
              </w:r>
            </w:hyperlink>
          </w:p>
        </w:tc>
        <w:tc>
          <w:tcPr>
            <w:tcW w:w="245" w:type="dxa"/>
            <w:tcBorders/>
            <w:shd w:fill="FFFFFF" w:val="clear"/>
            <w:vAlign w:val="center"/>
          </w:tcPr>
          <w:p>
            <w:pPr>
              <w:pStyle w:val="TableContents"/>
              <w:bidi w:val="0"/>
              <w:spacing w:before="0" w:after="283"/>
              <w:jc w:val="center"/>
              <w:rPr/>
            </w:pPr>
            <w:hyperlink w:anchor="m12">
              <w:r>
                <w:rPr>
                  <w:rStyle w:val="InternetLink"/>
                  <w:rFonts w:ascii="Times New Roman;Times;Serif" w:hAnsi="Times New Roman;Times;Serif"/>
                  <w:sz w:val="20"/>
                </w:rPr>
                <w:t>31</w:t>
              </w:r>
            </w:hyperlink>
          </w:p>
        </w:tc>
      </w:tr>
      <w:tr>
        <w:trPr/>
        <w:tc>
          <w:tcPr>
            <w:tcW w:w="8930" w:type="dxa"/>
            <w:tcBorders/>
            <w:shd w:fill="CCEEFF" w:val="clear"/>
            <w:vAlign w:val="center"/>
          </w:tcPr>
          <w:p>
            <w:pPr>
              <w:pStyle w:val="TableContents"/>
              <w:bidi w:val="0"/>
              <w:spacing w:before="0" w:after="283"/>
              <w:jc w:val="left"/>
              <w:rPr/>
            </w:pPr>
            <w:hyperlink w:anchor="m13">
              <w:r>
                <w:rPr>
                  <w:rStyle w:val="InternetLink"/>
                  <w:rFonts w:ascii="Times New Roman;Times;Serif" w:hAnsi="Times New Roman;Times;Serif"/>
                  <w:sz w:val="20"/>
                </w:rPr>
                <w:t>CERTAIN IMPORTANT PROVISIONS OF THE NOTICE OF ARTICLES AND ARTICLES AND THE BCBCA</w:t>
              </w:r>
            </w:hyperlink>
          </w:p>
        </w:tc>
        <w:tc>
          <w:tcPr>
            <w:tcW w:w="245" w:type="dxa"/>
            <w:tcBorders/>
            <w:shd w:fill="CCEEFF" w:val="clear"/>
            <w:vAlign w:val="center"/>
          </w:tcPr>
          <w:p>
            <w:pPr>
              <w:pStyle w:val="TableContents"/>
              <w:bidi w:val="0"/>
              <w:spacing w:before="0" w:after="283"/>
              <w:jc w:val="center"/>
              <w:rPr/>
            </w:pPr>
            <w:hyperlink w:anchor="m13">
              <w:r>
                <w:rPr>
                  <w:rStyle w:val="InternetLink"/>
                  <w:rFonts w:ascii="Times New Roman;Times;Serif" w:hAnsi="Times New Roman;Times;Serif"/>
                  <w:sz w:val="20"/>
                </w:rPr>
                <w:t>32</w:t>
              </w:r>
            </w:hyperlink>
          </w:p>
        </w:tc>
      </w:tr>
      <w:tr>
        <w:trPr/>
        <w:tc>
          <w:tcPr>
            <w:tcW w:w="8930" w:type="dxa"/>
            <w:tcBorders/>
            <w:shd w:fill="FFFFFF" w:val="clear"/>
            <w:vAlign w:val="center"/>
          </w:tcPr>
          <w:p>
            <w:pPr>
              <w:pStyle w:val="TableContents"/>
              <w:bidi w:val="0"/>
              <w:spacing w:before="0" w:after="283"/>
              <w:jc w:val="left"/>
              <w:rPr/>
            </w:pPr>
            <w:hyperlink w:anchor="m14">
              <w:r>
                <w:rPr>
                  <w:rStyle w:val="InternetLink"/>
                  <w:rFonts w:ascii="Times New Roman;Times;Serif" w:hAnsi="Times New Roman;Times;Serif"/>
                  <w:sz w:val="20"/>
                </w:rPr>
                <w:t>OWNERSHIP AND EXCHANGE CONTROLS</w:t>
              </w:r>
            </w:hyperlink>
          </w:p>
        </w:tc>
        <w:tc>
          <w:tcPr>
            <w:tcW w:w="245" w:type="dxa"/>
            <w:tcBorders/>
            <w:shd w:fill="FFFFFF" w:val="clear"/>
            <w:vAlign w:val="center"/>
          </w:tcPr>
          <w:p>
            <w:pPr>
              <w:pStyle w:val="TableContents"/>
              <w:bidi w:val="0"/>
              <w:spacing w:before="0" w:after="283"/>
              <w:jc w:val="center"/>
              <w:rPr/>
            </w:pPr>
            <w:hyperlink w:anchor="m14">
              <w:r>
                <w:rPr>
                  <w:rStyle w:val="InternetLink"/>
                  <w:rFonts w:ascii="Times New Roman;Times;Serif" w:hAnsi="Times New Roman;Times;Serif"/>
                  <w:sz w:val="20"/>
                </w:rPr>
                <w:t>35</w:t>
              </w:r>
            </w:hyperlink>
          </w:p>
        </w:tc>
      </w:tr>
      <w:tr>
        <w:trPr/>
        <w:tc>
          <w:tcPr>
            <w:tcW w:w="8930" w:type="dxa"/>
            <w:tcBorders/>
            <w:shd w:fill="CCEEFF" w:val="clear"/>
            <w:vAlign w:val="center"/>
          </w:tcPr>
          <w:p>
            <w:pPr>
              <w:pStyle w:val="TableContents"/>
              <w:bidi w:val="0"/>
              <w:spacing w:before="0" w:after="283"/>
              <w:jc w:val="left"/>
              <w:rPr/>
            </w:pPr>
            <w:hyperlink w:anchor="m15">
              <w:r>
                <w:rPr>
                  <w:rStyle w:val="InternetLink"/>
                  <w:rFonts w:ascii="Times New Roman;Times;Serif" w:hAnsi="Times New Roman;Times;Serif"/>
                  <w:sz w:val="20"/>
                </w:rPr>
                <w:t>MATERIAL U.S. FEDERAL INCOME TAX CONSIDERATIONS</w:t>
              </w:r>
            </w:hyperlink>
          </w:p>
        </w:tc>
        <w:tc>
          <w:tcPr>
            <w:tcW w:w="245" w:type="dxa"/>
            <w:tcBorders/>
            <w:shd w:fill="CCEEFF" w:val="clear"/>
            <w:vAlign w:val="center"/>
          </w:tcPr>
          <w:p>
            <w:pPr>
              <w:pStyle w:val="TableContents"/>
              <w:bidi w:val="0"/>
              <w:spacing w:before="0" w:after="283"/>
              <w:jc w:val="center"/>
              <w:rPr/>
            </w:pPr>
            <w:hyperlink w:anchor="m15">
              <w:r>
                <w:rPr>
                  <w:rStyle w:val="InternetLink"/>
                  <w:rFonts w:ascii="Times New Roman;Times;Serif" w:hAnsi="Times New Roman;Times;Serif"/>
                  <w:sz w:val="20"/>
                </w:rPr>
                <w:t>37</w:t>
              </w:r>
            </w:hyperlink>
          </w:p>
        </w:tc>
      </w:tr>
      <w:tr>
        <w:trPr/>
        <w:tc>
          <w:tcPr>
            <w:tcW w:w="8930" w:type="dxa"/>
            <w:tcBorders/>
            <w:shd w:fill="FFFFFF" w:val="clear"/>
            <w:vAlign w:val="center"/>
          </w:tcPr>
          <w:p>
            <w:pPr>
              <w:pStyle w:val="TableContents"/>
              <w:bidi w:val="0"/>
              <w:spacing w:before="0" w:after="283"/>
              <w:jc w:val="left"/>
              <w:rPr/>
            </w:pPr>
            <w:hyperlink w:anchor="m16">
              <w:r>
                <w:rPr>
                  <w:rStyle w:val="InternetLink"/>
                  <w:rFonts w:ascii="Times New Roman;Times;Serif" w:hAnsi="Times New Roman;Times;Serif"/>
                  <w:sz w:val="20"/>
                </w:rPr>
                <w:t>MATERIAL CANADIAN FEDERAL INCOME TAX CONSIDERATIONS</w:t>
              </w:r>
            </w:hyperlink>
          </w:p>
        </w:tc>
        <w:tc>
          <w:tcPr>
            <w:tcW w:w="245" w:type="dxa"/>
            <w:tcBorders/>
            <w:shd w:fill="FFFFFF" w:val="clear"/>
            <w:vAlign w:val="center"/>
          </w:tcPr>
          <w:p>
            <w:pPr>
              <w:pStyle w:val="TableContents"/>
              <w:bidi w:val="0"/>
              <w:spacing w:before="0" w:after="283"/>
              <w:jc w:val="center"/>
              <w:rPr/>
            </w:pPr>
            <w:hyperlink w:anchor="m16">
              <w:r>
                <w:rPr>
                  <w:rStyle w:val="InternetLink"/>
                  <w:rFonts w:ascii="Times New Roman;Times;Serif" w:hAnsi="Times New Roman;Times;Serif"/>
                  <w:sz w:val="20"/>
                </w:rPr>
                <w:t>44</w:t>
              </w:r>
            </w:hyperlink>
          </w:p>
        </w:tc>
      </w:tr>
      <w:tr>
        <w:trPr/>
        <w:tc>
          <w:tcPr>
            <w:tcW w:w="8930" w:type="dxa"/>
            <w:tcBorders/>
            <w:shd w:fill="CCEEFF" w:val="clear"/>
            <w:vAlign w:val="center"/>
          </w:tcPr>
          <w:p>
            <w:pPr>
              <w:pStyle w:val="TableContents"/>
              <w:bidi w:val="0"/>
              <w:spacing w:before="0" w:after="283"/>
              <w:jc w:val="left"/>
              <w:rPr/>
            </w:pPr>
            <w:hyperlink w:anchor="m17">
              <w:r>
                <w:rPr>
                  <w:rStyle w:val="InternetLink"/>
                  <w:rFonts w:ascii="Times New Roman;Times;Serif" w:hAnsi="Times New Roman;Times;Serif"/>
                  <w:sz w:val="20"/>
                </w:rPr>
                <w:t>LEGAL MATTERS</w:t>
              </w:r>
            </w:hyperlink>
          </w:p>
        </w:tc>
        <w:tc>
          <w:tcPr>
            <w:tcW w:w="245" w:type="dxa"/>
            <w:tcBorders/>
            <w:shd w:fill="CCEEFF" w:val="clear"/>
            <w:vAlign w:val="center"/>
          </w:tcPr>
          <w:p>
            <w:pPr>
              <w:pStyle w:val="TableContents"/>
              <w:bidi w:val="0"/>
              <w:spacing w:before="0" w:after="283"/>
              <w:jc w:val="center"/>
              <w:rPr/>
            </w:pPr>
            <w:hyperlink w:anchor="m17">
              <w:r>
                <w:rPr>
                  <w:rStyle w:val="InternetLink"/>
                  <w:rFonts w:ascii="Times New Roman;Times;Serif" w:hAnsi="Times New Roman;Times;Serif"/>
                  <w:sz w:val="20"/>
                </w:rPr>
                <w:t>46</w:t>
              </w:r>
            </w:hyperlink>
          </w:p>
        </w:tc>
      </w:tr>
      <w:tr>
        <w:trPr/>
        <w:tc>
          <w:tcPr>
            <w:tcW w:w="8930" w:type="dxa"/>
            <w:tcBorders/>
            <w:shd w:fill="FFFFFF" w:val="clear"/>
            <w:vAlign w:val="center"/>
          </w:tcPr>
          <w:p>
            <w:pPr>
              <w:pStyle w:val="TableContents"/>
              <w:bidi w:val="0"/>
              <w:spacing w:before="0" w:after="283"/>
              <w:jc w:val="left"/>
              <w:rPr/>
            </w:pPr>
            <w:hyperlink w:anchor="m18">
              <w:r>
                <w:rPr>
                  <w:rStyle w:val="InternetLink"/>
                  <w:rFonts w:ascii="Times New Roman;Times;Serif" w:hAnsi="Times New Roman;Times;Serif"/>
                  <w:sz w:val="20"/>
                </w:rPr>
                <w:t>EXPERTS</w:t>
              </w:r>
            </w:hyperlink>
          </w:p>
        </w:tc>
        <w:tc>
          <w:tcPr>
            <w:tcW w:w="245" w:type="dxa"/>
            <w:tcBorders/>
            <w:shd w:fill="FFFFFF" w:val="clear"/>
            <w:vAlign w:val="center"/>
          </w:tcPr>
          <w:p>
            <w:pPr>
              <w:pStyle w:val="TableContents"/>
              <w:bidi w:val="0"/>
              <w:spacing w:before="0" w:after="283"/>
              <w:jc w:val="center"/>
              <w:rPr/>
            </w:pPr>
            <w:hyperlink w:anchor="m18">
              <w:r>
                <w:rPr>
                  <w:rStyle w:val="InternetLink"/>
                  <w:rFonts w:ascii="Times New Roman;Times;Serif" w:hAnsi="Times New Roman;Times;Serif"/>
                  <w:sz w:val="20"/>
                </w:rPr>
                <w:t>46</w:t>
              </w:r>
            </w:hyperlink>
          </w:p>
        </w:tc>
      </w:tr>
      <w:tr>
        <w:trPr/>
        <w:tc>
          <w:tcPr>
            <w:tcW w:w="8930" w:type="dxa"/>
            <w:tcBorders/>
            <w:shd w:fill="CCEEFF" w:val="clear"/>
            <w:vAlign w:val="center"/>
          </w:tcPr>
          <w:p>
            <w:pPr>
              <w:pStyle w:val="TableContents"/>
              <w:bidi w:val="0"/>
              <w:spacing w:before="0" w:after="283"/>
              <w:jc w:val="left"/>
              <w:rPr/>
            </w:pPr>
            <w:hyperlink w:anchor="m19">
              <w:r>
                <w:rPr>
                  <w:rStyle w:val="InternetLink"/>
                  <w:rFonts w:ascii="Times New Roman;Times;Serif" w:hAnsi="Times New Roman;Times;Serif"/>
                  <w:sz w:val="20"/>
                </w:rPr>
                <w:t>WHERE YOU CAN FIND MORE INFORMATION</w:t>
              </w:r>
            </w:hyperlink>
          </w:p>
        </w:tc>
        <w:tc>
          <w:tcPr>
            <w:tcW w:w="245" w:type="dxa"/>
            <w:tcBorders/>
            <w:shd w:fill="CCEEFF" w:val="clear"/>
            <w:vAlign w:val="center"/>
          </w:tcPr>
          <w:p>
            <w:pPr>
              <w:pStyle w:val="TableContents"/>
              <w:bidi w:val="0"/>
              <w:spacing w:before="0" w:after="283"/>
              <w:jc w:val="center"/>
              <w:rPr/>
            </w:pPr>
            <w:hyperlink w:anchor="m19">
              <w:r>
                <w:rPr>
                  <w:rStyle w:val="InternetLink"/>
                  <w:rFonts w:ascii="Times New Roman;Times;Serif" w:hAnsi="Times New Roman;Times;Serif"/>
                  <w:sz w:val="20"/>
                </w:rPr>
                <w:t>46</w:t>
              </w:r>
            </w:hyperlink>
          </w:p>
        </w:tc>
      </w:tr>
      <w:tr>
        <w:trPr/>
        <w:tc>
          <w:tcPr>
            <w:tcW w:w="8930" w:type="dxa"/>
            <w:tcBorders/>
            <w:shd w:fill="FFFFFF" w:val="clear"/>
            <w:vAlign w:val="center"/>
          </w:tcPr>
          <w:p>
            <w:pPr>
              <w:pStyle w:val="TableContents"/>
              <w:bidi w:val="0"/>
              <w:spacing w:before="0" w:after="283"/>
              <w:jc w:val="left"/>
              <w:rPr/>
            </w:pPr>
            <w:hyperlink w:anchor="m20">
              <w:r>
                <w:rPr>
                  <w:rStyle w:val="InternetLink"/>
                  <w:rFonts w:ascii="Times New Roman;Times;Serif" w:hAnsi="Times New Roman;Times;Serif"/>
                  <w:sz w:val="20"/>
                </w:rPr>
                <w:t>INCORPORATION OF DOCUMENTS BY REFERENCE</w:t>
              </w:r>
            </w:hyperlink>
          </w:p>
        </w:tc>
        <w:tc>
          <w:tcPr>
            <w:tcW w:w="245" w:type="dxa"/>
            <w:tcBorders/>
            <w:shd w:fill="FFFFFF" w:val="clear"/>
            <w:vAlign w:val="center"/>
          </w:tcPr>
          <w:p>
            <w:pPr>
              <w:pStyle w:val="TableContents"/>
              <w:bidi w:val="0"/>
              <w:spacing w:before="0" w:after="283"/>
              <w:jc w:val="center"/>
              <w:rPr/>
            </w:pPr>
            <w:hyperlink w:anchor="m20">
              <w:r>
                <w:rPr>
                  <w:rStyle w:val="InternetLink"/>
                  <w:rFonts w:ascii="Times New Roman;Times;Serif" w:hAnsi="Times New Roman;Times;Serif"/>
                  <w:sz w:val="20"/>
                </w:rPr>
                <w:t>46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m1"/>
      <w:bookmarkEnd w:id="18"/>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or the SEC, using a shelf registration process. Using this process, we may, from time to time, sell any securities described in this prospectus in one or more offerings up to a total dollar amount of $100,000,000. This prospectus provides a general description of the securities we may offer. Each time we sell any securities under this prospectus, we will provide a prospectus supplement that will contain more specific information about the terms of the securities being offered and the specific manner in which they will be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selling shareholders may change over time. When the selling shareholders sell our Common Shares under this prospectus, we will, if necessary and required by law, provide a prospectus supplement that will contain specific information about the terms of that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consummate sales of our securities by us, unless it is accompanied by a prospectus supplement. To the extent there are inconsistencies between any prospectus supplement, this prospectus and any documents incorporated by reference, the document with the most recent date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“the Company,” “we,” “us,” “our” and similar terms refer to TMC the metals company Inc. and our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investors outside the United States</w:t>
      </w:r>
      <w:r>
        <w:rPr>
          <w:rFonts w:ascii="Times New Roman;Times;Serif" w:hAnsi="Times New Roman;Times;Serif"/>
          <w:b w:val="false"/>
          <w:i w:val="false"/>
          <w:caps w:val="false"/>
          <w:smallCaps w:val="false"/>
          <w:sz w:val="20"/>
        </w:rPr>
        <w:t>: We have not done anything that would permit these offerings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8" w:color="000000"/>
        </w:rPr>
      </w:pPr>
      <w:bookmarkStart w:id="19" w:name="m2"/>
      <w:bookmarkEnd w:id="19"/>
      <w:r>
        <w:rPr>
          <w:rFonts w:ascii="Times New Roman;Times;Serif" w:hAnsi="Times New Roman;Times;Serif"/>
          <w:b/>
          <w:i w:val="false"/>
          <w:caps w:val="false"/>
          <w:smallCaps w:val="false"/>
          <w:sz w:val="20"/>
          <w:bdr w:val="single" w:sz="8" w:space="18" w:color="000000"/>
        </w:rPr>
        <w:t>PROSPECTUS SUMMARY</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8" w:color="000000"/>
        </w:rPr>
      </w:pPr>
      <w:r>
        <w:rPr>
          <w:rFonts w:ascii="Times New Roman;Times;Serif" w:hAnsi="Times New Roman;Times;Serif"/>
          <w:b w:val="false"/>
          <w:i/>
          <w:caps w:val="false"/>
          <w:smallCaps w:val="false"/>
          <w:sz w:val="20"/>
          <w:bdr w:val="single" w:sz="8" w:space="18" w:color="000000"/>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quarterly and other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8" w:color="000000"/>
        </w:rPr>
      </w:pPr>
      <w:r>
        <w:rPr>
          <w:rFonts w:ascii="Times New Roman;Times;Serif" w:hAnsi="Times New Roman;Times;Serif"/>
          <w:b/>
          <w:i w:val="false"/>
          <w:caps w:val="false"/>
          <w:smallCaps w:val="false"/>
          <w:sz w:val="20"/>
          <w:bdr w:val="single" w:sz="8" w:space="18" w:color="000000"/>
        </w:rPr>
        <w:t>About TMC the metals company Inc.</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We are a deep-sea minerals exploration company focused on the collection and processing of polymetallic nodules found on the seafloor in international waters of the Clarion Clipperton Zone, or the CCZ, about 1,300 nautical miles south-west of San Diego, California. The CCZ is a geological submarine fracture zone of abyssal plains and other formations in the Eastern Pacific Ocean, with a length of around 7,240 km (4,500 miles) that spans approximately 4,500,000 square kilometers (1,700,000 sq. mi). Polymetallic nodules are discrete rocks that sit unattached to the seafloor, occur in significant quantities in the CCZ and have high concentrations of nickel, manganese, cobalt and copper in a single rock.</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These four metals contained in the polymetallic nodules are critical for the transition to clean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(nickel-copper-cobalt matte and/or nickel and cobalt sulfates) for electric vehicles, or EVs, and renewable energy storage markets, (ii) nickel-copper-cobalt matte and/or copper cathode for EV wiring, clean energy transmission and other applications and (iii) manganese silicate for manganese alloy production required for steel production. Our mission is to build a carefully managed shared stock of metal, which we refer to as a metals common, that can be used, recovered and reused for generations to come. Significant quantities of newly mined metal are required because existing metal stocks are insufficient to meet rapidly rising demand.</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Exploration and exploitation of seabed minerals in international waters is regulated by the International Seabed Authority, or the ISA, an intergovernmental organization established pursuant to the 1994 Agreement Relating to the Implementation of the United Nations Convention on the Law of the Sea, or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through our subsidiaries Nauru Ocean Resources Inc., or NORI, and Tonga Offshore Mining Limited, or TOML, sponsored by the Republic of Nauru and the Kingdom of Tonga, respectively, and exclusive commercial rights through our subsidiary, DeepGreen Engineering Pte. Ltd.’s, arrangement with Marawa Research and Exploration Limited, a company owned and sponsored by the Republic of Kiribati.</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We have key strategic alliances with (i) Allseas Group S.A., a leading global offshore contractor, which is developing a pilot collection system, which is expected to be modified into an initial smaller scale commercial production system and serve as the basis for the design of a full-scale commercial production system and (ii) Glencore International AG, or Glencore, which holds offtake rights on 50% of the NORI nickel and copper production. In addition, we have worked with an engineering firm Hatch Ltd. and consultants Kingston Process Metallurgy Inc. to develop a near-zero solid waste flowsheet. The pyrometallurgical stages of the flowsheet were tested as part of our pilot plant program at FLSmidth &amp; Co. A/S’s and XPS Solutions’ (a Glencore subsidiary) facilities and bench-scale hydrometallurgical refining stages are being carried out at SGS SA. The near-zero solid waste flowsheet is in the process design that is expected to serve as the basis for our onshore processing facilities. In March 2022, we entered into a non-binding memorandum of understanding with Epsilon Carbon Pvt, LTD., or Epsilon Carbon, in which Epsilon Carbon expressed its intent to conduct pre-feasibility work to potentially finance, engineer, permit, construct and operate a commercial polymetallic nodule processing plant in India.</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We are currently focused on applying for our first exploitation contract from the ISA on the NORI Area D contract area with the goal of potentially starting commercial production in 2024. To reach our objective and initiate commercial production in 2024, we are: (i) defining our resource and project economics, (ii) developing an offshore nodule collection system, (iii) assessing the environmental, social and governance (ESG) impacts of offshore nodule collection, and (iv) developing onshore technology to process collected polymetallic nodules into a manganese silicate product, and an intermediate nickel-copper-cobalt matte product and/or end-products like nickel and cobalt sulfates, and copper cathode. We will need additional funding to reach our expected commercial production in 2024.</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We are still in the exploration phase and have not yet declared mineral reserves. We have yet to obtain exploitation contracts from the ISA to commence commercial scale polymetallic nodule collection in the CCZ and have yet to obtain the applicable environmental permits and other permits required to build and operate commercial scale polymetallic nodule processing and refining plants on land.</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8" w:color="000000"/>
        </w:rPr>
      </w:pPr>
      <w:r>
        <w:rPr>
          <w:rFonts w:ascii="Times New Roman;Times;Serif" w:hAnsi="Times New Roman;Times;Serif"/>
          <w:b/>
          <w:i/>
          <w:caps w:val="false"/>
          <w:smallCaps w:val="false"/>
          <w:sz w:val="20"/>
          <w:bdr w:val="single" w:sz="8" w:space="18" w:color="000000"/>
        </w:rPr>
        <w:t>Cautionary Statements Regarding the NORI Initial Assessment and TOML Mineral Resource Statement</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We have estimated the size and quality of our resource in the NORI and TOML contracted areas in our SEC Regulation S-K (subpart 1300), referred to herein as the SEC Mining Rules, compliant Technical Report Summary - Initial Assessment, of the NORI Property, Clarion-Clipperton Zone, Pacific Ocean dated March 17, 2021, or the NORI Initial Assessment, and Technical Report Summary - TOML Mineral Resource, Clarion-Clipperton Zone, Pacific Ocean dated March 26, 2021, or the TOML Mineral Resource Statement, respectively, prepared by AMC Consultants Ltd., or AMC, each of which is filed as an exhibit to the registration statement to which this prospectus forms a part. We plan to continue to refine our resource estimate for the NORI and TOML areas and better resolve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The NORI Initial Assessment and TOML Mineral Resource Statement do not include the conversion of mineral resources to mineral reserves.</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As used in this prospectus or in the applicable report summary, the terms “mineral resource,” “measured mineral resource,” “indicated mineral resource” and “inferred mineral resource”, as applicable, are defined and used in accordance with the SEC Mining Rules.</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includes information that has been prepared in accordance with the requirements of the SEC Mining Rules.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Likewise, you are cautioned not to assume that all or any part of measured or indicated mineral resources will ever be upgraded to mineral reserves.</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8" w:color="000000"/>
        </w:rPr>
      </w:pPr>
      <w:r>
        <w:rPr>
          <w:rFonts w:ascii="Times New Roman;Times;Serif" w:hAnsi="Times New Roman;Times;Serif"/>
          <w:b/>
          <w:i/>
          <w:caps w:val="false"/>
          <w:smallCaps w:val="false"/>
          <w:sz w:val="20"/>
          <w:bdr w:val="single" w:sz="8" w:space="18" w:color="000000"/>
        </w:rPr>
        <w:t>Additional Information</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For additional information related to our business and operations, please refer to the reports incorporated herein by reference, as described under the caption “Incorporation of Documents by Reference” on page 46 of this prospectus.</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8" w:color="000000"/>
        </w:rPr>
      </w:pPr>
      <w:r>
        <w:rPr>
          <w:rFonts w:ascii="Times New Roman;Times;Serif" w:hAnsi="Times New Roman;Times;Serif"/>
          <w:b/>
          <w:i/>
          <w:caps w:val="false"/>
          <w:smallCaps w:val="false"/>
          <w:sz w:val="20"/>
          <w:bdr w:val="single" w:sz="8" w:space="18" w:color="000000"/>
        </w:rPr>
        <w:t>Our Corporate Information</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 xml:space="preserve">The Company was originally known as Sustainable Opportunities Acquisition Corp., or SOAC. On September 9, 2021, we consummated a business combination, or the Business Combination, pursuant to the terms of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or DeepGreen. In connection with the Business Combination, SOAC changed its name to “TMC the metals company Inc.” Our principal executive offices are located at 595 Howe Street, 10th Floor, Vancouver, British Columbia V6C 2T5, and our telephone number is (574) 252-9333. Our website address is </w:t>
      </w:r>
      <w:r>
        <w:rPr>
          <w:rFonts w:ascii="Times New Roman;Times;Serif" w:hAnsi="Times New Roman;Times;Serif"/>
          <w:b w:val="false"/>
          <w:i/>
          <w:caps w:val="false"/>
          <w:smallCaps w:val="false"/>
          <w:sz w:val="20"/>
          <w:bdr w:val="single" w:sz="8" w:space="18" w:color="000000"/>
        </w:rPr>
        <w:t>www.metals.co</w:t>
      </w:r>
      <w:r>
        <w:rPr>
          <w:rFonts w:ascii="Times New Roman;Times;Serif" w:hAnsi="Times New Roman;Times;Serif"/>
          <w:b w:val="false"/>
          <w:i w:val="false"/>
          <w:caps w:val="false"/>
          <w:smallCaps w:val="false"/>
          <w:sz w:val="20"/>
          <w:bdr w:val="single" w:sz="8" w:space="18" w:color="000000"/>
        </w:rPr>
        <w:t>. The information contained on, or that can be accessed through, our website is not and shall not be deemed to be part of this prospectus. We have included our website address in this prospectus solely as an inactive textual reference. Investors should not rely on any such information in deciding whether to purchase our Common Shares or other securities.</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All service marks, trademarks and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8" w:color="000000"/>
        </w:rPr>
      </w:pPr>
      <w:r>
        <w:rPr>
          <w:rFonts w:ascii="Times New Roman;Times;Serif" w:hAnsi="Times New Roman;Times;Serif"/>
          <w:b/>
          <w:i/>
          <w:caps w:val="false"/>
          <w:smallCaps w:val="false"/>
          <w:sz w:val="20"/>
          <w:bdr w:val="single" w:sz="8" w:space="18" w:color="000000"/>
        </w:rPr>
        <w:t>Offerings Under This Prospectus by Us</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Under this prospectus, we may offer our securities from time to time at prices and on terms to be determined by market conditions at the time of the offering. This prospectus provides you with a general description of the securities we may offer. Each time we offer securities under this prospectus, we will provide a prospectus supplement that will describe the specific amounts, prices and other important terms of the securities.</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tbl>
      <w:tblPr>
        <w:tblW w:w="4218" w:type="dxa"/>
        <w:jc w:val="left"/>
        <w:tblInd w:w="0" w:type="dxa"/>
        <w:tblLayout w:type="fixed"/>
        <w:tblCellMar>
          <w:top w:w="0" w:type="dxa"/>
          <w:left w:w="0" w:type="dxa"/>
          <w:bottom w:w="0" w:type="dxa"/>
          <w:right w:w="0" w:type="dxa"/>
        </w:tblCellMar>
      </w:tblPr>
      <w:tblGrid>
        <w:gridCol w:w="38"/>
        <w:gridCol w:w="17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left"/>
              <w:rPr/>
            </w:pPr>
            <w:r>
              <w:rPr/>
              <w:t>the names of those agents or underwriters;</w:t>
            </w:r>
          </w:p>
        </w:tc>
      </w:tr>
    </w:tbl>
    <w:tbl>
      <w:tblPr>
        <w:tblW w:w="6138" w:type="dxa"/>
        <w:jc w:val="left"/>
        <w:tblInd w:w="0" w:type="dxa"/>
        <w:tblLayout w:type="fixed"/>
        <w:tblCellMar>
          <w:top w:w="0" w:type="dxa"/>
          <w:left w:w="0" w:type="dxa"/>
          <w:bottom w:w="0" w:type="dxa"/>
          <w:right w:w="0" w:type="dxa"/>
        </w:tblCellMar>
      </w:tblPr>
      <w:tblGrid>
        <w:gridCol w:w="38"/>
        <w:gridCol w:w="170"/>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left"/>
              <w:rPr/>
            </w:pPr>
            <w:r>
              <w:rPr/>
              <w:t>applicable fees, discounts and commissions to be paid to them;</w:t>
            </w:r>
          </w:p>
        </w:tc>
      </w:tr>
    </w:tbl>
    <w:tbl>
      <w:tblPr>
        <w:tblW w:w="9108" w:type="dxa"/>
        <w:jc w:val="left"/>
        <w:tblInd w:w="0" w:type="dxa"/>
        <w:tblLayout w:type="fixed"/>
        <w:tblCellMar>
          <w:top w:w="0" w:type="dxa"/>
          <w:left w:w="0" w:type="dxa"/>
          <w:bottom w:w="0" w:type="dxa"/>
          <w:right w:w="0" w:type="dxa"/>
        </w:tblCellMar>
      </w:tblPr>
      <w:tblGrid>
        <w:gridCol w:w="38"/>
        <w:gridCol w:w="17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left"/>
              <w:rPr/>
            </w:pPr>
            <w:r>
              <w:rPr/>
              <w:t>details regarding over-allotment and other options to purchase additional securities, if any; and</w:t>
            </w:r>
          </w:p>
        </w:tc>
      </w:tr>
    </w:tbl>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283"/>
              <w:jc w:val="left"/>
              <w:rPr/>
            </w:pPr>
            <w:r>
              <w:rPr/>
              <w:t>the net proceeds to us.</w:t>
            </w:r>
          </w:p>
        </w:tc>
      </w:tr>
    </w:tbl>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8" w:color="000000"/>
        </w:rPr>
      </w:pPr>
      <w:r>
        <w:rPr>
          <w:rFonts w:ascii="Times New Roman;Times;Serif" w:hAnsi="Times New Roman;Times;Serif"/>
          <w:b/>
          <w:i w:val="false"/>
          <w:caps w:val="false"/>
          <w:smallCaps w:val="false"/>
          <w:sz w:val="20"/>
          <w:bdr w:val="single" w:sz="8" w:space="18" w:color="000000"/>
        </w:rPr>
        <w:t>This prospectus may not be used to consummate a sale of any securities by us unless it is accompanied by a prospectus supplement.</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18" w:color="000000"/>
        </w:rPr>
      </w:pPr>
      <w:r>
        <w:rPr>
          <w:rFonts w:ascii="Times New Roman;Times;Serif" w:hAnsi="Times New Roman;Times;Serif"/>
          <w:b/>
          <w:i/>
          <w:caps w:val="false"/>
          <w:smallCaps w:val="false"/>
          <w:sz w:val="20"/>
          <w:bdr w:val="single" w:sz="8" w:space="18" w:color="000000"/>
        </w:rPr>
        <w:t>The Securities Selling Shareholders May Offer</w:t>
      </w:r>
    </w:p>
    <w:p>
      <w:pPr>
        <w:pStyle w:val="TextBody"/>
        <w:bidi w:val="0"/>
        <w:spacing w:before="0" w:after="0"/>
        <w:ind w:left="0" w:right="0" w:hanging="0"/>
        <w:jc w:val="left"/>
        <w:rPr>
          <w:caps w:val="false"/>
          <w:smallCaps w:val="false"/>
          <w:bdr w:val="single" w:sz="8" w:space="18" w:color="000000"/>
        </w:rPr>
      </w:pPr>
      <w:r>
        <w:rPr>
          <w:caps w:val="false"/>
          <w:smallCaps w:val="false"/>
          <w:bdr w:val="single" w:sz="8" w:space="18"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8" w:color="000000"/>
        </w:rPr>
      </w:pPr>
      <w:r>
        <w:rPr>
          <w:rFonts w:ascii="Times New Roman;Times;Serif" w:hAnsi="Times New Roman;Times;Serif"/>
          <w:b w:val="false"/>
          <w:i w:val="false"/>
          <w:caps w:val="false"/>
          <w:smallCaps w:val="false"/>
          <w:sz w:val="20"/>
          <w:bdr w:val="single" w:sz="8" w:space="18" w:color="000000"/>
        </w:rPr>
        <w:t>The selling shareholders named in this prospectus may offer and resell from time to time up to 38,266,180 Common Shares. We will not receive any proceeds from the sale of Common Shares by the selling shareholders. Please see the section titled “Selling Shareholders” in this prospectus.</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m3"/>
      <w:bookmarkEnd w:id="20"/>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m4"/>
      <w:bookmarkEnd w:id="21"/>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include forward-looking statements within the meaning of Section 27A of the Securities Act of 1933, as amended, or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and the other documents or reports incorporated by reference in this prospectus, discuss some of the factors that could contribute to these differences. These forward-looking statements include, among other things, statements about:</w:t>
      </w:r>
    </w:p>
    <w:p>
      <w:pPr>
        <w:pStyle w:val="TextBody"/>
        <w:bidi w:val="0"/>
        <w:spacing w:before="0" w:after="0"/>
        <w:ind w:left="0" w:right="0" w:hanging="0"/>
        <w:jc w:val="both"/>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17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340" w:type="dxa"/>
            <w:tcBorders/>
            <w:vAlign w:val="center"/>
          </w:tcPr>
          <w:p>
            <w:pPr>
              <w:pStyle w:val="TableContents"/>
              <w:bidi w:val="0"/>
              <w:spacing w:before="0" w:after="283"/>
              <w:jc w:val="both"/>
              <w:rPr/>
            </w:pPr>
            <w:r>
              <w:rPr/>
              <w:t>our use of the net proceeds from this offering;</w:t>
            </w:r>
          </w:p>
        </w:tc>
      </w:tr>
    </w:tbl>
    <w:tbl>
      <w:tblPr>
        <w:tblW w:w="9453" w:type="dxa"/>
        <w:jc w:val="left"/>
        <w:tblInd w:w="0" w:type="dxa"/>
        <w:tblLayout w:type="fixed"/>
        <w:tblCellMar>
          <w:top w:w="0" w:type="dxa"/>
          <w:left w:w="0" w:type="dxa"/>
          <w:bottom w:w="0" w:type="dxa"/>
          <w:right w:w="0" w:type="dxa"/>
        </w:tblCellMar>
      </w:tblPr>
      <w:tblGrid>
        <w:gridCol w:w="38"/>
        <w:gridCol w:w="170"/>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245" w:type="dxa"/>
            <w:tcBorders/>
            <w:vAlign w:val="center"/>
          </w:tcPr>
          <w:p>
            <w:pPr>
              <w:pStyle w:val="TableContents"/>
              <w:bidi w:val="0"/>
              <w:spacing w:before="0" w:after="283"/>
              <w:jc w:val="both"/>
              <w:rPr/>
            </w:pPr>
            <w:r>
              <w:rPr/>
              <w:t>the commercial and technical feasibility of seafloor polymetallic nodule collection and processing;</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potential commercialization plans;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supply and demand for battery metals and battery cathode feedstocks, copper cathode and manganese ores;</w:t>
            </w:r>
          </w:p>
        </w:tc>
      </w:tr>
    </w:tbl>
    <w:tbl>
      <w:tblPr>
        <w:tblW w:w="9918" w:type="dxa"/>
        <w:jc w:val="left"/>
        <w:tblInd w:w="0" w:type="dxa"/>
        <w:tblLayout w:type="fixed"/>
        <w:tblCellMar>
          <w:top w:w="0" w:type="dxa"/>
          <w:left w:w="0" w:type="dxa"/>
          <w:bottom w:w="0" w:type="dxa"/>
          <w:right w:w="0" w:type="dxa"/>
        </w:tblCellMar>
      </w:tblPr>
      <w:tblGrid>
        <w:gridCol w:w="38"/>
        <w:gridCol w:w="17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710" w:type="dxa"/>
            <w:tcBorders/>
            <w:vAlign w:val="center"/>
          </w:tcPr>
          <w:p>
            <w:pPr>
              <w:pStyle w:val="TableContents"/>
              <w:bidi w:val="0"/>
              <w:spacing w:before="0" w:after="283"/>
              <w:jc w:val="both"/>
              <w:rPr/>
            </w:pPr>
            <w:r>
              <w:rPr/>
              <w:t>the future prices of battery metals and battery cathode feedstocks, copper cathode and manganese ores;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timing and content of ISA’s final exploitation regulations that will create the legal and technical framework for exploitation of polymetallic nodules in the CCZ;</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government regulation of mineral extraction from the deep seafloor and changes in mining laws and regulations;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technical, operational, environmental, social and governance risks of developing and deploying equipment to collect polymetallic nodules at sea and to process such nodules on land;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sources and timing of potential revenue as well as the timing and amount of estimated future production, costs of production, other expenses, capital expenditures and requirements for additional capital;</w:t>
            </w:r>
          </w:p>
        </w:tc>
      </w:tr>
    </w:tbl>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040" w:type="dxa"/>
            <w:tcBorders/>
            <w:vAlign w:val="center"/>
          </w:tcPr>
          <w:p>
            <w:pPr>
              <w:pStyle w:val="TableContents"/>
              <w:bidi w:val="0"/>
              <w:spacing w:before="0" w:after="283"/>
              <w:jc w:val="both"/>
              <w:rPr/>
            </w:pPr>
            <w:r>
              <w:rPr/>
              <w:t>cash flow provided by operating activities;</w:t>
            </w:r>
          </w:p>
        </w:tc>
      </w:tr>
    </w:tbl>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070" w:type="dxa"/>
            <w:tcBorders/>
            <w:vAlign w:val="center"/>
          </w:tcPr>
          <w:p>
            <w:pPr>
              <w:pStyle w:val="TableContents"/>
              <w:bidi w:val="0"/>
              <w:spacing w:before="0" w:after="283"/>
              <w:jc w:val="both"/>
              <w:rPr/>
            </w:pPr>
            <w:r>
              <w:rPr/>
              <w:t>the expected activities of our partners under our key strategic relationships;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sufficiency of our cash on hand to meet our working capital and capital expenditure requirements and the need for additional financing;</w:t>
            </w:r>
          </w:p>
        </w:tc>
      </w:tr>
    </w:tbl>
    <w:tbl>
      <w:tblPr>
        <w:tblW w:w="7323" w:type="dxa"/>
        <w:jc w:val="left"/>
        <w:tblInd w:w="0" w:type="dxa"/>
        <w:tblLayout w:type="fixed"/>
        <w:tblCellMar>
          <w:top w:w="0" w:type="dxa"/>
          <w:left w:w="0" w:type="dxa"/>
          <w:bottom w:w="0" w:type="dxa"/>
          <w:right w:w="0" w:type="dxa"/>
        </w:tblCellMar>
      </w:tblPr>
      <w:tblGrid>
        <w:gridCol w:w="38"/>
        <w:gridCol w:w="17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115" w:type="dxa"/>
            <w:tcBorders/>
            <w:vAlign w:val="center"/>
          </w:tcPr>
          <w:p>
            <w:pPr>
              <w:pStyle w:val="TableContents"/>
              <w:bidi w:val="0"/>
              <w:spacing w:before="0" w:after="283"/>
              <w:jc w:val="both"/>
              <w:rPr/>
            </w:pPr>
            <w:r>
              <w:rPr/>
              <w:t>our ability to raise financing in the future and the nature of such financings;</w:t>
            </w:r>
          </w:p>
        </w:tc>
      </w:tr>
    </w:tbl>
    <w:tbl>
      <w:tblPr>
        <w:tblW w:w="3813" w:type="dxa"/>
        <w:jc w:val="left"/>
        <w:tblInd w:w="0" w:type="dxa"/>
        <w:tblLayout w:type="fixed"/>
        <w:tblCellMar>
          <w:top w:w="0" w:type="dxa"/>
          <w:left w:w="0" w:type="dxa"/>
          <w:bottom w:w="0" w:type="dxa"/>
          <w:right w:w="0" w:type="dxa"/>
        </w:tblCellMar>
      </w:tblPr>
      <w:tblGrid>
        <w:gridCol w:w="38"/>
        <w:gridCol w:w="17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3605" w:type="dxa"/>
            <w:tcBorders/>
            <w:vAlign w:val="center"/>
          </w:tcPr>
          <w:p>
            <w:pPr>
              <w:pStyle w:val="TableContents"/>
              <w:bidi w:val="0"/>
              <w:spacing w:before="0" w:after="283"/>
              <w:jc w:val="both"/>
              <w:rPr/>
            </w:pPr>
            <w:r>
              <w:rPr/>
              <w:t>any litigation to which we are a party;</w:t>
            </w:r>
          </w:p>
        </w:tc>
      </w:tr>
    </w:tbl>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310" w:type="dxa"/>
            <w:tcBorders/>
            <w:vAlign w:val="center"/>
          </w:tcPr>
          <w:p>
            <w:pPr>
              <w:pStyle w:val="TableContents"/>
              <w:bidi w:val="0"/>
              <w:spacing w:before="0" w:after="283"/>
              <w:jc w:val="both"/>
              <w:rPr/>
            </w:pPr>
            <w:r>
              <w:rPr/>
              <w:t>claims and limitations on insurance coverage;</w:t>
            </w:r>
          </w:p>
        </w:tc>
      </w:tr>
    </w:tbl>
    <w:tbl>
      <w:tblPr>
        <w:tblW w:w="8943" w:type="dxa"/>
        <w:jc w:val="left"/>
        <w:tblInd w:w="0" w:type="dxa"/>
        <w:tblLayout w:type="fixed"/>
        <w:tblCellMar>
          <w:top w:w="0" w:type="dxa"/>
          <w:left w:w="0" w:type="dxa"/>
          <w:bottom w:w="0" w:type="dxa"/>
          <w:right w:w="0" w:type="dxa"/>
        </w:tblCellMar>
      </w:tblPr>
      <w:tblGrid>
        <w:gridCol w:w="38"/>
        <w:gridCol w:w="17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8735" w:type="dxa"/>
            <w:tcBorders/>
            <w:vAlign w:val="center"/>
          </w:tcPr>
          <w:p>
            <w:pPr>
              <w:pStyle w:val="TableContents"/>
              <w:bidi w:val="0"/>
              <w:spacing w:before="0" w:after="283"/>
              <w:jc w:val="both"/>
              <w:rPr/>
            </w:pPr>
            <w:r>
              <w:rPr/>
              <w:t>our plans to mitigate our material weaknesses in our internal control over financial reporting;</w:t>
            </w:r>
          </w:p>
        </w:tc>
      </w:tr>
    </w:tbl>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040" w:type="dxa"/>
            <w:tcBorders/>
            <w:vAlign w:val="center"/>
          </w:tcPr>
          <w:p>
            <w:pPr>
              <w:pStyle w:val="TableContents"/>
              <w:bidi w:val="0"/>
              <w:spacing w:before="0" w:after="283"/>
              <w:jc w:val="both"/>
              <w:rPr/>
            </w:pPr>
            <w:r>
              <w:rPr/>
              <w:t>the restatement of our financial statements;</w:t>
            </w:r>
          </w:p>
        </w:tc>
      </w:tr>
    </w:tbl>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035" w:type="dxa"/>
            <w:tcBorders/>
            <w:vAlign w:val="center"/>
          </w:tcPr>
          <w:p>
            <w:pPr>
              <w:pStyle w:val="TableContents"/>
              <w:bidi w:val="0"/>
              <w:spacing w:before="0" w:after="283"/>
              <w:jc w:val="both"/>
              <w:rPr/>
            </w:pPr>
            <w:r>
              <w:rPr/>
              <w:t>geological, metallurgical and geotechnical studies and opinions;</w:t>
            </w:r>
          </w:p>
        </w:tc>
      </w:tr>
    </w:tbl>
    <w:tbl>
      <w:tblPr>
        <w:tblW w:w="2778" w:type="dxa"/>
        <w:jc w:val="left"/>
        <w:tblInd w:w="0" w:type="dxa"/>
        <w:tblLayout w:type="fixed"/>
        <w:tblCellMar>
          <w:top w:w="0" w:type="dxa"/>
          <w:left w:w="0" w:type="dxa"/>
          <w:bottom w:w="0" w:type="dxa"/>
          <w:right w:w="0" w:type="dxa"/>
        </w:tblCellMar>
      </w:tblPr>
      <w:tblGrid>
        <w:gridCol w:w="38"/>
        <w:gridCol w:w="17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2570" w:type="dxa"/>
            <w:tcBorders/>
            <w:vAlign w:val="center"/>
          </w:tcPr>
          <w:p>
            <w:pPr>
              <w:pStyle w:val="TableContents"/>
              <w:bidi w:val="0"/>
              <w:spacing w:before="0" w:after="283"/>
              <w:jc w:val="both"/>
              <w:rPr/>
            </w:pPr>
            <w:r>
              <w:rPr/>
              <w:t>mineral resource estimates;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our status as an emerging growth company, non-reporting Canadian issuer and passive foreign investment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pPr>
            <w:r>
              <w:rPr/>
              <w:t>COVID-19 and the impact of the COVID-19 pandemic on our business; and</w:t>
            </w:r>
          </w:p>
        </w:tc>
      </w:tr>
    </w:tbl>
    <w:tbl>
      <w:tblPr>
        <w:tblW w:w="2733" w:type="dxa"/>
        <w:jc w:val="left"/>
        <w:tblInd w:w="0" w:type="dxa"/>
        <w:tblLayout w:type="fixed"/>
        <w:tblCellMar>
          <w:top w:w="0" w:type="dxa"/>
          <w:left w:w="0" w:type="dxa"/>
          <w:bottom w:w="0" w:type="dxa"/>
          <w:right w:w="0" w:type="dxa"/>
        </w:tblCellMar>
      </w:tblPr>
      <w:tblGrid>
        <w:gridCol w:w="38"/>
        <w:gridCol w:w="170"/>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25" w:type="dxa"/>
            <w:tcBorders/>
            <w:vAlign w:val="center"/>
          </w:tcPr>
          <w:p>
            <w:pPr>
              <w:pStyle w:val="TableContents"/>
              <w:bidi w:val="0"/>
              <w:spacing w:before="0" w:after="283"/>
              <w:jc w:val="both"/>
              <w:rPr/>
            </w:pPr>
            <w:r>
              <w:rPr/>
              <w:t>our financial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m5"/>
      <w:bookmarkEnd w:id="22"/>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we intend to use any net proceeds from our sale of securities under this prospectus for general corporate purposes. We will have broad discretion over the use of any proceeds. Pending application of the net proceeds, we may initially invest the net proceeds in short-term, investment-grade, interest-bearing securities or apply them to the reduction of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will make offers and sales pursuant to this prospectus and, if required, any applicable prospectus supplement. We will not receive any proceeds from the sale or other disposition by the selling shareholders of the Common Shares covered hereby, or interests therein. The selling shareholders will pay any expenses incurred by the selling shareholders for brokerage, accounting, tax or legal services or any other expenses incurred by the selling shareholders in disposing of these shares. We will bear all other costs, fees and expenses incurred in effecting the registration of the shares covered by this prospectus, including, without limitation, all registration fees, listing fees of The Nasdaq Stock Market and fees and expenses of our counsel and our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B_002"/>
      <w:bookmarkEnd w:id="23"/>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an aggregate of 38,266,180 Common Shares, all of which have been issued by us as of the date of this prospectus, that may be sold by the selling shareholders set forth herein. Of these shares, 37,978,680 Common Shares were issued to the selling shareholders pursuant to that certain securities purchase agreement, dated August 12, 2022, or the PIPE Purchase Agreement, with the purchasers named therein for the issuance and sale of an aggregate of 31,625,000 Common Shares at a purchase price of $0.80 per share, a separate securities purchase agreement with Gerard Barron, our Chief Executive Officer and Chairman, or the Barron Purchase Agreement, for the issuance and sale of 103,680 Common Shares at $0.9645 per share, the consolidated closing bid price per Common Share on the Nasdaq Global Select Market on August 11, 2022, the date immediately preceding the signing of the Barron Purchase Agreement, and a separate securities purchase agreement with ERAS Capital LLC, the family fund of one of our directors, Andrei Karkar, for the issuance and sale of 6,250,000 Common Shares at a purchase price of $0.80 per share, or the ERAS Purchase Agreement. The PIPE Purchase Agreement, the Barron Purchase Agreement and the ERAS Purchase Agreement are referred to herein collectively as the Purchase Agreements. An aggregate of 287,500 Common Shares were issued to certain of our advisors in connection with advisory services they rendered related to the issuances of Common Shares pursuant to the Purchase Agreements. We are registering the resale of these Common Shares pursuant to the Purchase Agreements as well as arrangements with certain of our advisors. We will not receive any proceeds from the resale of the Common Shares by the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and the accompanying footnotes are based in part on information supplied to us by the selling shareholders. The table and footnotes assume that the selling shareholders will sell all of the shares listed. However, because the selling shareholders may sell all or some of their shares under this prospectus from time to time, or in another permitted manner, we cannot assure you as to the actual number of shares that will be sold by the selling shareholders or that will be held by the selling shareholders after completion of any sales. We do not know how long the selling shareholders will hold the shares before selling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the beneficial ownership of our Common Shares as of August 31, 2022 by each selling shareholder. Beneficial ownership is determined in accordance with the rules of the SEC and includes voting or investment power with respect to the securities. We deem Common Shares that may be acquired by an individual or group within 60 days of August 31, 2022 pursuant to the exercise of options or conversion of convertible securities to be outstanding for the purpose of computing the percentage ownership of such individual or group, but those shares are not deemed to be outstanding for the purpose of computing the percentage ownership of any other person shown in the table. The Common Shares issuable upon conversion of any Special Shares owned by the selling shareholders are not beneficially owned by any of the selling shareholders and are excluded from the beneficial ownership columns in the table below since the conversions of such Special Shares are subject to the Common Share trading price thresholds described herein. Please see the section titled “Description of Common Shares and Special Shares” in this prospectus. Except as indicated in footnotes to this table, we believe that the shareholders named in this table have sole voting and investment power with respect to all Common Shares shown to be beneficially owned by them based on information provided to us by these shareholders. Percentage of ownership prior to the offering is based on 265,424,635 Common Shares outstanding on August 31, 2022, assuming that we issued all of the 37,978,680 Common Shares issued under the Purchase Agreements and the 287,500 Common Shares issued to our advisors on or before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both"/>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4082"/>
        <w:gridCol w:w="60"/>
        <w:gridCol w:w="1213"/>
        <w:gridCol w:w="76"/>
        <w:gridCol w:w="76"/>
        <w:gridCol w:w="76"/>
        <w:gridCol w:w="131"/>
        <w:gridCol w:w="834"/>
        <w:gridCol w:w="60"/>
        <w:gridCol w:w="60"/>
        <w:gridCol w:w="69"/>
        <w:gridCol w:w="1001"/>
        <w:gridCol w:w="60"/>
        <w:gridCol w:w="60"/>
        <w:gridCol w:w="69"/>
        <w:gridCol w:w="1096"/>
        <w:gridCol w:w="69"/>
        <w:gridCol w:w="69"/>
        <w:gridCol w:w="131"/>
        <w:gridCol w:w="834"/>
        <w:gridCol w:w="79"/>
      </w:tblGrid>
      <w:tr>
        <w:trPr/>
        <w:tc>
          <w:tcPr>
            <w:tcW w:w="4082" w:type="dxa"/>
            <w:vMerge w:val="restart"/>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Shareholder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240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Shares Beneficially</w:t>
              <w:br/>
              <w:t>Owned Prior to Offering</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pPr>
            <w:r>
              <w:rPr>
                <w:b/>
              </w:rPr>
              <w:t>Number of</w:t>
            </w:r>
            <w:r>
              <w:rPr/>
              <w:br/>
            </w:r>
            <w:r>
              <w:rPr>
                <w:b/>
              </w:rPr>
              <w:t xml:space="preserve">Common </w:t>
            </w:r>
            <w:r>
              <w:rPr/>
              <w:br/>
            </w:r>
            <w:r>
              <w:rPr>
                <w:rFonts w:ascii="Times New Roman;Times;Serif" w:hAnsi="Times New Roman;Times;Serif"/>
                <w:b/>
                <w:sz w:val="20"/>
              </w:rPr>
              <w:t>Shares Being</w:t>
            </w:r>
          </w:p>
        </w:tc>
        <w:tc>
          <w:tcPr>
            <w:tcW w:w="60"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Shares to be</w:t>
              <w:br/>
              <w:t>Beneficially Owned After</w:t>
              <w:br/>
              <w:t>Offering</w:t>
            </w:r>
          </w:p>
        </w:tc>
        <w:tc>
          <w:tcPr>
            <w:tcW w:w="79" w:type="dxa"/>
            <w:tcBorders/>
            <w:vAlign w:val="center"/>
          </w:tcPr>
          <w:p>
            <w:pPr>
              <w:pStyle w:val="TableContents"/>
              <w:bidi w:val="0"/>
              <w:spacing w:before="0" w:after="283"/>
              <w:jc w:val="left"/>
              <w:rPr/>
            </w:pPr>
            <w:r>
              <w:rPr/>
              <w:t> </w:t>
            </w:r>
          </w:p>
        </w:tc>
      </w:tr>
      <w:tr>
        <w:trPr/>
        <w:tc>
          <w:tcPr>
            <w:tcW w:w="408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Offered</w:t>
            </w:r>
          </w:p>
        </w:tc>
        <w:tc>
          <w:tcPr>
            <w:tcW w:w="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w:t>
            </w:r>
          </w:p>
        </w:tc>
        <w:tc>
          <w:tcPr>
            <w:tcW w:w="79" w:type="dxa"/>
            <w:tcBorders/>
            <w:vAlign w:val="center"/>
          </w:tcPr>
          <w:p>
            <w:pPr>
              <w:pStyle w:val="TableContents"/>
              <w:bidi w:val="0"/>
              <w:spacing w:before="0" w:after="283"/>
              <w:ind w:left="0" w:right="0" w:hanging="200"/>
              <w:jc w:val="left"/>
              <w:rPr/>
            </w:pPr>
            <w:r>
              <w:rPr/>
              <w:t> </w:t>
            </w:r>
          </w:p>
        </w:tc>
      </w:tr>
      <w:tr>
        <w:trPr/>
        <w:tc>
          <w:tcPr>
            <w:tcW w:w="40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Willeese Pty Ltd ATF Wilson Family Trust</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1,522,990</w:t>
            </w:r>
          </w:p>
        </w:tc>
        <w:tc>
          <w:tcPr>
            <w:tcW w:w="76"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1,147,990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Cadence Capital Limited</w:t>
            </w:r>
            <w:r>
              <w:rPr>
                <w:rFonts w:ascii="Times New Roman;Times;Serif" w:hAnsi="Times New Roman;Times;Serif"/>
                <w:position w:val="7"/>
                <w:sz w:val="16"/>
                <w:sz w:val="20"/>
              </w:rPr>
              <w:t>(3)</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2,250,000</w:t>
            </w:r>
          </w:p>
        </w:tc>
        <w:tc>
          <w:tcPr>
            <w:tcW w:w="7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vAlign w:val="center"/>
          </w:tcPr>
          <w:p>
            <w:pPr>
              <w:pStyle w:val="TableContents"/>
              <w:bidi w:val="0"/>
              <w:spacing w:before="0" w:after="283"/>
              <w:ind w:left="0" w:right="0" w:hanging="200"/>
              <w:jc w:val="left"/>
              <w:rPr/>
            </w:pPr>
            <w:r>
              <w:rPr/>
              <w:t> </w:t>
            </w:r>
          </w:p>
        </w:tc>
      </w:tr>
      <w:tr>
        <w:trPr/>
        <w:tc>
          <w:tcPr>
            <w:tcW w:w="40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Cadence Opportunities Fund Limited</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76"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Carrera Capital International Ltd.</w:t>
            </w:r>
            <w:r>
              <w:rPr>
                <w:rFonts w:ascii="Times New Roman;Times;Serif" w:hAnsi="Times New Roman;Times;Serif"/>
                <w:position w:val="7"/>
                <w:sz w:val="16"/>
                <w:sz w:val="20"/>
              </w:rPr>
              <w:t>(5)</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1,719,890</w:t>
            </w:r>
          </w:p>
        </w:tc>
        <w:tc>
          <w:tcPr>
            <w:tcW w:w="7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1,469,890</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vAlign w:val="center"/>
          </w:tcPr>
          <w:p>
            <w:pPr>
              <w:pStyle w:val="TableContents"/>
              <w:bidi w:val="0"/>
              <w:spacing w:before="0" w:after="283"/>
              <w:ind w:left="0" w:right="0" w:hanging="200"/>
              <w:jc w:val="left"/>
              <w:rPr/>
            </w:pPr>
            <w:r>
              <w:rPr/>
              <w:t> </w:t>
            </w:r>
          </w:p>
        </w:tc>
      </w:tr>
      <w:tr>
        <w:trPr/>
        <w:tc>
          <w:tcPr>
            <w:tcW w:w="40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Lucas Cahill</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1,198,298</w:t>
            </w:r>
          </w:p>
        </w:tc>
        <w:tc>
          <w:tcPr>
            <w:tcW w:w="76"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510,798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Paes-Braga</w:t>
            </w:r>
            <w:r>
              <w:rPr>
                <w:rFonts w:ascii="Times New Roman;Times;Serif" w:hAnsi="Times New Roman;Times;Serif"/>
                <w:position w:val="7"/>
                <w:sz w:val="16"/>
                <w:sz w:val="20"/>
              </w:rPr>
              <w:t>(7)</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2,325,731</w:t>
            </w:r>
          </w:p>
        </w:tc>
        <w:tc>
          <w:tcPr>
            <w:tcW w:w="7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763,231</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vAlign w:val="center"/>
          </w:tcPr>
          <w:p>
            <w:pPr>
              <w:pStyle w:val="TableContents"/>
              <w:bidi w:val="0"/>
              <w:spacing w:before="0" w:after="283"/>
              <w:ind w:left="0" w:right="0" w:hanging="200"/>
              <w:jc w:val="left"/>
              <w:rPr/>
            </w:pPr>
            <w:r>
              <w:rPr/>
              <w:t> </w:t>
            </w:r>
          </w:p>
        </w:tc>
      </w:tr>
      <w:tr>
        <w:trPr/>
        <w:tc>
          <w:tcPr>
            <w:tcW w:w="40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Valola Holdings Corp.</w:t>
            </w:r>
            <w:r>
              <w:rPr>
                <w:rFonts w:ascii="Times New Roman;Times;Serif" w:hAnsi="Times New Roman;Times;Serif"/>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2,500,000</w:t>
            </w:r>
          </w:p>
        </w:tc>
        <w:tc>
          <w:tcPr>
            <w:tcW w:w="76"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South Lake One LLC</w:t>
            </w:r>
            <w:r>
              <w:rPr>
                <w:rFonts w:ascii="Times New Roman;Times;Serif" w:hAnsi="Times New Roman;Times;Serif"/>
                <w:position w:val="7"/>
                <w:sz w:val="16"/>
                <w:sz w:val="20"/>
              </w:rPr>
              <w:t>(9)</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12,284,667</w:t>
            </w:r>
          </w:p>
        </w:tc>
        <w:tc>
          <w:tcPr>
            <w:tcW w:w="7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9,784,667</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79" w:type="dxa"/>
            <w:tcBorders/>
            <w:vAlign w:val="center"/>
          </w:tcPr>
          <w:p>
            <w:pPr>
              <w:pStyle w:val="TableContents"/>
              <w:bidi w:val="0"/>
              <w:spacing w:before="0" w:after="283"/>
              <w:ind w:left="0" w:right="0" w:hanging="200"/>
              <w:jc w:val="left"/>
              <w:rPr/>
            </w:pPr>
            <w:r>
              <w:rPr/>
              <w:t> </w:t>
            </w:r>
          </w:p>
        </w:tc>
      </w:tr>
      <w:tr>
        <w:trPr/>
        <w:tc>
          <w:tcPr>
            <w:tcW w:w="40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Stewart</w:t>
            </w:r>
            <w:r>
              <w:rPr>
                <w:rFonts w:ascii="Times New Roman;Times;Serif" w:hAnsi="Times New Roman;Times;Serif"/>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w:t>
            </w:r>
          </w:p>
        </w:tc>
        <w:tc>
          <w:tcPr>
            <w:tcW w:w="76"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Namdar Family Holdings LLC</w:t>
            </w:r>
            <w:r>
              <w:rPr>
                <w:rFonts w:ascii="Times New Roman;Times;Serif" w:hAnsi="Times New Roman;Times;Serif"/>
                <w:position w:val="7"/>
                <w:sz w:val="16"/>
                <w:sz w:val="20"/>
              </w:rPr>
              <w:t>(11)</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5,000,000</w:t>
            </w:r>
          </w:p>
        </w:tc>
        <w:tc>
          <w:tcPr>
            <w:tcW w:w="7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vAlign w:val="center"/>
          </w:tcPr>
          <w:p>
            <w:pPr>
              <w:pStyle w:val="TableContents"/>
              <w:bidi w:val="0"/>
              <w:spacing w:before="0" w:after="283"/>
              <w:ind w:left="0" w:right="0" w:hanging="200"/>
              <w:jc w:val="left"/>
              <w:rPr/>
            </w:pPr>
            <w:r>
              <w:rPr/>
              <w:t> </w:t>
            </w:r>
          </w:p>
        </w:tc>
      </w:tr>
      <w:tr>
        <w:trPr/>
        <w:tc>
          <w:tcPr>
            <w:tcW w:w="40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Majid Fahd M Alghaslan</w:t>
            </w:r>
            <w:r>
              <w:rPr>
                <w:rFonts w:ascii="Times New Roman;Times;Serif" w:hAnsi="Times New Roman;Times;Serif"/>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4,011,000</w:t>
            </w:r>
          </w:p>
        </w:tc>
        <w:tc>
          <w:tcPr>
            <w:tcW w:w="76"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BMO Nesbitt Burns Inc. ITF Lynwood Opportunities Master Fund</w:t>
            </w:r>
            <w:r>
              <w:rPr>
                <w:rFonts w:ascii="Times New Roman;Times;Serif" w:hAnsi="Times New Roman;Times;Serif"/>
                <w:position w:val="7"/>
                <w:sz w:val="16"/>
                <w:sz w:val="20"/>
              </w:rPr>
              <w:t>(13)</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1,250,000</w:t>
            </w:r>
          </w:p>
        </w:tc>
        <w:tc>
          <w:tcPr>
            <w:tcW w:w="7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vAlign w:val="center"/>
          </w:tcPr>
          <w:p>
            <w:pPr>
              <w:pStyle w:val="TableContents"/>
              <w:bidi w:val="0"/>
              <w:spacing w:before="0" w:after="283"/>
              <w:ind w:left="0" w:right="0" w:hanging="200"/>
              <w:jc w:val="left"/>
              <w:rPr/>
            </w:pPr>
            <w:r>
              <w:rPr/>
              <w:t> </w:t>
            </w:r>
          </w:p>
        </w:tc>
      </w:tr>
      <w:tr>
        <w:trPr/>
        <w:tc>
          <w:tcPr>
            <w:tcW w:w="40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Nero Resource Fund Pty Ltd</w:t>
            </w:r>
            <w:r>
              <w:rPr>
                <w:rFonts w:ascii="Times New Roman;Times;Serif" w:hAnsi="Times New Roman;Times;Serif"/>
                <w:position w:val="7"/>
                <w:sz w:val="16"/>
                <w:sz w:val="20"/>
              </w:rPr>
              <w:t>(14)</w:t>
            </w:r>
          </w:p>
        </w:tc>
        <w:tc>
          <w:tcPr>
            <w:tcW w:w="6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625,000</w:t>
            </w:r>
          </w:p>
        </w:tc>
        <w:tc>
          <w:tcPr>
            <w:tcW w:w="76"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Jon Deschenes Jr</w:t>
            </w:r>
            <w:r>
              <w:rPr>
                <w:rFonts w:ascii="Times New Roman;Times;Serif" w:hAnsi="Times New Roman;Times;Serif"/>
                <w:position w:val="7"/>
                <w:sz w:val="16"/>
                <w:sz w:val="20"/>
              </w:rPr>
              <w:t>(15)</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275,000</w:t>
            </w:r>
          </w:p>
        </w:tc>
        <w:tc>
          <w:tcPr>
            <w:tcW w:w="7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vAlign w:val="center"/>
          </w:tcPr>
          <w:p>
            <w:pPr>
              <w:pStyle w:val="TableContents"/>
              <w:bidi w:val="0"/>
              <w:spacing w:before="0" w:after="283"/>
              <w:ind w:left="0" w:right="0" w:hanging="200"/>
              <w:jc w:val="left"/>
              <w:rPr/>
            </w:pPr>
            <w:r>
              <w:rPr/>
              <w:t> </w:t>
            </w:r>
          </w:p>
        </w:tc>
      </w:tr>
      <w:tr>
        <w:trPr/>
        <w:tc>
          <w:tcPr>
            <w:tcW w:w="40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RF Trust</w:t>
            </w:r>
            <w:r>
              <w:rPr>
                <w:rFonts w:ascii="Times New Roman;Times;Serif" w:hAnsi="Times New Roman;Times;Serif"/>
                <w:position w:val="7"/>
                <w:sz w:val="16"/>
                <w:sz w:val="20"/>
              </w:rPr>
              <w:t>(16)</w:t>
            </w:r>
          </w:p>
        </w:tc>
        <w:tc>
          <w:tcPr>
            <w:tcW w:w="6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76"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Gadi Slade</w:t>
            </w:r>
            <w:r>
              <w:rPr>
                <w:rFonts w:ascii="Times New Roman;Times;Serif" w:hAnsi="Times New Roman;Times;Serif"/>
                <w:position w:val="7"/>
                <w:sz w:val="16"/>
                <w:sz w:val="20"/>
              </w:rPr>
              <w:t>(17)</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7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vAlign w:val="center"/>
          </w:tcPr>
          <w:p>
            <w:pPr>
              <w:pStyle w:val="TableContents"/>
              <w:bidi w:val="0"/>
              <w:spacing w:before="0" w:after="283"/>
              <w:ind w:left="0" w:right="0" w:hanging="200"/>
              <w:jc w:val="left"/>
              <w:rPr/>
            </w:pPr>
            <w:r>
              <w:rPr/>
              <w:t> </w:t>
            </w:r>
          </w:p>
        </w:tc>
      </w:tr>
      <w:tr>
        <w:trPr/>
        <w:tc>
          <w:tcPr>
            <w:tcW w:w="40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Ronit Global Opportunities Master Fund Limited</w:t>
            </w:r>
            <w:r>
              <w:rPr>
                <w:rFonts w:ascii="Times New Roman;Times;Serif" w:hAnsi="Times New Roman;Times;Serif"/>
                <w:position w:val="7"/>
                <w:sz w:val="16"/>
                <w:sz w:val="20"/>
              </w:rPr>
              <w:t>(18)</w:t>
            </w:r>
          </w:p>
        </w:tc>
        <w:tc>
          <w:tcPr>
            <w:tcW w:w="6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1,748,154</w:t>
            </w:r>
          </w:p>
        </w:tc>
        <w:tc>
          <w:tcPr>
            <w:tcW w:w="76"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248,154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Leste Global Fund SPC - Segregated Portfolio B</w:t>
            </w:r>
            <w:r>
              <w:rPr>
                <w:rFonts w:ascii="Times New Roman;Times;Serif" w:hAnsi="Times New Roman;Times;Serif"/>
                <w:position w:val="7"/>
                <w:sz w:val="16"/>
                <w:sz w:val="20"/>
              </w:rPr>
              <w:t>(19)</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1,250,000</w:t>
            </w:r>
          </w:p>
        </w:tc>
        <w:tc>
          <w:tcPr>
            <w:tcW w:w="7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vAlign w:val="center"/>
          </w:tcPr>
          <w:p>
            <w:pPr>
              <w:pStyle w:val="TableContents"/>
              <w:bidi w:val="0"/>
              <w:spacing w:before="0" w:after="283"/>
              <w:ind w:left="0" w:right="0" w:hanging="200"/>
              <w:jc w:val="left"/>
              <w:rPr/>
            </w:pPr>
            <w:r>
              <w:rPr/>
              <w:t> </w:t>
            </w:r>
          </w:p>
        </w:tc>
      </w:tr>
      <w:tr>
        <w:trPr/>
        <w:tc>
          <w:tcPr>
            <w:tcW w:w="40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Light Doors LLC</w:t>
            </w:r>
            <w:r>
              <w:rPr>
                <w:rFonts w:ascii="Times New Roman;Times;Serif" w:hAnsi="Times New Roman;Times;Serif"/>
                <w:position w:val="7"/>
                <w:sz w:val="16"/>
                <w:sz w:val="20"/>
              </w:rPr>
              <w:t>(20)</w:t>
            </w:r>
          </w:p>
        </w:tc>
        <w:tc>
          <w:tcPr>
            <w:tcW w:w="6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w:t>
            </w:r>
          </w:p>
        </w:tc>
        <w:tc>
          <w:tcPr>
            <w:tcW w:w="76"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Lydia Barron</w:t>
            </w:r>
            <w:r>
              <w:rPr>
                <w:rFonts w:ascii="Times New Roman;Times;Serif" w:hAnsi="Times New Roman;Times;Serif"/>
                <w:position w:val="7"/>
                <w:sz w:val="16"/>
                <w:sz w:val="20"/>
              </w:rPr>
              <w:t>(21)</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pPr>
            <w:r>
              <w:rPr/>
              <w:t>489,338</w:t>
            </w:r>
          </w:p>
        </w:tc>
        <w:tc>
          <w:tcPr>
            <w:tcW w:w="7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364,338</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vAlign w:val="center"/>
          </w:tcPr>
          <w:p>
            <w:pPr>
              <w:pStyle w:val="TableContents"/>
              <w:bidi w:val="0"/>
              <w:spacing w:before="0" w:after="283"/>
              <w:ind w:left="0" w:right="0" w:hanging="200"/>
              <w:jc w:val="left"/>
              <w:rPr/>
            </w:pPr>
            <w:r>
              <w:rPr/>
              <w:t> </w:t>
            </w:r>
          </w:p>
        </w:tc>
      </w:tr>
      <w:tr>
        <w:trPr/>
        <w:tc>
          <w:tcPr>
            <w:tcW w:w="40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Claudia Barron</w:t>
            </w:r>
            <w:r>
              <w:rPr>
                <w:rFonts w:ascii="Times New Roman;Times;Serif" w:hAnsi="Times New Roman;Times;Serif"/>
                <w:position w:val="7"/>
                <w:sz w:val="16"/>
                <w:sz w:val="20"/>
              </w:rPr>
              <w:t>(22)</w:t>
            </w:r>
          </w:p>
        </w:tc>
        <w:tc>
          <w:tcPr>
            <w:tcW w:w="6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389,632</w:t>
            </w:r>
          </w:p>
        </w:tc>
        <w:tc>
          <w:tcPr>
            <w:tcW w:w="76"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264,632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Charlotte Barron</w:t>
            </w:r>
            <w:r>
              <w:rPr>
                <w:rFonts w:ascii="Times New Roman;Times;Serif" w:hAnsi="Times New Roman;Times;Serif"/>
                <w:position w:val="7"/>
                <w:sz w:val="16"/>
                <w:sz w:val="20"/>
              </w:rPr>
              <w:t>(23)</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396,538</w:t>
            </w:r>
          </w:p>
        </w:tc>
        <w:tc>
          <w:tcPr>
            <w:tcW w:w="7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pPr>
            <w:r>
              <w:rPr/>
              <w:t>271,538</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vAlign w:val="center"/>
          </w:tcPr>
          <w:p>
            <w:pPr>
              <w:pStyle w:val="TableContents"/>
              <w:bidi w:val="0"/>
              <w:spacing w:before="0" w:after="283"/>
              <w:ind w:left="0" w:right="0" w:hanging="200"/>
              <w:jc w:val="left"/>
              <w:rPr/>
            </w:pPr>
            <w:r>
              <w:rPr/>
              <w:t> </w:t>
            </w:r>
          </w:p>
        </w:tc>
      </w:tr>
      <w:tr>
        <w:trPr/>
        <w:tc>
          <w:tcPr>
            <w:tcW w:w="40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Allseas Group S.A.</w:t>
            </w:r>
            <w:r>
              <w:rPr>
                <w:rFonts w:ascii="Times New Roman;Times;Serif" w:hAnsi="Times New Roman;Times;Serif"/>
                <w:position w:val="7"/>
                <w:sz w:val="16"/>
                <w:sz w:val="20"/>
              </w:rPr>
              <w:t>(24)</w:t>
            </w:r>
          </w:p>
        </w:tc>
        <w:tc>
          <w:tcPr>
            <w:tcW w:w="6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22,701,648</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16,451,648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Gerard Barron</w:t>
            </w:r>
            <w:r>
              <w:rPr>
                <w:rFonts w:ascii="Times New Roman;Times;Serif" w:hAnsi="Times New Roman;Times;Serif"/>
                <w:position w:val="7"/>
                <w:sz w:val="16"/>
                <w:sz w:val="20"/>
              </w:rPr>
              <w:t>(25)</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18,806,677</w:t>
            </w:r>
          </w:p>
        </w:tc>
        <w:tc>
          <w:tcPr>
            <w:tcW w:w="7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18,702,997</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c>
          <w:tcPr>
            <w:tcW w:w="79" w:type="dxa"/>
            <w:tcBorders/>
            <w:vAlign w:val="center"/>
          </w:tcPr>
          <w:p>
            <w:pPr>
              <w:pStyle w:val="TableContents"/>
              <w:bidi w:val="0"/>
              <w:spacing w:before="0" w:after="283"/>
              <w:ind w:left="0" w:right="0" w:hanging="200"/>
              <w:jc w:val="left"/>
              <w:rPr/>
            </w:pPr>
            <w:r>
              <w:rPr/>
              <w:t> </w:t>
            </w:r>
          </w:p>
        </w:tc>
      </w:tr>
      <w:tr>
        <w:trPr/>
        <w:tc>
          <w:tcPr>
            <w:tcW w:w="40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ERAS Capital LLC</w:t>
            </w:r>
            <w:r>
              <w:rPr>
                <w:rFonts w:ascii="Times New Roman;Times;Serif" w:hAnsi="Times New Roman;Times;Serif"/>
                <w:position w:val="7"/>
                <w:sz w:val="16"/>
                <w:sz w:val="20"/>
              </w:rPr>
              <w:t>(26)</w:t>
            </w:r>
          </w:p>
        </w:tc>
        <w:tc>
          <w:tcPr>
            <w:tcW w:w="6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53,370,692</w:t>
            </w:r>
          </w:p>
        </w:tc>
        <w:tc>
          <w:tcPr>
            <w:tcW w:w="76"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47,120,692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Odeon Capital Group LLC</w:t>
            </w:r>
            <w:r>
              <w:rPr>
                <w:rFonts w:ascii="Times New Roman;Times;Serif" w:hAnsi="Times New Roman;Times;Serif"/>
                <w:position w:val="7"/>
                <w:sz w:val="16"/>
                <w:sz w:val="20"/>
              </w:rPr>
              <w:t>(27)</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186,250</w:t>
            </w:r>
          </w:p>
        </w:tc>
        <w:tc>
          <w:tcPr>
            <w:tcW w:w="7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186,250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vAlign w:val="center"/>
          </w:tcPr>
          <w:p>
            <w:pPr>
              <w:pStyle w:val="TableContents"/>
              <w:bidi w:val="0"/>
              <w:spacing w:before="0" w:after="283"/>
              <w:ind w:left="0" w:right="0" w:hanging="200"/>
              <w:jc w:val="left"/>
              <w:rPr/>
            </w:pPr>
            <w:r>
              <w:rPr/>
              <w:t> </w:t>
            </w:r>
          </w:p>
        </w:tc>
      </w:tr>
      <w:tr>
        <w:trPr/>
        <w:tc>
          <w:tcPr>
            <w:tcW w:w="40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Sugar</w:t>
            </w:r>
            <w:r>
              <w:rPr>
                <w:rFonts w:ascii="Times New Roman;Times;Serif" w:hAnsi="Times New Roman;Times;Serif"/>
                <w:position w:val="7"/>
                <w:sz w:val="16"/>
                <w:sz w:val="20"/>
              </w:rPr>
              <w:t>(28)</w:t>
            </w:r>
          </w:p>
        </w:tc>
        <w:tc>
          <w:tcPr>
            <w:tcW w:w="6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70,875</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70,875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200"/>
              <w:jc w:val="left"/>
              <w:rPr/>
            </w:pPr>
            <w:r>
              <w:rPr/>
              <w:t> </w:t>
            </w:r>
          </w:p>
        </w:tc>
      </w:tr>
      <w:tr>
        <w:trPr/>
        <w:tc>
          <w:tcPr>
            <w:tcW w:w="4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Rogier de la Rambelje</w:t>
            </w:r>
            <w:r>
              <w:rPr>
                <w:rFonts w:ascii="Times New Roman;Times;Serif" w:hAnsi="Times New Roman;Times;Serif"/>
                <w:position w:val="7"/>
                <w:sz w:val="16"/>
                <w:sz w:val="20"/>
              </w:rPr>
              <w:t>(29)</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10,125</w:t>
            </w:r>
          </w:p>
        </w:tc>
        <w:tc>
          <w:tcPr>
            <w:tcW w:w="7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10,125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vAlign w:val="center"/>
          </w:tcPr>
          <w:p>
            <w:pPr>
              <w:pStyle w:val="TableContents"/>
              <w:bidi w:val="0"/>
              <w:spacing w:before="0" w:after="283"/>
              <w:ind w:left="0" w:right="0" w:hanging="200"/>
              <w:jc w:val="left"/>
              <w:rPr/>
            </w:pPr>
            <w:r>
              <w:rPr/>
              <w:t> </w:t>
            </w:r>
          </w:p>
        </w:tc>
      </w:tr>
      <w:tr>
        <w:trPr/>
        <w:tc>
          <w:tcPr>
            <w:tcW w:w="40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Bonner</w:t>
            </w:r>
            <w:r>
              <w:rPr>
                <w:rFonts w:ascii="Times New Roman;Times;Serif" w:hAnsi="Times New Roman;Times;Serif"/>
                <w:position w:val="7"/>
                <w:sz w:val="16"/>
                <w:sz w:val="20"/>
              </w:rPr>
              <w:t>(30)</w:t>
            </w:r>
          </w:p>
        </w:tc>
        <w:tc>
          <w:tcPr>
            <w:tcW w:w="6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20,250</w:t>
            </w:r>
          </w:p>
        </w:tc>
        <w:tc>
          <w:tcPr>
            <w:tcW w:w="76"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20,250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beneficial ownership of less than 1% of the outstanding Common Shares.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sz w:val="20"/>
              </w:rPr>
            </w:pPr>
            <w:r>
              <w:rPr>
                <w:sz w:val="20"/>
              </w:rPr>
              <w:t>(1)</w:t>
            </w:r>
          </w:p>
        </w:tc>
        <w:tc>
          <w:tcPr>
            <w:tcW w:w="9977" w:type="dxa"/>
            <w:tcBorders/>
            <w:vAlign w:val="center"/>
          </w:tcPr>
          <w:p>
            <w:pPr>
              <w:pStyle w:val="TableContents"/>
              <w:bidi w:val="0"/>
              <w:spacing w:before="0" w:after="283"/>
              <w:jc w:val="both"/>
              <w:rPr>
                <w:sz w:val="20"/>
              </w:rPr>
            </w:pPr>
            <w:r>
              <w:rPr>
                <w:sz w:val="20"/>
              </w:rPr>
              <w:t>Unless otherwise indicated, the business address of each of these holders is c/o TMC the metals company Inc., 595 Howe Street, 10th Floor, Vancouver, British Columbia, Canada V6C 2T5.</w:t>
            </w:r>
          </w:p>
        </w:tc>
      </w:tr>
      <w:tr>
        <w:trPr/>
        <w:tc>
          <w:tcPr>
            <w:tcW w:w="228" w:type="dxa"/>
            <w:tcBorders/>
            <w:vAlign w:val="center"/>
          </w:tcPr>
          <w:p>
            <w:pPr>
              <w:pStyle w:val="TableContents"/>
              <w:bidi w:val="0"/>
              <w:spacing w:before="0" w:after="283"/>
              <w:jc w:val="both"/>
              <w:rPr>
                <w:sz w:val="20"/>
              </w:rPr>
            </w:pPr>
            <w:r>
              <w:rPr>
                <w:sz w:val="20"/>
              </w:rPr>
              <w:t>(2)</w:t>
            </w:r>
          </w:p>
        </w:tc>
        <w:tc>
          <w:tcPr>
            <w:tcW w:w="9977" w:type="dxa"/>
            <w:tcBorders/>
            <w:vAlign w:val="center"/>
          </w:tcPr>
          <w:p>
            <w:pPr>
              <w:pStyle w:val="TableContents"/>
              <w:bidi w:val="0"/>
              <w:spacing w:before="0" w:after="283"/>
              <w:jc w:val="both"/>
              <w:rPr>
                <w:sz w:val="20"/>
              </w:rPr>
            </w:pPr>
            <w:r>
              <w:rPr>
                <w:sz w:val="20"/>
              </w:rPr>
              <w:t>Paul David Wilson may be deemed to have voting and investment power over the shares held by Willeese Pty Ltd ATF Wilson Family Trust. The business address of such holder is 58 Warragal Road, Turramurra, New South Wales, 2074, Australia.</w:t>
            </w:r>
          </w:p>
        </w:tc>
      </w:tr>
      <w:tr>
        <w:trPr/>
        <w:tc>
          <w:tcPr>
            <w:tcW w:w="228" w:type="dxa"/>
            <w:tcBorders/>
            <w:vAlign w:val="center"/>
          </w:tcPr>
          <w:p>
            <w:pPr>
              <w:pStyle w:val="TableContents"/>
              <w:bidi w:val="0"/>
              <w:spacing w:before="0" w:after="283"/>
              <w:jc w:val="both"/>
              <w:rPr>
                <w:sz w:val="20"/>
              </w:rPr>
            </w:pPr>
            <w:r>
              <w:rPr>
                <w:sz w:val="20"/>
              </w:rPr>
              <w:t>(3)</w:t>
            </w:r>
          </w:p>
        </w:tc>
        <w:tc>
          <w:tcPr>
            <w:tcW w:w="9977" w:type="dxa"/>
            <w:tcBorders/>
            <w:vAlign w:val="center"/>
          </w:tcPr>
          <w:p>
            <w:pPr>
              <w:pStyle w:val="TableContents"/>
              <w:bidi w:val="0"/>
              <w:spacing w:before="0" w:after="283"/>
              <w:jc w:val="both"/>
              <w:rPr>
                <w:sz w:val="20"/>
              </w:rPr>
            </w:pPr>
            <w:r>
              <w:rPr>
                <w:sz w:val="20"/>
              </w:rPr>
              <w:t>Cadence Capital Limited is a company listed on the Australian Securities Exchange. The business address of such holder is 11/131 Macquarie Street, Sydney, NSW, 2000.</w:t>
            </w:r>
          </w:p>
        </w:tc>
      </w:tr>
      <w:tr>
        <w:trPr/>
        <w:tc>
          <w:tcPr>
            <w:tcW w:w="228" w:type="dxa"/>
            <w:tcBorders/>
            <w:vAlign w:val="center"/>
          </w:tcPr>
          <w:p>
            <w:pPr>
              <w:pStyle w:val="TableContents"/>
              <w:bidi w:val="0"/>
              <w:spacing w:before="0" w:after="283"/>
              <w:jc w:val="both"/>
              <w:rPr>
                <w:sz w:val="20"/>
              </w:rPr>
            </w:pPr>
            <w:r>
              <w:rPr>
                <w:sz w:val="20"/>
              </w:rPr>
              <w:t>(4)</w:t>
            </w:r>
          </w:p>
        </w:tc>
        <w:tc>
          <w:tcPr>
            <w:tcW w:w="9977" w:type="dxa"/>
            <w:tcBorders/>
            <w:vAlign w:val="center"/>
          </w:tcPr>
          <w:p>
            <w:pPr>
              <w:pStyle w:val="TableContents"/>
              <w:bidi w:val="0"/>
              <w:spacing w:before="0" w:after="283"/>
              <w:jc w:val="both"/>
              <w:rPr>
                <w:sz w:val="20"/>
              </w:rPr>
            </w:pPr>
            <w:r>
              <w:rPr>
                <w:sz w:val="20"/>
              </w:rPr>
              <w:t>Cadence Opportunities Fund Limited is a company listed on the Australian Securities Exchange. The business address of such holder is 11/131 Macquarie Street, Sydney, NSW, 2000.</w:t>
            </w:r>
          </w:p>
        </w:tc>
      </w:tr>
      <w:tr>
        <w:trPr/>
        <w:tc>
          <w:tcPr>
            <w:tcW w:w="228" w:type="dxa"/>
            <w:tcBorders/>
            <w:vAlign w:val="center"/>
          </w:tcPr>
          <w:p>
            <w:pPr>
              <w:pStyle w:val="TableContents"/>
              <w:bidi w:val="0"/>
              <w:spacing w:before="0" w:after="283"/>
              <w:jc w:val="both"/>
              <w:rPr>
                <w:sz w:val="20"/>
              </w:rPr>
            </w:pPr>
            <w:r>
              <w:rPr>
                <w:sz w:val="20"/>
              </w:rPr>
              <w:t>(5)</w:t>
            </w:r>
          </w:p>
        </w:tc>
        <w:tc>
          <w:tcPr>
            <w:tcW w:w="9977" w:type="dxa"/>
            <w:tcBorders/>
            <w:vAlign w:val="center"/>
          </w:tcPr>
          <w:p>
            <w:pPr>
              <w:pStyle w:val="TableContents"/>
              <w:bidi w:val="0"/>
              <w:spacing w:before="0" w:after="283"/>
              <w:jc w:val="both"/>
              <w:rPr>
                <w:sz w:val="20"/>
              </w:rPr>
            </w:pPr>
            <w:r>
              <w:rPr>
                <w:sz w:val="20"/>
              </w:rPr>
              <w:t>Jeffrey Zicherman may be deemed to have voting and investment power over the shares held by Carrera Capital International Ltd. The business address of such holder is One Nexus Way, Camana Bay, Grand Cayman, Cayman Islands, KY1-9005.</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both"/>
              <w:rPr>
                <w:sz w:val="20"/>
              </w:rPr>
            </w:pPr>
            <w:r>
              <w:rPr>
                <w:sz w:val="20"/>
              </w:rPr>
              <w:t>(6)</w:t>
            </w:r>
          </w:p>
        </w:tc>
        <w:tc>
          <w:tcPr>
            <w:tcW w:w="9893" w:type="dxa"/>
            <w:tcBorders/>
            <w:vAlign w:val="center"/>
          </w:tcPr>
          <w:p>
            <w:pPr>
              <w:pStyle w:val="TableContents"/>
              <w:bidi w:val="0"/>
              <w:spacing w:before="0" w:after="283"/>
              <w:jc w:val="both"/>
              <w:rPr>
                <w:sz w:val="20"/>
              </w:rPr>
            </w:pPr>
            <w:r>
              <w:rPr>
                <w:sz w:val="20"/>
              </w:rPr>
              <w:t>The business address of such holder is One Connaught Place, 1st Floor, London, W2 WET, United Kingdom.</w:t>
            </w:r>
          </w:p>
        </w:tc>
      </w:tr>
      <w:tr>
        <w:trPr/>
        <w:tc>
          <w:tcPr>
            <w:tcW w:w="312" w:type="dxa"/>
            <w:tcBorders/>
            <w:vAlign w:val="center"/>
          </w:tcPr>
          <w:p>
            <w:pPr>
              <w:pStyle w:val="TableContents"/>
              <w:bidi w:val="0"/>
              <w:spacing w:before="0" w:after="283"/>
              <w:jc w:val="both"/>
              <w:rPr>
                <w:sz w:val="20"/>
              </w:rPr>
            </w:pPr>
            <w:r>
              <w:rPr>
                <w:sz w:val="20"/>
              </w:rPr>
              <w:t>(7)</w:t>
            </w:r>
          </w:p>
        </w:tc>
        <w:tc>
          <w:tcPr>
            <w:tcW w:w="9893" w:type="dxa"/>
            <w:tcBorders/>
            <w:vAlign w:val="center"/>
          </w:tcPr>
          <w:p>
            <w:pPr>
              <w:pStyle w:val="TableContents"/>
              <w:bidi w:val="0"/>
              <w:spacing w:before="0" w:after="283"/>
              <w:jc w:val="both"/>
              <w:rPr>
                <w:sz w:val="20"/>
              </w:rPr>
            </w:pPr>
            <w:r>
              <w:rPr>
                <w:sz w:val="20"/>
              </w:rPr>
              <w:t>Includes 57,893 Common Shares held by its wholly-owned subsidiary, WTP Capital Corp. and 126,407 Common Shares underlying options that are exercisable within 60 days of August 31, 2022. Mr. Paes-Braga may be deemed to have voting and investment power over the shares held by WTP Capital Corp. and Valola Holdings Corp. The business address of such holder is One Connaught Place, 1st Floor, London, W2 WET, United Kingdom. Mr. Paes-Braga was formerly a non-employee director of DeepGreen.</w:t>
            </w:r>
          </w:p>
        </w:tc>
      </w:tr>
      <w:tr>
        <w:trPr/>
        <w:tc>
          <w:tcPr>
            <w:tcW w:w="312" w:type="dxa"/>
            <w:tcBorders/>
            <w:vAlign w:val="center"/>
          </w:tcPr>
          <w:p>
            <w:pPr>
              <w:pStyle w:val="TableContents"/>
              <w:bidi w:val="0"/>
              <w:spacing w:before="0" w:after="283"/>
              <w:jc w:val="both"/>
              <w:rPr>
                <w:sz w:val="20"/>
              </w:rPr>
            </w:pPr>
            <w:r>
              <w:rPr>
                <w:sz w:val="20"/>
              </w:rPr>
              <w:t>(8)</w:t>
            </w:r>
          </w:p>
        </w:tc>
        <w:tc>
          <w:tcPr>
            <w:tcW w:w="9893" w:type="dxa"/>
            <w:tcBorders/>
            <w:vAlign w:val="center"/>
          </w:tcPr>
          <w:p>
            <w:pPr>
              <w:pStyle w:val="TableContents"/>
              <w:bidi w:val="0"/>
              <w:spacing w:before="0" w:after="283"/>
              <w:jc w:val="both"/>
              <w:rPr>
                <w:sz w:val="20"/>
              </w:rPr>
            </w:pPr>
            <w:r>
              <w:rPr>
                <w:sz w:val="20"/>
              </w:rPr>
              <w:t>Brian Paes-Braga may be deemed to have voting and investment power over the shares held by Valola Holdings Corp. The business address of such holder is One Nexus Way, Camana Bay, Grand Cayman, Cayman Islands, KY1-9005.</w:t>
            </w:r>
          </w:p>
        </w:tc>
      </w:tr>
      <w:tr>
        <w:trPr/>
        <w:tc>
          <w:tcPr>
            <w:tcW w:w="312" w:type="dxa"/>
            <w:tcBorders/>
            <w:vAlign w:val="center"/>
          </w:tcPr>
          <w:p>
            <w:pPr>
              <w:pStyle w:val="TableContents"/>
              <w:bidi w:val="0"/>
              <w:spacing w:before="0" w:after="283"/>
              <w:jc w:val="both"/>
              <w:rPr>
                <w:sz w:val="20"/>
              </w:rPr>
            </w:pPr>
            <w:r>
              <w:rPr>
                <w:sz w:val="20"/>
              </w:rPr>
              <w:t>(9)</w:t>
            </w:r>
          </w:p>
        </w:tc>
        <w:tc>
          <w:tcPr>
            <w:tcW w:w="9893" w:type="dxa"/>
            <w:tcBorders/>
            <w:vAlign w:val="center"/>
          </w:tcPr>
          <w:p>
            <w:pPr>
              <w:pStyle w:val="TableContents"/>
              <w:bidi w:val="0"/>
              <w:spacing w:before="0" w:after="283"/>
              <w:jc w:val="both"/>
              <w:rPr>
                <w:sz w:val="20"/>
              </w:rPr>
            </w:pPr>
            <w:r>
              <w:rPr>
                <w:sz w:val="20"/>
              </w:rPr>
              <w:t>Isidoro Alfonso Quiroga Cortés, María Victoria Quiroga Moreno, Martín Abraham Guiloff Salvador and Luis Felipe Correa González, in their capacity as members of the board of managers, may be deemed to have voting and dispositive power (acting jointly Isidoro Alfonso Quiroga Cortés or María Victoria Quiroga Moreno with any of between Martín Abraham Guiloff Salvador and Luis Felipe Correa González) with respect  to the securities held by South Lake One LLC. The business address of such holder is Presidente Riesco 5711 office 1603, Las Condes, Santiago, Chile.</w:t>
            </w:r>
          </w:p>
        </w:tc>
      </w:tr>
      <w:tr>
        <w:trPr/>
        <w:tc>
          <w:tcPr>
            <w:tcW w:w="312" w:type="dxa"/>
            <w:tcBorders/>
            <w:vAlign w:val="center"/>
          </w:tcPr>
          <w:p>
            <w:pPr>
              <w:pStyle w:val="TableContents"/>
              <w:bidi w:val="0"/>
              <w:spacing w:before="0" w:after="283"/>
              <w:jc w:val="both"/>
              <w:rPr>
                <w:sz w:val="20"/>
              </w:rPr>
            </w:pPr>
            <w:r>
              <w:rPr>
                <w:sz w:val="20"/>
              </w:rPr>
              <w:t>(10)</w:t>
            </w:r>
          </w:p>
        </w:tc>
        <w:tc>
          <w:tcPr>
            <w:tcW w:w="9893" w:type="dxa"/>
            <w:tcBorders/>
            <w:vAlign w:val="center"/>
          </w:tcPr>
          <w:p>
            <w:pPr>
              <w:pStyle w:val="TableContents"/>
              <w:bidi w:val="0"/>
              <w:spacing w:before="0" w:after="283"/>
              <w:jc w:val="both"/>
              <w:rPr>
                <w:sz w:val="20"/>
              </w:rPr>
            </w:pPr>
            <w:r>
              <w:rPr>
                <w:sz w:val="20"/>
              </w:rPr>
              <w:t>The business address of such holder is 48 Weathervane Circle, Cream Ridge, NJ 08514.</w:t>
            </w:r>
          </w:p>
        </w:tc>
      </w:tr>
      <w:tr>
        <w:trPr/>
        <w:tc>
          <w:tcPr>
            <w:tcW w:w="312" w:type="dxa"/>
            <w:tcBorders/>
            <w:vAlign w:val="center"/>
          </w:tcPr>
          <w:p>
            <w:pPr>
              <w:pStyle w:val="TableContents"/>
              <w:bidi w:val="0"/>
              <w:spacing w:before="0" w:after="283"/>
              <w:jc w:val="both"/>
              <w:rPr>
                <w:sz w:val="20"/>
              </w:rPr>
            </w:pPr>
            <w:r>
              <w:rPr>
                <w:sz w:val="20"/>
              </w:rPr>
              <w:t>(11)</w:t>
            </w:r>
          </w:p>
        </w:tc>
        <w:tc>
          <w:tcPr>
            <w:tcW w:w="9893" w:type="dxa"/>
            <w:tcBorders/>
            <w:vAlign w:val="center"/>
          </w:tcPr>
          <w:p>
            <w:pPr>
              <w:pStyle w:val="TableContents"/>
              <w:bidi w:val="0"/>
              <w:spacing w:before="0" w:after="283"/>
              <w:jc w:val="both"/>
              <w:rPr>
                <w:sz w:val="20"/>
              </w:rPr>
            </w:pPr>
            <w:r>
              <w:rPr>
                <w:sz w:val="20"/>
              </w:rPr>
              <w:t>Igal Namdar may be deemed to have voting and investment power over the shares held by Namdar Family Holdings LLC. The business address of such holder is 150 Great Neck Road, Suite 304, Great Neck, NY, 11021.</w:t>
            </w:r>
          </w:p>
        </w:tc>
      </w:tr>
      <w:tr>
        <w:trPr/>
        <w:tc>
          <w:tcPr>
            <w:tcW w:w="312" w:type="dxa"/>
            <w:tcBorders/>
            <w:vAlign w:val="center"/>
          </w:tcPr>
          <w:p>
            <w:pPr>
              <w:pStyle w:val="TableContents"/>
              <w:bidi w:val="0"/>
              <w:spacing w:before="0" w:after="283"/>
              <w:jc w:val="both"/>
              <w:rPr>
                <w:sz w:val="20"/>
              </w:rPr>
            </w:pPr>
            <w:r>
              <w:rPr>
                <w:sz w:val="20"/>
              </w:rPr>
              <w:t>(12)</w:t>
            </w:r>
          </w:p>
        </w:tc>
        <w:tc>
          <w:tcPr>
            <w:tcW w:w="9893" w:type="dxa"/>
            <w:tcBorders/>
            <w:vAlign w:val="center"/>
          </w:tcPr>
          <w:p>
            <w:pPr>
              <w:pStyle w:val="TableContents"/>
              <w:bidi w:val="0"/>
              <w:spacing w:before="0" w:after="283"/>
              <w:jc w:val="both"/>
              <w:rPr>
                <w:sz w:val="20"/>
              </w:rPr>
            </w:pPr>
            <w:r>
              <w:rPr>
                <w:sz w:val="20"/>
              </w:rPr>
              <w:t>The business address of such holder is 3618, Al Amir Muhammad bin Fahd Rd, Al Qusur Unit 6, Dhahran, Kingdom of Saudi Arabia.</w:t>
            </w:r>
          </w:p>
        </w:tc>
      </w:tr>
      <w:tr>
        <w:trPr/>
        <w:tc>
          <w:tcPr>
            <w:tcW w:w="312" w:type="dxa"/>
            <w:tcBorders/>
            <w:vAlign w:val="center"/>
          </w:tcPr>
          <w:p>
            <w:pPr>
              <w:pStyle w:val="TableContents"/>
              <w:bidi w:val="0"/>
              <w:spacing w:before="0" w:after="283"/>
              <w:jc w:val="both"/>
              <w:rPr>
                <w:sz w:val="20"/>
              </w:rPr>
            </w:pPr>
            <w:r>
              <w:rPr>
                <w:sz w:val="20"/>
              </w:rPr>
              <w:t>(13)</w:t>
            </w:r>
          </w:p>
        </w:tc>
        <w:tc>
          <w:tcPr>
            <w:tcW w:w="9893" w:type="dxa"/>
            <w:tcBorders/>
            <w:vAlign w:val="center"/>
          </w:tcPr>
          <w:p>
            <w:pPr>
              <w:pStyle w:val="TableContents"/>
              <w:bidi w:val="0"/>
              <w:spacing w:before="0" w:after="283"/>
              <w:jc w:val="both"/>
              <w:rPr>
                <w:sz w:val="20"/>
              </w:rPr>
            </w:pPr>
            <w:r>
              <w:rPr>
                <w:sz w:val="20"/>
              </w:rPr>
              <w:t>Ben Shapiro may be deemed to have voting and investment power over the shares held by BMO Nesbitt Burns Inc. ITF Lynwood Opportunities Master Fund. The business address of such holder is FG Services Limited, #2206, Cassia Court, 72 Market St., Camana Bay, P.O. Box 30869 Grand Cayman KY1-1204, Cayman Islands.</w:t>
            </w:r>
          </w:p>
        </w:tc>
      </w:tr>
      <w:tr>
        <w:trPr/>
        <w:tc>
          <w:tcPr>
            <w:tcW w:w="312" w:type="dxa"/>
            <w:tcBorders/>
            <w:vAlign w:val="center"/>
          </w:tcPr>
          <w:p>
            <w:pPr>
              <w:pStyle w:val="TableContents"/>
              <w:bidi w:val="0"/>
              <w:spacing w:before="0" w:after="283"/>
              <w:jc w:val="both"/>
              <w:rPr>
                <w:sz w:val="20"/>
              </w:rPr>
            </w:pPr>
            <w:r>
              <w:rPr>
                <w:sz w:val="20"/>
              </w:rPr>
              <w:t>(14)</w:t>
            </w:r>
          </w:p>
        </w:tc>
        <w:tc>
          <w:tcPr>
            <w:tcW w:w="9893" w:type="dxa"/>
            <w:tcBorders/>
            <w:vAlign w:val="center"/>
          </w:tcPr>
          <w:p>
            <w:pPr>
              <w:pStyle w:val="TableContents"/>
              <w:bidi w:val="0"/>
              <w:spacing w:before="0" w:after="283"/>
              <w:jc w:val="both"/>
              <w:rPr/>
            </w:pPr>
            <w:r>
              <w:rPr/>
              <w:t>The business address of such holder is AAM PO Box 107, Morley, Western Australia, Australia 6943.</w:t>
            </w:r>
          </w:p>
        </w:tc>
      </w:tr>
      <w:tr>
        <w:trPr/>
        <w:tc>
          <w:tcPr>
            <w:tcW w:w="312" w:type="dxa"/>
            <w:tcBorders/>
            <w:vAlign w:val="center"/>
          </w:tcPr>
          <w:p>
            <w:pPr>
              <w:pStyle w:val="TableContents"/>
              <w:bidi w:val="0"/>
              <w:spacing w:before="0" w:after="283"/>
              <w:jc w:val="both"/>
              <w:rPr>
                <w:sz w:val="20"/>
              </w:rPr>
            </w:pPr>
            <w:r>
              <w:rPr>
                <w:sz w:val="20"/>
              </w:rPr>
              <w:t>(15)</w:t>
            </w:r>
          </w:p>
        </w:tc>
        <w:tc>
          <w:tcPr>
            <w:tcW w:w="9893" w:type="dxa"/>
            <w:tcBorders/>
            <w:vAlign w:val="center"/>
          </w:tcPr>
          <w:p>
            <w:pPr>
              <w:pStyle w:val="TableContents"/>
              <w:bidi w:val="0"/>
              <w:spacing w:before="0" w:after="283"/>
              <w:jc w:val="both"/>
              <w:rPr>
                <w:sz w:val="20"/>
              </w:rPr>
            </w:pPr>
            <w:r>
              <w:rPr>
                <w:sz w:val="20"/>
              </w:rPr>
              <w:t>The business address of such holder is 115 East 67th Street, Apartment 4B, New York, NY 10065.</w:t>
            </w:r>
          </w:p>
        </w:tc>
      </w:tr>
      <w:tr>
        <w:trPr/>
        <w:tc>
          <w:tcPr>
            <w:tcW w:w="312" w:type="dxa"/>
            <w:tcBorders/>
            <w:vAlign w:val="center"/>
          </w:tcPr>
          <w:p>
            <w:pPr>
              <w:pStyle w:val="TableContents"/>
              <w:bidi w:val="0"/>
              <w:spacing w:before="0" w:after="283"/>
              <w:jc w:val="both"/>
              <w:rPr>
                <w:sz w:val="20"/>
              </w:rPr>
            </w:pPr>
            <w:r>
              <w:rPr>
                <w:sz w:val="20"/>
              </w:rPr>
              <w:t>(16)</w:t>
            </w:r>
          </w:p>
        </w:tc>
        <w:tc>
          <w:tcPr>
            <w:tcW w:w="9893" w:type="dxa"/>
            <w:tcBorders/>
            <w:vAlign w:val="center"/>
          </w:tcPr>
          <w:p>
            <w:pPr>
              <w:pStyle w:val="TableContents"/>
              <w:bidi w:val="0"/>
              <w:spacing w:before="0" w:after="283"/>
              <w:jc w:val="both"/>
              <w:rPr>
                <w:sz w:val="20"/>
              </w:rPr>
            </w:pPr>
            <w:r>
              <w:rPr>
                <w:sz w:val="20"/>
              </w:rPr>
              <w:t>Muriel Rubin and Harriet Rothfeld may be deemed to have voting and investment power over the shares held by The RF Trust. The business address of such holder is PO Box 213399, Royal Palm Beach, Florida 33421.</w:t>
            </w:r>
          </w:p>
        </w:tc>
      </w:tr>
      <w:tr>
        <w:trPr/>
        <w:tc>
          <w:tcPr>
            <w:tcW w:w="312" w:type="dxa"/>
            <w:tcBorders/>
            <w:vAlign w:val="center"/>
          </w:tcPr>
          <w:p>
            <w:pPr>
              <w:pStyle w:val="TableContents"/>
              <w:bidi w:val="0"/>
              <w:spacing w:before="0" w:after="283"/>
              <w:jc w:val="both"/>
              <w:rPr>
                <w:sz w:val="20"/>
              </w:rPr>
            </w:pPr>
            <w:r>
              <w:rPr>
                <w:sz w:val="20"/>
              </w:rPr>
              <w:t>(17)</w:t>
            </w:r>
          </w:p>
        </w:tc>
        <w:tc>
          <w:tcPr>
            <w:tcW w:w="9893" w:type="dxa"/>
            <w:tcBorders/>
            <w:vAlign w:val="center"/>
          </w:tcPr>
          <w:p>
            <w:pPr>
              <w:pStyle w:val="TableContents"/>
              <w:bidi w:val="0"/>
              <w:spacing w:before="0" w:after="283"/>
              <w:jc w:val="both"/>
              <w:rPr>
                <w:sz w:val="20"/>
              </w:rPr>
            </w:pPr>
            <w:r>
              <w:rPr>
                <w:sz w:val="20"/>
              </w:rPr>
              <w:t>The business address of such holder is 48 Owenoke Park, Westport, CT 06880, USA.</w:t>
            </w:r>
          </w:p>
        </w:tc>
      </w:tr>
      <w:tr>
        <w:trPr/>
        <w:tc>
          <w:tcPr>
            <w:tcW w:w="312" w:type="dxa"/>
            <w:tcBorders/>
            <w:vAlign w:val="center"/>
          </w:tcPr>
          <w:p>
            <w:pPr>
              <w:pStyle w:val="TableContents"/>
              <w:bidi w:val="0"/>
              <w:spacing w:before="0" w:after="283"/>
              <w:jc w:val="both"/>
              <w:rPr>
                <w:sz w:val="20"/>
              </w:rPr>
            </w:pPr>
            <w:r>
              <w:rPr>
                <w:sz w:val="20"/>
              </w:rPr>
              <w:t>(18)</w:t>
            </w:r>
          </w:p>
        </w:tc>
        <w:tc>
          <w:tcPr>
            <w:tcW w:w="9893" w:type="dxa"/>
            <w:tcBorders/>
            <w:vAlign w:val="center"/>
          </w:tcPr>
          <w:p>
            <w:pPr>
              <w:pStyle w:val="TableContents"/>
              <w:bidi w:val="0"/>
              <w:spacing w:before="0" w:after="283"/>
              <w:jc w:val="both"/>
              <w:rPr>
                <w:sz w:val="20"/>
              </w:rPr>
            </w:pPr>
            <w:r>
              <w:rPr>
                <w:sz w:val="20"/>
              </w:rPr>
              <w:t>Ronit Capital LLP may be deemed to have voting and investment power over the shares held by Ronit Global Opportunities Master Fund Limited. The business address of such holder is C/O Ronit Capital LLP, 20 North Audley Street, London, W1K 6WE, UK.</w:t>
            </w:r>
          </w:p>
        </w:tc>
      </w:tr>
      <w:tr>
        <w:trPr/>
        <w:tc>
          <w:tcPr>
            <w:tcW w:w="312" w:type="dxa"/>
            <w:tcBorders/>
            <w:vAlign w:val="center"/>
          </w:tcPr>
          <w:p>
            <w:pPr>
              <w:pStyle w:val="TableContents"/>
              <w:bidi w:val="0"/>
              <w:spacing w:before="0" w:after="283"/>
              <w:jc w:val="both"/>
              <w:rPr>
                <w:sz w:val="20"/>
              </w:rPr>
            </w:pPr>
            <w:r>
              <w:rPr>
                <w:sz w:val="20"/>
              </w:rPr>
              <w:t>(19)</w:t>
            </w:r>
          </w:p>
        </w:tc>
        <w:tc>
          <w:tcPr>
            <w:tcW w:w="9893" w:type="dxa"/>
            <w:tcBorders/>
            <w:vAlign w:val="center"/>
          </w:tcPr>
          <w:p>
            <w:pPr>
              <w:pStyle w:val="TableContents"/>
              <w:bidi w:val="0"/>
              <w:spacing w:before="0" w:after="283"/>
              <w:jc w:val="both"/>
              <w:rPr>
                <w:sz w:val="20"/>
              </w:rPr>
            </w:pPr>
            <w:r>
              <w:rPr>
                <w:sz w:val="20"/>
              </w:rPr>
              <w:t>Emmanuel Rose Hermann may be deemed to have voting and investment power over the shares held by Leste Global Fund SPC - Segregated Portfolio B. The business address of such holder is Conyers Trust Company (Cayman) Limited, Cricket Square, Hutchins Drive, PO Box 2681, George Town, Grand Cayman, KY1-1111, Cayman Islands.</w:t>
            </w:r>
          </w:p>
        </w:tc>
      </w:tr>
      <w:tr>
        <w:trPr/>
        <w:tc>
          <w:tcPr>
            <w:tcW w:w="312" w:type="dxa"/>
            <w:tcBorders/>
            <w:vAlign w:val="center"/>
          </w:tcPr>
          <w:p>
            <w:pPr>
              <w:pStyle w:val="TableContents"/>
              <w:bidi w:val="0"/>
              <w:spacing w:before="0" w:after="283"/>
              <w:jc w:val="both"/>
              <w:rPr>
                <w:sz w:val="20"/>
              </w:rPr>
            </w:pPr>
            <w:r>
              <w:rPr>
                <w:sz w:val="20"/>
              </w:rPr>
              <w:t>(20)</w:t>
            </w:r>
          </w:p>
        </w:tc>
        <w:tc>
          <w:tcPr>
            <w:tcW w:w="9893" w:type="dxa"/>
            <w:tcBorders/>
            <w:vAlign w:val="center"/>
          </w:tcPr>
          <w:p>
            <w:pPr>
              <w:pStyle w:val="TableContents"/>
              <w:bidi w:val="0"/>
              <w:spacing w:before="0" w:after="283"/>
              <w:jc w:val="both"/>
              <w:rPr>
                <w:sz w:val="20"/>
              </w:rPr>
            </w:pPr>
            <w:r>
              <w:rPr>
                <w:sz w:val="20"/>
              </w:rPr>
              <w:t>Mathew Van Alstyne may be deemed to have voting and investment power over the shares held by Light Doors LLC. The business address of such holder is 750 Lexington Avenue, 27th Floor, NY, NY 10022.</w:t>
            </w:r>
          </w:p>
        </w:tc>
      </w:tr>
      <w:tr>
        <w:trPr/>
        <w:tc>
          <w:tcPr>
            <w:tcW w:w="312" w:type="dxa"/>
            <w:tcBorders/>
            <w:vAlign w:val="center"/>
          </w:tcPr>
          <w:p>
            <w:pPr>
              <w:pStyle w:val="TableContents"/>
              <w:bidi w:val="0"/>
              <w:spacing w:before="0" w:after="283"/>
              <w:jc w:val="both"/>
              <w:rPr>
                <w:sz w:val="20"/>
              </w:rPr>
            </w:pPr>
            <w:r>
              <w:rPr>
                <w:sz w:val="20"/>
              </w:rPr>
              <w:t>(21)</w:t>
            </w:r>
          </w:p>
        </w:tc>
        <w:tc>
          <w:tcPr>
            <w:tcW w:w="9893" w:type="dxa"/>
            <w:tcBorders/>
            <w:vAlign w:val="center"/>
          </w:tcPr>
          <w:p>
            <w:pPr>
              <w:pStyle w:val="TableContents"/>
              <w:bidi w:val="0"/>
              <w:spacing w:before="0" w:after="283"/>
              <w:jc w:val="both"/>
              <w:rPr>
                <w:sz w:val="20"/>
              </w:rPr>
            </w:pPr>
            <w:r>
              <w:rPr>
                <w:sz w:val="20"/>
              </w:rPr>
              <w:t>Represents (i) 399,944 Common Shares and (ii) 89,394 Common Shares issued upon exercise of warrants.</w:t>
            </w:r>
          </w:p>
        </w:tc>
      </w:tr>
      <w:tr>
        <w:trPr/>
        <w:tc>
          <w:tcPr>
            <w:tcW w:w="312" w:type="dxa"/>
            <w:tcBorders/>
            <w:vAlign w:val="center"/>
          </w:tcPr>
          <w:p>
            <w:pPr>
              <w:pStyle w:val="TableContents"/>
              <w:bidi w:val="0"/>
              <w:spacing w:before="0" w:after="283"/>
              <w:jc w:val="both"/>
              <w:rPr>
                <w:sz w:val="20"/>
              </w:rPr>
            </w:pPr>
            <w:r>
              <w:rPr>
                <w:sz w:val="20"/>
              </w:rPr>
              <w:t>(22)</w:t>
            </w:r>
          </w:p>
        </w:tc>
        <w:tc>
          <w:tcPr>
            <w:tcW w:w="9893" w:type="dxa"/>
            <w:tcBorders/>
            <w:vAlign w:val="center"/>
          </w:tcPr>
          <w:p>
            <w:pPr>
              <w:pStyle w:val="TableContents"/>
              <w:bidi w:val="0"/>
              <w:spacing w:before="0" w:after="283"/>
              <w:jc w:val="both"/>
              <w:rPr/>
            </w:pPr>
            <w:r>
              <w:rPr/>
              <w:t>Represents (i) 300,238 Common Shares and (ii) 89,394 Common Shares issued upon exercise of warrants.</w:t>
            </w:r>
          </w:p>
        </w:tc>
      </w:tr>
      <w:tr>
        <w:trPr/>
        <w:tc>
          <w:tcPr>
            <w:tcW w:w="312" w:type="dxa"/>
            <w:tcBorders/>
            <w:vAlign w:val="center"/>
          </w:tcPr>
          <w:p>
            <w:pPr>
              <w:pStyle w:val="TableContents"/>
              <w:bidi w:val="0"/>
              <w:spacing w:before="0" w:after="283"/>
              <w:jc w:val="both"/>
              <w:rPr>
                <w:sz w:val="20"/>
              </w:rPr>
            </w:pPr>
            <w:r>
              <w:rPr>
                <w:sz w:val="20"/>
              </w:rPr>
              <w:t>(23)</w:t>
            </w:r>
          </w:p>
        </w:tc>
        <w:tc>
          <w:tcPr>
            <w:tcW w:w="9893" w:type="dxa"/>
            <w:tcBorders/>
            <w:vAlign w:val="center"/>
          </w:tcPr>
          <w:p>
            <w:pPr>
              <w:pStyle w:val="TableContents"/>
              <w:bidi w:val="0"/>
              <w:spacing w:before="0" w:after="283"/>
              <w:jc w:val="both"/>
              <w:rPr/>
            </w:pPr>
            <w:r>
              <w:rPr/>
              <w:t>Represents (i) 307,144 Common Shares and (ii) 89,394 Common Shares issued upon exercise of warrants.</w:t>
            </w:r>
          </w:p>
        </w:tc>
      </w:tr>
      <w:tr>
        <w:trPr/>
        <w:tc>
          <w:tcPr>
            <w:tcW w:w="312" w:type="dxa"/>
            <w:tcBorders/>
            <w:vAlign w:val="center"/>
          </w:tcPr>
          <w:p>
            <w:pPr>
              <w:pStyle w:val="TableContents"/>
              <w:bidi w:val="0"/>
              <w:spacing w:before="0" w:after="283"/>
              <w:jc w:val="both"/>
              <w:rPr>
                <w:sz w:val="20"/>
              </w:rPr>
            </w:pPr>
            <w:r>
              <w:rPr>
                <w:sz w:val="20"/>
              </w:rPr>
              <w:t>(24)</w:t>
            </w:r>
          </w:p>
        </w:tc>
        <w:tc>
          <w:tcPr>
            <w:tcW w:w="9893" w:type="dxa"/>
            <w:tcBorders/>
            <w:vAlign w:val="center"/>
          </w:tcPr>
          <w:p>
            <w:pPr>
              <w:pStyle w:val="TableContents"/>
              <w:bidi w:val="0"/>
              <w:spacing w:before="0" w:after="283"/>
              <w:jc w:val="both"/>
              <w:rPr>
                <w:sz w:val="20"/>
              </w:rPr>
            </w:pPr>
            <w:r>
              <w:rPr>
                <w:sz w:val="20"/>
              </w:rPr>
              <w:t>Does not include 11,578,620 Common Shares issuable upon exercise of the warrant held by Allseas Group S.A. (“Allseas”). Edward Heerema, the Administrateur President of Allseas, has sole authority over Allseas. Edward Hereema, Allseas Investments S.A. (“Allseas Investments”), the majority parent of Allseas, Argentum Cedit Virtuti GCV (“ACV”), the parent of Allseas Investments, and Stichting Administratiekantoor Aequa Lance Foundation, the parent of ACV, may be deemed to have beneficial ownership of the shares owned by Allseas. The business address of such holder is 18 Route de Pra de Plan, Case Postale, 411 1618 Chatel-Saint-Denis, Switzerland. We have a strategic relationship with Allseas in connection with the development of our collection systems.</w:t>
            </w:r>
          </w:p>
        </w:tc>
      </w:tr>
      <w:tr>
        <w:trPr/>
        <w:tc>
          <w:tcPr>
            <w:tcW w:w="312" w:type="dxa"/>
            <w:tcBorders/>
            <w:vAlign w:val="center"/>
          </w:tcPr>
          <w:p>
            <w:pPr>
              <w:pStyle w:val="TableContents"/>
              <w:bidi w:val="0"/>
              <w:spacing w:before="0" w:after="283"/>
              <w:jc w:val="both"/>
              <w:rPr>
                <w:sz w:val="20"/>
              </w:rPr>
            </w:pPr>
            <w:r>
              <w:rPr>
                <w:sz w:val="20"/>
              </w:rPr>
              <w:t>(25)</w:t>
            </w:r>
          </w:p>
        </w:tc>
        <w:tc>
          <w:tcPr>
            <w:tcW w:w="9893" w:type="dxa"/>
            <w:tcBorders/>
            <w:vAlign w:val="center"/>
          </w:tcPr>
          <w:p>
            <w:pPr>
              <w:pStyle w:val="TableContents"/>
              <w:bidi w:val="0"/>
              <w:spacing w:before="0" w:after="283"/>
              <w:jc w:val="both"/>
              <w:rPr>
                <w:sz w:val="20"/>
              </w:rPr>
            </w:pPr>
            <w:r>
              <w:rPr>
                <w:sz w:val="20"/>
              </w:rPr>
              <w:t>Represents (i) 14,639,239 Common Shares, (ii) 4,078,044 Common Shares that are issuable upon exercise of options that are exercisable within 60 days of August 31, 2022, and (iii)</w:t>
            </w:r>
            <w:r>
              <w:rPr>
                <w:sz w:val="20"/>
                <w:shd w:fill="FFFFFF" w:val="clear"/>
              </w:rPr>
              <w:t> 89,394 Common Shares underlying warrants</w:t>
            </w:r>
            <w:r>
              <w:rPr>
                <w:sz w:val="20"/>
              </w:rPr>
              <w:t xml:space="preserve">. Does not include (i) up to 781,250 restricted stock units, each representing the right to receive one Common Share upon vesting, which vest in three equal annual installments beginning on November 22, 2022 and ending on November 22, 2024 and (ii)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 </w:t>
            </w:r>
          </w:p>
        </w:tc>
      </w:tr>
      <w:tr>
        <w:trPr/>
        <w:tc>
          <w:tcPr>
            <w:tcW w:w="312" w:type="dxa"/>
            <w:tcBorders/>
            <w:vAlign w:val="center"/>
          </w:tcPr>
          <w:p>
            <w:pPr>
              <w:pStyle w:val="TableContents"/>
              <w:bidi w:val="0"/>
              <w:spacing w:before="0" w:after="283"/>
              <w:jc w:val="both"/>
              <w:rPr>
                <w:sz w:val="20"/>
              </w:rPr>
            </w:pPr>
            <w:r>
              <w:rPr>
                <w:sz w:val="20"/>
              </w:rPr>
              <w:t>(26)</w:t>
            </w:r>
          </w:p>
        </w:tc>
        <w:tc>
          <w:tcPr>
            <w:tcW w:w="9893" w:type="dxa"/>
            <w:tcBorders/>
            <w:vAlign w:val="center"/>
          </w:tcPr>
          <w:p>
            <w:pPr>
              <w:pStyle w:val="TableContents"/>
              <w:bidi w:val="0"/>
              <w:spacing w:before="0" w:after="283"/>
              <w:jc w:val="both"/>
              <w:rPr>
                <w:sz w:val="20"/>
              </w:rPr>
            </w:pPr>
            <w:r>
              <w:rPr>
                <w:sz w:val="20"/>
              </w:rPr>
              <w:t>Represents (i) 51,955,976 Common Shares and (ii) 1,414,716 Common Shares issuable upon exercise of warrants owned by ERAS Capital LLC (“ERAS”). Andrei Karkar has voting and dispositive control over the securities held by ERAS and therefore Mr. Karkar may be deemed to have beneficial ownership of the shares held by ERAS. The business address of such holder is 323 Marina Blvd, San Francisco, CA 94123-1213.</w:t>
            </w:r>
          </w:p>
        </w:tc>
      </w:tr>
      <w:tr>
        <w:trPr/>
        <w:tc>
          <w:tcPr>
            <w:tcW w:w="312" w:type="dxa"/>
            <w:tcBorders/>
            <w:vAlign w:val="center"/>
          </w:tcPr>
          <w:p>
            <w:pPr>
              <w:pStyle w:val="TableContents"/>
              <w:bidi w:val="0"/>
              <w:spacing w:before="0" w:after="283"/>
              <w:jc w:val="both"/>
              <w:rPr>
                <w:sz w:val="20"/>
              </w:rPr>
            </w:pPr>
            <w:r>
              <w:rPr>
                <w:sz w:val="20"/>
              </w:rPr>
              <w:t>(27)</w:t>
            </w:r>
          </w:p>
        </w:tc>
        <w:tc>
          <w:tcPr>
            <w:tcW w:w="9893" w:type="dxa"/>
            <w:tcBorders/>
            <w:vAlign w:val="center"/>
          </w:tcPr>
          <w:p>
            <w:pPr>
              <w:pStyle w:val="TableContents"/>
              <w:bidi w:val="0"/>
              <w:spacing w:before="0" w:after="283"/>
              <w:jc w:val="both"/>
              <w:rPr>
                <w:sz w:val="20"/>
              </w:rPr>
            </w:pPr>
            <w:r>
              <w:rPr>
                <w:sz w:val="20"/>
              </w:rPr>
              <w:t xml:space="preserve">Mathew Van Alstyne may be deemed to have voting and investment power over the shares held by Odeon Capital Group LLC. The business address of such holder is 750 Lexington Avenue, 27th Floor, NY, NY 10022. The Common Shares being offered were issued by us in connection with advisory services rendered to us related to the issuance of the Common Shares pursuant to the Purchaser Agreement. </w:t>
            </w:r>
          </w:p>
        </w:tc>
      </w:tr>
      <w:tr>
        <w:trPr/>
        <w:tc>
          <w:tcPr>
            <w:tcW w:w="312" w:type="dxa"/>
            <w:tcBorders/>
            <w:vAlign w:val="center"/>
          </w:tcPr>
          <w:p>
            <w:pPr>
              <w:pStyle w:val="TableContents"/>
              <w:bidi w:val="0"/>
              <w:spacing w:before="0" w:after="283"/>
              <w:jc w:val="both"/>
              <w:rPr>
                <w:sz w:val="20"/>
              </w:rPr>
            </w:pPr>
            <w:r>
              <w:rPr>
                <w:sz w:val="20"/>
              </w:rPr>
              <w:t>(28)</w:t>
            </w:r>
          </w:p>
        </w:tc>
        <w:tc>
          <w:tcPr>
            <w:tcW w:w="9893" w:type="dxa"/>
            <w:tcBorders/>
            <w:vAlign w:val="center"/>
          </w:tcPr>
          <w:p>
            <w:pPr>
              <w:pStyle w:val="TableContents"/>
              <w:bidi w:val="0"/>
              <w:spacing w:before="0" w:after="283"/>
              <w:jc w:val="both"/>
              <w:rPr>
                <w:sz w:val="20"/>
              </w:rPr>
            </w:pPr>
            <w:r>
              <w:rPr>
                <w:sz w:val="20"/>
              </w:rPr>
              <w:t>The business address of such holder is 785 Fifth Avenue, Apt. 11-C, New York, NY 10022. The Common Shares being offered were issued by us in connection with advisory services rendered to us related to the issuance of the Common Shares pursuant to the Purchaser Agreement.</w:t>
            </w:r>
          </w:p>
        </w:tc>
      </w:tr>
      <w:tr>
        <w:trPr/>
        <w:tc>
          <w:tcPr>
            <w:tcW w:w="312" w:type="dxa"/>
            <w:tcBorders/>
            <w:vAlign w:val="center"/>
          </w:tcPr>
          <w:p>
            <w:pPr>
              <w:pStyle w:val="TableContents"/>
              <w:bidi w:val="0"/>
              <w:spacing w:before="0" w:after="283"/>
              <w:jc w:val="both"/>
              <w:rPr>
                <w:sz w:val="20"/>
              </w:rPr>
            </w:pPr>
            <w:r>
              <w:rPr>
                <w:sz w:val="20"/>
              </w:rPr>
              <w:t>(29)</w:t>
            </w:r>
          </w:p>
        </w:tc>
        <w:tc>
          <w:tcPr>
            <w:tcW w:w="9893" w:type="dxa"/>
            <w:tcBorders/>
            <w:vAlign w:val="center"/>
          </w:tcPr>
          <w:p>
            <w:pPr>
              <w:pStyle w:val="TableContents"/>
              <w:bidi w:val="0"/>
              <w:spacing w:before="0" w:after="283"/>
              <w:jc w:val="both"/>
              <w:rPr>
                <w:sz w:val="20"/>
              </w:rPr>
            </w:pPr>
            <w:r>
              <w:rPr>
                <w:sz w:val="20"/>
              </w:rPr>
              <w:t>The business address of such holder is 54 Morton Street, Apt 4F, New York, NY 10014. The Common Shares being offered were issued by us in connection with advisory services rendered to us related to the issuance of the Common Shares pursuant to the Purchaser Agreement.</w:t>
            </w:r>
          </w:p>
        </w:tc>
      </w:tr>
      <w:tr>
        <w:trPr/>
        <w:tc>
          <w:tcPr>
            <w:tcW w:w="312" w:type="dxa"/>
            <w:tcBorders/>
            <w:vAlign w:val="center"/>
          </w:tcPr>
          <w:p>
            <w:pPr>
              <w:pStyle w:val="TableContents"/>
              <w:bidi w:val="0"/>
              <w:spacing w:before="0" w:after="283"/>
              <w:jc w:val="both"/>
              <w:rPr>
                <w:sz w:val="20"/>
              </w:rPr>
            </w:pPr>
            <w:r>
              <w:rPr>
                <w:sz w:val="20"/>
              </w:rPr>
              <w:t>(30)</w:t>
            </w:r>
          </w:p>
        </w:tc>
        <w:tc>
          <w:tcPr>
            <w:tcW w:w="9893" w:type="dxa"/>
            <w:tcBorders/>
            <w:vAlign w:val="center"/>
          </w:tcPr>
          <w:p>
            <w:pPr>
              <w:pStyle w:val="TableContents"/>
              <w:bidi w:val="0"/>
              <w:spacing w:before="0" w:after="283"/>
              <w:jc w:val="both"/>
              <w:rPr>
                <w:sz w:val="20"/>
              </w:rPr>
            </w:pPr>
            <w:r>
              <w:rPr>
                <w:sz w:val="20"/>
              </w:rPr>
              <w:t>The business address of such holder is 3600 North Lake Blvd, #186, Tahoe City, CA 96145. The Common Shares being offered were issued by us in connection with advisory services rendered to us related to the issuance of the Common Shares pursuant to the Purchaser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m7"/>
      <w:bookmarkEnd w:id="24"/>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shareholders may offer securities under this prospectus from time to time pursuant to underwritten public offerings, negotiated transactions, block trades or a combination of these methods or any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ordinary brokerage transactions and transactions in which the broker-dealer solicits purchasers;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block trades in which the broker-dealer will attempt to sell the shares as agent but may position and resell a portion of the block as principal to facilitate the transaction;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purchases by a broker-dealer as principal and resale by the broker-dealer for its account;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 exchange distribution in accordance with the rules of the applicable exchange;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privately negotiated transactions;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settlement of short sales entered into after the effective date of the registration statement of which this prospectus is a part;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broker-dealers may agree with the selling </w:t>
            </w:r>
            <w:r>
              <w:rPr/>
              <w:t>shareholders to sell a specified number of such shares at a stipulated price per share;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through the writing or settlement of options or other hedging transactions, whether such options are listed on an options exchange or otherwise;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combination of any such methods of sale; and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any other method permitted pursuant to applicable law.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shareholders may sell the securities (1) through underwriters or dealers, (2) through agents or (3) directly to one or more purchasers, or through a combination of such methods. We or the selling shareholders may distribute the securities on any national securities exchange or quotation service on which the securities may be listed or quoted at the time of sale, in the over-the-counter market or in transactions otherwise than on these exchanges or systems or in the over-the-counter market from time to time in one or more transactions at:</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75"/>
        <w:gridCol w:w="170"/>
        <w:gridCol w:w="5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 fixed price or prices, which may be changed from time to time;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market prices prevailing at the time of sale;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prices related to the prevailing market prices; or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negotiated prices.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the selling shareholders utilize a dealer in the sale of the securities being offered by this prospectus, we or the selling shareholders, as applicable, will sell the securities to the dealer, as principal. The dealer may then resell the securities to the public at varying prices to be determined by the dealer at the time of resale.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underwriter is used in the sale of the securities being offered by this prospectus, an underwriting agreement will be executed with the underwriter at the time of sale, and the name of any underwriter will be provided in any prospectus supplement, if required, which the underwriter will use to make resales of the securities to the public. In connection with the sale of the securities, we or the selling shareholders,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underwritten public offerings, negotiated transactions and block trades, we or the selling shareholders, if required, will provide in the applicable prospectus supplement information regarding any compensation paid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or the selling securities may enter into agreements to indemnify underwriters, dealers and agents against civil liabilities, including liabilities under the Securities Act, or to contribute to payments they may be required to make in respect thereof. To the extent required by the Purchase Agreements, we have agreed to indemnify certain of the selling shareholders against liabilities, including liabilities under the Securities Act and state securities laws, relating to the registration of certain of the shares offered by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a prospectus supplement, if required, we or the selling shareholders will authorize the underwriters, dealers or other persons acting as our agents to solicit offers by certain institutions to purchase securities from us pursuant to delayed delivery contracts providing for payment and delivery on the date stated in each applicable prospectus supplement, if required.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purchase by an institution of the securities covered under that contract shall not at the time of delivery be prohibited under the laws of the jurisdiction to which that institution is subject;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firms, referred to as “remarketing firms,” may also offer or sell the securities, if a prospectus supplement, if required,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if required,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underwriters may use this prospectus and any accompanying prospectus supplement, if required, for offers and sales related to market-making transactions in the securities. These underwriters may act as principal or agent in these transactions, and the sales will be made at prices related to prevailing market prices at the time of sale. Any selling shareholders and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 Selling shareholders who are “underwriters” within the meaning of Section 2(a)(11) of the Securities Act will be subject to the prospectus delivery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sold pursuant to the registration statement of which this prospectus is a part will be authorized for listing and trading on The Nasdaq Stock Market. The applicable prospectus supplement, if required, will contain information, where applicable, as to any other listing, if any, on The Nasdaq Stock Market or any securities market or other securities exchange of the securities covered by the prospectus supplement. Underwriters may make a market in our Common Shares, but will not be obligated to do so and may discontinue any market making at any time without notice. We can make no assurance as to the liquidity of or the existence, development or maintenance of trading markets for any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may engage in other transactions with us, or perform other services for us, in the ordinary course of their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also may resell all or a portion of the shares in open market transactions in reliance upon Rule 144 under the Securities Act, as permitted by that rule, or Section 4(1) under the Securities Act, if available, rather than under this prospectus, provided that they meet the criteria and conform to the requirements of those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shareholders may arrange for other broker-dealers to participate in sales. If the selling shareholders effect such transactions by selling Common Shares to or through underwriters, broker-dealers or agents, such underwriters, broker-dealers or agents may receive commissions in the form of discounts, concessions or commissions from the selling shareholders or commissions from purchasers of the Common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5110.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sales of the Common Shares or otherwise, the selling shareholders may enter into hedging transactions with broker-dealers or other financial institutions, which may in turn engage in short sales of the Common Shares in the course of hedging in positions they assume. The selling shareholders may also sell Common Shares short and if such short sale shall take place after the effective date of this registration statement, the selling shareholders may deliver Common Shares covered by this prospectus to close out short positions and to return borrowed shares in connection with such short sales. The selling shareholders may also loan or pledge Common Shares to broker-dealers that in turn may sell such shares, to the extent permitted by applicable law. The selling shareholders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if required). Notwithstanding the foregoing, the selling shareholders have been advised that they may not use shares registered on this registration statement to cover short sales of Common Shares made prior to the effective date of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from time to time, pledge or grant a security interest in some or all of the Common Shares owned by them and, if they default in the performance of their secured obligations, the pledgees or secured parties may offer and sell the Common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shareholders also may transfer and donate the Common Shares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shareholder has informed the Company that it is not a registered broker-dealer and does not have any written or oral agreement or understanding, directly or indirectly, with any person to distribute the Common Shares. Upon the Company being notified in writing by a selling shareholders that any material arrangement has been entered into with a broker-dealer for the sale of Common Shares through a block trade, special offering, exchange distribution or secondary distribution or a purchase by a broker or dealer, a supplement to this prospectus will be filed, if required, pursuant to Rule 424(b) under the Securities Act, disclosing (i) the name of each such selling shareholders and of the participating broker-dealer(s), (ii) the number of shares involved, (iii) the price at which such the Common Shares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Common Shares may be sold in such states only through registered or licensed brokers or dealers. In addition, in some states the Common Shares may not be sold unless such shares have been registered or qualified for sale in such state or an exemption from registration or qualification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shareholders will sell any or all of the Common Shares registered pursuant to the shelf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shareholder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Common Shares by the selling shareholders and any other participating person. Regulation M may also restrict the ability of any person engaged in the distribution of the Common Shares to engage in market-making activities with respect to the Common Shares. All of the foregoing may affect the marketability of the Common Shares and the ability of any person or entity to engage in market-making activities with respect to the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Common Shares pursuant to the Purchase Agreements, including, without limitation, SEC filing fees and expenses of compliance with state securities or “blue sky” laws; provided, however, that each selling shareholder will pay all underwriting discounts and selling commissions, if any. We will indemnify the selling shareholders against certain liabilities, including some liabilities under the Securities Act, in accordance with the Purchase Agreements, or the selling shareholders will be entitled to contribution. We may be indemnified by the selling shareholders against civil liabilities, including liabilities under the Securities Act, that may arise from any written information furnished to us by the selling shareholders specifically for use in this prospectus, in accordance with the Purchase Agreements, or we may be entitled to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m8"/>
      <w:bookmarkEnd w:id="25"/>
      <w:r>
        <w:rPr>
          <w:rFonts w:ascii="Times New Roman;Times;Serif" w:hAnsi="Times New Roman;Times;Serif"/>
          <w:b/>
          <w:i w:val="false"/>
          <w:caps w:val="false"/>
          <w:smallCaps w:val="false"/>
          <w:sz w:val="20"/>
        </w:rPr>
        <w:t>DESCRIPTION OF COMMON SHARES AND 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consists of (a) an unlimited number of Common Shares, (b) an unlimited number of preferred shares, issuable in series, (c) 5,000,000 Class A Special Shares, (d) 10,000,000 Class B Special Shares, (e) 10,000,000 Class C Special Shares, (f) 20,000,000 Class D Special Shares, (g) 20,000,000 Class E Special Shares, (h) 20,000,000 Class F Special Shares, (i) 25,000,000 Class G Special Shares, (j) 25,000,000 Class H Special Shares, (k) 500,000 Class I Special Shares, and (l) 741,000 Class J Special Shares, each without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certain provisions of our Common Shares and Special Shares do not purport to be complete. You should refer to the section of this prospectus entitled “Certain Important Provisions of The Notice of Articles and Articles and the BCBCA”, “Ownership and Exchange Controls” and our notice of articles and articles, both of which are included as exhibits to the registration statement of which this prospectus is a part. The summaries below are also qualified by provisions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2022, there were 265,529,989 Common Shares issued and outstanding. As of September 30, 2022, we had approximately 125 record holders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Common Shares are entitled to one (1) vote per share on all matters upon which holders of shares are entitled to vote. Subject to the </w:t>
      </w:r>
      <w:r>
        <w:rPr>
          <w:rFonts w:ascii="Times New Roman;Times;Serif" w:hAnsi="Times New Roman;Times;Serif"/>
          <w:b w:val="false"/>
          <w:i/>
          <w:caps w:val="false"/>
          <w:smallCaps w:val="false"/>
          <w:sz w:val="20"/>
        </w:rPr>
        <w:t xml:space="preserve">Business Corporations Act </w:t>
      </w:r>
      <w:r>
        <w:rPr>
          <w:rFonts w:ascii="Times New Roman;Times;Serif" w:hAnsi="Times New Roman;Times;Serif"/>
          <w:b w:val="false"/>
          <w:i w:val="false"/>
          <w:caps w:val="false"/>
          <w:smallCaps w:val="false"/>
          <w:sz w:val="20"/>
        </w:rPr>
        <w:t>(British Columbia), or the BCBCA, and prior rights of the holders of preferred shares and any other class ranking senior to the Common Shares, the holders of Common Shares are entitled to receive dividends as, if and when declared by the board of directors. Subject to the prior rights of the holders of Special Shares and preferred shares, and any other class ranking senior to the Common Shares, in the event of our liquidation, dissolution or winding-up or other distribution of our assets among our shareholders, the holders of Common Shares will be entitled to share pro rata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of articles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Common Shares is Continental Stock Transfer &amp;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for trading on the Nasdaq Global Select Market under the symbol “TMC”.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2022, there were issued and outstanding (a) 4,999,973 Class A Special Shares, (b) 9,999,853 Class B Special Shares, (c) 9,999,853 Class C Special Shares, (d) 19,999,855 Class D Special Shares, (e) 19,999,855 Class E Special Shares, (f) 19,999,855 Class F Special Shares, (g) 24,999,860 Class G Special Shares, (h) 24,999,860 Class H Special Shares, (i) 500,000 Class I Special Shares and (j) 741,000 Class J 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or the Redemption Price. Holders of Special Shares have no pre-emptive or exchange rights or other subscription rights. There is no provision in our notice of articles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Our notice of articles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our notice or articles and articles, referred to herein as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BCBCA, any Special Shares then outstanding shall be redeemed by us without any action on the part of the holders of Special Shares (i) at any time after the 15th year anniversary of the original issue date of the Special Shares or (ii) at any time after a Change of Control, in each case at the Redemption Price. For the purposes of our notice of articles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our shareholders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our capital or similar interest us (including any stock appreciation, phantom stock, profit participation or similar rights), and any option, warrant, right or security (including debt securities) convertible, exchangeable or exercisable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Shares will automatically convert into Common Shares on a one (1) for one (1) basis (unless adjusted as described below) upon the occurrence of the following events: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m9"/>
      <w:bookmarkEnd w:id="26"/>
      <w:r>
        <w:rPr>
          <w:rFonts w:ascii="Times New Roman;Times;Serif" w:hAnsi="Times New Roman;Times;Serif"/>
          <w:b/>
          <w:i w:val="false"/>
          <w:caps w:val="false"/>
          <w:smallCaps w:val="false"/>
          <w:sz w:val="20"/>
        </w:rPr>
        <w:t>DESCRIPTION OF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preferred shares and the description of the terms of any particular series of preferred shares that we choose to issue hereunder are not complete. These descriptions are qualified in their entirety by reference to notice of articles and articles, both of which are included as exhibits to the registration statement of which this prospectus is a part.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an unlimited number of preferred shares, issuable in series. Accordingly, the board of directors is authorized, without shareholder approval but subject to the provisions of the BCBCA and notice of articles, to determine the maximum number of shares of each series, create an identifying name for each series and attach such special rights or restrictions, including dividend, liquidation and voting rights, as the board of directors may determine, and such special rights or restrictions, including dividend, liquidation and voting rights, may be superior to those of the Common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preferred shares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m10"/>
      <w:bookmarkEnd w:id="27"/>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each prospectus supplement the following terms relating to a series of debt securities:</w:t>
      </w:r>
    </w:p>
    <w:p>
      <w:pPr>
        <w:pStyle w:val="TextBody"/>
        <w:bidi w:val="0"/>
        <w:spacing w:before="0" w:after="0"/>
        <w:ind w:left="0" w:right="0" w:hanging="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2180" w:type="dxa"/>
            <w:tcBorders/>
            <w:vAlign w:val="center"/>
          </w:tcPr>
          <w:p>
            <w:pPr>
              <w:pStyle w:val="TableContents"/>
              <w:bidi w:val="0"/>
              <w:spacing w:before="0" w:after="283"/>
              <w:jc w:val="both"/>
              <w:rPr/>
            </w:pPr>
            <w:r>
              <w:rPr/>
              <w:t>the title or designation;</w:t>
            </w:r>
          </w:p>
        </w:tc>
      </w:tr>
    </w:tbl>
    <w:tbl>
      <w:tblPr>
        <w:tblW w:w="7713" w:type="dxa"/>
        <w:jc w:val="left"/>
        <w:tblInd w:w="0" w:type="dxa"/>
        <w:tblLayout w:type="fixed"/>
        <w:tblCellMar>
          <w:top w:w="0" w:type="dxa"/>
          <w:left w:w="0" w:type="dxa"/>
          <w:bottom w:w="0" w:type="dxa"/>
          <w:right w:w="0" w:type="dxa"/>
        </w:tblCellMar>
      </w:tblPr>
      <w:tblGrid>
        <w:gridCol w:w="38"/>
        <w:gridCol w:w="17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505" w:type="dxa"/>
            <w:tcBorders/>
            <w:vAlign w:val="center"/>
          </w:tcPr>
          <w:p>
            <w:pPr>
              <w:pStyle w:val="TableContents"/>
              <w:bidi w:val="0"/>
              <w:spacing w:before="0" w:after="283"/>
              <w:jc w:val="both"/>
              <w:rPr/>
            </w:pPr>
            <w:r>
              <w:rPr/>
              <w:t>the aggregate principal amount and any limit on the amount that may be issued;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currency or units based on or relating to currencies in which debt securities of such series are denominated and the currency or units in which principal or interest or both will or may be payable;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whether we will issue the series of debt securities in global form, the terms of any global securities and who the depositary will be;</w:t>
            </w:r>
          </w:p>
        </w:tc>
      </w:tr>
    </w:tbl>
    <w:tbl>
      <w:tblPr>
        <w:tblW w:w="7203" w:type="dxa"/>
        <w:jc w:val="left"/>
        <w:tblInd w:w="0" w:type="dxa"/>
        <w:tblLayout w:type="fixed"/>
        <w:tblCellMar>
          <w:top w:w="0" w:type="dxa"/>
          <w:left w:w="0" w:type="dxa"/>
          <w:bottom w:w="0" w:type="dxa"/>
          <w:right w:w="0" w:type="dxa"/>
        </w:tblCellMar>
      </w:tblPr>
      <w:tblGrid>
        <w:gridCol w:w="38"/>
        <w:gridCol w:w="17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995" w:type="dxa"/>
            <w:tcBorders/>
            <w:vAlign w:val="center"/>
          </w:tcPr>
          <w:p>
            <w:pPr>
              <w:pStyle w:val="TableContents"/>
              <w:bidi w:val="0"/>
              <w:spacing w:before="0" w:after="283"/>
              <w:jc w:val="both"/>
              <w:rPr/>
            </w:pPr>
            <w:r>
              <w:rPr/>
              <w:t>the maturity date and the date or dates on which principal will be payable;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tc>
      </w:tr>
    </w:tbl>
    <w:tbl>
      <w:tblPr>
        <w:tblW w:w="9468" w:type="dxa"/>
        <w:jc w:val="left"/>
        <w:tblInd w:w="0" w:type="dxa"/>
        <w:tblLayout w:type="fixed"/>
        <w:tblCellMar>
          <w:top w:w="0" w:type="dxa"/>
          <w:left w:w="0" w:type="dxa"/>
          <w:bottom w:w="0" w:type="dxa"/>
          <w:right w:w="0" w:type="dxa"/>
        </w:tblCellMar>
      </w:tblPr>
      <w:tblGrid>
        <w:gridCol w:w="38"/>
        <w:gridCol w:w="17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260" w:type="dxa"/>
            <w:tcBorders/>
            <w:vAlign w:val="center"/>
          </w:tcPr>
          <w:p>
            <w:pPr>
              <w:pStyle w:val="TableContents"/>
              <w:bidi w:val="0"/>
              <w:spacing w:before="0" w:after="283"/>
              <w:jc w:val="both"/>
              <w:rPr/>
            </w:pPr>
            <w:r>
              <w:rPr/>
              <w:t>whether or not the debt securities will be secured or unsecured, and the terms of any secured debt;</w:t>
            </w:r>
          </w:p>
        </w:tc>
      </w:tr>
    </w:tbl>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6140" w:type="dxa"/>
            <w:tcBorders/>
            <w:vAlign w:val="center"/>
          </w:tcPr>
          <w:p>
            <w:pPr>
              <w:pStyle w:val="TableContents"/>
              <w:bidi w:val="0"/>
              <w:spacing w:before="0" w:after="283"/>
              <w:jc w:val="both"/>
              <w:rPr/>
            </w:pPr>
            <w:r>
              <w:rPr/>
              <w:t>the terms of the subordination of any series of subordinated debt;</w:t>
            </w:r>
          </w:p>
        </w:tc>
      </w:tr>
    </w:tbl>
    <w:tbl>
      <w:tblPr>
        <w:tblW w:w="5148" w:type="dxa"/>
        <w:jc w:val="left"/>
        <w:tblInd w:w="0" w:type="dxa"/>
        <w:tblLayout w:type="fixed"/>
        <w:tblCellMar>
          <w:top w:w="0" w:type="dxa"/>
          <w:left w:w="0" w:type="dxa"/>
          <w:bottom w:w="0" w:type="dxa"/>
          <w:right w:w="0" w:type="dxa"/>
        </w:tblCellMar>
      </w:tblPr>
      <w:tblGrid>
        <w:gridCol w:w="38"/>
        <w:gridCol w:w="17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940" w:type="dxa"/>
            <w:tcBorders/>
            <w:vAlign w:val="center"/>
          </w:tcPr>
          <w:p>
            <w:pPr>
              <w:pStyle w:val="TableContents"/>
              <w:bidi w:val="0"/>
              <w:spacing w:before="0" w:after="283"/>
              <w:jc w:val="both"/>
              <w:rPr/>
            </w:pPr>
            <w:r>
              <w:rPr/>
              <w:t>the place or places where payments will be payable;</w:t>
            </w:r>
          </w:p>
        </w:tc>
      </w:tr>
    </w:tbl>
    <w:tbl>
      <w:tblPr>
        <w:tblW w:w="9468" w:type="dxa"/>
        <w:jc w:val="left"/>
        <w:tblInd w:w="0" w:type="dxa"/>
        <w:tblLayout w:type="fixed"/>
        <w:tblCellMar>
          <w:top w:w="0" w:type="dxa"/>
          <w:left w:w="0" w:type="dxa"/>
          <w:bottom w:w="0" w:type="dxa"/>
          <w:right w:w="0" w:type="dxa"/>
        </w:tblCellMar>
      </w:tblPr>
      <w:tblGrid>
        <w:gridCol w:w="38"/>
        <w:gridCol w:w="17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260" w:type="dxa"/>
            <w:tcBorders/>
            <w:vAlign w:val="center"/>
          </w:tcPr>
          <w:p>
            <w:pPr>
              <w:pStyle w:val="TableContents"/>
              <w:bidi w:val="0"/>
              <w:spacing w:before="0" w:after="283"/>
              <w:jc w:val="both"/>
              <w:rPr/>
            </w:pPr>
            <w:r>
              <w:rPr/>
              <w:t>our right, if any, to defer payment of interest and the maximum length of any such deferral period;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date, if any, after which, and the price at which, we may, at our option, redeem the series of debt securities pursuant to any optional redemption provisions;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date, if any, on which, and the price at which we are obligated, pursuant to any mandatory sinking fund provisions or otherwise, to redeem, or at the holder’s option to purchase, the series of debt securities;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whether the indenture will restrict our ability to pay dividends, or will require us to maintain any asset ratios or reserves;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17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left"/>
              <w:rPr/>
            </w:pPr>
            <w:r>
              <w:rPr/>
              <w:t>whether we will be restricted from incurring any additional indebtedness;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 discussion of any material or special U.S. federal income tax considerations applicable to a series of debt securities;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denominations in which we will issue the series of debt securities, if other than denominations of $1,000 and any integral multiple thereof; and</w:t>
            </w:r>
          </w:p>
        </w:tc>
      </w:tr>
    </w:tbl>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left"/>
              <w:rPr/>
            </w:pPr>
            <w:r>
              <w:rPr/>
              <w:t>any other specific terms, preferences, rights or limitations of, or restrictions on,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or Exchange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if any, on which a series of debt securities may be convertible into or exchangeable for our common shares or our other securities. We will include provisions as to whether conversion or exchange is mandatory, at the option of the holder or at our option. We may include provisions pursuant to which the number of our common shares or our other securities that the holders of the series of debt securities receive would be subject to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Consolidation, Merger or Sale; No Protection in Event of a Change of Control or Highly Leveraged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Events of Default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under the indentures with respect to any series of debt securities that we may issue: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if we fail to pay interest when due and our failure continues for 90 days and the time for payment has not been extended or deferred;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if we fail to pay the principal, or premium, if any, when due and the time for payment has not been extended or delayed;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tc>
      </w:tr>
    </w:tbl>
    <w:tbl>
      <w:tblPr>
        <w:tblW w:w="7533" w:type="dxa"/>
        <w:jc w:val="left"/>
        <w:tblInd w:w="0" w:type="dxa"/>
        <w:tblLayout w:type="fixed"/>
        <w:tblCellMar>
          <w:top w:w="0" w:type="dxa"/>
          <w:left w:w="0" w:type="dxa"/>
          <w:bottom w:w="0" w:type="dxa"/>
          <w:right w:w="0" w:type="dxa"/>
        </w:tblCellMar>
      </w:tblPr>
      <w:tblGrid>
        <w:gridCol w:w="38"/>
        <w:gridCol w:w="17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left"/>
              <w:rPr/>
            </w:pPr>
            <w:r>
              <w:rPr/>
              <w:t>if specified events of bankruptcy, insolvency or reorganization occur as to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spacing w:before="0" w:after="0"/>
        <w:ind w:left="0" w:right="0" w:hanging="0"/>
        <w:jc w:val="left"/>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170"/>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pPr>
            <w:r>
              <w:rPr/>
              <w:t>the direction so given by the holder is not in conflict with any law or the applicable indenture;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subject to its duties under the Trust Indenture Act, the debenture trustee need not take any action that might involve it in personal liability or might be unduly prejudicial to the holders not involved in the proceeding.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holder previously has given written notice to the debenture trustee of a continuing event of default with respect to that series;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holders of at least a majority in aggregate principal amount of the outstanding debt securities of that series have made written request, and such holders have offered reasonable indemnity to the debenture trustee to institute the proceeding as trustee;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applicable debenture trustee regarding our compliance with specified covenants in the applicable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Indenture;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and we may change the applicable indenture without the consent of any holders with respect to specific matters, including:</w:t>
      </w:r>
    </w:p>
    <w:p>
      <w:pPr>
        <w:pStyle w:val="TextBody"/>
        <w:bidi w:val="0"/>
        <w:spacing w:before="0" w:after="0"/>
        <w:ind w:left="0" w:right="0" w:hanging="0"/>
        <w:jc w:val="left"/>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left"/>
              <w:rPr/>
            </w:pPr>
            <w:r>
              <w:rPr/>
              <w:t>to fix any ambiguity, defect or inconsistency in the indenture;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 change anything that does not materially adversely affect the interests of any holder of debt securities of any series issued pursuant to such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pStyle w:val="TextBody"/>
        <w:bidi w:val="0"/>
        <w:spacing w:before="0" w:after="0"/>
        <w:ind w:left="0" w:right="0" w:hanging="0"/>
        <w:jc w:val="left"/>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left"/>
              <w:rPr/>
            </w:pPr>
            <w:r>
              <w:rPr/>
              <w:t>extending the fixed maturity of the series of debt securities;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reducing the principal amount, reducing the rate of or extending the time of payment of interest, or any premium payable upon the redemption of any debt securities;</w:t>
            </w:r>
          </w:p>
        </w:tc>
      </w:tr>
    </w:tbl>
    <w:tbl>
      <w:tblPr>
        <w:tblW w:w="8778" w:type="dxa"/>
        <w:jc w:val="left"/>
        <w:tblInd w:w="0" w:type="dxa"/>
        <w:tblLayout w:type="fixed"/>
        <w:tblCellMar>
          <w:top w:w="0" w:type="dxa"/>
          <w:left w:w="0" w:type="dxa"/>
          <w:bottom w:w="0" w:type="dxa"/>
          <w:right w:w="0" w:type="dxa"/>
        </w:tblCellMar>
      </w:tblPr>
      <w:tblGrid>
        <w:gridCol w:w="38"/>
        <w:gridCol w:w="17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left"/>
              <w:rPr/>
            </w:pPr>
            <w:r>
              <w:rPr/>
              <w:t>reducing the principal amount of discount securities payable upon acceleration of maturity;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making the principal of or premium or interest on any debt security payable in currency other than that stated in the debt security; or</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reducing the percentage of debt securities, the holders of which are required to consent to any amendment or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for obligations to:</w:t>
      </w:r>
    </w:p>
    <w:p>
      <w:pPr>
        <w:pStyle w:val="TextBody"/>
        <w:bidi w:val="0"/>
        <w:spacing w:before="0" w:after="0"/>
        <w:ind w:left="0" w:right="0" w:hanging="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17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left"/>
              <w:rPr/>
            </w:pPr>
            <w:r>
              <w:rPr/>
              <w:t>the transfer or exchange of debt securities of the series;</w:t>
            </w:r>
          </w:p>
        </w:tc>
      </w:tr>
    </w:tbl>
    <w:tbl>
      <w:tblPr>
        <w:tblW w:w="5808" w:type="dxa"/>
        <w:jc w:val="left"/>
        <w:tblInd w:w="0" w:type="dxa"/>
        <w:tblLayout w:type="fixed"/>
        <w:tblCellMar>
          <w:top w:w="0" w:type="dxa"/>
          <w:left w:w="0" w:type="dxa"/>
          <w:bottom w:w="0" w:type="dxa"/>
          <w:right w:w="0" w:type="dxa"/>
        </w:tblCellMar>
      </w:tblPr>
      <w:tblGrid>
        <w:gridCol w:w="38"/>
        <w:gridCol w:w="17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left"/>
              <w:rPr/>
            </w:pPr>
            <w:r>
              <w:rPr/>
              <w:t>replace stolen, lost or mutilated debt securities of the series;</w:t>
            </w:r>
          </w:p>
        </w:tc>
      </w:tr>
    </w:tbl>
    <w:tbl>
      <w:tblPr>
        <w:tblW w:w="2688" w:type="dxa"/>
        <w:jc w:val="left"/>
        <w:tblInd w:w="0" w:type="dxa"/>
        <w:tblLayout w:type="fixed"/>
        <w:tblCellMar>
          <w:top w:w="0" w:type="dxa"/>
          <w:left w:w="0" w:type="dxa"/>
          <w:bottom w:w="0" w:type="dxa"/>
          <w:right w:w="0" w:type="dxa"/>
        </w:tblCellMar>
      </w:tblPr>
      <w:tblGrid>
        <w:gridCol w:w="38"/>
        <w:gridCol w:w="17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80" w:type="dxa"/>
            <w:tcBorders/>
            <w:vAlign w:val="center"/>
          </w:tcPr>
          <w:p>
            <w:pPr>
              <w:pStyle w:val="TableContents"/>
              <w:bidi w:val="0"/>
              <w:spacing w:before="0" w:after="283"/>
              <w:jc w:val="left"/>
              <w:rPr/>
            </w:pPr>
            <w:r>
              <w:rPr/>
              <w:t>maintain paying agencies;</w:t>
            </w:r>
          </w:p>
        </w:tc>
      </w:tr>
    </w:tbl>
    <w:tbl>
      <w:tblPr>
        <w:tblW w:w="3363" w:type="dxa"/>
        <w:jc w:val="left"/>
        <w:tblInd w:w="0" w:type="dxa"/>
        <w:tblLayout w:type="fixed"/>
        <w:tblCellMar>
          <w:top w:w="0" w:type="dxa"/>
          <w:left w:w="0" w:type="dxa"/>
          <w:bottom w:w="0" w:type="dxa"/>
          <w:right w:w="0" w:type="dxa"/>
        </w:tblCellMar>
      </w:tblPr>
      <w:tblGrid>
        <w:gridCol w:w="38"/>
        <w:gridCol w:w="17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left"/>
              <w:rPr/>
            </w:pPr>
            <w:r>
              <w:rPr/>
              <w:t>hold monies for payment in trust;</w:t>
            </w:r>
          </w:p>
        </w:tc>
      </w:tr>
    </w:tbl>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left"/>
              <w:rPr/>
            </w:pPr>
            <w:r>
              <w:rPr/>
              <w:t>compensate and indemnify the trustee; and</w:t>
            </w:r>
          </w:p>
        </w:tc>
      </w:tr>
    </w:tbl>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left"/>
              <w:rPr/>
            </w:pPr>
            <w:r>
              <w:rPr/>
              <w:t>appoint any successor trustee.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Concerning the Debenture Trustee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Subordination of Subordinated Debt Securities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8" w:name="m11"/>
      <w:bookmarkEnd w:id="28"/>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common shares, preferred shares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contain, where applicable, the following terms of and other information relating to the warrants:</w:t>
      </w:r>
    </w:p>
    <w:p>
      <w:pPr>
        <w:pStyle w:val="TextBody"/>
        <w:bidi w:val="0"/>
        <w:spacing w:before="0" w:after="0"/>
        <w:ind w:left="0" w:right="0" w:hanging="0"/>
        <w:jc w:val="left"/>
        <w:rPr>
          <w:caps w:val="false"/>
          <w:smallCaps w:val="false"/>
        </w:rPr>
      </w:pPr>
      <w:r>
        <w:rPr>
          <w:caps w:val="false"/>
          <w:smallCaps w:val="false"/>
        </w:rPr>
        <w:t> </w:t>
      </w:r>
    </w:p>
    <w:tbl>
      <w:tblPr>
        <w:tblW w:w="9693" w:type="dxa"/>
        <w:jc w:val="left"/>
        <w:tblInd w:w="0" w:type="dxa"/>
        <w:shd w:fill="FFFFFF" w:val="clear"/>
        <w:tblLayout w:type="fixed"/>
        <w:tblCellMar>
          <w:top w:w="0" w:type="dxa"/>
          <w:left w:w="0" w:type="dxa"/>
          <w:bottom w:w="0" w:type="dxa"/>
          <w:right w:w="0" w:type="dxa"/>
        </w:tblCellMar>
      </w:tblPr>
      <w:tblGrid>
        <w:gridCol w:w="38"/>
        <w:gridCol w:w="170"/>
        <w:gridCol w:w="948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485" w:type="dxa"/>
            <w:tcBorders/>
            <w:shd w:fill="FFFFFF" w:val="clear"/>
            <w:vAlign w:val="center"/>
          </w:tcPr>
          <w:p>
            <w:pPr>
              <w:pStyle w:val="TableContents"/>
              <w:bidi w:val="0"/>
              <w:spacing w:before="0" w:after="283"/>
              <w:jc w:val="left"/>
              <w:rPr/>
            </w:pPr>
            <w:r>
              <w:rPr/>
              <w:t>the specific designation and aggregate number of, and the price at which we will issue, the warrants;</w:t>
            </w:r>
          </w:p>
        </w:tc>
      </w:tr>
    </w:tbl>
    <w:tbl>
      <w:tblPr>
        <w:tblW w:w="9648" w:type="dxa"/>
        <w:jc w:val="left"/>
        <w:tblInd w:w="0" w:type="dxa"/>
        <w:shd w:fill="FFFFFF" w:val="clear"/>
        <w:tblLayout w:type="fixed"/>
        <w:tblCellMar>
          <w:top w:w="0" w:type="dxa"/>
          <w:left w:w="0" w:type="dxa"/>
          <w:bottom w:w="0" w:type="dxa"/>
          <w:right w:w="0" w:type="dxa"/>
        </w:tblCellMar>
      </w:tblPr>
      <w:tblGrid>
        <w:gridCol w:w="38"/>
        <w:gridCol w:w="170"/>
        <w:gridCol w:w="944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440" w:type="dxa"/>
            <w:tcBorders/>
            <w:shd w:fill="FFFFFF" w:val="clear"/>
            <w:vAlign w:val="center"/>
          </w:tcPr>
          <w:p>
            <w:pPr>
              <w:pStyle w:val="TableContents"/>
              <w:bidi w:val="0"/>
              <w:spacing w:before="0" w:after="283"/>
              <w:jc w:val="left"/>
              <w:rPr/>
            </w:pPr>
            <w:r>
              <w:rPr/>
              <w:t>the currency or currency units in which the offering price, if any, and the exercise price are payable;</w:t>
            </w:r>
          </w:p>
        </w:tc>
      </w:tr>
    </w:tbl>
    <w:tbl>
      <w:tblPr>
        <w:tblW w:w="9078" w:type="dxa"/>
        <w:jc w:val="left"/>
        <w:tblInd w:w="0" w:type="dxa"/>
        <w:shd w:fill="FFFFFF" w:val="clear"/>
        <w:tblLayout w:type="fixed"/>
        <w:tblCellMar>
          <w:top w:w="0" w:type="dxa"/>
          <w:left w:w="0" w:type="dxa"/>
          <w:bottom w:w="0" w:type="dxa"/>
          <w:right w:w="0" w:type="dxa"/>
        </w:tblCellMar>
      </w:tblPr>
      <w:tblGrid>
        <w:gridCol w:w="38"/>
        <w:gridCol w:w="170"/>
        <w:gridCol w:w="887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8870" w:type="dxa"/>
            <w:tcBorders/>
            <w:shd w:fill="FFFFFF" w:val="clear"/>
            <w:vAlign w:val="center"/>
          </w:tcPr>
          <w:p>
            <w:pPr>
              <w:pStyle w:val="TableContents"/>
              <w:bidi w:val="0"/>
              <w:spacing w:before="0" w:after="283"/>
              <w:jc w:val="left"/>
              <w:rPr/>
            </w:pPr>
            <w:r>
              <w:rPr/>
              <w:t>the designation, amount and terms of the securities purchasable upon exercise of the warrants;</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both"/>
              <w:rPr/>
            </w:pPr>
            <w:r>
              <w:rPr/>
              <w:t>if applicable, the exercise price for our common shares and the number of our common shares to be received upon exercise of the warrants;</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both"/>
              <w:rPr/>
            </w:pPr>
            <w:r>
              <w:rPr/>
              <w:t>if applicable, the exercise price for our preferred shares, the number of preferred shares to be received upon exercise, and a description of that series of our preferred shares;</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both"/>
              <w:rPr/>
            </w:pPr>
            <w:r>
              <w:rPr/>
              <w:t>if applicable, the exercise price for our debt securities, the amount of debt securities to be received upon exercise, and a description of that series of debt securities;</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both"/>
              <w:rPr/>
            </w:pPr>
            <w:r>
              <w:rPr/>
              <w:t>the date on which the right to exercise the warrants will begin and the date on which that right will expire or, if you may not continuously exercise the warrants throughout that period, the specific date or dates on which you may exercise the warrants;</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both"/>
              <w:rPr/>
            </w:pPr>
            <w:r>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tc>
      </w:tr>
    </w:tbl>
    <w:tbl>
      <w:tblPr>
        <w:tblW w:w="6138" w:type="dxa"/>
        <w:jc w:val="left"/>
        <w:tblInd w:w="0" w:type="dxa"/>
        <w:shd w:fill="FFFFFF" w:val="clear"/>
        <w:tblLayout w:type="fixed"/>
        <w:tblCellMar>
          <w:top w:w="0" w:type="dxa"/>
          <w:left w:w="0" w:type="dxa"/>
          <w:bottom w:w="0" w:type="dxa"/>
          <w:right w:w="0" w:type="dxa"/>
        </w:tblCellMar>
      </w:tblPr>
      <w:tblGrid>
        <w:gridCol w:w="38"/>
        <w:gridCol w:w="170"/>
        <w:gridCol w:w="593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5930" w:type="dxa"/>
            <w:tcBorders/>
            <w:shd w:fill="FFFFFF" w:val="clear"/>
            <w:vAlign w:val="center"/>
          </w:tcPr>
          <w:p>
            <w:pPr>
              <w:pStyle w:val="TableContents"/>
              <w:bidi w:val="0"/>
              <w:spacing w:before="0" w:after="283"/>
              <w:jc w:val="left"/>
              <w:rPr/>
            </w:pPr>
            <w:r>
              <w:rPr/>
              <w:t>any applicable material U.S. federal income tax consequences;</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both"/>
              <w:rPr/>
            </w:pPr>
            <w:r>
              <w:rPr/>
              <w:t>the identity of the warrant agent for the warrants and of any other depositaries, execution or paying agents, transfer agents, registrars or other agents;</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both"/>
              <w:rPr/>
            </w:pPr>
            <w:r>
              <w:rPr/>
              <w:t>the proposed listing, if any, of the warrants or any securities purchasable upon exercise of the warrants on any securities exchange;</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both"/>
              <w:rPr/>
            </w:pPr>
            <w:r>
              <w:rPr/>
              <w:t>if applicable, the date from and after which the warrants and the common shares, preferred shares and/or debt securities will be separately transferable;</w:t>
            </w:r>
          </w:p>
        </w:tc>
      </w:tr>
    </w:tbl>
    <w:tbl>
      <w:tblPr>
        <w:tblW w:w="9918" w:type="dxa"/>
        <w:jc w:val="left"/>
        <w:tblInd w:w="0" w:type="dxa"/>
        <w:shd w:fill="FFFFFF" w:val="clear"/>
        <w:tblLayout w:type="fixed"/>
        <w:tblCellMar>
          <w:top w:w="0" w:type="dxa"/>
          <w:left w:w="0" w:type="dxa"/>
          <w:bottom w:w="0" w:type="dxa"/>
          <w:right w:w="0" w:type="dxa"/>
        </w:tblCellMar>
      </w:tblPr>
      <w:tblGrid>
        <w:gridCol w:w="38"/>
        <w:gridCol w:w="170"/>
        <w:gridCol w:w="971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710" w:type="dxa"/>
            <w:tcBorders/>
            <w:shd w:fill="FFFFFF" w:val="clear"/>
            <w:vAlign w:val="center"/>
          </w:tcPr>
          <w:p>
            <w:pPr>
              <w:pStyle w:val="TableContents"/>
              <w:bidi w:val="0"/>
              <w:spacing w:before="0" w:after="283"/>
              <w:jc w:val="left"/>
              <w:rPr/>
            </w:pPr>
            <w:r>
              <w:rPr/>
              <w:t>if applicable, the minimum or maximum amount of the warrants that may be exercised at any one time;</w:t>
            </w:r>
          </w:p>
        </w:tc>
      </w:tr>
    </w:tbl>
    <w:tbl>
      <w:tblPr>
        <w:tblW w:w="5688" w:type="dxa"/>
        <w:jc w:val="left"/>
        <w:tblInd w:w="0" w:type="dxa"/>
        <w:shd w:fill="FFFFFF" w:val="clear"/>
        <w:tblLayout w:type="fixed"/>
        <w:tblCellMar>
          <w:top w:w="0" w:type="dxa"/>
          <w:left w:w="0" w:type="dxa"/>
          <w:bottom w:w="0" w:type="dxa"/>
          <w:right w:w="0" w:type="dxa"/>
        </w:tblCellMar>
      </w:tblPr>
      <w:tblGrid>
        <w:gridCol w:w="38"/>
        <w:gridCol w:w="170"/>
        <w:gridCol w:w="548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5480" w:type="dxa"/>
            <w:tcBorders/>
            <w:shd w:fill="FFFFFF" w:val="clear"/>
            <w:vAlign w:val="center"/>
          </w:tcPr>
          <w:p>
            <w:pPr>
              <w:pStyle w:val="TableContents"/>
              <w:bidi w:val="0"/>
              <w:spacing w:before="0" w:after="283"/>
              <w:jc w:val="left"/>
              <w:rPr/>
            </w:pPr>
            <w:r>
              <w:rPr/>
              <w:t>information with respect to book-entry procedures, if any;</w:t>
            </w:r>
          </w:p>
        </w:tc>
      </w:tr>
    </w:tbl>
    <w:tbl>
      <w:tblPr>
        <w:tblW w:w="4953" w:type="dxa"/>
        <w:jc w:val="left"/>
        <w:tblInd w:w="0" w:type="dxa"/>
        <w:shd w:fill="FFFFFF" w:val="clear"/>
        <w:tblLayout w:type="fixed"/>
        <w:tblCellMar>
          <w:top w:w="0" w:type="dxa"/>
          <w:left w:w="0" w:type="dxa"/>
          <w:bottom w:w="0" w:type="dxa"/>
          <w:right w:w="0" w:type="dxa"/>
        </w:tblCellMar>
      </w:tblPr>
      <w:tblGrid>
        <w:gridCol w:w="38"/>
        <w:gridCol w:w="170"/>
        <w:gridCol w:w="474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4745" w:type="dxa"/>
            <w:tcBorders/>
            <w:shd w:fill="FFFFFF" w:val="clear"/>
            <w:vAlign w:val="center"/>
          </w:tcPr>
          <w:p>
            <w:pPr>
              <w:pStyle w:val="TableContents"/>
              <w:bidi w:val="0"/>
              <w:spacing w:before="0" w:after="283"/>
              <w:jc w:val="left"/>
              <w:rPr/>
            </w:pPr>
            <w:r>
              <w:rPr/>
              <w:t>the anti-dilution provisions of the warrants, if any;</w:t>
            </w:r>
          </w:p>
        </w:tc>
      </w:tr>
    </w:tbl>
    <w:tbl>
      <w:tblPr>
        <w:tblW w:w="3453" w:type="dxa"/>
        <w:jc w:val="left"/>
        <w:tblInd w:w="0" w:type="dxa"/>
        <w:shd w:fill="FFFFFF" w:val="clear"/>
        <w:tblLayout w:type="fixed"/>
        <w:tblCellMar>
          <w:top w:w="0" w:type="dxa"/>
          <w:left w:w="0" w:type="dxa"/>
          <w:bottom w:w="0" w:type="dxa"/>
          <w:right w:w="0" w:type="dxa"/>
        </w:tblCellMar>
      </w:tblPr>
      <w:tblGrid>
        <w:gridCol w:w="38"/>
        <w:gridCol w:w="170"/>
        <w:gridCol w:w="324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3245" w:type="dxa"/>
            <w:tcBorders/>
            <w:shd w:fill="FFFFFF" w:val="clear"/>
            <w:vAlign w:val="center"/>
          </w:tcPr>
          <w:p>
            <w:pPr>
              <w:pStyle w:val="TableContents"/>
              <w:bidi w:val="0"/>
              <w:spacing w:before="0" w:after="283"/>
              <w:jc w:val="left"/>
              <w:rPr/>
            </w:pPr>
            <w:r>
              <w:rPr/>
              <w:t>any redemption or call provisions;</w:t>
            </w:r>
          </w:p>
        </w:tc>
      </w:tr>
    </w:tbl>
    <w:tbl>
      <w:tblPr>
        <w:tblW w:w="8223" w:type="dxa"/>
        <w:jc w:val="left"/>
        <w:tblInd w:w="0" w:type="dxa"/>
        <w:shd w:fill="FFFFFF" w:val="clear"/>
        <w:tblLayout w:type="fixed"/>
        <w:tblCellMar>
          <w:top w:w="0" w:type="dxa"/>
          <w:left w:w="0" w:type="dxa"/>
          <w:bottom w:w="0" w:type="dxa"/>
          <w:right w:w="0" w:type="dxa"/>
        </w:tblCellMar>
      </w:tblPr>
      <w:tblGrid>
        <w:gridCol w:w="38"/>
        <w:gridCol w:w="170"/>
        <w:gridCol w:w="801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8015" w:type="dxa"/>
            <w:tcBorders/>
            <w:shd w:fill="FFFFFF" w:val="clear"/>
            <w:vAlign w:val="center"/>
          </w:tcPr>
          <w:p>
            <w:pPr>
              <w:pStyle w:val="TableContents"/>
              <w:bidi w:val="0"/>
              <w:spacing w:before="0" w:after="283"/>
              <w:jc w:val="left"/>
              <w:rPr/>
            </w:pPr>
            <w:r>
              <w:rPr/>
              <w:t>whether the warrants may be sold separately or with other securities as parts of units;</w:t>
            </w:r>
          </w:p>
        </w:tc>
      </w:tr>
    </w:tbl>
    <w:tbl>
      <w:tblPr>
        <w:tblW w:w="3888" w:type="dxa"/>
        <w:jc w:val="left"/>
        <w:tblInd w:w="0" w:type="dxa"/>
        <w:shd w:fill="FFFFFF" w:val="clear"/>
        <w:tblLayout w:type="fixed"/>
        <w:tblCellMar>
          <w:top w:w="0" w:type="dxa"/>
          <w:left w:w="0" w:type="dxa"/>
          <w:bottom w:w="0" w:type="dxa"/>
          <w:right w:w="0" w:type="dxa"/>
        </w:tblCellMar>
      </w:tblPr>
      <w:tblGrid>
        <w:gridCol w:w="38"/>
        <w:gridCol w:w="170"/>
        <w:gridCol w:w="368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3680" w:type="dxa"/>
            <w:tcBorders/>
            <w:shd w:fill="FFFFFF" w:val="clear"/>
            <w:vAlign w:val="center"/>
          </w:tcPr>
          <w:p>
            <w:pPr>
              <w:pStyle w:val="TableContents"/>
              <w:bidi w:val="0"/>
              <w:spacing w:before="0" w:after="283"/>
              <w:jc w:val="left"/>
              <w:rPr/>
            </w:pPr>
            <w:r>
              <w:rPr/>
              <w:t>the governing law of the warrants; and</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left"/>
              <w:rPr/>
            </w:pPr>
            <w:r>
              <w:rPr/>
              <w:t>any additional terms of the warrants, including terms, procedures and limitations relating to the exchange and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any warrants we offer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2022, there were an aggregate of 15,000,000 outstanding public warrants held of record by one holder,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we may call the warrants for redemption:</w:t>
      </w:r>
    </w:p>
    <w:p>
      <w:pPr>
        <w:pStyle w:val="TextBody"/>
        <w:bidi w:val="0"/>
        <w:spacing w:before="0" w:after="0"/>
        <w:ind w:left="0" w:right="0" w:hanging="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left"/>
              <w:rPr/>
            </w:pPr>
            <w:r>
              <w:rPr/>
              <w:t>in whole and not in part;</w:t>
            </w:r>
          </w:p>
        </w:tc>
      </w:tr>
    </w:tbl>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left"/>
              <w:rPr/>
            </w:pPr>
            <w:r>
              <w:rPr/>
              <w:t>at a price of $0.01 per warrant;</w:t>
            </w:r>
          </w:p>
        </w:tc>
      </w:tr>
    </w:tbl>
    <w:tbl>
      <w:tblPr>
        <w:tblW w:w="8703" w:type="dxa"/>
        <w:jc w:val="left"/>
        <w:tblInd w:w="0" w:type="dxa"/>
        <w:tblLayout w:type="fixed"/>
        <w:tblCellMar>
          <w:top w:w="0" w:type="dxa"/>
          <w:left w:w="0" w:type="dxa"/>
          <w:bottom w:w="0" w:type="dxa"/>
          <w:right w:w="0" w:type="dxa"/>
        </w:tblCellMar>
      </w:tblPr>
      <w:tblGrid>
        <w:gridCol w:w="38"/>
        <w:gridCol w:w="17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left"/>
              <w:rPr/>
            </w:pPr>
            <w:r>
              <w:rPr/>
              <w:t>upon not less than 30 days’ prior written notice of redemption to each warrant holder;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the warrants become redeemable by us, we may exercise our redemption right even if we are unable to register or qualify the underlying securities for sale under all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Procedures and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permitted transferees of Sustainable Opportunities Holdings LLC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Anti-dilution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holders do not have the rights or privileges of holders of Common Shares and any voting rights until they exercise their warrants and receive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for our public warrants is Continental Stock Transfer &amp;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public warrants are listed for trading on the Nasdaq Global Select Market under the symbol “TMCWW”.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2022, there were 9,500,000 private placement warrants outstanding held of record by 32 holders.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SOAC or its permitted transferees. SOAC,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SOAC or its permitted transferees, the private placement warrants will be redeemable by us and exercisable by the holders on the same basis as the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Allseas Warrant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2021, DeepGreen issued a warrant to Allseas Group S.A., or the Allseas Warrant, which shall vest upon successful completion of a prescribed project, referred to as the PMTS, and become exercisable for a maximum of 11,578,620 Common Shares (as it may be adjusted based on the formula described therein) at a purchase price of $0.01 per share. A maximum of 11.6 million warrants to purchase common shares will vest if the PMTS is completed by September 30, 2023, gradually decreasing to 5.8 million warrants to purchase Common Shares if PMTS is completed after September 30, 2025.  The Allseas Warrant shall vest only upon (and not before) the successful completion of PMTS and will expire on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9" w:name="m12"/>
      <w:bookmarkEnd w:id="29"/>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summarizes the material terms and provisions of the units that we may offer under this prospectus. While the terms summarized below will apply generally to any units that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debt securities, common shares, preferred shares, or warrants, for the purchase of common shares and/or preferred shares in one or more series,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being offered,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pPr>
            <w:r>
              <w:rPr/>
              <w:t>●</w:t>
            </w:r>
          </w:p>
        </w:tc>
        <w:tc>
          <w:tcPr>
            <w:tcW w:w="9997" w:type="dxa"/>
            <w:tcBorders/>
            <w:shd w:fill="FFFFFF" w:val="clear"/>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bl>
    <w:tbl>
      <w:tblPr>
        <w:tblW w:w="8403" w:type="dxa"/>
        <w:jc w:val="left"/>
        <w:tblInd w:w="0" w:type="dxa"/>
        <w:shd w:fill="FFFFFF" w:val="clear"/>
        <w:tblLayout w:type="fixed"/>
        <w:tblCellMar>
          <w:top w:w="0" w:type="dxa"/>
          <w:left w:w="0" w:type="dxa"/>
          <w:bottom w:w="0" w:type="dxa"/>
          <w:right w:w="0" w:type="dxa"/>
        </w:tblCellMar>
      </w:tblPr>
      <w:tblGrid>
        <w:gridCol w:w="38"/>
        <w:gridCol w:w="170"/>
        <w:gridCol w:w="819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pPr>
            <w:r>
              <w:rPr/>
              <w:t>●</w:t>
            </w:r>
          </w:p>
        </w:tc>
        <w:tc>
          <w:tcPr>
            <w:tcW w:w="8195" w:type="dxa"/>
            <w:tcBorders/>
            <w:shd w:fill="FFFFFF" w:val="clear"/>
            <w:vAlign w:val="center"/>
          </w:tcPr>
          <w:p>
            <w:pPr>
              <w:pStyle w:val="TableContents"/>
              <w:bidi w:val="0"/>
              <w:spacing w:before="0" w:after="283"/>
              <w:jc w:val="both"/>
              <w:rPr/>
            </w:pPr>
            <w:r>
              <w:rPr/>
              <w:t>any provisions of the governing unit agreement that differ from those described below;</w:t>
            </w:r>
          </w:p>
        </w:tc>
      </w:tr>
    </w:tbl>
    <w:tbl>
      <w:tblPr>
        <w:tblW w:w="4473" w:type="dxa"/>
        <w:jc w:val="left"/>
        <w:tblInd w:w="0" w:type="dxa"/>
        <w:shd w:fill="FFFFFF" w:val="clear"/>
        <w:tblLayout w:type="fixed"/>
        <w:tblCellMar>
          <w:top w:w="0" w:type="dxa"/>
          <w:left w:w="0" w:type="dxa"/>
          <w:bottom w:w="0" w:type="dxa"/>
          <w:right w:w="0" w:type="dxa"/>
        </w:tblCellMar>
      </w:tblPr>
      <w:tblGrid>
        <w:gridCol w:w="38"/>
        <w:gridCol w:w="170"/>
        <w:gridCol w:w="426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pPr>
            <w:r>
              <w:rPr/>
              <w:t>●</w:t>
            </w:r>
          </w:p>
        </w:tc>
        <w:tc>
          <w:tcPr>
            <w:tcW w:w="4265" w:type="dxa"/>
            <w:tcBorders/>
            <w:shd w:fill="FFFFFF" w:val="clear"/>
            <w:vAlign w:val="center"/>
          </w:tcPr>
          <w:p>
            <w:pPr>
              <w:pStyle w:val="TableContents"/>
              <w:bidi w:val="0"/>
              <w:spacing w:before="0" w:after="283"/>
              <w:jc w:val="both"/>
              <w:rPr/>
            </w:pPr>
            <w:r>
              <w:rPr/>
              <w:t>the governing law of the unit agreement; and</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pPr>
            <w:r>
              <w:rPr/>
              <w:t>●</w:t>
            </w:r>
          </w:p>
        </w:tc>
        <w:tc>
          <w:tcPr>
            <w:tcW w:w="9997" w:type="dxa"/>
            <w:tcBorders/>
            <w:shd w:fill="FFFFFF" w:val="clear"/>
            <w:vAlign w:val="center"/>
          </w:tcPr>
          <w:p>
            <w:pPr>
              <w:pStyle w:val="TableContents"/>
              <w:bidi w:val="0"/>
              <w:spacing w:before="0" w:after="283"/>
              <w:jc w:val="both"/>
              <w:rPr/>
            </w:pPr>
            <w:r>
              <w:rPr/>
              <w:t>any provisions for the issuance, payment, settlement, transfer or exchange of the units or of the securities comprising the units.</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such numbers of distinct series as we determine.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Common Shares and Special Shares,” “Description of Preferred Shares,” “Description of Debt Securities” and “Description of Warrants” will apply to each unit, as applicable, and to any common share, preferred share or warrant included in each unit, as applicable.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address of the unit agent for any units we offer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m13"/>
      <w:bookmarkEnd w:id="30"/>
      <w:r>
        <w:rPr>
          <w:rFonts w:ascii="Times New Roman;Times;Serif" w:hAnsi="Times New Roman;Times;Serif"/>
          <w:b/>
          <w:i w:val="false"/>
          <w:caps w:val="false"/>
          <w:smallCaps w:val="false"/>
          <w:sz w:val="20"/>
        </w:rPr>
        <w:t>CERTAIN IMPORTANT PROVISIONS OF THE NOTICE OF ARTICLES AND ARTICLES AND THE BCBCA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Stated Objects or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articles and articles do not contain stated objects or purposes and do not place any limitations on the business that we may carry 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vote on matters in which a director is materially interested. Under the BCBCA, a director or senior officer of a 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 (iv) 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power to determine the remuneration of directors. The remuneration of our directors, if any, may be determined by our directors subject to our Articles. The remuneration may be in addition to any salary or other remuneration paid to any of our employees (including executive officers) who are also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required to be owned by a director. Our Articles do not and the BCBCA does not provide that a director is required to hold any of Common Shares as a qualification for holding his or her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 and Advance Notice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advance notice provisions with respect to the election of our directors are included in the notice of articles and articles, referred to herein as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referred to herein as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could have the effect of delaying until the next shareholder meeting the nomination of certain persons for director that are favored by the holders of a majority of our outstanding voting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Forum Selection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articles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of articles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of articles and articles provides that the federal district courts of the United States of America, to the fullest extent permitted by law, are the sole and exclusive forum for resolving any complaint asserting a cause of action arising under the Securities Act, referred to herein as the Federal Forum Provision. Application of the Federal Forum Provision means that suits brought by our shareholders to enforce any duty or liability created by the Securities Act must be brought in federal court and cannot be brought in state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of articles and articles to be inapplicable or unenforceable in an action, we may incur additional costs associated with resolving such action in other jurisdictions, which could harm our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of Liability and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or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or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expenses is prohibited by the BCBCA.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m14"/>
      <w:bookmarkEnd w:id="31"/>
      <w:r>
        <w:rPr>
          <w:rFonts w:ascii="Times New Roman;Times;Serif" w:hAnsi="Times New Roman;Times;Serif"/>
          <w:b/>
          <w:i w:val="false"/>
          <w:caps w:val="false"/>
          <w:smallCaps w:val="false"/>
          <w:sz w:val="20"/>
        </w:rPr>
        <w:t>OWNERSHIP AND EXCHANGE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limitation imposed by Canadian law or by the notice of articles and articles on the right of a non-resident to hold or vote Common Shares, other than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the ability to acquire and hold Common Shares may be imposed by the Competition Act (Canada). This legislation permits the Commissioner of Competition, or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Canada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Canada Act requires each “non Canadian” (as defined in the Investment Canada Act) who acquires “control” of an existing “Canadian business,” to file a notification in prescribed form with the responsible federal government department or departments not later than 30 days after closing, provided the acquisition of control is not a reviewable transaction under the Investment Canada Act. Subject to certain exemptions, a transaction that is reviewable under the Investment Canada Act may not be implemented until an application for review has been filed and the responsible Minister of the federal cabinet has determined that the investment is likely to be of “net benefit to Canada” taking into account certain factors set out in the Investment Canada Act. Under the Investment Canada Act, an investment in Common Shares by a non-Canadian who is an investor originating from a country with which Canada has a free trade agreement, including a United States investor, and is not a state-owned enterprise, would be reviewable only if it were an investment to acquire control of us pursuant to the Investment Canada Act and our enterprise value (as determined pursuant to the Investment Canada Act and its regulations) was equal to or greater than the amount specified, which is currently CAD$1.711 billion. For most other investors who are not state-owned enterprises the threshold is currently CAD$1.141 billion for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Canada Act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national-security-review regime in the Investment Canada Act,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transactions relating to Common Shares will generally be exempt from the Investment Canada Act, subject to the federal government’s prerogative to conduct a national-security review,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acquisition of Common Shares by a person in the ordinary course of that person’s business as a trader or dealer in securities;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acquisition of control of us in connection with the realization of security granted for a loan or other financial assistance and not for any purpose related to the provisions of the Investment Canada Act;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acquisition of control of us by reason of an amalgamation, merger, consolidation or corporate reorganization following which the ultimate direct or indirect control in fact of us, through ownership of Common Shares, remains unchanged.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shd w:fill="FFFFFF" w:val="clear"/>
        </w:rPr>
      </w:pPr>
      <w:bookmarkStart w:id="32" w:name="m15"/>
      <w:bookmarkEnd w:id="32"/>
      <w:r>
        <w:rPr>
          <w:rFonts w:ascii="Times New Roman;Times;Serif" w:hAnsi="Times New Roman;Times;Serif"/>
          <w:b/>
          <w:i w:val="false"/>
          <w:caps/>
          <w:sz w:val="20"/>
          <w:shd w:fill="FFFFFF" w:val="clear"/>
        </w:rPr>
        <w:t>MATERIAL 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material U.S. federal income tax considerations applicable to you if you are a U.S. Holder (as defined below) of our Common Shares and/or public warrants. This discussion addresses only those U.S. Holders that hold our Common Shares and/or public warrants as capital assets within the meaning of Section 1221 of the Internal Revenue Code of 1986, as amended, or the Code (generally property held for investment). This summary does not discuss all aspects of U.S. federal income taxation that may be relevant to particular investors in light of their particular circumstances, or to investors subject to special tax rules, such as:</w:t>
      </w:r>
    </w:p>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75"/>
        <w:gridCol w:w="170"/>
        <w:gridCol w:w="17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institutions;</w:t>
            </w:r>
          </w:p>
        </w:tc>
      </w:tr>
    </w:tbl>
    <w:tbl>
      <w:tblPr>
        <w:tblW w:w="2035" w:type="dxa"/>
        <w:jc w:val="left"/>
        <w:tblInd w:w="0" w:type="dxa"/>
        <w:tblLayout w:type="fixed"/>
        <w:tblCellMar>
          <w:top w:w="0" w:type="dxa"/>
          <w:left w:w="0" w:type="dxa"/>
          <w:bottom w:w="0" w:type="dxa"/>
          <w:right w:w="0" w:type="dxa"/>
        </w:tblCellMar>
      </w:tblPr>
      <w:tblGrid>
        <w:gridCol w:w="75"/>
        <w:gridCol w:w="170"/>
        <w:gridCol w:w="17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bl>
    <w:tbl>
      <w:tblPr>
        <w:tblW w:w="1405" w:type="dxa"/>
        <w:jc w:val="left"/>
        <w:tblInd w:w="0" w:type="dxa"/>
        <w:tblLayout w:type="fixed"/>
        <w:tblCellMar>
          <w:top w:w="0" w:type="dxa"/>
          <w:left w:w="0" w:type="dxa"/>
          <w:bottom w:w="0" w:type="dxa"/>
          <w:right w:w="0" w:type="dxa"/>
        </w:tblCellMar>
      </w:tblPr>
      <w:tblGrid>
        <w:gridCol w:w="75"/>
        <w:gridCol w:w="170"/>
        <w:gridCol w:w="11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mutual funds;</w:t>
            </w:r>
          </w:p>
        </w:tc>
      </w:tr>
    </w:tbl>
    <w:tbl>
      <w:tblPr>
        <w:tblW w:w="1465" w:type="dxa"/>
        <w:jc w:val="left"/>
        <w:tblInd w:w="0" w:type="dxa"/>
        <w:tblLayout w:type="fixed"/>
        <w:tblCellMar>
          <w:top w:w="0" w:type="dxa"/>
          <w:left w:w="0" w:type="dxa"/>
          <w:bottom w:w="0" w:type="dxa"/>
          <w:right w:w="0" w:type="dxa"/>
        </w:tblCellMar>
      </w:tblPr>
      <w:tblGrid>
        <w:gridCol w:w="75"/>
        <w:gridCol w:w="170"/>
        <w:gridCol w:w="12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pension plans;</w:t>
            </w:r>
          </w:p>
        </w:tc>
      </w:tr>
    </w:tbl>
    <w:tbl>
      <w:tblPr>
        <w:tblW w:w="1510" w:type="dxa"/>
        <w:jc w:val="left"/>
        <w:tblInd w:w="0" w:type="dxa"/>
        <w:tblLayout w:type="fixed"/>
        <w:tblCellMar>
          <w:top w:w="0" w:type="dxa"/>
          <w:left w:w="0" w:type="dxa"/>
          <w:bottom w:w="0" w:type="dxa"/>
          <w:right w:w="0" w:type="dxa"/>
        </w:tblCellMar>
      </w:tblPr>
      <w:tblGrid>
        <w:gridCol w:w="75"/>
        <w:gridCol w:w="170"/>
        <w:gridCol w:w="12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corporations;</w:t>
            </w:r>
          </w:p>
        </w:tc>
      </w:tr>
    </w:tbl>
    <w:tbl>
      <w:tblPr>
        <w:tblW w:w="1495" w:type="dxa"/>
        <w:jc w:val="left"/>
        <w:tblInd w:w="0" w:type="dxa"/>
        <w:tblLayout w:type="fixed"/>
        <w:tblCellMar>
          <w:top w:w="0" w:type="dxa"/>
          <w:left w:w="0" w:type="dxa"/>
          <w:bottom w:w="0" w:type="dxa"/>
          <w:right w:w="0" w:type="dxa"/>
        </w:tblCellMar>
      </w:tblPr>
      <w:tblGrid>
        <w:gridCol w:w="75"/>
        <w:gridCol w:w="170"/>
        <w:gridCol w:w="12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w:t>
            </w:r>
          </w:p>
        </w:tc>
      </w:tr>
    </w:tbl>
    <w:tbl>
      <w:tblPr>
        <w:tblW w:w="4795" w:type="dxa"/>
        <w:jc w:val="left"/>
        <w:tblInd w:w="0" w:type="dxa"/>
        <w:tblLayout w:type="fixed"/>
        <w:tblCellMar>
          <w:top w:w="0" w:type="dxa"/>
          <w:left w:w="0" w:type="dxa"/>
          <w:bottom w:w="0" w:type="dxa"/>
          <w:right w:w="0" w:type="dxa"/>
        </w:tblCellMar>
      </w:tblPr>
      <w:tblGrid>
        <w:gridCol w:w="75"/>
        <w:gridCol w:w="170"/>
        <w:gridCol w:w="45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traders in securities that elect mark-to-market treatment;</w:t>
            </w:r>
          </w:p>
        </w:tc>
      </w:tr>
    </w:tbl>
    <w:tbl>
      <w:tblPr>
        <w:tblW w:w="2965" w:type="dxa"/>
        <w:jc w:val="left"/>
        <w:tblInd w:w="0" w:type="dxa"/>
        <w:tblLayout w:type="fixed"/>
        <w:tblCellMar>
          <w:top w:w="0" w:type="dxa"/>
          <w:left w:w="0" w:type="dxa"/>
          <w:bottom w:w="0" w:type="dxa"/>
          <w:right w:w="0" w:type="dxa"/>
        </w:tblCellMar>
      </w:tblPr>
      <w:tblGrid>
        <w:gridCol w:w="75"/>
        <w:gridCol w:w="170"/>
        <w:gridCol w:w="27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tbl>
      <w:tblPr>
        <w:tblW w:w="2575" w:type="dxa"/>
        <w:jc w:val="left"/>
        <w:tblInd w:w="0" w:type="dxa"/>
        <w:tblLayout w:type="fixed"/>
        <w:tblCellMar>
          <w:top w:w="0" w:type="dxa"/>
          <w:left w:w="0" w:type="dxa"/>
          <w:bottom w:w="0" w:type="dxa"/>
          <w:right w:w="0" w:type="dxa"/>
        </w:tblCellMar>
      </w:tblPr>
      <w:tblGrid>
        <w:gridCol w:w="75"/>
        <w:gridCol w:w="170"/>
        <w:gridCol w:w="23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bl>
    <w:tbl>
      <w:tblPr>
        <w:tblW w:w="1705" w:type="dxa"/>
        <w:jc w:val="left"/>
        <w:tblInd w:w="0" w:type="dxa"/>
        <w:tblLayout w:type="fixed"/>
        <w:tblCellMar>
          <w:top w:w="0" w:type="dxa"/>
          <w:left w:w="0" w:type="dxa"/>
          <w:bottom w:w="0" w:type="dxa"/>
          <w:right w:w="0" w:type="dxa"/>
        </w:tblCellMar>
      </w:tblPr>
      <w:tblGrid>
        <w:gridCol w:w="75"/>
        <w:gridCol w:w="170"/>
        <w:gridCol w:w="14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1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trusts and estates;</w:t>
            </w:r>
          </w:p>
        </w:tc>
      </w:tr>
    </w:tbl>
    <w:tbl>
      <w:tblPr>
        <w:tblW w:w="5005" w:type="dxa"/>
        <w:jc w:val="left"/>
        <w:tblInd w:w="0" w:type="dxa"/>
        <w:tblLayout w:type="fixed"/>
        <w:tblCellMar>
          <w:top w:w="0" w:type="dxa"/>
          <w:left w:w="0" w:type="dxa"/>
          <w:bottom w:w="0" w:type="dxa"/>
          <w:right w:w="0" w:type="dxa"/>
        </w:tblCellMar>
      </w:tblPr>
      <w:tblGrid>
        <w:gridCol w:w="75"/>
        <w:gridCol w:w="170"/>
        <w:gridCol w:w="47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organizations (including private foundations);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investors that hold our Common Shares or </w:t>
            </w:r>
            <w:r>
              <w:rPr/>
              <w:t>public warrants as part of a “straddle,” “hedge,” “conversion,” “synthetic security,” “constructive ownership transaction,” “constructive sale” or other integrated transaction for U.S. federal income tax purposes;</w:t>
            </w:r>
          </w:p>
        </w:tc>
      </w:tr>
    </w:tbl>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investors subject to the alternative minimum tax provisions of the Code;</w:t>
            </w:r>
          </w:p>
        </w:tc>
      </w:tr>
    </w:tbl>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Holders that have a functional currency other than the U.S. dollar;</w:t>
            </w:r>
          </w:p>
        </w:tc>
      </w:tr>
    </w:tbl>
    <w:tbl>
      <w:tblPr>
        <w:tblW w:w="5620" w:type="dxa"/>
        <w:jc w:val="left"/>
        <w:tblInd w:w="0" w:type="dxa"/>
        <w:tblLayout w:type="fixed"/>
        <w:tblCellMar>
          <w:top w:w="0" w:type="dxa"/>
          <w:left w:w="0" w:type="dxa"/>
          <w:bottom w:w="0" w:type="dxa"/>
          <w:right w:w="0" w:type="dxa"/>
        </w:tblCellMar>
      </w:tblPr>
      <w:tblGrid>
        <w:gridCol w:w="75"/>
        <w:gridCol w:w="170"/>
        <w:gridCol w:w="53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expatriates or former long-term residents of the United States;</w:t>
            </w:r>
          </w:p>
        </w:tc>
      </w:tr>
    </w:tbl>
    <w:tbl>
      <w:tblPr>
        <w:tblW w:w="4015" w:type="dxa"/>
        <w:jc w:val="left"/>
        <w:tblInd w:w="0" w:type="dxa"/>
        <w:tblLayout w:type="fixed"/>
        <w:tblCellMar>
          <w:top w:w="0" w:type="dxa"/>
          <w:left w:w="0" w:type="dxa"/>
          <w:bottom w:w="0" w:type="dxa"/>
          <w:right w:w="0" w:type="dxa"/>
        </w:tblCellMar>
      </w:tblPr>
      <w:tblGrid>
        <w:gridCol w:w="75"/>
        <w:gridCol w:w="170"/>
        <w:gridCol w:w="37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investors subject to the U.S. “inversion” rules;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Holders owning or considered as owning (directly, indirectly, or through attribution) 5% (measured by vote or value) or more of our Common Shares;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persons that acquired our Common Shares or </w:t>
            </w:r>
            <w:r>
              <w:rPr/>
              <w:t>public warrants pursuant to an exercise of employee share options, in connection with employee share incentive plans or otherwise as compensation as compensation;</w:t>
            </w:r>
          </w:p>
        </w:tc>
      </w:tr>
    </w:tbl>
    <w:tbl>
      <w:tblPr>
        <w:tblW w:w="2875" w:type="dxa"/>
        <w:jc w:val="left"/>
        <w:tblInd w:w="0" w:type="dxa"/>
        <w:tblLayout w:type="fixed"/>
        <w:tblCellMar>
          <w:top w:w="0" w:type="dxa"/>
          <w:left w:w="0" w:type="dxa"/>
          <w:bottom w:w="0" w:type="dxa"/>
          <w:right w:w="0" w:type="dxa"/>
        </w:tblCellMar>
      </w:tblPr>
      <w:tblGrid>
        <w:gridCol w:w="75"/>
        <w:gridCol w:w="170"/>
        <w:gridCol w:w="26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controlled foreign corporations;</w:t>
            </w:r>
          </w:p>
        </w:tc>
      </w:tr>
    </w:tbl>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accrual method taxpayers that file applicable financial statements as described in Section 451(b) of the Code;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passive foreign investment companies (except to the limited extent provided herein);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 are not U.S. Holders, all of whom may be subject to tax rules that differ materially from those summarized below.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Common Shares or public warrants, as the case may be, that is:</w:t>
      </w:r>
    </w:p>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75"/>
        <w:gridCol w:w="170"/>
        <w:gridCol w:w="5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U.S. citizen or resident of the United States;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(including an entity treated as a corporation for U.S. federal income tax purposes) created or organized in or under the laws of the United States, any state thereof or the District of Columbia;</w:t>
            </w:r>
          </w:p>
        </w:tc>
      </w:tr>
    </w:tbl>
    <w:tbl>
      <w:tblPr>
        <w:tblW w:w="10165" w:type="dxa"/>
        <w:jc w:val="left"/>
        <w:tblInd w:w="0" w:type="dxa"/>
        <w:tblLayout w:type="fixed"/>
        <w:tblCellMar>
          <w:top w:w="0" w:type="dxa"/>
          <w:left w:w="0" w:type="dxa"/>
          <w:bottom w:w="0" w:type="dxa"/>
          <w:right w:w="0" w:type="dxa"/>
        </w:tblCellMar>
      </w:tblPr>
      <w:tblGrid>
        <w:gridCol w:w="75"/>
        <w:gridCol w:w="170"/>
        <w:gridCol w:w="9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includible in gross income for U.S. federal income tax purposes regardless of its source; or</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of Ownership and Disposition of Common Shares and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 and Other Distributions on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PFIC rules discussed below under the heading “-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xml:space="preserve">,” distributions on Common Shares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Times;Serif" w:hAnsi="Times New Roman;Times;Serif"/>
          <w:b w:val="false"/>
          <w:i/>
          <w:caps w:val="false"/>
          <w:smallCaps w:val="false"/>
          <w:sz w:val="20"/>
        </w:rPr>
        <w:t>Tax Consequences of Ownership and Disposition of Common Shares and Public Warrants - Sale, Taxable Exchange or Other Taxable Disposition of Common Shares and Public Warrants.</w:t>
      </w:r>
      <w:r>
        <w:rPr>
          <w:rFonts w:ascii="Times New Roman;Times;Serif" w:hAnsi="Times New Roman;Times;Serif"/>
          <w:b w:val="false"/>
          <w:i w:val="false"/>
          <w:caps w:val="false"/>
          <w:smallCaps w:val="false"/>
          <w:sz w:val="20"/>
        </w:rPr>
        <w:t>” The amount of any such distribution will include any amounts withheld by us (or another applicable withholding agent) in respect of Canadian income taxes. Any amount treated as dividend income will be treated as foreign-source dividend income. Amounts treated as dividends that the Company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Taxable Exchange or Other Taxable Disposition of Common Shares and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PFIC rules discussed below under the heading “-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in “</w:t>
      </w:r>
      <w:r>
        <w:rPr>
          <w:rFonts w:ascii="Times New Roman;Times;Serif" w:hAnsi="Times New Roman;Times;Serif"/>
          <w:b w:val="false"/>
          <w:i/>
          <w:caps w:val="false"/>
          <w:smallCaps w:val="false"/>
          <w:sz w:val="20"/>
        </w:rPr>
        <w:t>- Tax Consequences of Ownership and Disposition of Common Shares and Public Warrants - Exercise or Lapse of a Public Warrant</w:t>
      </w:r>
      <w:r>
        <w:rPr>
          <w:rFonts w:ascii="Times New Roman;Times;Serif" w:hAnsi="Times New Roman;Times;Serif"/>
          <w:b w:val="false"/>
          <w:i w:val="false"/>
          <w:caps w:val="false"/>
          <w:smallCaps w:val="false"/>
          <w:sz w:val="20"/>
        </w:rPr>
        <w:t>”). Any such gain or loss generally will be capital gain or loss and will be long-term capital gain or loss if the U.S. Holder’s holding period for such Common Shares exceeds one (1) year. Long-term capital gain realized by a non-corporate U.S. Holder generally will be taxable at a reduced rate. The deduction of capital losses is subject to limitations. This gain or loss generally will be treated as U.S. source gain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or Lapse of a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Common Shares received would equal the sum of the U.S. Holder’s tax basis in the public warrants exercised, and the exercise price of such public warrants. It is unclear whether a U.S. Holder’s holding period for the shares of Common Shares would commence on the date of exercise of the public warrant or the day following the date of exercise of the public warrant; in either case, the holding period will not include the period during which the U.S. Holder held the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redeems public warrants for cash or if the Company purchases public warrants in an open market transaction, such redemption or purchase generally will be treated as a taxable disposition to the U.S. Holder, taxed as described above under “- </w:t>
      </w:r>
      <w:r>
        <w:rPr>
          <w:rFonts w:ascii="Times New Roman;Times;Serif" w:hAnsi="Times New Roman;Times;Serif"/>
          <w:b w:val="false"/>
          <w:i/>
          <w:caps w:val="false"/>
          <w:smallCaps w:val="false"/>
          <w:sz w:val="20"/>
        </w:rPr>
        <w:t>Tax Consequences of Ownership and Disposition of Common Shares and Public Warrants - Sale, Taxable Exchange or Other Taxable Disposition of Common Shares and Public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 to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Times New Roman;Times;Serif" w:hAnsi="Times New Roman;Times;Serif"/>
          <w:b w:val="false"/>
          <w:i/>
          <w:caps w:val="false"/>
          <w:smallCaps w:val="false"/>
          <w:sz w:val="20"/>
        </w:rPr>
        <w:t>Tax Consequences of Ownership and Disposition of Common Shares and Public Warrants - Dividends and Other Distributions on Common Shares</w:t>
      </w:r>
      <w:r>
        <w:rPr>
          <w:rFonts w:ascii="Times New Roman;Times;Serif" w:hAnsi="Times New Roman;Times;Serif"/>
          <w:b w:val="false"/>
          <w:i w:val="false"/>
          <w:caps w:val="false"/>
          <w:smallCaps w:val="false"/>
          <w:sz w:val="20"/>
        </w:rPr>
        <w:t>”). The rules governing constructive distributions as a result of certain adjustments with respect to a public warrant are complex, and U.S. Holders are urged to consult their tax advisors on the tax consequences any such constructive distribution with respect to a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treatment of U.S. Holders of Common Shares and public warrants could be materially different from that described above if the Company is treated as a PFIC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initial assessment, we do not believe that the Company was classified as a PFIC for U.S. federal income tax purposes for the taxable year ending December 31, 2021.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 Holder’s gain or excess distribution will be allocated ratably over the U.S. Holder’s holding period for the Common Shares;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amount allocated to the U.S. Holder’s taxable year in which the U.S. Holder recognized the gain or received the excess distribution, and to any period in the U.S. Holder’s holding period before the first day of </w:t>
            </w:r>
            <w:r>
              <w:rPr/>
              <w:t>the Company’s first taxable year in which the Company is a PFIC, will be taxed as ordinary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allocated to other taxable years (or portions thereof) of the U.S. Holder and included in its holding period will be taxed at the highest tax rate in effect for that year and applicable to the U.S. Holder;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additional tax equal to the interest charge generally applicable to underpayments of tax will be imposed on the U.S. Holder with respect to the tax attributable to each such other taxable year of the U.S.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PFIC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PFIC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backup withholding from a payment to a U.S. Holder will be allowed as a credit against the holder’s U.S. federal income tax liability and may entitle it to a refund, provided that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shd w:fill="FFFFFF" w:val="clear"/>
        </w:rPr>
      </w:pPr>
      <w:bookmarkStart w:id="33" w:name="m16"/>
      <w:bookmarkEnd w:id="33"/>
      <w:r>
        <w:rPr>
          <w:rFonts w:ascii="Times New Roman;Times;Serif" w:hAnsi="Times New Roman;Times;Serif"/>
          <w:b/>
          <w:i w:val="false"/>
          <w:caps/>
          <w:sz w:val="20"/>
          <w:shd w:fill="FFFFFF" w:val="clear"/>
        </w:rPr>
        <w:t>MATERIAL CANADIAN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as of the date of this prospectus, a summary of the principal Canadian federal income tax considerations pursuant to the </w:t>
      </w:r>
      <w:r>
        <w:rPr>
          <w:rFonts w:ascii="Times New Roman;Times;Serif" w:hAnsi="Times New Roman;Times;Serif"/>
          <w:b w:val="false"/>
          <w:i/>
          <w:caps w:val="false"/>
          <w:smallCaps w:val="false"/>
          <w:sz w:val="20"/>
        </w:rPr>
        <w:t xml:space="preserve">Income Tax Act </w:t>
      </w:r>
      <w:r>
        <w:rPr>
          <w:rFonts w:ascii="Times New Roman;Times;Serif" w:hAnsi="Times New Roman;Times;Serif"/>
          <w:b w:val="false"/>
          <w:i w:val="false"/>
          <w:caps w:val="false"/>
          <w:smallCaps w:val="false"/>
          <w:sz w:val="20"/>
        </w:rPr>
        <w:t>(Canada) and the regulations thereunder, (the “Tax Act”) that generally apply to the acquisition, holding or disposition of Common Shares and public warrants by a person who is neither resident nor deemed to be resident in Canada for purposes of the Tax Act and acquires a beneficial interest in Common Shares or public warrants, (a “Non-Resident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applies only to a Non-Resident Holder who, at all relevant times, for purposes of the Tax Act:</w:t>
      </w:r>
    </w:p>
    <w:p>
      <w:pPr>
        <w:pStyle w:val="TextBody"/>
        <w:bidi w:val="0"/>
        <w:spacing w:before="0" w:after="0"/>
        <w:ind w:left="0" w:right="0" w:hanging="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75"/>
        <w:gridCol w:w="170"/>
        <w:gridCol w:w="5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left"/>
              <w:rPr/>
            </w:pPr>
            <w:r>
              <w:rPr>
                <w:rFonts w:ascii="Times New Roman;Times;Serif" w:hAnsi="Times New Roman;Times;Serif"/>
                <w:sz w:val="20"/>
              </w:rPr>
              <w:t xml:space="preserve">holds Common Shares or </w:t>
            </w:r>
            <w:r>
              <w:rPr/>
              <w:t>public warrants as capital property;</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rFonts w:ascii="Times New Roman;Times;Serif" w:hAnsi="Times New Roman;Times;Serif"/>
                <w:sz w:val="20"/>
              </w:rPr>
              <w:t xml:space="preserve">does not, and is not deemed to, use or hold Common Shares or </w:t>
            </w:r>
            <w:r>
              <w:rPr/>
              <w:t>public warrants in the course of carrying on a business in Canada; and</w:t>
            </w:r>
          </w:p>
        </w:tc>
      </w:tr>
    </w:tbl>
    <w:tbl>
      <w:tblPr>
        <w:tblW w:w="4240" w:type="dxa"/>
        <w:jc w:val="left"/>
        <w:tblInd w:w="0" w:type="dxa"/>
        <w:tblLayout w:type="fixed"/>
        <w:tblCellMar>
          <w:top w:w="0" w:type="dxa"/>
          <w:left w:w="0" w:type="dxa"/>
          <w:bottom w:w="0" w:type="dxa"/>
          <w:right w:w="0" w:type="dxa"/>
        </w:tblCellMar>
      </w:tblPr>
      <w:tblGrid>
        <w:gridCol w:w="75"/>
        <w:gridCol w:w="170"/>
        <w:gridCol w:w="39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deals at arm’s length and is not affiliated with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rules, which are not discussed in this summary, may apply to a Non-Resident Holder that is an insurer that carries on an insurance business in Canada and elsewhere.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on the current provisions of the Tax Act, all specific proposals to amend the Tax Act publicly announced by or on behalf of the Minister of Finance (Canada) prior to the date hereof (the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for the purposes of the Tax Act, all amounts relating to the acquisition, holding or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Cost base of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on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Dispositions of Common Shares and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are “taxable Canadian property” of the Non-Resident Holder for purposes of the Tax Act and the Non-Resident Holder is not entitled to relief under the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the Non-Resident Holder, (b) persons with whom the Non-Resident Holder does not deal with at arm’s length, (c) partnerships in which the Non-Resident Holder or a person described in (b) holds an interest directly or indirectly through one or more partnerships, or (d) any combination of (a) to (c), owned 25% or more of the issued shares of any class or series of our capital stock; and</w:t>
            </w:r>
          </w:p>
        </w:tc>
      </w:tr>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property in any of the foregoing whether or not the property exists.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m17"/>
      <w:bookmarkEnd w:id="34"/>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Fasken Martineau DuMoulin LLP, or Fasken, has passed upon the validity of the securities offered by this prospectus and certain other legal matters related to Canadian law. Mintz, Levin, Cohn, Ferris, Glovsky and Popeo, P.C., or Mintz, has passed upon the validity of certain other legal matters. Fasken and Mintz own 14,630 and 36,361 Common Shares,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m18"/>
      <w:bookmarkEnd w:id="35"/>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TMC the metals company Inc. as of December 31, 2021 and 2020 and for the years then ended have been incorporated by reference herein and in the registration statement in reliance on the report of Ernst &amp; Young LLP, independent registered public accounting firm, incorporated by reference herein, and upon the authority of said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m19"/>
      <w:bookmarkEnd w:id="3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S-3,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file annual, quarterly and current reports, proxy statements and other information with the SEC. Our SEC filings are available to the public on a website maintained by the SEC located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We also maintain a website at </w:t>
      </w:r>
      <w:r>
        <w:rPr>
          <w:rFonts w:ascii="Times New Roman;Times;Serif" w:hAnsi="Times New Roman;Times;Serif"/>
          <w:b w:val="false"/>
          <w:i/>
          <w:caps w:val="false"/>
          <w:smallCaps w:val="false"/>
          <w:sz w:val="20"/>
        </w:rPr>
        <w:t>www.metals.co</w:t>
      </w:r>
      <w:r>
        <w:rPr>
          <w:rFonts w:ascii="Times New Roman;Times;Serif" w:hAnsi="Times New Roman;Times;Serif"/>
          <w:b w:val="false"/>
          <w:i w:val="false"/>
          <w:caps w:val="false"/>
          <w:smallCaps w:val="false"/>
          <w:sz w:val="20"/>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m20"/>
      <w:bookmarkEnd w:id="37"/>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hyperlink r:id="rId17">
              <w:r>
                <w:rPr>
                  <w:rStyle w:val="InternetLink"/>
                </w:rPr>
                <w:t>our Annual Report on Form 10-K for the fiscal year ended December 31, 2021 that we filed with the SEC on March 25, 2022;</w:t>
              </w:r>
            </w:hyperlink>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Quarterly Reports on Form 10-Q for the quarters ended March 31, 2022 and June 30, 2022 that we filed with the SEC on </w:t>
            </w:r>
            <w:hyperlink r:id="rId18">
              <w:r>
                <w:rPr>
                  <w:rStyle w:val="InternetLink"/>
                </w:rPr>
                <w:t>May 9, 2022</w:t>
              </w:r>
            </w:hyperlink>
            <w:r>
              <w:rPr/>
              <w:t xml:space="preserve"> and </w:t>
            </w:r>
            <w:hyperlink r:id="rId19">
              <w:r>
                <w:rPr>
                  <w:rStyle w:val="InternetLink"/>
                </w:rPr>
                <w:t>August 15, 2022</w:t>
              </w:r>
            </w:hyperlink>
            <w:r>
              <w:rPr/>
              <w: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Reports on Form 8-K and amendments thereto that we filed with the SEC on </w:t>
            </w:r>
            <w:hyperlink r:id="rId20">
              <w:r>
                <w:rPr>
                  <w:rStyle w:val="InternetLink"/>
                </w:rPr>
                <w:t>February 10, 2022</w:t>
              </w:r>
            </w:hyperlink>
            <w:r>
              <w:rPr/>
              <w:t xml:space="preserve">, </w:t>
            </w:r>
            <w:hyperlink r:id="rId21">
              <w:r>
                <w:rPr>
                  <w:rStyle w:val="InternetLink"/>
                </w:rPr>
                <w:t>March 17, 2022</w:t>
              </w:r>
            </w:hyperlink>
            <w:r>
              <w:rPr/>
              <w:t xml:space="preserve">, </w:t>
            </w:r>
            <w:hyperlink r:id="rId22">
              <w:r>
                <w:rPr>
                  <w:rStyle w:val="InternetLink"/>
                </w:rPr>
                <w:t>June 2, 2022</w:t>
              </w:r>
            </w:hyperlink>
            <w:r>
              <w:rPr/>
              <w:t xml:space="preserve">, </w:t>
            </w:r>
            <w:hyperlink r:id="rId23">
              <w:r>
                <w:rPr>
                  <w:rStyle w:val="InternetLink"/>
                </w:rPr>
                <w:t>August 15, 2022</w:t>
              </w:r>
            </w:hyperlink>
            <w:r>
              <w:rPr/>
              <w:t xml:space="preserve">, </w:t>
            </w:r>
            <w:hyperlink r:id="rId24">
              <w:r>
                <w:rPr>
                  <w:rStyle w:val="InternetLink"/>
                </w:rPr>
                <w:t>October 3, 2022</w:t>
              </w:r>
            </w:hyperlink>
            <w:r>
              <w:rPr/>
              <w:t xml:space="preserve"> and </w:t>
            </w:r>
            <w:hyperlink r:id="rId25">
              <w:r>
                <w:rPr>
                  <w:rStyle w:val="InternetLink"/>
                </w:rPr>
                <w:t>October 12, 2022</w:t>
              </w:r>
            </w:hyperlink>
            <w:r>
              <w:rPr/>
              <w:t xml:space="preserve"> (other than any portion of such filings that are furnished under applicable SEC rules rather than filed);</w:t>
            </w:r>
          </w:p>
        </w:tc>
      </w:tr>
    </w:tbl>
    <w:p>
      <w:pPr>
        <w:pStyle w:val="TextBody"/>
        <w:bidi w:val="0"/>
        <w:spacing w:before="0" w:after="0"/>
        <w:ind w:left="0" w:right="0" w:hanging="0"/>
        <w:jc w:val="center"/>
        <w:rPr>
          <w:sz w:val="20"/>
          <w:bdr w:val="single" w:sz="8" w:space="1" w:color="000000"/>
        </w:rPr>
      </w:pPr>
      <w:r>
        <w:rPr>
          <w:sz w:val="20"/>
          <w:bdr w:val="single" w:sz="8" w:space="1" w:color="000000"/>
        </w:rPr>
        <w:t>46 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hyperlink r:id="rId26">
              <w:r>
                <w:rPr>
                  <w:rStyle w:val="InternetLink"/>
                </w:rPr>
                <w:t>the description of our Common Shares contained in our Registration Statement on Form 8-A filed with the SEC on September 10, 2021, including any amendment or report filed for the purpose of updating such description; and</w:t>
              </w:r>
            </w:hyperlink>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all reports and other documents subsequently filed by us with the SEC (other than any portion of such filings that are furnished under applicable SEC rules rather than filed)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file number for each of the documents listed above is 001-39281.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orally or in writing, a copy of any or all of the documents incorporated herein by reference. These documents will be provided to you at no cost, by contacting: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 Howe Street, 10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British Columbia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V6C 2T5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 252-9333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also access these documents on our website, </w:t>
      </w:r>
      <w:r>
        <w:rPr>
          <w:rFonts w:ascii="Times New Roman;Times;Serif" w:hAnsi="Times New Roman;Times;Serif"/>
          <w:b w:val="false"/>
          <w:i/>
          <w:caps w:val="false"/>
          <w:smallCaps w:val="false"/>
          <w:sz w:val="20"/>
        </w:rPr>
        <w:t>www.metals.co</w:t>
      </w:r>
      <w:r>
        <w:rPr>
          <w:rFonts w:ascii="Times New Roman;Times;Serif" w:hAnsi="Times New Roman;Times;Serif"/>
          <w:b w:val="false"/>
          <w:i w:val="false"/>
          <w:caps w:val="false"/>
          <w:smallCaps w:val="false"/>
          <w:sz w:val="20"/>
        </w:rPr>
        <w:t>. The information contained on, or that can be accessed through, our website is not a part of this prospectus. We have included our website address in this prospectus solely as an inactive textual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86025" cy="923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7"/>
                    <a:stretch>
                      <a:fillRect/>
                    </a:stretch>
                  </pic:blipFill>
                  <pic:spPr bwMode="auto">
                    <a:xfrm>
                      <a:off x="0" y="0"/>
                      <a:ext cx="2486025" cy="9239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securities from time to time in one or more offerings of up to $100,000,000 in aggregate offering price. This prospectus describes the general terms of these securities and the general manner in which these securities will be offered by us.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and other options to purchase additional securities will be set forth in a prospectus supplement. The price to the public of such securities and the net proceeds that we expect to receive from such sale will also be set forth in a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on the Nasdaq Global Select Market under the symbol “TMC”. On November 29, 2023, the last reported sale price of our Common Shares was $1.22 per share. We also have warrants to purchase Common Shares listed on the Nasdaq Global Select Market under the symbol “TMCWW”. On November 29, 2023, the last reported sale price of these public warrants to purchase Common Shares was $0.16. The applicable prospectus supplement will contain information, where applicable, as to any other listing, if any, on The Nasdaq Stock Market or any securities market or other securities exchange of the securities covered by the prospectus supplement. Prospective purchasers of our securities are urged to obtain current information as to the market prices of our securities, where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“Risk Factors” on page 5 of this prospectus, included in any accompanying prospectus supplement and in the documents incorporated by reference in this prospectus for a discussion of the factors you should carefully consider before deciding to purchase these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December 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shd w:fill="CCEEFF" w:val="clear"/>
            <w:vAlign w:val="center"/>
          </w:tcPr>
          <w:p>
            <w:pPr>
              <w:pStyle w:val="TableContents"/>
              <w:bidi w:val="0"/>
              <w:spacing w:before="0" w:after="283"/>
              <w:jc w:val="left"/>
              <w:rPr/>
            </w:pPr>
            <w:hyperlink w:anchor="a_001">
              <w:r>
                <w:rPr>
                  <w:rStyle w:val="InternetLink"/>
                  <w:color w:val="0000EE"/>
                </w:rPr>
                <w:t>ABOUT THIS PROSPECTUS</w:t>
              </w:r>
            </w:hyperlink>
          </w:p>
        </w:tc>
        <w:tc>
          <w:tcPr>
            <w:tcW w:w="275" w:type="dxa"/>
            <w:tcBorders/>
            <w:shd w:fill="CCEEFF" w:val="clear"/>
            <w:vAlign w:val="center"/>
          </w:tcPr>
          <w:p>
            <w:pPr>
              <w:pStyle w:val="TableContents"/>
              <w:bidi w:val="0"/>
              <w:spacing w:before="0" w:after="283"/>
              <w:jc w:val="right"/>
              <w:rPr/>
            </w:pPr>
            <w:hyperlink w:anchor="a_001">
              <w:r>
                <w:rPr>
                  <w:rStyle w:val="InternetLink"/>
                </w:rPr>
                <w:t>1</w:t>
              </w:r>
            </w:hyperlink>
          </w:p>
        </w:tc>
      </w:tr>
      <w:tr>
        <w:trPr/>
        <w:tc>
          <w:tcPr>
            <w:tcW w:w="9930" w:type="dxa"/>
            <w:tcBorders/>
            <w:shd w:fill="FFFFFF" w:val="clear"/>
            <w:vAlign w:val="center"/>
          </w:tcPr>
          <w:p>
            <w:pPr>
              <w:pStyle w:val="TableContents"/>
              <w:bidi w:val="0"/>
              <w:spacing w:before="0" w:after="283"/>
              <w:jc w:val="left"/>
              <w:rPr/>
            </w:pPr>
            <w:hyperlink w:anchor="a_002">
              <w:r>
                <w:rPr>
                  <w:rStyle w:val="InternetLink"/>
                  <w:color w:val="0000EE"/>
                </w:rPr>
                <w:t>PROSPECTUS SUMMARY</w:t>
              </w:r>
            </w:hyperlink>
          </w:p>
        </w:tc>
        <w:tc>
          <w:tcPr>
            <w:tcW w:w="275" w:type="dxa"/>
            <w:tcBorders/>
            <w:shd w:fill="FFFFFF" w:val="clear"/>
            <w:vAlign w:val="center"/>
          </w:tcPr>
          <w:p>
            <w:pPr>
              <w:pStyle w:val="TableContents"/>
              <w:bidi w:val="0"/>
              <w:spacing w:before="0" w:after="283"/>
              <w:jc w:val="right"/>
              <w:rPr/>
            </w:pPr>
            <w:hyperlink w:anchor="a_002">
              <w:r>
                <w:rPr>
                  <w:rStyle w:val="InternetLink"/>
                </w:rPr>
                <w:t>2</w:t>
              </w:r>
            </w:hyperlink>
          </w:p>
        </w:tc>
      </w:tr>
      <w:tr>
        <w:trPr/>
        <w:tc>
          <w:tcPr>
            <w:tcW w:w="9930" w:type="dxa"/>
            <w:tcBorders/>
            <w:shd w:fill="CCEEFF" w:val="clear"/>
            <w:vAlign w:val="center"/>
          </w:tcPr>
          <w:p>
            <w:pPr>
              <w:pStyle w:val="TableContents"/>
              <w:bidi w:val="0"/>
              <w:spacing w:before="0" w:after="283"/>
              <w:jc w:val="left"/>
              <w:rPr/>
            </w:pPr>
            <w:hyperlink w:anchor="a_003">
              <w:r>
                <w:rPr>
                  <w:rStyle w:val="InternetLink"/>
                  <w:color w:val="0000EE"/>
                </w:rPr>
                <w:t>RISK FACTORS</w:t>
              </w:r>
            </w:hyperlink>
          </w:p>
        </w:tc>
        <w:tc>
          <w:tcPr>
            <w:tcW w:w="275" w:type="dxa"/>
            <w:tcBorders/>
            <w:shd w:fill="CCEEFF" w:val="clear"/>
            <w:vAlign w:val="center"/>
          </w:tcPr>
          <w:p>
            <w:pPr>
              <w:pStyle w:val="TableContents"/>
              <w:bidi w:val="0"/>
              <w:spacing w:before="0" w:after="283"/>
              <w:jc w:val="right"/>
              <w:rPr/>
            </w:pPr>
            <w:hyperlink w:anchor="a_003">
              <w:r>
                <w:rPr>
                  <w:rStyle w:val="InternetLink"/>
                </w:rPr>
                <w:t>5</w:t>
              </w:r>
            </w:hyperlink>
          </w:p>
        </w:tc>
      </w:tr>
      <w:tr>
        <w:trPr/>
        <w:tc>
          <w:tcPr>
            <w:tcW w:w="9930" w:type="dxa"/>
            <w:tcBorders/>
            <w:shd w:fill="FFFFFF" w:val="clear"/>
            <w:vAlign w:val="center"/>
          </w:tcPr>
          <w:p>
            <w:pPr>
              <w:pStyle w:val="TableContents"/>
              <w:bidi w:val="0"/>
              <w:spacing w:before="0" w:after="283"/>
              <w:jc w:val="left"/>
              <w:rPr/>
            </w:pPr>
            <w:hyperlink w:anchor="a_004">
              <w:r>
                <w:rPr>
                  <w:rStyle w:val="InternetLink"/>
                  <w:color w:val="0000EE"/>
                </w:rPr>
                <w:t>SPECIAL NOTE REGARDING FORWARD-LOOKING STATEMENTS</w:t>
              </w:r>
            </w:hyperlink>
          </w:p>
        </w:tc>
        <w:tc>
          <w:tcPr>
            <w:tcW w:w="275" w:type="dxa"/>
            <w:tcBorders/>
            <w:shd w:fill="FFFFFF" w:val="clear"/>
            <w:vAlign w:val="center"/>
          </w:tcPr>
          <w:p>
            <w:pPr>
              <w:pStyle w:val="TableContents"/>
              <w:bidi w:val="0"/>
              <w:spacing w:before="0" w:after="283"/>
              <w:jc w:val="right"/>
              <w:rPr/>
            </w:pPr>
            <w:hyperlink w:anchor="a_004">
              <w:r>
                <w:rPr>
                  <w:rStyle w:val="InternetLink"/>
                </w:rPr>
                <w:t>6</w:t>
              </w:r>
            </w:hyperlink>
          </w:p>
        </w:tc>
      </w:tr>
      <w:tr>
        <w:trPr/>
        <w:tc>
          <w:tcPr>
            <w:tcW w:w="9930" w:type="dxa"/>
            <w:tcBorders/>
            <w:shd w:fill="CCEEFF" w:val="clear"/>
            <w:vAlign w:val="center"/>
          </w:tcPr>
          <w:p>
            <w:pPr>
              <w:pStyle w:val="TableContents"/>
              <w:bidi w:val="0"/>
              <w:spacing w:before="0" w:after="283"/>
              <w:jc w:val="left"/>
              <w:rPr/>
            </w:pPr>
            <w:hyperlink w:anchor="a_005">
              <w:r>
                <w:rPr>
                  <w:rStyle w:val="InternetLink"/>
                  <w:color w:val="0000EE"/>
                </w:rPr>
                <w:t>USE OF PROCEEDS</w:t>
              </w:r>
            </w:hyperlink>
          </w:p>
        </w:tc>
        <w:tc>
          <w:tcPr>
            <w:tcW w:w="275" w:type="dxa"/>
            <w:tcBorders/>
            <w:shd w:fill="CCEEFF" w:val="clear"/>
            <w:vAlign w:val="center"/>
          </w:tcPr>
          <w:p>
            <w:pPr>
              <w:pStyle w:val="TableContents"/>
              <w:bidi w:val="0"/>
              <w:spacing w:before="0" w:after="283"/>
              <w:jc w:val="right"/>
              <w:rPr/>
            </w:pPr>
            <w:hyperlink w:anchor="a_005">
              <w:r>
                <w:rPr>
                  <w:rStyle w:val="InternetLink"/>
                </w:rPr>
                <w:t>8</w:t>
              </w:r>
            </w:hyperlink>
          </w:p>
        </w:tc>
      </w:tr>
      <w:tr>
        <w:trPr/>
        <w:tc>
          <w:tcPr>
            <w:tcW w:w="9930" w:type="dxa"/>
            <w:tcBorders/>
            <w:shd w:fill="FFFFFF" w:val="clear"/>
            <w:vAlign w:val="center"/>
          </w:tcPr>
          <w:p>
            <w:pPr>
              <w:pStyle w:val="TableContents"/>
              <w:bidi w:val="0"/>
              <w:spacing w:before="0" w:after="283"/>
              <w:jc w:val="left"/>
              <w:rPr/>
            </w:pPr>
            <w:hyperlink w:anchor="a_006">
              <w:r>
                <w:rPr>
                  <w:rStyle w:val="InternetLink"/>
                  <w:color w:val="0000EE"/>
                </w:rPr>
                <w:t>PLAN OF DISTRIBUTION</w:t>
              </w:r>
            </w:hyperlink>
          </w:p>
        </w:tc>
        <w:tc>
          <w:tcPr>
            <w:tcW w:w="275" w:type="dxa"/>
            <w:tcBorders/>
            <w:shd w:fill="FFFFFF" w:val="clear"/>
            <w:vAlign w:val="center"/>
          </w:tcPr>
          <w:p>
            <w:pPr>
              <w:pStyle w:val="TableContents"/>
              <w:bidi w:val="0"/>
              <w:spacing w:before="0" w:after="283"/>
              <w:jc w:val="right"/>
              <w:rPr/>
            </w:pPr>
            <w:hyperlink w:anchor="a_006">
              <w:r>
                <w:rPr>
                  <w:rStyle w:val="InternetLink"/>
                </w:rPr>
                <w:t>9</w:t>
              </w:r>
            </w:hyperlink>
          </w:p>
        </w:tc>
      </w:tr>
      <w:tr>
        <w:trPr/>
        <w:tc>
          <w:tcPr>
            <w:tcW w:w="9930" w:type="dxa"/>
            <w:tcBorders/>
            <w:shd w:fill="CCEEFF" w:val="clear"/>
            <w:vAlign w:val="center"/>
          </w:tcPr>
          <w:p>
            <w:pPr>
              <w:pStyle w:val="TableContents"/>
              <w:bidi w:val="0"/>
              <w:spacing w:before="0" w:after="283"/>
              <w:jc w:val="left"/>
              <w:rPr/>
            </w:pPr>
            <w:hyperlink w:anchor="a_007">
              <w:r>
                <w:rPr>
                  <w:rStyle w:val="InternetLink"/>
                  <w:color w:val="0000EE"/>
                </w:rPr>
                <w:t>DESCRIPTION OF COMMON SHARES AND SPECIAL SHARES</w:t>
              </w:r>
            </w:hyperlink>
          </w:p>
        </w:tc>
        <w:tc>
          <w:tcPr>
            <w:tcW w:w="275" w:type="dxa"/>
            <w:tcBorders/>
            <w:shd w:fill="CCEEFF" w:val="clear"/>
            <w:vAlign w:val="center"/>
          </w:tcPr>
          <w:p>
            <w:pPr>
              <w:pStyle w:val="TableContents"/>
              <w:bidi w:val="0"/>
              <w:spacing w:before="0" w:after="283"/>
              <w:jc w:val="right"/>
              <w:rPr/>
            </w:pPr>
            <w:hyperlink w:anchor="a_007">
              <w:r>
                <w:rPr>
                  <w:rStyle w:val="InternetLink"/>
                </w:rPr>
                <w:t>12</w:t>
              </w:r>
            </w:hyperlink>
          </w:p>
        </w:tc>
      </w:tr>
      <w:tr>
        <w:trPr/>
        <w:tc>
          <w:tcPr>
            <w:tcW w:w="9930" w:type="dxa"/>
            <w:tcBorders/>
            <w:shd w:fill="FFFFFF" w:val="clear"/>
            <w:vAlign w:val="center"/>
          </w:tcPr>
          <w:p>
            <w:pPr>
              <w:pStyle w:val="TableContents"/>
              <w:bidi w:val="0"/>
              <w:spacing w:before="0" w:after="283"/>
              <w:jc w:val="left"/>
              <w:rPr/>
            </w:pPr>
            <w:hyperlink w:anchor="a_008">
              <w:r>
                <w:rPr>
                  <w:rStyle w:val="InternetLink"/>
                  <w:color w:val="0000EE"/>
                </w:rPr>
                <w:t>DESCRIPTION OF PREFERRED SHARES</w:t>
              </w:r>
            </w:hyperlink>
          </w:p>
        </w:tc>
        <w:tc>
          <w:tcPr>
            <w:tcW w:w="275" w:type="dxa"/>
            <w:tcBorders/>
            <w:shd w:fill="FFFFFF" w:val="clear"/>
            <w:vAlign w:val="center"/>
          </w:tcPr>
          <w:p>
            <w:pPr>
              <w:pStyle w:val="TableContents"/>
              <w:bidi w:val="0"/>
              <w:spacing w:before="0" w:after="283"/>
              <w:jc w:val="right"/>
              <w:rPr/>
            </w:pPr>
            <w:hyperlink w:anchor="a_008">
              <w:r>
                <w:rPr>
                  <w:rStyle w:val="InternetLink"/>
                </w:rPr>
                <w:t>15</w:t>
              </w:r>
            </w:hyperlink>
          </w:p>
        </w:tc>
      </w:tr>
      <w:tr>
        <w:trPr/>
        <w:tc>
          <w:tcPr>
            <w:tcW w:w="9930" w:type="dxa"/>
            <w:tcBorders/>
            <w:shd w:fill="CCEEFF" w:val="clear"/>
            <w:vAlign w:val="center"/>
          </w:tcPr>
          <w:p>
            <w:pPr>
              <w:pStyle w:val="TableContents"/>
              <w:bidi w:val="0"/>
              <w:spacing w:before="0" w:after="283"/>
              <w:jc w:val="left"/>
              <w:rPr/>
            </w:pPr>
            <w:hyperlink w:anchor="a_009">
              <w:r>
                <w:rPr>
                  <w:rStyle w:val="InternetLink"/>
                  <w:color w:val="0000EE"/>
                </w:rPr>
                <w:t>DESCRIPTION OF DEBT SECURITIES</w:t>
              </w:r>
            </w:hyperlink>
          </w:p>
        </w:tc>
        <w:tc>
          <w:tcPr>
            <w:tcW w:w="275" w:type="dxa"/>
            <w:tcBorders/>
            <w:shd w:fill="CCEEFF" w:val="clear"/>
            <w:vAlign w:val="center"/>
          </w:tcPr>
          <w:p>
            <w:pPr>
              <w:pStyle w:val="TableContents"/>
              <w:bidi w:val="0"/>
              <w:spacing w:before="0" w:after="283"/>
              <w:jc w:val="right"/>
              <w:rPr/>
            </w:pPr>
            <w:hyperlink w:anchor="a_009">
              <w:r>
                <w:rPr>
                  <w:rStyle w:val="InternetLink"/>
                </w:rPr>
                <w:t>16</w:t>
              </w:r>
            </w:hyperlink>
          </w:p>
        </w:tc>
      </w:tr>
      <w:tr>
        <w:trPr/>
        <w:tc>
          <w:tcPr>
            <w:tcW w:w="9930" w:type="dxa"/>
            <w:tcBorders/>
            <w:shd w:fill="FFFFFF" w:val="clear"/>
            <w:vAlign w:val="center"/>
          </w:tcPr>
          <w:p>
            <w:pPr>
              <w:pStyle w:val="TableContents"/>
              <w:bidi w:val="0"/>
              <w:spacing w:before="0" w:after="283"/>
              <w:jc w:val="left"/>
              <w:rPr/>
            </w:pPr>
            <w:hyperlink w:anchor="a_010">
              <w:r>
                <w:rPr>
                  <w:rStyle w:val="InternetLink"/>
                  <w:color w:val="0000EE"/>
                </w:rPr>
                <w:t>DESCRIPTION OF WARRANTS</w:t>
              </w:r>
            </w:hyperlink>
          </w:p>
        </w:tc>
        <w:tc>
          <w:tcPr>
            <w:tcW w:w="275" w:type="dxa"/>
            <w:tcBorders/>
            <w:shd w:fill="FFFFFF" w:val="clear"/>
            <w:vAlign w:val="center"/>
          </w:tcPr>
          <w:p>
            <w:pPr>
              <w:pStyle w:val="TableContents"/>
              <w:bidi w:val="0"/>
              <w:spacing w:before="0" w:after="283"/>
              <w:jc w:val="right"/>
              <w:rPr/>
            </w:pPr>
            <w:hyperlink w:anchor="a_010">
              <w:r>
                <w:rPr>
                  <w:rStyle w:val="InternetLink"/>
                </w:rPr>
                <w:t>22</w:t>
              </w:r>
            </w:hyperlink>
          </w:p>
        </w:tc>
      </w:tr>
      <w:tr>
        <w:trPr/>
        <w:tc>
          <w:tcPr>
            <w:tcW w:w="9930" w:type="dxa"/>
            <w:tcBorders/>
            <w:shd w:fill="CCEEFF" w:val="clear"/>
            <w:vAlign w:val="center"/>
          </w:tcPr>
          <w:p>
            <w:pPr>
              <w:pStyle w:val="TableContents"/>
              <w:bidi w:val="0"/>
              <w:spacing w:before="0" w:after="283"/>
              <w:jc w:val="left"/>
              <w:rPr/>
            </w:pPr>
            <w:hyperlink w:anchor="a_011">
              <w:r>
                <w:rPr>
                  <w:rStyle w:val="InternetLink"/>
                  <w:color w:val="0000EE"/>
                </w:rPr>
                <w:t>DESCRIPTION OF UNITS</w:t>
              </w:r>
            </w:hyperlink>
          </w:p>
        </w:tc>
        <w:tc>
          <w:tcPr>
            <w:tcW w:w="275" w:type="dxa"/>
            <w:tcBorders/>
            <w:shd w:fill="CCEEFF" w:val="clear"/>
            <w:vAlign w:val="center"/>
          </w:tcPr>
          <w:p>
            <w:pPr>
              <w:pStyle w:val="TableContents"/>
              <w:bidi w:val="0"/>
              <w:spacing w:before="0" w:after="283"/>
              <w:jc w:val="right"/>
              <w:rPr/>
            </w:pPr>
            <w:hyperlink w:anchor="a_011">
              <w:r>
                <w:rPr>
                  <w:rStyle w:val="InternetLink"/>
                </w:rPr>
                <w:t>29</w:t>
              </w:r>
            </w:hyperlink>
          </w:p>
        </w:tc>
      </w:tr>
      <w:tr>
        <w:trPr/>
        <w:tc>
          <w:tcPr>
            <w:tcW w:w="9930" w:type="dxa"/>
            <w:tcBorders/>
            <w:shd w:fill="FFFFFF" w:val="clear"/>
            <w:vAlign w:val="center"/>
          </w:tcPr>
          <w:p>
            <w:pPr>
              <w:pStyle w:val="TableContents"/>
              <w:bidi w:val="0"/>
              <w:spacing w:before="0" w:after="283"/>
              <w:jc w:val="left"/>
              <w:rPr/>
            </w:pPr>
            <w:hyperlink w:anchor="a_012">
              <w:r>
                <w:rPr>
                  <w:rStyle w:val="InternetLink"/>
                  <w:color w:val="0000EE"/>
                </w:rPr>
                <w:t>CERTAIN IMPORTANT PROVISIONS OF THE NOTICE OF ARTICLES AND ARTICLES AND THE BCBCA</w:t>
              </w:r>
            </w:hyperlink>
          </w:p>
        </w:tc>
        <w:tc>
          <w:tcPr>
            <w:tcW w:w="275" w:type="dxa"/>
            <w:tcBorders/>
            <w:shd w:fill="FFFFFF" w:val="clear"/>
            <w:vAlign w:val="center"/>
          </w:tcPr>
          <w:p>
            <w:pPr>
              <w:pStyle w:val="TableContents"/>
              <w:bidi w:val="0"/>
              <w:spacing w:before="0" w:after="283"/>
              <w:jc w:val="right"/>
              <w:rPr/>
            </w:pPr>
            <w:hyperlink w:anchor="a_012">
              <w:r>
                <w:rPr>
                  <w:rStyle w:val="InternetLink"/>
                </w:rPr>
                <w:t>30</w:t>
              </w:r>
            </w:hyperlink>
          </w:p>
        </w:tc>
      </w:tr>
      <w:tr>
        <w:trPr/>
        <w:tc>
          <w:tcPr>
            <w:tcW w:w="9930" w:type="dxa"/>
            <w:tcBorders/>
            <w:shd w:fill="CCEEFF" w:val="clear"/>
            <w:vAlign w:val="center"/>
          </w:tcPr>
          <w:p>
            <w:pPr>
              <w:pStyle w:val="TableContents"/>
              <w:bidi w:val="0"/>
              <w:spacing w:before="0" w:after="283"/>
              <w:jc w:val="left"/>
              <w:rPr/>
            </w:pPr>
            <w:hyperlink w:anchor="a_013">
              <w:r>
                <w:rPr>
                  <w:rStyle w:val="InternetLink"/>
                  <w:color w:val="0000EE"/>
                </w:rPr>
                <w:t>OWNERSHIP AND EXCHANGE CONTROLS</w:t>
              </w:r>
            </w:hyperlink>
          </w:p>
        </w:tc>
        <w:tc>
          <w:tcPr>
            <w:tcW w:w="275" w:type="dxa"/>
            <w:tcBorders/>
            <w:shd w:fill="CCEEFF" w:val="clear"/>
            <w:vAlign w:val="center"/>
          </w:tcPr>
          <w:p>
            <w:pPr>
              <w:pStyle w:val="TableContents"/>
              <w:bidi w:val="0"/>
              <w:spacing w:before="0" w:after="283"/>
              <w:jc w:val="right"/>
              <w:rPr/>
            </w:pPr>
            <w:hyperlink w:anchor="a_013">
              <w:r>
                <w:rPr>
                  <w:rStyle w:val="InternetLink"/>
                </w:rPr>
                <w:t>33</w:t>
              </w:r>
            </w:hyperlink>
          </w:p>
        </w:tc>
      </w:tr>
      <w:tr>
        <w:trPr/>
        <w:tc>
          <w:tcPr>
            <w:tcW w:w="9930" w:type="dxa"/>
            <w:tcBorders/>
            <w:shd w:fill="FFFFFF" w:val="clear"/>
            <w:vAlign w:val="center"/>
          </w:tcPr>
          <w:p>
            <w:pPr>
              <w:pStyle w:val="TableContents"/>
              <w:bidi w:val="0"/>
              <w:spacing w:before="0" w:after="283"/>
              <w:jc w:val="left"/>
              <w:rPr/>
            </w:pPr>
            <w:hyperlink w:anchor="a_014">
              <w:r>
                <w:rPr>
                  <w:rStyle w:val="InternetLink"/>
                  <w:color w:val="0000EE"/>
                </w:rPr>
                <w:t>MATERIAL U.S. FEDERAL INCOME TAX CONSIDERATIONS</w:t>
              </w:r>
            </w:hyperlink>
          </w:p>
        </w:tc>
        <w:tc>
          <w:tcPr>
            <w:tcW w:w="275" w:type="dxa"/>
            <w:tcBorders/>
            <w:shd w:fill="FFFFFF" w:val="clear"/>
            <w:vAlign w:val="center"/>
          </w:tcPr>
          <w:p>
            <w:pPr>
              <w:pStyle w:val="TableContents"/>
              <w:bidi w:val="0"/>
              <w:spacing w:before="0" w:after="283"/>
              <w:jc w:val="right"/>
              <w:rPr/>
            </w:pPr>
            <w:hyperlink w:anchor="a_014">
              <w:r>
                <w:rPr>
                  <w:rStyle w:val="InternetLink"/>
                </w:rPr>
                <w:t>35</w:t>
              </w:r>
            </w:hyperlink>
          </w:p>
        </w:tc>
      </w:tr>
      <w:tr>
        <w:trPr/>
        <w:tc>
          <w:tcPr>
            <w:tcW w:w="9930" w:type="dxa"/>
            <w:tcBorders/>
            <w:shd w:fill="CCEEFF" w:val="clear"/>
            <w:vAlign w:val="center"/>
          </w:tcPr>
          <w:p>
            <w:pPr>
              <w:pStyle w:val="TableContents"/>
              <w:bidi w:val="0"/>
              <w:spacing w:before="0" w:after="283"/>
              <w:jc w:val="left"/>
              <w:rPr/>
            </w:pPr>
            <w:hyperlink w:anchor="a_015">
              <w:r>
                <w:rPr>
                  <w:rStyle w:val="InternetLink"/>
                  <w:color w:val="0000EE"/>
                </w:rPr>
                <w:t>MATERIAL CANADIAN FEDERAL INCOME TAX CONSIDERATIONS</w:t>
              </w:r>
            </w:hyperlink>
          </w:p>
        </w:tc>
        <w:tc>
          <w:tcPr>
            <w:tcW w:w="275" w:type="dxa"/>
            <w:tcBorders/>
            <w:shd w:fill="CCEEFF" w:val="clear"/>
            <w:vAlign w:val="center"/>
          </w:tcPr>
          <w:p>
            <w:pPr>
              <w:pStyle w:val="TableContents"/>
              <w:bidi w:val="0"/>
              <w:spacing w:before="0" w:after="283"/>
              <w:jc w:val="right"/>
              <w:rPr/>
            </w:pPr>
            <w:hyperlink w:anchor="a_015">
              <w:r>
                <w:rPr>
                  <w:rStyle w:val="InternetLink"/>
                </w:rPr>
                <w:t>42</w:t>
              </w:r>
            </w:hyperlink>
          </w:p>
        </w:tc>
      </w:tr>
      <w:tr>
        <w:trPr/>
        <w:tc>
          <w:tcPr>
            <w:tcW w:w="9930" w:type="dxa"/>
            <w:tcBorders/>
            <w:shd w:fill="FFFFFF" w:val="clear"/>
            <w:vAlign w:val="center"/>
          </w:tcPr>
          <w:p>
            <w:pPr>
              <w:pStyle w:val="TableContents"/>
              <w:bidi w:val="0"/>
              <w:spacing w:before="0" w:after="283"/>
              <w:jc w:val="left"/>
              <w:rPr/>
            </w:pPr>
            <w:hyperlink w:anchor="a_016">
              <w:r>
                <w:rPr>
                  <w:rStyle w:val="InternetLink"/>
                  <w:color w:val="0000EE"/>
                </w:rPr>
                <w:t>LEGAL MATTERS</w:t>
              </w:r>
            </w:hyperlink>
          </w:p>
        </w:tc>
        <w:tc>
          <w:tcPr>
            <w:tcW w:w="275" w:type="dxa"/>
            <w:tcBorders/>
            <w:shd w:fill="FFFFFF" w:val="clear"/>
            <w:vAlign w:val="center"/>
          </w:tcPr>
          <w:p>
            <w:pPr>
              <w:pStyle w:val="TableContents"/>
              <w:bidi w:val="0"/>
              <w:spacing w:before="0" w:after="283"/>
              <w:jc w:val="right"/>
              <w:rPr/>
            </w:pPr>
            <w:hyperlink w:anchor="a_016">
              <w:r>
                <w:rPr>
                  <w:rStyle w:val="InternetLink"/>
                </w:rPr>
                <w:t>44</w:t>
              </w:r>
            </w:hyperlink>
          </w:p>
        </w:tc>
      </w:tr>
      <w:tr>
        <w:trPr/>
        <w:tc>
          <w:tcPr>
            <w:tcW w:w="9930" w:type="dxa"/>
            <w:tcBorders/>
            <w:shd w:fill="CCEEFF" w:val="clear"/>
            <w:vAlign w:val="center"/>
          </w:tcPr>
          <w:p>
            <w:pPr>
              <w:pStyle w:val="TableContents"/>
              <w:bidi w:val="0"/>
              <w:spacing w:before="0" w:after="283"/>
              <w:jc w:val="left"/>
              <w:rPr/>
            </w:pPr>
            <w:hyperlink w:anchor="a_018">
              <w:r>
                <w:rPr>
                  <w:rStyle w:val="InternetLink"/>
                  <w:color w:val="0000EE"/>
                </w:rPr>
                <w:t>EXPERTS</w:t>
              </w:r>
            </w:hyperlink>
          </w:p>
        </w:tc>
        <w:tc>
          <w:tcPr>
            <w:tcW w:w="275" w:type="dxa"/>
            <w:tcBorders/>
            <w:shd w:fill="CCEEFF" w:val="clear"/>
            <w:vAlign w:val="center"/>
          </w:tcPr>
          <w:p>
            <w:pPr>
              <w:pStyle w:val="TableContents"/>
              <w:bidi w:val="0"/>
              <w:spacing w:before="0" w:after="283"/>
              <w:jc w:val="right"/>
              <w:rPr/>
            </w:pPr>
            <w:hyperlink w:anchor="a_018">
              <w:r>
                <w:rPr>
                  <w:rStyle w:val="InternetLink"/>
                </w:rPr>
                <w:t>44</w:t>
              </w:r>
            </w:hyperlink>
          </w:p>
        </w:tc>
      </w:tr>
      <w:tr>
        <w:trPr/>
        <w:tc>
          <w:tcPr>
            <w:tcW w:w="9930" w:type="dxa"/>
            <w:tcBorders/>
            <w:shd w:fill="FFFFFF" w:val="clear"/>
            <w:vAlign w:val="center"/>
          </w:tcPr>
          <w:p>
            <w:pPr>
              <w:pStyle w:val="TableContents"/>
              <w:bidi w:val="0"/>
              <w:spacing w:before="0" w:after="283"/>
              <w:jc w:val="left"/>
              <w:rPr/>
            </w:pPr>
            <w:hyperlink w:anchor="a_019">
              <w:r>
                <w:rPr>
                  <w:rStyle w:val="InternetLink"/>
                  <w:color w:val="0000EE"/>
                </w:rPr>
                <w:t>WHERE YOU CAN FIND MORE INFORMATION</w:t>
              </w:r>
            </w:hyperlink>
          </w:p>
        </w:tc>
        <w:tc>
          <w:tcPr>
            <w:tcW w:w="275" w:type="dxa"/>
            <w:tcBorders/>
            <w:shd w:fill="FFFFFF" w:val="clear"/>
            <w:vAlign w:val="center"/>
          </w:tcPr>
          <w:p>
            <w:pPr>
              <w:pStyle w:val="TableContents"/>
              <w:bidi w:val="0"/>
              <w:spacing w:before="0" w:after="283"/>
              <w:jc w:val="right"/>
              <w:rPr/>
            </w:pPr>
            <w:hyperlink w:anchor="a_019">
              <w:r>
                <w:rPr>
                  <w:rStyle w:val="InternetLink"/>
                </w:rPr>
                <w:t>44</w:t>
              </w:r>
            </w:hyperlink>
          </w:p>
        </w:tc>
      </w:tr>
      <w:tr>
        <w:trPr/>
        <w:tc>
          <w:tcPr>
            <w:tcW w:w="9930" w:type="dxa"/>
            <w:tcBorders/>
            <w:shd w:fill="CCEEFF" w:val="clear"/>
            <w:vAlign w:val="center"/>
          </w:tcPr>
          <w:p>
            <w:pPr>
              <w:pStyle w:val="TableContents"/>
              <w:bidi w:val="0"/>
              <w:spacing w:before="0" w:after="283"/>
              <w:jc w:val="left"/>
              <w:rPr/>
            </w:pPr>
            <w:hyperlink w:anchor="a_020">
              <w:r>
                <w:rPr>
                  <w:rStyle w:val="InternetLink"/>
                  <w:color w:val="0000EE"/>
                </w:rPr>
                <w:t>INCORPORATION OF DOCUMENTS BY REFERENCE</w:t>
              </w:r>
            </w:hyperlink>
          </w:p>
        </w:tc>
        <w:tc>
          <w:tcPr>
            <w:tcW w:w="275" w:type="dxa"/>
            <w:tcBorders/>
            <w:shd w:fill="CCEEFF" w:val="clear"/>
            <w:vAlign w:val="center"/>
          </w:tcPr>
          <w:p>
            <w:pPr>
              <w:pStyle w:val="TableContents"/>
              <w:bidi w:val="0"/>
              <w:spacing w:before="0" w:after="283"/>
              <w:jc w:val="right"/>
              <w:rPr/>
            </w:pPr>
            <w:hyperlink w:anchor="a_020">
              <w:r>
                <w:rPr>
                  <w:rStyle w:val="InternetLink"/>
                </w:rPr>
                <w:t>44</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a_001"/>
      <w:bookmarkEnd w:id="38"/>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or the SEC, using a shelf registration process. Using this process, we may, from time to time, sell any securities described in this prospectus in one or more offerings up to a total dollar amount of $100,000,000. This prospectus provides a general description of the securities we may offer. Each time we sell any securities under this prospectus, we will provide a prospectus supplement that will contain more specific information about the terms of the securities being offered and the specific manner in which they will be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consummate sales of our securities by us, unless it is accompanied by a prospectus supplement. To the extent there are inconsistencies between any prospectus supplement, this prospectus and any documents incorporated by reference, the document with the most recent date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“the Company,” “we,” “us,” “our” and similar terms refer to TMC the metals company Inc. and our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investors outside the United States</w:t>
      </w:r>
      <w:r>
        <w:rPr>
          <w:rFonts w:ascii="Times New Roman;Times;Serif" w:hAnsi="Times New Roman;Times;Serif"/>
          <w:b w:val="false"/>
          <w:i w:val="false"/>
          <w:caps w:val="false"/>
          <w:smallCaps w:val="false"/>
          <w:sz w:val="20"/>
        </w:rPr>
        <w:t>: We have not done anything that would permit these offerings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5" w:color="000000"/>
        </w:rPr>
      </w:pPr>
      <w:bookmarkStart w:id="39" w:name="a_002"/>
      <w:bookmarkEnd w:id="39"/>
      <w:r>
        <w:rPr>
          <w:rFonts w:ascii="Times New Roman;Times;Serif" w:hAnsi="Times New Roman;Times;Serif"/>
          <w:b/>
          <w:i w:val="false"/>
          <w:caps w:val="false"/>
          <w:smallCaps w:val="false"/>
          <w:sz w:val="20"/>
          <w:bdr w:val="single" w:sz="8" w:space="5" w:color="000000"/>
        </w:rPr>
        <w:t>PROSPECTUS SUMMARY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quarterly and other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About TMC the metals company Inc.</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deep-sea minerals exploration company focused on the collection, processing and refining of polymetallic nodules found on the seafloor in international waters of the Clarion Clipperton Zone, or the CCZ, about 1,300 nautical miles (1,500 miles or 2,400 kilometers) south-west of San Diego, California. 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These four metals contained in the polymetallic nodules are critical for the transition to low-carbon energy. Our resource definition work to date shows that nodules in our contract areas represent the world’s largest undeveloped resource of critical battery metals. If we are able to collect polymetallic nodules from the seafloor on a commercial scale, we plan to use such nodules to produce three types of metal products: (i) feedstock for battery cathode precursors (nickel and cobalt sulfates, or intermediary nickel-copper-cobalt matte, or nickel-copper-cobalt alloy) for electric vehicles, or EV, and renewable energy storage markets, (ii) copper cathode for EV wiring, clean energy transmission and other applications, and (iii) manganese silicate for manganese alloy production required for steel production. Our mission is to build a carefully managed, shared stock of metal, which we refer to as a metals commons, that can be used, recovered and reused for generations to come. Significant quantities of newly mined metal are required because existing metal stocks are insufficient to meet rapidly rising demand.</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Exploration and exploitation of seabed minerals in international waters is regulated by the International Seabed Authority, or the ISA, an intergovernmental organization established pursuant to the 1994 Agreement Relating to the Implementation of the United Nations Convention on the Law of the Sea, or UNCLOS. The ISA grants contracts to sovereign states or to private contractors who are sponsored by a sovereign state. The ISA requires that a contractor obtain and maintain sponsorship by a host nation that is a member of the ISA and signatory to UNCLOS, and that such nation maintains effective supervision and regulatory control over such sponsored contractor. The ISA has issued a total of 19 polymetallic nodule exploration contracts covering approximately 1.28 million km</w:t>
      </w:r>
      <w:r>
        <w:rPr>
          <w:rFonts w:ascii="Times New Roman;Times;Serif" w:hAnsi="Times New Roman;Times;Serif"/>
          <w:b w:val="false"/>
          <w:i w:val="false"/>
          <w:caps w:val="false"/>
          <w:smallCaps w:val="false"/>
          <w:position w:val="7"/>
          <w:sz w:val="16"/>
          <w:sz w:val="20"/>
          <w:bdr w:val="single" w:sz="8" w:space="5" w:color="000000"/>
        </w:rPr>
        <w:t>2</w:t>
      </w:r>
      <w:r>
        <w:rPr>
          <w:rFonts w:ascii="Times New Roman;Times;Serif" w:hAnsi="Times New Roman;Times;Serif"/>
          <w:b w:val="false"/>
          <w:i w:val="false"/>
          <w:caps w:val="false"/>
          <w:smallCaps w:val="false"/>
          <w:sz w:val="20"/>
          <w:bdr w:val="single" w:sz="8" w:space="5" w:color="000000"/>
        </w:rPr>
        <w:t>, or 0.4% of the global seafloor, 17 of which are in the CCZ. We hold exclusive exploration and commercial rights to three of the 17 polymetallic nodule contract areas in the CCZ through our subsidiaries Nauru Ocean Resources Inc., or NORI, and Tonga Offshore Mining Limited, or TOML, sponsored by the Republic of Nauru and the Kingdom of Tonga, respectively, and exclusive commercial rights through our subsidiary, DeepGreen Engineering Pte. Ltd.’s, arrangement with Marawa Research and Exploration Limited, a company owned and sponsored by the Republic of Kiribati.</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still in the exploration phase and have not yet obtained any exploitation contracts from the ISA to commence commercial scale polymetallic nodule collection in the CCZ nor do we have the applicable environmental and other permits required to build and/ or operate commercial-scale polymetallic nodule processing and refining plants on land.</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currently focused on preparing to submit our application to the ISA for our first exploitation contract for the NORI Area D contract area following the July 2024 meetings of the ISA’s twenty-ninth session. To reach our objectives and initiate commercial production, if our potential application is approved, we are: (i) defining our resource and project economics, (ii) developing a commercial offshore nodule collection system, (iii) assessing the environmental and social impacts of offshore nodule collection, and (iv) developing onshore technology to process collected polymetallic nodules into a manganese silicate product, and an intermediate nickel-copper-cobalt matte or nickel-copper-cobalt alloy product and/or end-products like nickel and cobalt sulfates, and copper cathode.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Cautionary Statements Regarding the NORI Initial Assessment and TOML Mineral Resource Statement</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have estimated the size and quality of our resource in the NORI and TOML contracted areas in our SEC Regulation S-K (subpart 1300), referred to herein as the SEC Mining Rules, compliant Technical Report Summary - Initial Assessment, of the NORI Property, Clarion-Clipperton Zone, Pacific Ocean dated March 17, 2021, or the NORI Initial Assessment, and Technical Report Summary - TOML Mineral Resource, Clarion-Clipperton Zone, Pacific Ocean dated March 26, 2021, or the TOML Mineral Resource Statement, respectively, prepared by AMC Consultants Ltd., each of which is filed as an exhibit to the registration statement to which this prospectus forms a part. We plan to continue to refine our resource estimate for the NORI and TOML areas and better resolve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NORI Initial Assessment and TOML Mineral Resource Statement do not include the conversion of mineral resources to mineral reserves.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As used in this prospectus or in the applicable report summary, the terms “mineral resource,” “measured mineral resource,” “indicated mineral resource” and “inferred mineral resource”, as applicable, are defined and used in accordance with the SEC Mining Rules.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prospectus includes information that has been prepared in accordance with the requirements of the SEC Mining Rules.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Likewise, you are cautioned not to assume that all or any part of measured or indicated mineral resources will ever be upgraded to mineral reserves.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Additional Information</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For additional information related to our business and operations, please refer to the reports incorporated herein by reference, as described under the caption “Incorporation of Documents by Reference” on page 44 of this prospectus.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Our Corporate Information</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The Company was originally known as Sustainable Opportunities Acquisition Corp., or SOAC. On September 9, 2021, we consummated a business combination, or the Business Combination, pursuant to the terms of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In connection with the Business Combination, SOAC changed its name to “TMC the metals company Inc.” Our principal executive offices are located at 595 Howe Street, 10th Floor, Vancouver, British Columbia V6C 2T5, and our telephone number is (574) 252-9333. TMC does not have a physical office in Vancouver, British Columbia, its directors and executive officers work remotely in various countries around the world, and the Vancouver, British Columbia address disclosed as its principal executive office has been provided because it is TMC’s records office required under the Business Corporations Act (British Columbia). Our website address is </w:t>
      </w:r>
      <w:r>
        <w:rPr>
          <w:rFonts w:ascii="Times New Roman;Times;Serif" w:hAnsi="Times New Roman;Times;Serif"/>
          <w:b w:val="false"/>
          <w:i/>
          <w:caps w:val="false"/>
          <w:smallCaps w:val="false"/>
          <w:sz w:val="20"/>
          <w:bdr w:val="single" w:sz="8" w:space="5" w:color="000000"/>
        </w:rPr>
        <w:t>www.metals.co</w:t>
      </w:r>
      <w:r>
        <w:rPr>
          <w:rFonts w:ascii="Times New Roman;Times;Serif" w:hAnsi="Times New Roman;Times;Serif"/>
          <w:b w:val="false"/>
          <w:i w:val="false"/>
          <w:caps w:val="false"/>
          <w:smallCaps w:val="false"/>
          <w:sz w:val="20"/>
          <w:bdr w:val="single" w:sz="8" w:space="5" w:color="000000"/>
        </w:rPr>
        <w:t>. The information contained on, or that can be accessed through, our website is not and shall not be deemed to be part of this prospectus. We have included our website address in this prospectus solely as an inactive textual reference. Investors should not rely on any such information in deciding whether to purchase our Common Shares or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All service marks, trademarks and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Offerings Under This Prospectus by Us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Under this prospectus, we may offer our securities from time to time at prices and on terms to be determined by market conditions at the time of the offering. This prospectus provides you with a general description of the securities we may offer. Each time we offer securities under this prospectus, we will provide a prospectus supplement that will describe the specific amounts, prices and other important terms of the securities.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92"/>
        <w:gridCol w:w="306"/>
        <w:gridCol w:w="9807"/>
      </w:tblGrid>
      <w:tr>
        <w:trPr/>
        <w:tc>
          <w:tcPr>
            <w:tcW w:w="9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rFonts w:ascii="Symbol" w:hAnsi="Symbol"/>
              </w:rPr>
            </w:pPr>
            <w:r>
              <w:rPr>
                <w:rFonts w:ascii="Symbol" w:hAnsi="Symbol"/>
              </w:rPr>
              <w:t>·</w:t>
            </w:r>
          </w:p>
        </w:tc>
        <w:tc>
          <w:tcPr>
            <w:tcW w:w="9807" w:type="dxa"/>
            <w:tcBorders/>
            <w:vAlign w:val="center"/>
          </w:tcPr>
          <w:p>
            <w:pPr>
              <w:pStyle w:val="TableContents"/>
              <w:bidi w:val="0"/>
              <w:spacing w:before="0" w:after="283"/>
              <w:jc w:val="left"/>
              <w:rPr/>
            </w:pPr>
            <w:r>
              <w:rPr/>
              <w:t>the names of those agents or underwriters;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63"/>
        <w:gridCol w:w="209"/>
        <w:gridCol w:w="9933"/>
      </w:tblGrid>
      <w:tr>
        <w:trPr/>
        <w:tc>
          <w:tcPr>
            <w:tcW w:w="6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Symbol" w:hAnsi="Symbol"/>
              </w:rPr>
            </w:pPr>
            <w:r>
              <w:rPr>
                <w:rFonts w:ascii="Symbol" w:hAnsi="Symbol"/>
              </w:rPr>
              <w:t>·</w:t>
            </w:r>
          </w:p>
        </w:tc>
        <w:tc>
          <w:tcPr>
            <w:tcW w:w="9933" w:type="dxa"/>
            <w:tcBorders/>
            <w:vAlign w:val="center"/>
          </w:tcPr>
          <w:p>
            <w:pPr>
              <w:pStyle w:val="TableContents"/>
              <w:bidi w:val="0"/>
              <w:spacing w:before="0" w:after="283"/>
              <w:jc w:val="left"/>
              <w:rPr/>
            </w:pPr>
            <w:r>
              <w:rPr/>
              <w:t>applicable fees, discounts and commissions to be paid to them;</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42"/>
        <w:gridCol w:w="141"/>
        <w:gridCol w:w="10022"/>
      </w:tblGrid>
      <w:tr>
        <w:trP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Symbol" w:hAnsi="Symbol"/>
              </w:rPr>
            </w:pPr>
            <w:r>
              <w:rPr>
                <w:rFonts w:ascii="Symbol" w:hAnsi="Symbol"/>
              </w:rPr>
              <w:t>·</w:t>
            </w:r>
          </w:p>
        </w:tc>
        <w:tc>
          <w:tcPr>
            <w:tcW w:w="10022" w:type="dxa"/>
            <w:tcBorders/>
            <w:vAlign w:val="center"/>
          </w:tcPr>
          <w:p>
            <w:pPr>
              <w:pStyle w:val="TableContents"/>
              <w:bidi w:val="0"/>
              <w:spacing w:before="0" w:after="283"/>
              <w:jc w:val="left"/>
              <w:rPr/>
            </w:pPr>
            <w:r>
              <w:rPr/>
              <w:t>details regarding over-allotment and other options to purchase additional securities, if any; and</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168"/>
        <w:gridCol w:w="555"/>
        <w:gridCol w:w="9482"/>
      </w:tblGrid>
      <w:tr>
        <w:trPr/>
        <w:tc>
          <w:tcPr>
            <w:tcW w:w="16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rFonts w:ascii="Symbol" w:hAnsi="Symbol"/>
              </w:rPr>
            </w:pPr>
            <w:r>
              <w:rPr>
                <w:rFonts w:ascii="Symbol" w:hAnsi="Symbol"/>
              </w:rPr>
              <w:t>·</w:t>
            </w:r>
          </w:p>
        </w:tc>
        <w:tc>
          <w:tcPr>
            <w:tcW w:w="9482" w:type="dxa"/>
            <w:tcBorders/>
            <w:vAlign w:val="center"/>
          </w:tcPr>
          <w:p>
            <w:pPr>
              <w:pStyle w:val="TableContents"/>
              <w:bidi w:val="0"/>
              <w:spacing w:before="0" w:after="283"/>
              <w:jc w:val="left"/>
              <w:rPr/>
            </w:pPr>
            <w:r>
              <w:rPr/>
              <w:t>the net proceeds to us.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This prospectus may not be used to consummate a sale of any securities by us unless it is accompanied by a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a_003"/>
      <w:bookmarkEnd w:id="40"/>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a_004"/>
      <w:bookmarkEnd w:id="41"/>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include forward-looking statements within the meaning of Section 27A of the Securities Act of 1933, as amended, or the Securities Act, and Section 21E of the Securities Exchange Act of 1934, as amended, or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most recent Annual Report on Form 10-K, as revised or supplemented by our subsequent Quarterly Reports on Form 10-Q or our Current Reports on Form 8-K, entitled “Business,” “Risk Factors,” and “Management’s Discussion and Analysis of Financial Condition and Results of Operations,” as well as other sections in this prospectus and the other documents or reports incorporated by reference in this prospectus, discuss some of the factors that could contribute to these differences. These forward-looking statements include, among other things, statements about: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283"/>
        <w:gridCol w:w="9836"/>
      </w:tblGrid>
      <w:tr>
        <w:trPr/>
        <w:tc>
          <w:tcPr>
            <w:tcW w:w="8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rFonts w:ascii="Symbol" w:hAnsi="Symbol"/>
              </w:rPr>
            </w:pPr>
            <w:r>
              <w:rPr>
                <w:rFonts w:ascii="Symbol" w:hAnsi="Symbol"/>
              </w:rPr>
              <w:t>·</w:t>
            </w:r>
          </w:p>
        </w:tc>
        <w:tc>
          <w:tcPr>
            <w:tcW w:w="9836" w:type="dxa"/>
            <w:tcBorders/>
            <w:vAlign w:val="center"/>
          </w:tcPr>
          <w:p>
            <w:pPr>
              <w:pStyle w:val="TableContents"/>
              <w:bidi w:val="0"/>
              <w:spacing w:before="0" w:after="283"/>
              <w:jc w:val="both"/>
              <w:rPr/>
            </w:pPr>
            <w:r>
              <w:rPr/>
              <w:t>our use of the net proceeds from this offering;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5"/>
        <w:gridCol w:w="10029"/>
      </w:tblGrid>
      <w:tr>
        <w:trPr/>
        <w:tc>
          <w:tcPr>
            <w:tcW w:w="4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29" w:type="dxa"/>
            <w:tcBorders/>
            <w:vAlign w:val="center"/>
          </w:tcPr>
          <w:p>
            <w:pPr>
              <w:pStyle w:val="TableContents"/>
              <w:bidi w:val="0"/>
              <w:spacing w:before="0" w:after="283"/>
              <w:jc w:val="both"/>
              <w:rPr/>
            </w:pPr>
            <w:r>
              <w:rPr/>
              <w:t>the commercial and technical feasibility of seafloor polymetallic nodule collection and processing;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supply and demand for battery metals and battery cathode feedstocks, copper cathode and manganese ores;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both"/>
              <w:rPr/>
            </w:pPr>
            <w:r>
              <w:rPr/>
              <w:t>the future prices of battery metals and battery cathode feedstocks, copper cathode and manganese ores;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timing and content of the ISA’s final exploitation regulations that will create the legal and technical framework for exploitation of polymetallic nodules in the CCZ;</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our expectations regarding the timing and content of an application for an exploitation contract and/or plan of work for exploitation to the ISA for NORI Area D and the ISA’s review and approval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our expectations regarding the potential timing of commercial production if the ISA approves an application for an exploitation contract or plan of work for exploitation;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government regulation of mineral extraction from the deep seafloor and changes in mining laws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technical, operational, environmental, social and governance risks of developing and deploying equipment to collect and ship polymetallic nodules at sea, and to process such nodules on land;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sources and timing of potential revenue as well as the timing and amount of estimated future production, costs of production, other expenses, capital expenditures and requirements for additional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303"/>
        <w:gridCol w:w="9810"/>
      </w:tblGrid>
      <w:tr>
        <w:trPr/>
        <w:tc>
          <w:tcPr>
            <w:tcW w:w="9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Symbol" w:hAnsi="Symbol"/>
              </w:rPr>
            </w:pPr>
            <w:r>
              <w:rPr>
                <w:rFonts w:ascii="Symbol" w:hAnsi="Symbol"/>
              </w:rPr>
              <w:t>·</w:t>
            </w:r>
          </w:p>
        </w:tc>
        <w:tc>
          <w:tcPr>
            <w:tcW w:w="9810" w:type="dxa"/>
            <w:tcBorders/>
            <w:vAlign w:val="center"/>
          </w:tcPr>
          <w:p>
            <w:pPr>
              <w:pStyle w:val="TableContents"/>
              <w:bidi w:val="0"/>
              <w:spacing w:before="0" w:after="283"/>
              <w:jc w:val="both"/>
              <w:rPr/>
            </w:pPr>
            <w:r>
              <w:rPr/>
              <w:t>cash flow provided by operating activities;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Symbol" w:hAnsi="Symbol"/>
              </w:rPr>
            </w:pPr>
            <w:r>
              <w:rPr>
                <w:rFonts w:ascii="Symbol" w:hAnsi="Symbol"/>
              </w:rPr>
              <w:t>·</w:t>
            </w:r>
          </w:p>
        </w:tc>
        <w:tc>
          <w:tcPr>
            <w:tcW w:w="9976" w:type="dxa"/>
            <w:tcBorders/>
            <w:vAlign w:val="center"/>
          </w:tcPr>
          <w:p>
            <w:pPr>
              <w:pStyle w:val="TableContents"/>
              <w:bidi w:val="0"/>
              <w:spacing w:before="0" w:after="283"/>
              <w:jc w:val="both"/>
              <w:rPr/>
            </w:pPr>
            <w:r>
              <w:rPr/>
              <w:t>the expected activities of our partners under our key strategic relationships;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sufficiency of our cash on hand to meet our working capital and capital expenditure requirements, the need for additional financing and our ability to continue as a going concern;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our ability to raise financing in the future, the nature of any such financing and our plans with respect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339"/>
        <w:gridCol w:w="9764"/>
      </w:tblGrid>
      <w:tr>
        <w:trPr/>
        <w:tc>
          <w:tcPr>
            <w:tcW w:w="10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rFonts w:ascii="Symbol" w:hAnsi="Symbol"/>
              </w:rPr>
            </w:pPr>
            <w:r>
              <w:rPr>
                <w:rFonts w:ascii="Symbol" w:hAnsi="Symbol"/>
              </w:rPr>
              <w:t>·</w:t>
            </w:r>
          </w:p>
        </w:tc>
        <w:tc>
          <w:tcPr>
            <w:tcW w:w="9764" w:type="dxa"/>
            <w:tcBorders/>
            <w:vAlign w:val="center"/>
          </w:tcPr>
          <w:p>
            <w:pPr>
              <w:pStyle w:val="TableContents"/>
              <w:bidi w:val="0"/>
              <w:spacing w:before="0" w:after="283"/>
              <w:jc w:val="both"/>
              <w:rPr/>
            </w:pPr>
            <w:r>
              <w:rPr/>
              <w:t>any litigation to which we are a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285"/>
        <w:gridCol w:w="9834"/>
      </w:tblGrid>
      <w:tr>
        <w:trPr/>
        <w:tc>
          <w:tcPr>
            <w:tcW w:w="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rFonts w:ascii="Symbol" w:hAnsi="Symbol"/>
              </w:rPr>
            </w:pPr>
            <w:r>
              <w:rPr>
                <w:rFonts w:ascii="Symbol" w:hAnsi="Symbol"/>
              </w:rPr>
              <w:t>·</w:t>
            </w:r>
          </w:p>
        </w:tc>
        <w:tc>
          <w:tcPr>
            <w:tcW w:w="9834" w:type="dxa"/>
            <w:tcBorders/>
            <w:vAlign w:val="center"/>
          </w:tcPr>
          <w:p>
            <w:pPr>
              <w:pStyle w:val="TableContents"/>
              <w:bidi w:val="0"/>
              <w:spacing w:before="0" w:after="283"/>
              <w:jc w:val="both"/>
              <w:rPr/>
            </w:pPr>
            <w:r>
              <w:rPr/>
              <w:t>claims and limitations on insurance coverage;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303"/>
        <w:gridCol w:w="9810"/>
      </w:tblGrid>
      <w:tr>
        <w:trPr/>
        <w:tc>
          <w:tcPr>
            <w:tcW w:w="9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Symbol" w:hAnsi="Symbol"/>
              </w:rPr>
            </w:pPr>
            <w:r>
              <w:rPr>
                <w:rFonts w:ascii="Symbol" w:hAnsi="Symbol"/>
              </w:rPr>
              <w:t>·</w:t>
            </w:r>
          </w:p>
        </w:tc>
        <w:tc>
          <w:tcPr>
            <w:tcW w:w="9810" w:type="dxa"/>
            <w:tcBorders/>
            <w:vAlign w:val="center"/>
          </w:tcPr>
          <w:p>
            <w:pPr>
              <w:pStyle w:val="TableContents"/>
              <w:bidi w:val="0"/>
              <w:spacing w:before="0" w:after="283"/>
              <w:jc w:val="both"/>
              <w:rPr/>
            </w:pPr>
            <w:r>
              <w:rPr/>
              <w:t>the restatement of our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06"/>
        <w:gridCol w:w="9937"/>
      </w:tblGrid>
      <w:tr>
        <w:trPr/>
        <w:tc>
          <w:tcPr>
            <w:tcW w:w="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Symbol" w:hAnsi="Symbol"/>
              </w:rPr>
            </w:pPr>
            <w:r>
              <w:rPr>
                <w:rFonts w:ascii="Symbol" w:hAnsi="Symbol"/>
              </w:rPr>
              <w:t>·</w:t>
            </w:r>
          </w:p>
        </w:tc>
        <w:tc>
          <w:tcPr>
            <w:tcW w:w="9937" w:type="dxa"/>
            <w:tcBorders/>
            <w:vAlign w:val="center"/>
          </w:tcPr>
          <w:p>
            <w:pPr>
              <w:pStyle w:val="TableContents"/>
              <w:bidi w:val="0"/>
              <w:spacing w:before="0" w:after="283"/>
              <w:jc w:val="both"/>
              <w:rPr/>
            </w:pPr>
            <w:r>
              <w:rPr/>
              <w:t>geological, metallurgical and geotechnical studies and opinions;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467"/>
        <w:gridCol w:w="9597"/>
      </w:tblGrid>
      <w:tr>
        <w:trPr/>
        <w:tc>
          <w:tcPr>
            <w:tcW w:w="1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rFonts w:ascii="Symbol" w:hAnsi="Symbol"/>
              </w:rPr>
            </w:pPr>
            <w:r>
              <w:rPr>
                <w:rFonts w:ascii="Symbol" w:hAnsi="Symbol"/>
              </w:rPr>
              <w:t>·</w:t>
            </w:r>
          </w:p>
        </w:tc>
        <w:tc>
          <w:tcPr>
            <w:tcW w:w="9597" w:type="dxa"/>
            <w:tcBorders/>
            <w:vAlign w:val="center"/>
          </w:tcPr>
          <w:p>
            <w:pPr>
              <w:pStyle w:val="TableContents"/>
              <w:bidi w:val="0"/>
              <w:spacing w:before="0" w:after="283"/>
              <w:jc w:val="both"/>
              <w:rPr/>
            </w:pPr>
            <w:r>
              <w:rPr/>
              <w:t>mineral resource estimates;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our status as an emerging growth company, non-reporting Canadian issuer and passive foreign investment company;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474"/>
        <w:gridCol w:w="9587"/>
      </w:tblGrid>
      <w:tr>
        <w:trPr/>
        <w:tc>
          <w:tcPr>
            <w:tcW w:w="14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rFonts w:ascii="Symbol" w:hAnsi="Symbol"/>
              </w:rPr>
            </w:pPr>
            <w:r>
              <w:rPr>
                <w:rFonts w:ascii="Symbol" w:hAnsi="Symbol"/>
              </w:rPr>
              <w:t>·</w:t>
            </w:r>
          </w:p>
        </w:tc>
        <w:tc>
          <w:tcPr>
            <w:tcW w:w="9587" w:type="dxa"/>
            <w:tcBorders/>
            <w:vAlign w:val="center"/>
          </w:tcPr>
          <w:p>
            <w:pPr>
              <w:pStyle w:val="TableContents"/>
              <w:bidi w:val="0"/>
              <w:spacing w:before="0" w:after="283"/>
              <w:jc w:val="both"/>
              <w:rPr/>
            </w:pPr>
            <w:r>
              <w:rPr/>
              <w:t>our financial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a_005"/>
      <w:bookmarkEnd w:id="42"/>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we intend to use any net proceeds from our sale of securities under this prospectus for general corporate purposes. We will have broad discretion over the use of any proceeds. Pending application of the net proceeds, we may initially invest the net proceeds in short-term, investment-grade, interest-bearing securities or apply them to the reduction of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a_006"/>
      <w:bookmarkEnd w:id="43"/>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securities under this prospectus from time to time pursuant to underwritten public offerings, negotiated transactions, block trades or a combination of these methods or any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3" w:type="dxa"/>
            <w:tcBorders/>
            <w:vAlign w:val="center"/>
          </w:tcPr>
          <w:p>
            <w:pPr>
              <w:pStyle w:val="TableContents"/>
              <w:bidi w:val="0"/>
              <w:spacing w:before="0" w:after="283"/>
              <w:jc w:val="left"/>
              <w:rPr/>
            </w:pPr>
            <w:r>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left"/>
              <w:rPr/>
            </w:pPr>
            <w:r>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4" w:type="dxa"/>
            <w:tcBorders/>
            <w:vAlign w:val="center"/>
          </w:tcPr>
          <w:p>
            <w:pPr>
              <w:pStyle w:val="TableContents"/>
              <w:bidi w:val="0"/>
              <w:spacing w:before="0" w:after="283"/>
              <w:jc w:val="left"/>
              <w:rPr/>
            </w:pPr>
            <w:r>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388"/>
        <w:gridCol w:w="9700"/>
      </w:tblGrid>
      <w:tr>
        <w:trPr/>
        <w:tc>
          <w:tcPr>
            <w:tcW w:w="11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Symbol" w:hAnsi="Symbol"/>
              </w:rPr>
            </w:pPr>
            <w:r>
              <w:rPr>
                <w:rFonts w:ascii="Symbol" w:hAnsi="Symbol"/>
              </w:rPr>
              <w:t>·</w:t>
            </w:r>
          </w:p>
        </w:tc>
        <w:tc>
          <w:tcPr>
            <w:tcW w:w="9700" w:type="dxa"/>
            <w:tcBorders/>
            <w:vAlign w:val="center"/>
          </w:tcPr>
          <w:p>
            <w:pPr>
              <w:pStyle w:val="TableContents"/>
              <w:bidi w:val="0"/>
              <w:spacing w:before="0" w:after="283"/>
              <w:jc w:val="left"/>
              <w:rPr/>
            </w:pPr>
            <w:r>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settlement of short sales entered into after the effective date of the registration statement of which this prospectus is a part;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through the writing or settlement of options or other hedging transactions, whether such options are listed on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73"/>
        <w:gridCol w:w="9850"/>
      </w:tblGrid>
      <w:tr>
        <w:trPr/>
        <w:tc>
          <w:tcPr>
            <w:tcW w:w="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Symbol" w:hAnsi="Symbol"/>
              </w:rPr>
            </w:pPr>
            <w:r>
              <w:rPr>
                <w:rFonts w:ascii="Symbol" w:hAnsi="Symbol"/>
              </w:rPr>
              <w:t>·</w:t>
            </w:r>
          </w:p>
        </w:tc>
        <w:tc>
          <w:tcPr>
            <w:tcW w:w="9850" w:type="dxa"/>
            <w:tcBorders/>
            <w:vAlign w:val="center"/>
          </w:tcPr>
          <w:p>
            <w:pPr>
              <w:pStyle w:val="TableContents"/>
              <w:bidi w:val="0"/>
              <w:spacing w:before="0" w:after="283"/>
              <w:jc w:val="left"/>
              <w:rPr/>
            </w:pPr>
            <w:r>
              <w:rPr/>
              <w:t>a combination of any such methods of sale;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left"/>
              <w:rPr/>
            </w:pPr>
            <w:r>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(1) through underwriters or dealers, (2) through agents or (3) directly to one or more purchasers, or through a combination of such methods. We may distribute the securities on any national securities exchange or quotation service on which the securities may be listed or quoted at the time of sale, in the over-the-counter market or in transactions otherwise than on these exchanges or systems or in the over-the-counter market from time to time in one or more transactions 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03"/>
        <w:gridCol w:w="9941"/>
      </w:tblGrid>
      <w:tr>
        <w:trPr/>
        <w:tc>
          <w:tcPr>
            <w:tcW w:w="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Symbol" w:hAnsi="Symbol"/>
              </w:rPr>
            </w:pPr>
            <w:r>
              <w:rPr>
                <w:rFonts w:ascii="Symbol" w:hAnsi="Symbol"/>
              </w:rPr>
              <w:t>·</w:t>
            </w:r>
          </w:p>
        </w:tc>
        <w:tc>
          <w:tcPr>
            <w:tcW w:w="9941" w:type="dxa"/>
            <w:tcBorders/>
            <w:vAlign w:val="center"/>
          </w:tcPr>
          <w:p>
            <w:pPr>
              <w:pStyle w:val="TableContents"/>
              <w:bidi w:val="0"/>
              <w:spacing w:before="0" w:after="283"/>
              <w:jc w:val="left"/>
              <w:rPr/>
            </w:pPr>
            <w:r>
              <w:rPr/>
              <w:t>a fixed price or prices, which may be changed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301"/>
        <w:gridCol w:w="9813"/>
      </w:tblGrid>
      <w:tr>
        <w:trPr/>
        <w:tc>
          <w:tcPr>
            <w:tcW w:w="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Symbol" w:hAnsi="Symbol"/>
              </w:rPr>
            </w:pPr>
            <w:r>
              <w:rPr>
                <w:rFonts w:ascii="Symbol" w:hAnsi="Symbol"/>
              </w:rPr>
              <w:t>·</w:t>
            </w:r>
          </w:p>
        </w:tc>
        <w:tc>
          <w:tcPr>
            <w:tcW w:w="9813" w:type="dxa"/>
            <w:tcBorders/>
            <w:vAlign w:val="center"/>
          </w:tcPr>
          <w:p>
            <w:pPr>
              <w:pStyle w:val="TableContents"/>
              <w:bidi w:val="0"/>
              <w:spacing w:before="0" w:after="283"/>
              <w:jc w:val="left"/>
              <w:rPr/>
            </w:pPr>
            <w:r>
              <w:rPr/>
              <w:t>market prices prevailing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273"/>
        <w:gridCol w:w="9849"/>
      </w:tblGrid>
      <w:tr>
        <w:trPr/>
        <w:tc>
          <w:tcPr>
            <w:tcW w:w="8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Symbol" w:hAnsi="Symbol"/>
              </w:rPr>
            </w:pPr>
            <w:r>
              <w:rPr>
                <w:rFonts w:ascii="Symbol" w:hAnsi="Symbol"/>
              </w:rPr>
              <w:t>·</w:t>
            </w:r>
          </w:p>
        </w:tc>
        <w:tc>
          <w:tcPr>
            <w:tcW w:w="9849" w:type="dxa"/>
            <w:tcBorders/>
            <w:vAlign w:val="center"/>
          </w:tcPr>
          <w:p>
            <w:pPr>
              <w:pStyle w:val="TableContents"/>
              <w:bidi w:val="0"/>
              <w:spacing w:before="0" w:after="283"/>
              <w:jc w:val="left"/>
              <w:rPr/>
            </w:pPr>
            <w:r>
              <w:rPr/>
              <w:t>prices related to the prevailing market prices;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9"/>
        <w:gridCol w:w="690"/>
        <w:gridCol w:w="9306"/>
      </w:tblGrid>
      <w:tr>
        <w:trPr/>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rFonts w:ascii="Symbol" w:hAnsi="Symbol"/>
              </w:rPr>
            </w:pPr>
            <w:r>
              <w:rPr>
                <w:rFonts w:ascii="Symbol" w:hAnsi="Symbol"/>
              </w:rPr>
              <w:t>·</w:t>
            </w:r>
          </w:p>
        </w:tc>
        <w:tc>
          <w:tcPr>
            <w:tcW w:w="9306" w:type="dxa"/>
            <w:tcBorders/>
            <w:vAlign w:val="center"/>
          </w:tcPr>
          <w:p>
            <w:pPr>
              <w:pStyle w:val="TableContents"/>
              <w:bidi w:val="0"/>
              <w:spacing w:before="0" w:after="283"/>
              <w:jc w:val="left"/>
              <w:rPr/>
            </w:pPr>
            <w:r>
              <w:rPr/>
              <w:t>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underwriter is used in the sale of the securities being offered by this prospectus, an underwriting agreement will be executed with the underwriter at the time of sale, and the name of any underwriter will be provided in any prospectus supplement, if required,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underwritten public offerings, negotiated transactions and block trades, we, if required, will provide in the applicable prospectus supplement information regarding any compensation paid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a prospectus supplement, if required, we will authorize the underwriters, dealers or other persons acting as our agents to solicit offers by certain institutions to purchase securities from us pursuant to delayed delivery contracts providing for payment and delivery on the date stated in each applicable prospectus supplement, if required.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purchase by an institution of the securities covered under that contract shall not at the time of delivery be prohibited under the laws of the jurisdiction to which that institution is subject;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firms, referred to as “remarketing firms,” may also offer or sell the securities, if a prospectus supplement, if required,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if required,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underwriters may use this prospectus and any accompanying prospectus supplement, if required,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sold pursuant to the registration statement of which this prospectus is a part will be authorized for listing and trading on The Nasdaq Stock Market. The applicable prospectus supplement, if required, will contain information, where applicable, as to any other listing, if any, on The Nasdaq Stock Market or any securities market or other securities exchange of the securities covered by the prospectus supplement. Underwriters may make a market in our Common Shares, but will not be obligated to do so and may discontinue any market making at any time without notice. We can make no assurance as to the liquidity of or the existence, development or maintenance of trading markets for any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may engage in other transactions with us, or perform other services for us, in the ordinary course of their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Common Shares may be sold in such states only through registered or licensed brokers or dealers. In addition, in some states the Common Shares may not be sold unless such shares have been registered or qualified for sale in such state or an exemption from registration or qualification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a_007"/>
      <w:bookmarkEnd w:id="44"/>
      <w:r>
        <w:rPr>
          <w:rFonts w:ascii="Times New Roman;Times;Serif" w:hAnsi="Times New Roman;Times;Serif"/>
          <w:b/>
          <w:i w:val="false"/>
          <w:caps w:val="false"/>
          <w:smallCaps w:val="false"/>
          <w:sz w:val="20"/>
        </w:rPr>
        <w:t>DESCRIPTION OF COMMON SHARES AND 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consists of (a) an unlimited number of Common Shares, (b) an unlimited number of preferred shares, issuable in series, (c) 5,000,000 Class A Special Shares, (d) 10,000,000 Class B Special Shares, (e) 10,000,000 Class C Special Shares, (f) 20,000,000 Class D Special Shares, (g) 20,000,000 Class E Special Shares, (h) 20,000,000 Class F Special Shares, (i) 25,000,000 Class G Special Shares, (j) 25,000,000 Class H Special Shares, (k) 500,000 Class I Special Shares, and (l) 741,000 Class J Special Shares, each without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certain provisions of our Common Shares and Special Shares do not purport to be complete. You should refer to the section of this prospectus entitled “Certain Important Provisions of The Notice of Articles and Articles and the BCBCA”, “Ownership and Exchange Controls” and our notice of articles and articles, both of which are included as exhibits to the registration statement of which this prospectus is a part. The summaries below are also qualified by provisions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28, 2023, there were 306,366,984 Common Shares issued and outstanding. As of November 28, 2023, we had approximately 326 record holders of our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Common Shares are entitled to one (1) vote per share on all matters upon which holders of shares are entitled to vote. Subject to the </w:t>
      </w:r>
      <w:r>
        <w:rPr>
          <w:rFonts w:ascii="Times New Roman;Times;Serif" w:hAnsi="Times New Roman;Times;Serif"/>
          <w:b w:val="false"/>
          <w:i/>
          <w:caps w:val="false"/>
          <w:smallCaps w:val="false"/>
          <w:sz w:val="20"/>
        </w:rPr>
        <w:t xml:space="preserve">Business Corporations Act </w:t>
      </w:r>
      <w:r>
        <w:rPr>
          <w:rFonts w:ascii="Times New Roman;Times;Serif" w:hAnsi="Times New Roman;Times;Serif"/>
          <w:b w:val="false"/>
          <w:i w:val="false"/>
          <w:caps w:val="false"/>
          <w:smallCaps w:val="false"/>
          <w:sz w:val="20"/>
        </w:rPr>
        <w:t>(British Columbia), or the BCBCA, and prior rights of the holders of preferred shares and any other class ranking senior to the Common Shares, the holders of Common Shares are entitled to receive dividends as, if and when declared by the board of directors. Subject to the prior rights of the holders of Special Shares and preferred shares, and any other class ranking senior to the Common Shares, in the event of our liquidation, dissolution or winding-up or other distribution of our assets among our shareholders, the holders of Common Shares will be entitled to share pro rata in the distribution of the balance of our assets. Holders of Common Shares will have no pre-emptive or conversion or exchange rights or other subscription rights. There are no redemption, retraction, purchase for cancellation or surrender provisions or sinking or purchase fund provisions applicable to Common Shares. There is no provision in the notice of articles and articles requiring holders of Common Shares to contribute additional capital, or permitting or restricting the issuance of additional securities of authorized share capital or any other material restrictions. The special rights or restrictions attached to Common Shares are subject to and may be adversely affected by, the rights attached to any series of preferred shares that the board of directors may designate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Common Shares is Continental Stock Transfer &amp;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for trading on the Nasdaq Global Select Market under the symbol “TMC”.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28, 2023, there were issued and outstanding (a) 4,999,973 Class A Special Shares, (b) 9,999,853 Class B Special Shares, (c) 9,999,853 Class C Special Shares, (d) 19,999,855 Class D Special Shares, (e) 19,999,855 Class E Special Shares, (f) 19,999,855 Class F Special Shares, (g) 24,999,860 Class G Special Shares, (h) 24,999,860 Class H Special Shares, (i) 500,000 Class I Special Shares and (j) 741,000 Class J 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Special Shares are not entitled to any voting rights, except as required under the BCBCA in certain circumstances, and are not entitled to receive dividends. Subject to the prior rights of the holders of preferred shares, in the event of our liquidation, dissolution or winding-up or other distribution of our assets among our shareholders, the holders of Special Shares will be entitled to receive an amount equal to $0.00000000001 per Special Share, or the Redemption Price. Holders of Special Shares have no pre-emptive or exchange rights or other subscription rights. There is no provision in our notice of articles and articles requiring holders of Special Shares to contribute additional capital. The special rights or restrictions attached to Special Shares are subject to and may be adversely affected by, the rights attached to any series of preferred shares that the board of directors may designate in the future. Our notice of articles and articles provide that the Special Shares may not be, directly or indirectly, sold, transferred, assigned, pledged, mortgaged, exchanged, hypothecated or encumbered without the prior approval of the board of directors, which shall only be given under certain circumstances specified in our notice or articles and articles, referred to herein as a Permitted Transfer. Notwithstanding the foregoing, any holder of Special Shares may, at any time, provide an irrevocable direction and agreement in favor of us that a proposed transfer shall be deemed not to be a Permitted Transfer and that irrevocable direction may provide that any other Permitted Transfer shall require that the transferee provide an identical type of irrevocable direction and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BCBCA, any Special Shares then outstanding shall be redeemed by us without any action on the part of the holders of Special Shares (i) at any time after the 15th year anniversary of the original issue date of the Special Shares or (ii) at any time after a Change of Control, in each case at the Redemption Price. For the purposes of our notice of articles and articles, “Change of Control” shall mean any transaction or series of related transactions (x) under which any person or one or more persons that are affiliates or that are acting as a “group” (as defined in Section 13(d)(3) of the Exchange Act), directly or indirectly, acquires or otherwise purchases (i) the Company or (ii) all or a material portion of assets, businesses or our Equity Securities (as defined below) or (y) that results, directly or indirectly, in our shareholders as of immediately prior to such transaction holding, in the aggregate, less than 50% of the voting Equity Securities immediately after the consummation thereof (excluding, for the avoidance of doubt, any Special Shares and the Common Shares issuable upon conversion thereof) (in the case of each of clause (x) and (y), whether by amalgamation, merger, consolidation, arrangement, tender offer, recapitalization, purchase or issuance of Equity Securities or otherwise), and “Equity Securities” shall refer to Common Shares, the preferred shares, Special Shares or any other class of shares or series thereof in our capital or similar interest us (including any stock appreciation, phantom stock, profit participation or similar rights), and any option, warrant, right or security (including debt securities) convertible, exchangeable or exercisable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Shares will automatically convert into Common Shares on a one (1) for one (1) basis (unless adjusted as described below) upon the occurrence of the following events: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the case of the Class A Special Shares, if (a) on any twenty (20) trading days within any thirty (30) trading day period, the Common Shares trade on the principal securities exchange or securities market on which Common Shares are then traded for a price that is greater than or equal to $15.00, or (b) there occurs any transaction resulting in a Change of Control with a valuation of the Common Shares that is greater than or equal to $15.00 per Common Share;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the case of the Class B Special Shares, if (a) on any twenty (20) trading days within any thirty (30) trading day period, the Common Shares trade on the principal securities exchange or securities market on which Common Shares are then traded for a price that is greater than or equal to $25.00, or (b) there occurs any transaction resulting in a Change of Control with a valuation of the Common Shares that is greater than or equal to $25.00 per Common Share;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the case of the Class C Special Shares, if (a) on any twenty (20) trading days within any thirty (30) trading day period, the Common Shares trade on the principal securities exchange or securities market on which Common Shares are then traded for a price that is greater than or equal to $35.00, or (b) there occurs any transaction resulting in a Change of Control with a valuation of the Common Shares that is greater than or equal to $35.00 per Common Share;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the case of the Class D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the case of the Class E Special Shares, if (a) on any twenty (20) trading days within any thirty (30) trading day period, the Common Shares trade on the principal securities exchange or securities market on which Common Shares are then traded for a price that is greater than or equal to $75.00, or (b) there occurs any transaction resulting in a Change of Control with a valuation of the Common Shares that is greater than or equal to $75.00 per Common Share;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the case of the Class F Special Shares, if (a) on any twenty (20) trading days within any thirty (30) trading day period, the Common Shares trade on the principal securities exchange or securities market on which Common Shares are then traded for a price that is greater than or equal to $100.00, or (b) there occurs any transaction resulting in a Change of Control with a valuation of the Common Shares that is greater than or equal to $100.00 per Common Share;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the case of the Class G Special Shares, if (a) on any twenty (20) trading days within any thirty (30) trading day period, the Common Shares trade on the principal securities exchange or securities market on which Common Shares are then traded for a price that is greater than or equal to $150.00, or (b) there occurs any transaction resulting in a Change of Control with a valuation of the Common Shares that is greater than or equal to $150.00 per Common Share;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the case of the Class H Special Shares, if (a) on any twenty (20) trading days within any thirty (30) trading day period, the Common Shares trade on the principal securities exchange or securities market on which Common Shares are then traded for a price that is greater than or equal to $200.00, or (b) there occurs any transaction resulting in a Change of Control with a valuation of the Common Shares that is greater than or equal to $200.00 per Common Share;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the case of the Class I Special Shares, if (a) on any twenty (20) trading days within any thirty (30) trading day period, the Common Shares trade on the principal securities exchange or securities market on which Common Shares are then traded for a price that is greater than or equal to $50.00, or (b) there occurs any transaction resulting in a Change of Control with a valuation of the Common Shares that is greater than or equal to $50.00 per Common Share;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 the case of the Class J Special Shares, if (a) on any twenty (20) trading days within any thirty (30) trading day period, the Common Shares trade on the principal securities exchange or securities market on which Common Shares are then traded for a price that is greater than or equal to $12.00, or (b) there occurs any transaction resulting in a Change of Control with a valuation of the Common Shares that is greater than or equal to $12.00 per Common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Common Share will be issued upon the conversion of the Special Shares and no payment will be made to the holders of Special Shares in lieu thereof. Rather, the holders of Special Shares shall be entitled to the number of Common Shares determined by rounding the entitlement down to the nearest whole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Common Shares are at any time sub-divided, consolidated, converted or exchanged for a greater or lesser number of shares of the same or another class, then appropriate adjustments will be made in the rights and conditions attaching to the Special Shares so as to preserve in all respects the benefits of the holders of 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merger, amalgamation, consolidation, arrangement, reorganization or other business combination involving the Company with another entity, other than a Change of Control, the holders of Special Shares will be entitled to receive, on conversion, such securities or other property as if on the effective date of the event they were registered holders of the number of Common Shares which such holders of Special Shares were entitled to receive upon conversion of their Special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 w:name="a_008"/>
      <w:bookmarkEnd w:id="45"/>
      <w:r>
        <w:rPr>
          <w:rFonts w:ascii="Times New Roman;Times;Serif" w:hAnsi="Times New Roman;Times;Serif"/>
          <w:b/>
          <w:i w:val="false"/>
          <w:caps w:val="false"/>
          <w:smallCaps w:val="false"/>
          <w:sz w:val="20"/>
        </w:rPr>
        <w:t>DESCRIPTION OF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preferred shares and the description of the terms of any particular series of preferred shares that we choose to issue hereunder are not complete. These descriptions are qualified in their entirety by reference to notice of articles and articles, both of which are included as exhibits to the registration statement of which this prospectus is a part.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an unlimited number of preferred shares, issuable in series. Accordingly, the board of directors is authorized, without shareholder approval but subject to the provisions of the BCBCA and notice of articles, to determine the maximum number of shares of each series, create an identifying name for each series and alter or attach such special rights or restrictions, including dividend, liquidation and voting rights, as the board of directors may determine, and such special rights or restrictions, including dividend, liquidation and voting rights, may be superior to those of the Common Shares and Special Shares. The issuance of preferred shares, while providing flexibility in connection with possible acquisitions and other corporate purposes, could, among other things, have the effect of delaying, deferring or discouraging potential acquisition proposals and might adversely affect the market price of the Common Shares and the voting and other rights of the holders of Common Shares. We have no current plan to issue any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preferred shares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6" w:name="a_009"/>
      <w:bookmarkEnd w:id="46"/>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each prospectus supplement the following terms relating to a series of debt securities: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544"/>
        <w:gridCol w:w="9496"/>
      </w:tblGrid>
      <w:tr>
        <w:trPr/>
        <w:tc>
          <w:tcPr>
            <w:tcW w:w="16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both"/>
              <w:rPr>
                <w:rFonts w:ascii="Symbol" w:hAnsi="Symbol"/>
              </w:rPr>
            </w:pPr>
            <w:r>
              <w:rPr>
                <w:rFonts w:ascii="Symbol" w:hAnsi="Symbol"/>
              </w:rPr>
              <w:t>·</w:t>
            </w:r>
          </w:p>
        </w:tc>
        <w:tc>
          <w:tcPr>
            <w:tcW w:w="9496" w:type="dxa"/>
            <w:tcBorders/>
            <w:vAlign w:val="center"/>
          </w:tcPr>
          <w:p>
            <w:pPr>
              <w:pStyle w:val="TableContents"/>
              <w:bidi w:val="0"/>
              <w:spacing w:before="0" w:after="283"/>
              <w:jc w:val="both"/>
              <w:rPr/>
            </w:pPr>
            <w:r>
              <w:rPr/>
              <w:t>the title or designation;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6"/>
        <w:gridCol w:w="9989"/>
      </w:tblGrid>
      <w:tr>
        <w:trPr/>
        <w:tc>
          <w:tcPr>
            <w:tcW w:w="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both"/>
              <w:rPr>
                <w:rFonts w:ascii="Symbol" w:hAnsi="Symbol"/>
              </w:rPr>
            </w:pPr>
            <w:r>
              <w:rPr>
                <w:rFonts w:ascii="Symbol" w:hAnsi="Symbol"/>
              </w:rPr>
              <w:t>·</w:t>
            </w:r>
          </w:p>
        </w:tc>
        <w:tc>
          <w:tcPr>
            <w:tcW w:w="9989" w:type="dxa"/>
            <w:tcBorders/>
            <w:vAlign w:val="center"/>
          </w:tcPr>
          <w:p>
            <w:pPr>
              <w:pStyle w:val="TableContents"/>
              <w:bidi w:val="0"/>
              <w:spacing w:before="0" w:after="283"/>
              <w:jc w:val="both"/>
              <w:rPr/>
            </w:pPr>
            <w:r>
              <w:rPr/>
              <w:t>the aggregate principal amount and any limit on the amount that may be issued;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currency or units based on or relating to currencies in which debt securities of such series are denominated and the currency or units in which principal or interest or both will or may be payable;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whether we will issue the series of debt securities in global form, the terms of any global securities and who the depositary will be;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78"/>
        <w:gridCol w:w="9973"/>
      </w:tblGrid>
      <w:tr>
        <w:trPr/>
        <w:tc>
          <w:tcPr>
            <w:tcW w:w="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both"/>
              <w:rPr>
                <w:rFonts w:ascii="Symbol" w:hAnsi="Symbol"/>
              </w:rPr>
            </w:pPr>
            <w:r>
              <w:rPr>
                <w:rFonts w:ascii="Symbol" w:hAnsi="Symbol"/>
              </w:rPr>
              <w:t>·</w:t>
            </w:r>
          </w:p>
        </w:tc>
        <w:tc>
          <w:tcPr>
            <w:tcW w:w="9973" w:type="dxa"/>
            <w:tcBorders/>
            <w:vAlign w:val="center"/>
          </w:tcPr>
          <w:p>
            <w:pPr>
              <w:pStyle w:val="TableContents"/>
              <w:bidi w:val="0"/>
              <w:spacing w:before="0" w:after="283"/>
              <w:jc w:val="both"/>
              <w:rPr/>
            </w:pPr>
            <w:r>
              <w:rPr/>
              <w:t>the maturity date and the date or dates on which principal will be payable;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5"/>
        <w:gridCol w:w="10029"/>
      </w:tblGrid>
      <w:tr>
        <w:trPr/>
        <w:tc>
          <w:tcPr>
            <w:tcW w:w="4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both"/>
              <w:rPr>
                <w:rFonts w:ascii="Symbol" w:hAnsi="Symbol"/>
              </w:rPr>
            </w:pPr>
            <w:r>
              <w:rPr>
                <w:rFonts w:ascii="Symbol" w:hAnsi="Symbol"/>
              </w:rPr>
              <w:t>·</w:t>
            </w:r>
          </w:p>
        </w:tc>
        <w:tc>
          <w:tcPr>
            <w:tcW w:w="10029" w:type="dxa"/>
            <w:tcBorders/>
            <w:vAlign w:val="center"/>
          </w:tcPr>
          <w:p>
            <w:pPr>
              <w:pStyle w:val="TableContents"/>
              <w:bidi w:val="0"/>
              <w:spacing w:before="0" w:after="283"/>
              <w:jc w:val="both"/>
              <w:rPr/>
            </w:pPr>
            <w:r>
              <w:rPr/>
              <w:t>whether or not the debt securities will be secured or unsecured, and the terms of any secured debt;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02"/>
        <w:gridCol w:w="9942"/>
      </w:tblGrid>
      <w:tr>
        <w:trPr/>
        <w:tc>
          <w:tcPr>
            <w:tcW w:w="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both"/>
              <w:rPr>
                <w:rFonts w:ascii="Symbol" w:hAnsi="Symbol"/>
              </w:rPr>
            </w:pPr>
            <w:r>
              <w:rPr>
                <w:rFonts w:ascii="Symbol" w:hAnsi="Symbol"/>
              </w:rPr>
              <w:t>·</w:t>
            </w:r>
          </w:p>
        </w:tc>
        <w:tc>
          <w:tcPr>
            <w:tcW w:w="9942" w:type="dxa"/>
            <w:tcBorders/>
            <w:vAlign w:val="center"/>
          </w:tcPr>
          <w:p>
            <w:pPr>
              <w:pStyle w:val="TableContents"/>
              <w:bidi w:val="0"/>
              <w:spacing w:before="0" w:after="283"/>
              <w:jc w:val="both"/>
              <w:rPr/>
            </w:pPr>
            <w:r>
              <w:rPr/>
              <w:t>the terms of the subordination of any series of subordinated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Symbol" w:hAnsi="Symbol"/>
              </w:rPr>
            </w:pPr>
            <w:r>
              <w:rPr>
                <w:rFonts w:ascii="Symbol" w:hAnsi="Symbol"/>
              </w:rPr>
              <w:t>·</w:t>
            </w:r>
          </w:p>
        </w:tc>
        <w:tc>
          <w:tcPr>
            <w:tcW w:w="9880" w:type="dxa"/>
            <w:tcBorders/>
            <w:vAlign w:val="center"/>
          </w:tcPr>
          <w:p>
            <w:pPr>
              <w:pStyle w:val="TableContents"/>
              <w:bidi w:val="0"/>
              <w:spacing w:before="0" w:after="283"/>
              <w:jc w:val="both"/>
              <w:rPr/>
            </w:pPr>
            <w:r>
              <w:rPr/>
              <w:t>the place or places where payments will be payable;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5"/>
        <w:gridCol w:w="10029"/>
      </w:tblGrid>
      <w:tr>
        <w:trPr/>
        <w:tc>
          <w:tcPr>
            <w:tcW w:w="4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both"/>
              <w:rPr>
                <w:rFonts w:ascii="Symbol" w:hAnsi="Symbol"/>
              </w:rPr>
            </w:pPr>
            <w:r>
              <w:rPr>
                <w:rFonts w:ascii="Symbol" w:hAnsi="Symbol"/>
              </w:rPr>
              <w:t>·</w:t>
            </w:r>
          </w:p>
        </w:tc>
        <w:tc>
          <w:tcPr>
            <w:tcW w:w="10029" w:type="dxa"/>
            <w:tcBorders/>
            <w:vAlign w:val="center"/>
          </w:tcPr>
          <w:p>
            <w:pPr>
              <w:pStyle w:val="TableContents"/>
              <w:bidi w:val="0"/>
              <w:spacing w:before="0" w:after="283"/>
              <w:jc w:val="both"/>
              <w:rPr/>
            </w:pPr>
            <w:r>
              <w:rPr/>
              <w:t>our right, if any, to defer payment of interest and the maximum length of any such deferral period;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date, if any, after which, and the price at which, we may, at our option, redeem the series of debt securities pursuant to any optional redemption provisions;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date, if any, on which, and the price at which we are obligated, pursuant to any mandatory sinking fund provisions or otherwise, to redeem, or at the holder’s option to purchase, the series of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whether the indenture will restrict our ability to pay dividends, or will require us to maintain any asset ratios or reserves;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both"/>
              <w:rPr>
                <w:rFonts w:ascii="Symbol" w:hAnsi="Symbol"/>
              </w:rPr>
            </w:pPr>
            <w:r>
              <w:rPr>
                <w:rFonts w:ascii="Symbol" w:hAnsi="Symbol"/>
              </w:rPr>
              <w:t>·</w:t>
            </w:r>
          </w:p>
        </w:tc>
        <w:tc>
          <w:tcPr>
            <w:tcW w:w="9971" w:type="dxa"/>
            <w:tcBorders/>
            <w:vAlign w:val="center"/>
          </w:tcPr>
          <w:p>
            <w:pPr>
              <w:pStyle w:val="TableContents"/>
              <w:bidi w:val="0"/>
              <w:spacing w:before="0" w:after="283"/>
              <w:jc w:val="both"/>
              <w:rPr/>
            </w:pPr>
            <w:r>
              <w:rPr/>
              <w:t>whether we will be restricted from incurring any additional indebtedness;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discussion of any material or special U.S. federal income tax considerations applicable to a series of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denominations in which we will issue the series of debt securities, if other than denominations of $1,000 and any integral multiple thereof;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both"/>
              <w:rPr>
                <w:rFonts w:ascii="Symbol" w:hAnsi="Symbol"/>
              </w:rPr>
            </w:pPr>
            <w:r>
              <w:rPr>
                <w:rFonts w:ascii="Symbol" w:hAnsi="Symbol"/>
              </w:rPr>
              <w:t>·</w:t>
            </w:r>
          </w:p>
        </w:tc>
        <w:tc>
          <w:tcPr>
            <w:tcW w:w="10028" w:type="dxa"/>
            <w:tcBorders/>
            <w:vAlign w:val="center"/>
          </w:tcPr>
          <w:p>
            <w:pPr>
              <w:pStyle w:val="TableContents"/>
              <w:bidi w:val="0"/>
              <w:spacing w:before="0" w:after="283"/>
              <w:jc w:val="both"/>
              <w:rPr/>
            </w:pPr>
            <w:r>
              <w:rPr/>
              <w:t>any other specific terms, preferences, rights or limitations of, or restrictions on, the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if any, on which a series of debt securities may be convertible into or exchangeable for our common shares or our other securities. We will include provisions as to whether conversion or exchange is mandatory, at the option of the holder or at our option. We may include provisions pursuant to which the number of our common shares or our other securities that the holders of the series of debt securities receive would be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Consolidation, Merger or Sale; No Protection in Event of a Change of Control or Highly Leveraged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Events of Default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under the indentures with respect to any series of debt securities that we may issue: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we fail to pay interest when due and our failure continues for 90 days and the time for payment has not been extended or deferred;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we fail to pay the principal, or premium, if any, when due and the time for payment has not been extended or delayed;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both"/>
              <w:rPr/>
            </w:pPr>
            <w:r>
              <w:rPr/>
              <w:t>if specified events of bankruptcy, insolvency or reorganization occur as to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5"/>
        <w:gridCol w:w="10029"/>
      </w:tblGrid>
      <w:tr>
        <w:trPr/>
        <w:tc>
          <w:tcPr>
            <w:tcW w:w="4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29" w:type="dxa"/>
            <w:tcBorders/>
            <w:vAlign w:val="center"/>
          </w:tcPr>
          <w:p>
            <w:pPr>
              <w:pStyle w:val="TableContents"/>
              <w:bidi w:val="0"/>
              <w:spacing w:before="0" w:after="283"/>
              <w:jc w:val="both"/>
              <w:rPr/>
            </w:pPr>
            <w:r>
              <w:rPr/>
              <w:t>the direction so given by the holder is not in conflict with any law or the applicable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subject to its duties under the Trust Indenture Act, the debenture trustee need not take any action that might involve it in personal liability or might be unduly prejudicial to the holders not involved in the proceeding.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holder previously has given written notice to the debenture trustee of a continuing event of default with respect to that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holders of at least a majority in aggregate principal amount of the outstanding debt securities of that series have made written request, and such holders have offered reasonable indemnity to the debenture trustee to institute the proceeding as trustee;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applicable debenture trustee regarding our compliance with specified covenants in the applicable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Indenture;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and we may change the applicable indenture without the consent of any holders with respect to specific matters,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Symbol" w:hAnsi="Symbol"/>
              </w:rPr>
            </w:pPr>
            <w:r>
              <w:rPr>
                <w:rFonts w:ascii="Symbol" w:hAnsi="Symbol"/>
              </w:rPr>
              <w:t>·</w:t>
            </w:r>
          </w:p>
        </w:tc>
        <w:tc>
          <w:tcPr>
            <w:tcW w:w="9945" w:type="dxa"/>
            <w:tcBorders/>
            <w:vAlign w:val="center"/>
          </w:tcPr>
          <w:p>
            <w:pPr>
              <w:pStyle w:val="TableContents"/>
              <w:bidi w:val="0"/>
              <w:spacing w:before="0" w:after="283"/>
              <w:jc w:val="both"/>
              <w:rPr/>
            </w:pPr>
            <w:r>
              <w:rPr/>
              <w:t>to fix any ambiguity, defect or inconsistency in the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to change anything that does not materially adversely affect the interests of any holder of debt securities of any series issued pursuant to such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22"/>
        <w:gridCol w:w="9916"/>
      </w:tblGrid>
      <w:tr>
        <w:trPr/>
        <w:tc>
          <w:tcPr>
            <w:tcW w:w="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Symbol" w:hAnsi="Symbol"/>
              </w:rPr>
            </w:pPr>
            <w:r>
              <w:rPr>
                <w:rFonts w:ascii="Symbol" w:hAnsi="Symbol"/>
              </w:rPr>
              <w:t>·</w:t>
            </w:r>
          </w:p>
        </w:tc>
        <w:tc>
          <w:tcPr>
            <w:tcW w:w="9916" w:type="dxa"/>
            <w:tcBorders/>
            <w:vAlign w:val="center"/>
          </w:tcPr>
          <w:p>
            <w:pPr>
              <w:pStyle w:val="TableContents"/>
              <w:bidi w:val="0"/>
              <w:spacing w:before="0" w:after="283"/>
              <w:jc w:val="both"/>
              <w:rPr/>
            </w:pPr>
            <w:r>
              <w:rPr/>
              <w:t>extending the fixed maturity of the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reducing the principal amount, reducing the rate of or extending the time of payment of interest, or any premium payable upon the redemption of any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6"/>
        <w:gridCol w:w="10015"/>
      </w:tblGrid>
      <w:tr>
        <w:trPr/>
        <w:tc>
          <w:tcPr>
            <w:tcW w:w="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Symbol" w:hAnsi="Symbol"/>
              </w:rPr>
            </w:pPr>
            <w:r>
              <w:rPr>
                <w:rFonts w:ascii="Symbol" w:hAnsi="Symbol"/>
              </w:rPr>
              <w:t>·</w:t>
            </w:r>
          </w:p>
        </w:tc>
        <w:tc>
          <w:tcPr>
            <w:tcW w:w="10015" w:type="dxa"/>
            <w:tcBorders/>
            <w:vAlign w:val="center"/>
          </w:tcPr>
          <w:p>
            <w:pPr>
              <w:pStyle w:val="TableContents"/>
              <w:bidi w:val="0"/>
              <w:spacing w:before="0" w:after="283"/>
              <w:jc w:val="both"/>
              <w:rPr/>
            </w:pPr>
            <w:r>
              <w:rPr/>
              <w:t>reducing the principal amount of discount securities payable upon acceleration of maturity;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making the principal of or premium or interest on any debt security payable in currency other than that stated in the debt security;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reducing the percentage of debt securities, the holders of which are required to consent to any amendment or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for obligations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38"/>
        <w:gridCol w:w="9895"/>
      </w:tblGrid>
      <w:tr>
        <w:trPr/>
        <w:tc>
          <w:tcPr>
            <w:tcW w:w="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Symbol" w:hAnsi="Symbol"/>
              </w:rPr>
            </w:pPr>
            <w:r>
              <w:rPr>
                <w:rFonts w:ascii="Symbol" w:hAnsi="Symbol"/>
              </w:rPr>
              <w:t>·</w:t>
            </w:r>
          </w:p>
        </w:tc>
        <w:tc>
          <w:tcPr>
            <w:tcW w:w="9895" w:type="dxa"/>
            <w:tcBorders/>
            <w:vAlign w:val="center"/>
          </w:tcPr>
          <w:p>
            <w:pPr>
              <w:pStyle w:val="TableContents"/>
              <w:bidi w:val="0"/>
              <w:spacing w:before="0" w:after="283"/>
              <w:jc w:val="both"/>
              <w:rPr/>
            </w:pPr>
            <w:r>
              <w:rPr/>
              <w:t>the transfer or exchange of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21"/>
        <w:gridCol w:w="9917"/>
      </w:tblGrid>
      <w:tr>
        <w:trPr/>
        <w:tc>
          <w:tcPr>
            <w:tcW w:w="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Symbol" w:hAnsi="Symbol"/>
              </w:rPr>
            </w:pPr>
            <w:r>
              <w:rPr>
                <w:rFonts w:ascii="Symbol" w:hAnsi="Symbol"/>
              </w:rPr>
              <w:t>·</w:t>
            </w:r>
          </w:p>
        </w:tc>
        <w:tc>
          <w:tcPr>
            <w:tcW w:w="9917" w:type="dxa"/>
            <w:tcBorders/>
            <w:vAlign w:val="center"/>
          </w:tcPr>
          <w:p>
            <w:pPr>
              <w:pStyle w:val="TableContents"/>
              <w:bidi w:val="0"/>
              <w:spacing w:before="0" w:after="283"/>
              <w:jc w:val="both"/>
              <w:rPr/>
            </w:pPr>
            <w:r>
              <w:rPr/>
              <w:t>replace stolen, lost or mutilated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483"/>
        <w:gridCol w:w="9576"/>
      </w:tblGrid>
      <w:tr>
        <w:trPr/>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rFonts w:ascii="Symbol" w:hAnsi="Symbol"/>
              </w:rPr>
            </w:pPr>
            <w:r>
              <w:rPr>
                <w:rFonts w:ascii="Symbol" w:hAnsi="Symbol"/>
              </w:rPr>
              <w:t>·</w:t>
            </w:r>
          </w:p>
        </w:tc>
        <w:tc>
          <w:tcPr>
            <w:tcW w:w="9576" w:type="dxa"/>
            <w:tcBorders/>
            <w:vAlign w:val="center"/>
          </w:tcPr>
          <w:p>
            <w:pPr>
              <w:pStyle w:val="TableContents"/>
              <w:bidi w:val="0"/>
              <w:spacing w:before="0" w:after="283"/>
              <w:jc w:val="both"/>
              <w:rPr/>
            </w:pPr>
            <w:r>
              <w:rPr/>
              <w:t>maintain paying agencies;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385"/>
        <w:gridCol w:w="9704"/>
      </w:tblGrid>
      <w:tr>
        <w:trPr/>
        <w:tc>
          <w:tcPr>
            <w:tcW w:w="11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rFonts w:ascii="Symbol" w:hAnsi="Symbol"/>
              </w:rPr>
            </w:pPr>
            <w:r>
              <w:rPr>
                <w:rFonts w:ascii="Symbol" w:hAnsi="Symbol"/>
              </w:rPr>
              <w:t>·</w:t>
            </w:r>
          </w:p>
        </w:tc>
        <w:tc>
          <w:tcPr>
            <w:tcW w:w="9704" w:type="dxa"/>
            <w:tcBorders/>
            <w:vAlign w:val="center"/>
          </w:tcPr>
          <w:p>
            <w:pPr>
              <w:pStyle w:val="TableContents"/>
              <w:bidi w:val="0"/>
              <w:spacing w:before="0" w:after="283"/>
              <w:jc w:val="both"/>
              <w:rPr/>
            </w:pPr>
            <w:r>
              <w:rPr/>
              <w:t>hold monies for payment in trust;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303"/>
        <w:gridCol w:w="9811"/>
      </w:tblGrid>
      <w:tr>
        <w:trPr/>
        <w:tc>
          <w:tcPr>
            <w:tcW w:w="9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Symbol" w:hAnsi="Symbol"/>
              </w:rPr>
            </w:pPr>
            <w:r>
              <w:rPr>
                <w:rFonts w:ascii="Symbol" w:hAnsi="Symbol"/>
              </w:rPr>
              <w:t>·</w:t>
            </w:r>
          </w:p>
        </w:tc>
        <w:tc>
          <w:tcPr>
            <w:tcW w:w="9811" w:type="dxa"/>
            <w:tcBorders/>
            <w:vAlign w:val="center"/>
          </w:tcPr>
          <w:p>
            <w:pPr>
              <w:pStyle w:val="TableContents"/>
              <w:bidi w:val="0"/>
              <w:spacing w:before="0" w:after="283"/>
              <w:jc w:val="both"/>
              <w:rPr/>
            </w:pPr>
            <w:r>
              <w:rPr/>
              <w:t>compensate and indemnify the trustee;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424"/>
        <w:gridCol w:w="9652"/>
      </w:tblGrid>
      <w:tr>
        <w:trPr/>
        <w:tc>
          <w:tcPr>
            <w:tcW w:w="12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rFonts w:ascii="Symbol" w:hAnsi="Symbol"/>
              </w:rPr>
            </w:pPr>
            <w:r>
              <w:rPr>
                <w:rFonts w:ascii="Symbol" w:hAnsi="Symbol"/>
              </w:rPr>
              <w:t>·</w:t>
            </w:r>
          </w:p>
        </w:tc>
        <w:tc>
          <w:tcPr>
            <w:tcW w:w="9652" w:type="dxa"/>
            <w:tcBorders/>
            <w:vAlign w:val="center"/>
          </w:tcPr>
          <w:p>
            <w:pPr>
              <w:pStyle w:val="TableContents"/>
              <w:bidi w:val="0"/>
              <w:spacing w:before="0" w:after="283"/>
              <w:jc w:val="both"/>
              <w:rPr/>
            </w:pPr>
            <w:r>
              <w:rPr/>
              <w:t>appoint any successor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Concerning the Debenture Trustee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Subordination of Subordinated Debt Securities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47" w:name="a_010"/>
      <w:bookmarkEnd w:id="47"/>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common shares, preferred shares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contain, where applicable, the following terms of and other information relating to the warrants: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0"/>
        <w:gridCol w:w="132"/>
        <w:gridCol w:w="10033"/>
      </w:tblGrid>
      <w:tr>
        <w:trPr/>
        <w:tc>
          <w:tcPr>
            <w:tcW w:w="40" w:type="dxa"/>
            <w:tcBorders/>
            <w:shd w:fill="FFFFFF" w:val="clear"/>
            <w:vAlign w:val="center"/>
          </w:tcPr>
          <w:p>
            <w:pPr>
              <w:pStyle w:val="TableContents"/>
              <w:bidi w:val="0"/>
              <w:spacing w:before="0" w:after="283"/>
              <w:jc w:val="left"/>
              <w:rPr>
                <w:sz w:val="4"/>
                <w:szCs w:val="4"/>
              </w:rPr>
            </w:pPr>
            <w:r>
              <w:rPr>
                <w:sz w:val="4"/>
                <w:szCs w:val="4"/>
              </w:rPr>
            </w:r>
          </w:p>
        </w:tc>
        <w:tc>
          <w:tcPr>
            <w:tcW w:w="132"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33" w:type="dxa"/>
            <w:tcBorders/>
            <w:shd w:fill="FFFFFF" w:val="clear"/>
            <w:vAlign w:val="center"/>
          </w:tcPr>
          <w:p>
            <w:pPr>
              <w:pStyle w:val="TableContents"/>
              <w:bidi w:val="0"/>
              <w:spacing w:before="0" w:after="283"/>
              <w:jc w:val="both"/>
              <w:rPr/>
            </w:pPr>
            <w:r>
              <w:rPr/>
              <w:t>the specific designation and aggregate number of, and the price at which we will issue, the warrants;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0"/>
        <w:gridCol w:w="133"/>
        <w:gridCol w:w="10032"/>
      </w:tblGrid>
      <w:tr>
        <w:trPr/>
        <w:tc>
          <w:tcPr>
            <w:tcW w:w="40" w:type="dxa"/>
            <w:tcBorders/>
            <w:shd w:fill="FFFFFF" w:val="clear"/>
            <w:vAlign w:val="center"/>
          </w:tcPr>
          <w:p>
            <w:pPr>
              <w:pStyle w:val="TableContents"/>
              <w:bidi w:val="0"/>
              <w:spacing w:before="0" w:after="283"/>
              <w:jc w:val="left"/>
              <w:rPr>
                <w:sz w:val="4"/>
                <w:szCs w:val="4"/>
              </w:rPr>
            </w:pPr>
            <w:r>
              <w:rPr>
                <w:sz w:val="4"/>
                <w:szCs w:val="4"/>
              </w:rPr>
            </w:r>
          </w:p>
        </w:tc>
        <w:tc>
          <w:tcPr>
            <w:tcW w:w="133"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32" w:type="dxa"/>
            <w:tcBorders/>
            <w:shd w:fill="FFFFFF" w:val="clear"/>
            <w:vAlign w:val="center"/>
          </w:tcPr>
          <w:p>
            <w:pPr>
              <w:pStyle w:val="TableContents"/>
              <w:bidi w:val="0"/>
              <w:spacing w:before="0" w:after="283"/>
              <w:jc w:val="both"/>
              <w:rPr/>
            </w:pPr>
            <w:r>
              <w:rPr/>
              <w:t>the currency or currency units in which the offering price, if any, and the exercise price are payable;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2"/>
        <w:gridCol w:w="141"/>
        <w:gridCol w:w="10022"/>
      </w:tblGrid>
      <w:tr>
        <w:trPr/>
        <w:tc>
          <w:tcPr>
            <w:tcW w:w="42" w:type="dxa"/>
            <w:tcBorders/>
            <w:shd w:fill="FFFFFF" w:val="clear"/>
            <w:vAlign w:val="center"/>
          </w:tcPr>
          <w:p>
            <w:pPr>
              <w:pStyle w:val="TableContents"/>
              <w:bidi w:val="0"/>
              <w:spacing w:before="0" w:after="283"/>
              <w:jc w:val="left"/>
              <w:rPr>
                <w:sz w:val="4"/>
                <w:szCs w:val="4"/>
              </w:rPr>
            </w:pPr>
            <w:r>
              <w:rPr>
                <w:sz w:val="4"/>
                <w:szCs w:val="4"/>
              </w:rPr>
            </w:r>
          </w:p>
        </w:tc>
        <w:tc>
          <w:tcPr>
            <w:tcW w:w="141"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22" w:type="dxa"/>
            <w:tcBorders/>
            <w:shd w:fill="FFFFFF" w:val="clear"/>
            <w:vAlign w:val="center"/>
          </w:tcPr>
          <w:p>
            <w:pPr>
              <w:pStyle w:val="TableContents"/>
              <w:bidi w:val="0"/>
              <w:spacing w:before="0" w:after="283"/>
              <w:jc w:val="both"/>
              <w:rPr/>
            </w:pPr>
            <w:r>
              <w:rPr/>
              <w:t>the designation, amount and terms of the securities purchasable upon exercise of the warrants;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pPr>
            <w:r>
              <w:rPr/>
              <w:t>if applicable, the exercise price for our common shares and the number of our common shares to be received upon exercise of the warrants;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pPr>
            <w:r>
              <w:rPr/>
              <w:t>if applicable, the exercise price for our preferred shares, the number of preferred shares to be received upon exercise, and a description of that series of our preferred shares;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pPr>
            <w:r>
              <w:rPr/>
              <w:t>if applicable, the exercise price for our debt securities, the amount of debt securities to be received upon exercise, and a description of that series of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pPr>
            <w:r>
              <w:rPr/>
              <w:t>the date on which the right to exercise the warrants will begin and the date on which that right will expire or, if you may not continuously exercise the warrants throughout that period, the specific date or dates on which you may exercise the warrants;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pPr>
            <w:r>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63"/>
        <w:gridCol w:w="209"/>
        <w:gridCol w:w="9933"/>
      </w:tblGrid>
      <w:tr>
        <w:trPr/>
        <w:tc>
          <w:tcPr>
            <w:tcW w:w="63" w:type="dxa"/>
            <w:tcBorders/>
            <w:shd w:fill="FFFFFF" w:val="clear"/>
            <w:vAlign w:val="center"/>
          </w:tcPr>
          <w:p>
            <w:pPr>
              <w:pStyle w:val="TableContents"/>
              <w:bidi w:val="0"/>
              <w:spacing w:before="0" w:after="283"/>
              <w:jc w:val="left"/>
              <w:rPr>
                <w:sz w:val="4"/>
                <w:szCs w:val="4"/>
              </w:rPr>
            </w:pPr>
            <w:r>
              <w:rPr>
                <w:sz w:val="4"/>
                <w:szCs w:val="4"/>
              </w:rPr>
            </w:r>
          </w:p>
        </w:tc>
        <w:tc>
          <w:tcPr>
            <w:tcW w:w="209"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9933" w:type="dxa"/>
            <w:tcBorders/>
            <w:shd w:fill="FFFFFF" w:val="clear"/>
            <w:vAlign w:val="center"/>
          </w:tcPr>
          <w:p>
            <w:pPr>
              <w:pStyle w:val="TableContents"/>
              <w:bidi w:val="0"/>
              <w:spacing w:before="0" w:after="283"/>
              <w:jc w:val="both"/>
              <w:rPr/>
            </w:pPr>
            <w:r>
              <w:rPr/>
              <w:t>any applicable material U.S. federal income tax consequences;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pPr>
            <w:r>
              <w:rPr/>
              <w:t>the identity of the warrant agent for the warrants and of any other depositaries, execution or paying agents, transfer agents, registrars or other agents;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pPr>
            <w:r>
              <w:rPr/>
              <w:t>the proposed listing, if any, of the warrants or any securities purchasable upon exercise of the warrants on any securities exchange;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pPr>
            <w:r>
              <w:rPr/>
              <w:t>if applicable, the date from and after which the warrants and the common shares, preferred shares and/or debt securities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9"/>
        <w:gridCol w:w="129"/>
        <w:gridCol w:w="10037"/>
      </w:tblGrid>
      <w:tr>
        <w:trPr/>
        <w:tc>
          <w:tcPr>
            <w:tcW w:w="3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37" w:type="dxa"/>
            <w:tcBorders/>
            <w:shd w:fill="FFFFFF" w:val="clear"/>
            <w:vAlign w:val="center"/>
          </w:tcPr>
          <w:p>
            <w:pPr>
              <w:pStyle w:val="TableContents"/>
              <w:bidi w:val="0"/>
              <w:spacing w:before="0" w:after="283"/>
              <w:jc w:val="left"/>
              <w:rPr/>
            </w:pPr>
            <w:r>
              <w:rPr/>
              <w:t>if applicable, the minimum or maximum amount of the warrants that may be exercised at any one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68"/>
        <w:gridCol w:w="226"/>
        <w:gridCol w:w="9911"/>
      </w:tblGrid>
      <w:tr>
        <w:trPr/>
        <w:tc>
          <w:tcPr>
            <w:tcW w:w="68"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911" w:type="dxa"/>
            <w:tcBorders/>
            <w:shd w:fill="FFFFFF" w:val="clear"/>
            <w:vAlign w:val="center"/>
          </w:tcPr>
          <w:p>
            <w:pPr>
              <w:pStyle w:val="TableContents"/>
              <w:bidi w:val="0"/>
              <w:spacing w:before="0" w:after="283"/>
              <w:jc w:val="left"/>
              <w:rPr/>
            </w:pPr>
            <w:r>
              <w:rPr/>
              <w:t>information with respect to book-entry procedures, if 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78"/>
        <w:gridCol w:w="260"/>
        <w:gridCol w:w="9867"/>
      </w:tblGrid>
      <w:tr>
        <w:trPr/>
        <w:tc>
          <w:tcPr>
            <w:tcW w:w="78" w:type="dxa"/>
            <w:tcBorders/>
            <w:shd w:fill="FFFFFF" w:val="clear"/>
            <w:vAlign w:val="center"/>
          </w:tcPr>
          <w:p>
            <w:pPr>
              <w:pStyle w:val="TableContents"/>
              <w:bidi w:val="0"/>
              <w:spacing w:before="0" w:after="283"/>
              <w:jc w:val="left"/>
              <w:rPr>
                <w:sz w:val="4"/>
                <w:szCs w:val="4"/>
              </w:rPr>
            </w:pPr>
            <w:r>
              <w:rPr>
                <w:sz w:val="4"/>
                <w:szCs w:val="4"/>
              </w:rPr>
            </w:r>
          </w:p>
        </w:tc>
        <w:tc>
          <w:tcPr>
            <w:tcW w:w="260"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867" w:type="dxa"/>
            <w:tcBorders/>
            <w:shd w:fill="FFFFFF" w:val="clear"/>
            <w:vAlign w:val="center"/>
          </w:tcPr>
          <w:p>
            <w:pPr>
              <w:pStyle w:val="TableContents"/>
              <w:bidi w:val="0"/>
              <w:spacing w:before="0" w:after="283"/>
              <w:jc w:val="left"/>
              <w:rPr/>
            </w:pPr>
            <w:r>
              <w:rPr/>
              <w:t>the anti-dilution provisions of the warrants, if 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113"/>
        <w:gridCol w:w="374"/>
        <w:gridCol w:w="9718"/>
      </w:tblGrid>
      <w:tr>
        <w:trPr/>
        <w:tc>
          <w:tcPr>
            <w:tcW w:w="113" w:type="dxa"/>
            <w:tcBorders/>
            <w:shd w:fill="FFFFFF" w:val="clear"/>
            <w:vAlign w:val="center"/>
          </w:tcPr>
          <w:p>
            <w:pPr>
              <w:pStyle w:val="TableContents"/>
              <w:bidi w:val="0"/>
              <w:spacing w:before="0" w:after="283"/>
              <w:jc w:val="left"/>
              <w:rPr>
                <w:sz w:val="4"/>
                <w:szCs w:val="4"/>
              </w:rPr>
            </w:pPr>
            <w:r>
              <w:rPr>
                <w:sz w:val="4"/>
                <w:szCs w:val="4"/>
              </w:rPr>
            </w:r>
          </w:p>
        </w:tc>
        <w:tc>
          <w:tcPr>
            <w:tcW w:w="374"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718" w:type="dxa"/>
            <w:tcBorders/>
            <w:shd w:fill="FFFFFF" w:val="clear"/>
            <w:vAlign w:val="center"/>
          </w:tcPr>
          <w:p>
            <w:pPr>
              <w:pStyle w:val="TableContents"/>
              <w:bidi w:val="0"/>
              <w:spacing w:before="0" w:after="283"/>
              <w:jc w:val="left"/>
              <w:rPr/>
            </w:pPr>
            <w:r>
              <w:rPr/>
              <w:t>any redemption or call provisions;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7"/>
        <w:gridCol w:w="156"/>
        <w:gridCol w:w="10002"/>
      </w:tblGrid>
      <w:tr>
        <w:trPr/>
        <w:tc>
          <w:tcPr>
            <w:tcW w:w="47" w:type="dxa"/>
            <w:tcBorders/>
            <w:shd w:fill="FFFFFF" w:val="clear"/>
            <w:vAlign w:val="center"/>
          </w:tcPr>
          <w:p>
            <w:pPr>
              <w:pStyle w:val="TableContents"/>
              <w:bidi w:val="0"/>
              <w:spacing w:before="0" w:after="283"/>
              <w:jc w:val="left"/>
              <w:rPr>
                <w:sz w:val="4"/>
                <w:szCs w:val="4"/>
              </w:rPr>
            </w:pPr>
            <w:r>
              <w:rPr>
                <w:sz w:val="4"/>
                <w:szCs w:val="4"/>
              </w:rPr>
            </w:r>
          </w:p>
        </w:tc>
        <w:tc>
          <w:tcPr>
            <w:tcW w:w="156"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02" w:type="dxa"/>
            <w:tcBorders/>
            <w:shd w:fill="FFFFFF" w:val="clear"/>
            <w:vAlign w:val="center"/>
          </w:tcPr>
          <w:p>
            <w:pPr>
              <w:pStyle w:val="TableContents"/>
              <w:bidi w:val="0"/>
              <w:spacing w:before="0" w:after="283"/>
              <w:jc w:val="left"/>
              <w:rPr/>
            </w:pPr>
            <w:r>
              <w:rPr/>
              <w:t>whether the warrants may be sold separately or with other securities as parts of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100"/>
        <w:gridCol w:w="332"/>
        <w:gridCol w:w="9773"/>
      </w:tblGrid>
      <w:tr>
        <w:trPr/>
        <w:tc>
          <w:tcPr>
            <w:tcW w:w="100"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773" w:type="dxa"/>
            <w:tcBorders/>
            <w:shd w:fill="FFFFFF" w:val="clear"/>
            <w:vAlign w:val="center"/>
          </w:tcPr>
          <w:p>
            <w:pPr>
              <w:pStyle w:val="TableContents"/>
              <w:bidi w:val="0"/>
              <w:spacing w:before="0" w:after="283"/>
              <w:jc w:val="left"/>
              <w:rPr/>
            </w:pPr>
            <w:r>
              <w:rPr/>
              <w:t>the governing law of the warrants;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pPr>
            <w:r>
              <w:rPr/>
              <w:t>any additional terms of the warrants, including terms, procedures and limitations relating to the exchange and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any warrants we offer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28, 2023, there were an aggregate of 15,000,000 outstanding public warrants held of record by one holder, which entitle the holder to acquire Common Shares. Each whole public warrant entitles the registered holder to purchase one Common Share at an exercise price of $11.50 per share, subject to adjustment as discussed below, beginning on October 9, 2021. Pursuant to the warrant agreement, a warrant holder may exercise its warrants only for a whole number of Common Shares. This means only a whole warrant may be exercised at a given time by a warrant holder. No fractional warrants will be issued upon separation of the units, and only whole warrants will trade. Accordingly, unless you hold at least three units, you will not be able to receive or trade a whole warrant. The warrants will expire on September 9, 2026, at 5:00 p.m., New York City time, or earlier upon redemption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obligated to deliver any Common Shares pursuant to the exercise of a warrant and will have no obligation to settle such warrant exercise unless a registration statement under the Securities Act with respect to the Common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Common Share upon exercise of a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Common Share underlying such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we may call the warrants for redemption: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509"/>
        <w:gridCol w:w="9542"/>
      </w:tblGrid>
      <w:tr>
        <w:trPr/>
        <w:tc>
          <w:tcPr>
            <w:tcW w:w="15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rFonts w:ascii="Symbol" w:hAnsi="Symbol"/>
              </w:rPr>
            </w:pPr>
            <w:r>
              <w:rPr>
                <w:rFonts w:ascii="Symbol" w:hAnsi="Symbol"/>
              </w:rPr>
              <w:t>·</w:t>
            </w:r>
          </w:p>
        </w:tc>
        <w:tc>
          <w:tcPr>
            <w:tcW w:w="9542" w:type="dxa"/>
            <w:tcBorders/>
            <w:vAlign w:val="center"/>
          </w:tcPr>
          <w:p>
            <w:pPr>
              <w:pStyle w:val="TableContents"/>
              <w:bidi w:val="0"/>
              <w:spacing w:before="0" w:after="283"/>
              <w:jc w:val="both"/>
              <w:rPr/>
            </w:pPr>
            <w:r>
              <w:rPr/>
              <w:t>in whole and not in part;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11"/>
        <w:gridCol w:w="9670"/>
      </w:tblGrid>
      <w:tr>
        <w:trPr/>
        <w:tc>
          <w:tcPr>
            <w:tcW w:w="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rFonts w:ascii="Symbol" w:hAnsi="Symbol"/>
              </w:rPr>
            </w:pPr>
            <w:r>
              <w:rPr>
                <w:rFonts w:ascii="Symbol" w:hAnsi="Symbol"/>
              </w:rPr>
              <w:t>·</w:t>
            </w:r>
          </w:p>
        </w:tc>
        <w:tc>
          <w:tcPr>
            <w:tcW w:w="9670" w:type="dxa"/>
            <w:tcBorders/>
            <w:vAlign w:val="center"/>
          </w:tcPr>
          <w:p>
            <w:pPr>
              <w:pStyle w:val="TableContents"/>
              <w:bidi w:val="0"/>
              <w:spacing w:before="0" w:after="283"/>
              <w:jc w:val="both"/>
              <w:rPr/>
            </w:pPr>
            <w:r>
              <w:rPr/>
              <w:t>at a price of $0.01 per warrant;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both"/>
              <w:rPr/>
            </w:pPr>
            <w:r>
              <w:rPr/>
              <w:t>upon not less than 30 days’ prior written notice of redemption to each warrant holder;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and only if, the closing price of the Common Shares equals or exceeds $18.00 per share (as adjusted for share splits, share capitalizations, reorganizations, recapitalizations and the like) for any 20 trading days within a 30-trading day period ending on the third trading day prior to the date on which notice of the redemption is given to the warrant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the warrants become redeemable by us, we may exercise our redemption right even if we are unable to register or qualify the underlying securities for sale under all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Common Shares may fall below the $18.00 redemption trigger price (as adjusted for share splits, share capitalizations, reorganizations, recapitalizations and the like) as well as the $11.50 (for whole shares) warrant exercise price after the redemption notice is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Procedures and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warrants for redemption when the price per share of Common Shares equals or exceeds $18.00, our management will have the option to require any holder that wishes to exercise his, her or its warrant to do so on a “cashless basis” beginning on the third trading day prior to the date on which notice of the redemption is given to the holders of warrants.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Common Shares issuable upon the exercise of our warrants. If our management takes advantage of this option, all holders of warrants would pay the exercise price by surrendering their warrants for that number of shares equal to the lesser of (A) the quotient obtained by dividing (x) the product of the number of Common Shares underlying the warrants, multiplied by the excess of the “fair market value” (defined below) over the exercise price of the warrants by (y) the fair market value and (B) 0.365. The “fair market value” will mean the average closing price of the Common Shares for the ten (10) trading days ending on the third trading day prior to the date on which the notice of redemption is sent to the holders of warrants. If our management takes advantage of this option, the notice of redemption will contain the information necessary to calculate the number of Common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team does not take advantage of this option, the permitted transferees of Sustainable Opportunities Holdings LLC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Common Shares issued and outstanding immediately after giving effect to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Anti-dilution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Common Shares is increased by a capitalization or share dividend payable in Common Shares, or by a split-up of common shares or other similar event, then, on the effective date of such capitalization or share dividend, split-up or similar event, the number of Common Shares issuable on exercise of each warrant will be increased in proportion to such increase in the outstanding common shares. A rights offering made to all or substantially all holders of common shares entitling holders to purchase Common Shares at a price less than the “historical fair market value” (as defined below) will be deemed a share dividend of a number of Common Shares equal to the product of (i) the number of Common Shares actually sold in such rights offering (or issuable under any other equity securities sold in such rights offering that are convertible into or exercisable for Common Shares) and (ii) one minus the quotient of (x) the price per Common Shares paid in such rights offering and (y) the historical fair market value. For these purposes, (i) if the rights offering is for securities convertible into or exercisable for Class A ordinary shares, in determining the price payable for Common Shares, there will be taken into account any consideration received for such rights, as well as any additional amount payable upon exercise or conversion and (ii) “historical fair market value” means the volume weighted average price of Common Shares as reported during the 10 trading day period ending on the trading day prior to the first date on which the Common Shares trade on the applicable exchange or in the applicable market, regular way, without the right to receive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warrants are outstanding and unexpired, pay a dividend or make a distribution in cash, securities or other assets to all or substantially all the holders of Common Shares on account of such shares (or other securities into which the warrants are convertible), other than (a) as described above, (b) any cash dividends or cash distributions which, when combined on a per share basis with all other cash dividends and cash distributions paid on the Common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Common Shares issuable on exercise of each warrant) but only with respect to the amount of the aggregate cash dividends or cash distributions equal to or less than $0.50 per share, or (c) to satisfy the redemption rights of the holders of Common Shares in connection with the Business Combination, then the warrant exercise price will be decreased, effective immediately after the effective date of such event, by the amount of cash and/or the fair market value of any securities or other assets paid on each share of Common Shares in respect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Common Shares is decreased by a consolidation, combination, reverse share split or reclassification of share of Common Shares or other similar event, then, on the effective date of such consolidation, combination, reverse share split, reclassification or similar event, the number of Common Shares issuable on exercise of each warrant will be decreased in proportion to such decrease in outstanding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Common Shares purchasable upon the exercise of the warrants is adjusted, as described above, the warrant exercise price will be adjusted by multiplying the warrant exercise price immediately prior to such adjustment by a fraction (x) the numerator of which will be the number of Common Shares purchasable upon the exercise of the warrants immediately prior to such adjustment and (y) the denominator of which will be the number of Common Shares so purchasable immediately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Common Shares (other than those described above or that solely affects the par value of such Common Shares), or in the case of any merger or consolidation of with or into another company (other than a consolidation or merger in which we are the continuing company and that does not result in any reclassification or reorganization of our outstanding Common Shares), or in the case of any sale or conveyance to another company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Common Shares immediately theretofore purchasable and receivable upon the exercise of the rights represented thereby, the kind and amount of Common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Shares in such a transaction is payable in the form of Common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or correct any mistake, including to conform the provisions of the warrant agreement to the description of the terms of the warrants and the warrant agreement set forth in SOAC’s prospectus for its initial public offering, but requires the approval by the holders of at least 50% of the then outstanding public warrants to make any change that adversely affects the interests of the registered holders. You should review a copy of the warrant agreement, which is filed as an exhibit to the registration statement of which this prospectus is a part, for a complete description of the terms and conditions applicable to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holders do not have the rights or privileges of holders of Common Shares and any voting rights until they exercise their warrants and receive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warrants will be issued upon separation of the units and only whole warrants will trade. If, upon exercise of the warrants, a holder would be entitled to receive a fractional interest in a share, we will, upon exercise, round down to the nearest whole number the number of Common Shares to be issued to the warrant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for our public warrants is Continental Stock Transfer &amp;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public warrants are listed for trading on the Nasdaq Global Select Market under the symbol “TMCWW”.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28, 2023, there were 9,500,000 private placement warrants outstanding held of record by 32 holders. The private placement warrants (including the Common Shares issuable upon exercise of the private placement warrants) were not transferable, assignable or salable until October 9, 2021, except pursuant to limited exceptions to our officers and directors and other persons or entities affiliates with the initial purchasers of the private placement warrants, and they are not redeemable by us, except as described above when the prices per share of Common Shares equals or exceeds $10.00, so long as they are held by SOAC or its permitted transferees. SOAC, or its permitted transferees, has the option to exercise the private placement warrants on a cashless basis. Except as described below, the private placement warrants have terms and provisions that are identical to those of the public warrants. If the private placement warrants are held by holders other than SOAC or its permitted transferees, the private placement warrants will be redeemable by us and exercisable by the holders on the same basis as the public warrants.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regarding redemption procedures and cashless exercise in respect of the public warrants, if holders of the private placement warrants elect to exercise them on a cashless basis, they would pay the exercise price by surrendering his, her or its warrants for that number of Common Shares equal to the quotient obtained by dividing (x) the product of the number of Common Shares underlying the warrants, multiplied by the excess of the “fair market value” (defined below) over the exercise price of the warrants by (y) the fair market value. The “fair market value” shall mean the average reported closing price of the Common Shares for the ten (10) trading days ending on the third trading day prior to the date on which the notice of warrant exercise is sent to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August 14, 2023 registered direct offering of common shares and accompanying Class A warrants to purchase common shares at a purchase price of $2.00 per common share and accompanying half of a Class A warrant to purchase one common share, as of November 28, 2023, we have issued Class A warrants to purchase 3,980,770 common shares and expect to issue additional Class A warrants to purchase 2,250,000 common shares on or before January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warrants are exercisable at any time on or after the issuance date. The Class A warrants will be exercisable, at the option of each holder, in whole or in part by delivering to us a duly executed exercise notice and, at any time a registration statement registering the issuance of the common shares underlying the Class A warrants under the Securities Act is effective and available for the issuance of such shares, or an exemption from registration under the Securities Act is available for the issuance of such shares, by payment in full in immediately available funds for the number of common shares purchased upon such exercise. If a registration statement registering the issuance of the common shares underlying the Class A warrants under the Securities Act is not then effective or available, the holder may only exercise the Class A warrant through a cashless exercise, in which case the holder would receive upon such exercise the net number of common shares determined according to the formula set forth in the Class A warrant. No fractional shares will be issued in connection with the exercise of a Class A warrant. In lieu of fractional shares, we will round down to the next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will not have the right to exercise any portion of the Class A warrant if the holder (together with its affiliates) would beneficially own in excess of 4.99% (or 9.99% or 19.99% at the election of a holder prior to the date of issuance) of the number of common shares outstanding immediately after giving effect to the exercise, as such percentage ownership is determined in accordance with the terms of the Class A warrants. However, any holder may increase or decrease such percentage to any other percentage not in excess of 9.99% (or 19.99% with prior written approval of the Company) upon at least 61 days’ prior notice from the holder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Price;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exercise price per common share purchasable upon exercise of the Class A warrants is $3.00 per common share, subject to adjustment for reverse and forward stock splits, stock dividends, stock combinations and other similar transactions of the common shares. The exercise price is subject to appropriate adjustment in the event of certain stock dividends and distributions, stock splits, stock combinations, reclassifications or similar events affecting our common shares and also upon any distributions of assets, including cash, shares or other property to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Transferability/Warrant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the Class A warrants may be offered for sale, sold, transferred or assigned without our consent. There is currently no trading market for the Class A warrants and a trading market is not expected to develop. The Company will initially act as warrant agent for the Class A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plan on making the Class A warrants eligible to trade on any national securities exchange or any other nationally recognized trading system or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Fundamental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fundamental transaction, as described in the Class A warrants and generally including any reorganization, recapitalization or reclassification of our common shares, the sale, transfer or other disposition of all or substantially all of our properties or assets, our consolidation or merger with or into another person, the holders of the Class A warrants will be entitled to receive upon exercise of the Class A warrants the kind and amount of securities, cash or other property that the holders would have received had they exercised the Class A warrants immediately prior to such fundamental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Class A warrants, if (i) the volume weighted average price for each of 30 consecutive trading days exceeds $6.50 (subject to adjustment for forward and reverse stock splits, recapitalizations, stock dividends) and (ii) the holder of the Class A warrant is not in possession of any information that constitutes, or might constitute, material non-public information which was provided by the Company, then the Company may, within one trading day of the end of such 30-day period, call for cancellation of all or any portion of the Class A warrants for which a notice of exercise has not yet been delivered for consideration equal to $0.0001 per warrant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Price Adjustment for Certain Share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customary exceptions set forth in the Class A warrants, from the original issue date of the Class A warrant until December 31, 2024, if the Company or any subsidiary thereof, as applicable, at any time while the Class A warrant is outstanding, shall sell or grant any option to purchase, or sell or grant any right to reprice, or otherwise dispose of or issue (or announce any offer, sale, grant or any option to purchase or other disposition) any common shares or common share equivalents, at an effective price per share less than the lower of (i) $2.00 (subject to adjustment for forward and reverse share splits, recapitalizations, share dividends and the like), and (ii) the exercise then in effect (such lower price, the “Base Share Price” and such issuances collectively, a “Dilutive Issuance”), then simultaneously with the consummation of each Dilutive Issuance the exercise price shall be reduced to equal the Base Share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as a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Class A warrants or by virtue of such holder’s ownership of common shares, the holder of a Class A warrant does not have the rights or privileges of a holder of our common share, including any voting rights, until the holder exercises the Class A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warrants are governed by New York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48" w:name="a_011"/>
      <w:bookmarkEnd w:id="48"/>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supplements, summarizes the material terms and provisions of the units that we may offer under this prospectus. While the terms summarized below will apply generally to any units that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debt securities, common shares, preferred shares, or warrants, for the purchase of common shares and/or preferred shares in one or more series,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being offered,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6"/>
        <w:gridCol w:w="152"/>
        <w:gridCol w:w="10007"/>
      </w:tblGrid>
      <w:tr>
        <w:trPr/>
        <w:tc>
          <w:tcPr>
            <w:tcW w:w="46" w:type="dxa"/>
            <w:tcBorders/>
            <w:shd w:fill="FFFFFF" w:val="clear"/>
            <w:vAlign w:val="center"/>
          </w:tcPr>
          <w:p>
            <w:pPr>
              <w:pStyle w:val="TableContents"/>
              <w:bidi w:val="0"/>
              <w:spacing w:before="0" w:after="283"/>
              <w:jc w:val="left"/>
              <w:rPr>
                <w:sz w:val="4"/>
                <w:szCs w:val="4"/>
              </w:rPr>
            </w:pPr>
            <w:r>
              <w:rPr>
                <w:sz w:val="4"/>
                <w:szCs w:val="4"/>
              </w:rPr>
            </w:r>
          </w:p>
        </w:tc>
        <w:tc>
          <w:tcPr>
            <w:tcW w:w="152"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7" w:type="dxa"/>
            <w:tcBorders/>
            <w:shd w:fill="FFFFFF" w:val="clear"/>
            <w:vAlign w:val="center"/>
          </w:tcPr>
          <w:p>
            <w:pPr>
              <w:pStyle w:val="TableContents"/>
              <w:bidi w:val="0"/>
              <w:spacing w:before="0" w:after="283"/>
              <w:jc w:val="both"/>
              <w:rPr/>
            </w:pPr>
            <w:r>
              <w:rPr/>
              <w:t>any provisions of the governing unit agreement that differ from those described below;</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87"/>
        <w:gridCol w:w="288"/>
        <w:gridCol w:w="9830"/>
      </w:tblGrid>
      <w:tr>
        <w:trPr/>
        <w:tc>
          <w:tcPr>
            <w:tcW w:w="87" w:type="dxa"/>
            <w:tcBorders/>
            <w:shd w:fill="FFFFFF" w:val="clear"/>
            <w:vAlign w:val="center"/>
          </w:tcPr>
          <w:p>
            <w:pPr>
              <w:pStyle w:val="TableContents"/>
              <w:bidi w:val="0"/>
              <w:spacing w:before="0" w:after="283"/>
              <w:jc w:val="left"/>
              <w:rPr>
                <w:sz w:val="4"/>
                <w:szCs w:val="4"/>
              </w:rPr>
            </w:pPr>
            <w:r>
              <w:rPr>
                <w:sz w:val="4"/>
                <w:szCs w:val="4"/>
              </w:rPr>
            </w:r>
          </w:p>
        </w:tc>
        <w:tc>
          <w:tcPr>
            <w:tcW w:w="288"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9830" w:type="dxa"/>
            <w:tcBorders/>
            <w:shd w:fill="FFFFFF" w:val="clear"/>
            <w:vAlign w:val="center"/>
          </w:tcPr>
          <w:p>
            <w:pPr>
              <w:pStyle w:val="TableContents"/>
              <w:bidi w:val="0"/>
              <w:spacing w:before="0" w:after="283"/>
              <w:jc w:val="both"/>
              <w:rPr/>
            </w:pPr>
            <w:r>
              <w:rPr/>
              <w:t>the governing law of the unit agreement;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pPr>
            <w:r>
              <w:rPr/>
              <w:t>any provisions for the issuance, payment, settlement, transfer or exchange of the units or of the securities comprising the units.</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such numbers of distinct series as we determine.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Common Shares and Special Shares,” “Description of Preferred Shares,” “Description of Debt Securities” and “Description of Warrants” will apply to each unit, as applicable, and to any common share, preferred share or warrant included in each unit, as applicable.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address of the unit agent for any units we offer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9" w:name="a_012"/>
      <w:bookmarkEnd w:id="49"/>
      <w:r>
        <w:rPr>
          <w:rFonts w:ascii="Times New Roman;Times;Serif" w:hAnsi="Times New Roman;Times;Serif"/>
          <w:b/>
          <w:i w:val="false"/>
          <w:caps w:val="false"/>
          <w:smallCaps w:val="false"/>
          <w:sz w:val="20"/>
        </w:rPr>
        <w:t>CERTAIN IMPORTANT PROVISIONS OF THE NOTICE OF ARTICLES AND ARTICLES AND THE BCBCA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important provisions of our Articles and certain related sections of the BCBCA. Please note that this is only a summary and is not intended to be exhaustive. This summary is subject to, and is qualified in its entirety by reference to, the provisions of our Articles and the BCBCA.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Stated Objects or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articles and articles do not contain stated objects or purposes and do not place any limitations on the business that we may carry 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vote on matters in which a director is materially interested. Under the BCBCA, a director or senior officer of a company is liable to account to the company for any profit that accrues to the director or senior officer under or as a result of a contract or transaction in which the director or officer holds a disclosable interest if the contract or transaction is material to the company, the company has entered, or proposes to enter, into the contract or transaction, and either the director or senior officer has a material interest in the contract or transaction or is a director or senior officer of, or has a material interest in, a person who has a material interest in the contract or transaction, unless otherwise provided for in the BCBCA. A director or senior officer does not hold a disclosable interest in a contract or transaction if the contract or transaction: (i) is an arrangement by way of security granted by the company for money loaned to, or obligations undertaken by, the director or senior officer, or a person in whom the director or senior officer has a material interest, for the benefit the company or for one of our affiliates’ benefit; (ii) relates to an indemnity or insurance permitted under the BCBCA; (iii) relates to the remuneration of the director or senior officer in his or her capacity as director, officer, employee or agent of the company or of one of its affiliates; (iv) relates to a loan to the company and the director or senior officer, or a person in whom the director or senior officer has a material interest, is the guarantor of some or all of the loan; or (v) is with a company that is affiliated to the company and the director or senior officer is also a director or senior officer of that company or an affiliate of that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or senior officer who holds a disclosable interest may also be liable to account to the company for any profit that accrues to the director or senior officer under or as a result of a contract or transaction in which the director or senior officer holds a disclosable interest, unless the contract or transaction is: (i) approved by the other non-interested directors (unless all directors have a disclosable interest) or by a special resolution of the shareholders, after the nature and extent of the disclosable interest has been disclosed to the directors or shareholders, as applicable, or (ii) the contract or transaction was entered into before the individual became a director or senior officer, the disclosable interest was disclosed to the other directors or shareholders and the director or senior officer who holds the disclosable interest does not vote on any decision or resolution touching on the contract or transaction. Directors and senior officers are also required to comply with certain other relevant provisions of the BCBCA regarding conflicts of interest. A director who holds such disclosable interest in respect of any material contract or transaction into which the company has entered or propose to enter may be required to absent himself or herself from the meeting while discussions and voting with respect to the matter are taking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power to determine the remuneration of directors. The remuneration of our directors, if any, may be determined by our directors subject to our Articles. The remuneration may be in addition to any salary or other remuneration paid to any of our employees (including executive officers) who are also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required to be owned by a director. Our Articles do not and the BCBCA does not provide that a director is required to hold any of Common Shares as a qualification for holding his or her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exchange requirements, and the BCBCA, we will have to hold a general meeting of our shareholders at least once every year at a time and place determined by our board of directors, provided that the meeting must not be held later than 15 months after the preceding annual general meeting, unless an extension is obtained. A meeting of our shareholders may be held anywhere in or outside British Columbia. The board of directors may also determine that shareholders may attend a meeting of shareholders by means of telephone, electronic or other communications facilities that permit all participants to communicate with each other during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to convene a meeting, specifying the date, time and location of the meeting, and, where a meeting is to consider special business, the general nature of the special business, among other things, must be sent to each shareholder entitled to attend the meeting and to each director and the auditors, so long that the company is a public company, not less than 21 days and no more than two months prior to the meeting, although, as a result of applicable securities laws, the minimum time for notice is effectively longer in most circumstances. Under the BCBCA, shareholders entitled to notice of a meeting may waive or reduce the period of notice for that meeting, provided applicable securities laws are met. The accidental omission to send notice of any meeting of shareholders to, or the non-receipt of any notice by, any person entitled to notice does not invalidate any proceedings at that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for meetings of shareholders is present if at least two shareholders who, in the aggregate, hold at least 5% of the issued shares entitled to vote at the meeting, are present in person or represented by proxy at the meeting. If a quorum is not present within one half hour from the time set for the opening of any meeting of shareholders, the meeting stands adjourned to the same day in the next week at the same time and place, unless the meeting was requisitioned by shareholders, in which case the meeting is dissolved.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Shares are entitled to attend and vote at meetings of our shareholders except meetings at which only holders another class of shares are entitled to vote. Except as otherwise provided with respect to any particular series of preferred shares or Special Shares, and except as otherwise required by law, the holders of our preferred shares and/or Special Shares are not entitled to vote at any meetings of our shareholders. Our directors and officers, our auditor and any other persons invited by our directors or the chair of the meeting are entitled to attend any meeting of our shareholders but will not be counted in the quorum or be entitled to vote at the meeting unless he or she is a shareholder or proxyholder entitled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 and Advance Notice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BCBCA, qualified shareholders holding at least either (i) 1% of the Common Shares or (ii) Common Shares with a fair market value in excess of CAD$2,000 may make proposals for matters to be considered at the annual general meeting of shareholders. Such proposals must be sent to us in advance of any proposed meeting by delivering a timely written notice in proper form to our registered office in accordance with the requirements of the BCBCA. The notice must include information on the business the shareholder intends to bring before the meeting. To be a qualified shareholder, a shareholder must currently be and have been a registered or beneficial owner of at least one Common Share for at least two years before the date of signing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advance notice provisions with respect to the election of our directors are included in the notice of articles and articles, referred to herein as the Advance Notice Provisions. The Advance Notice Provisions are intended to: (i) facilitate orderly and efficient annual general meetings or, where the need arises, special meetings; (ii) ensure that all shareholders receive adequate notice of board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Advance Notice Provisions, a shareholder wishing to nominate a director would be required to provide us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referred to herein as the Notice Date, is less than 50 days before the meeting date, not later than the close of business on the 10th day following the Notice Date; and (ii) in the case of a special meeting (which is not also an annual meeting) of shareholders called for any purpose which includes electing directors, not later than the close of business on the 15th day following the Notice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could have the effect of delaying until the next shareholder meeting the nomination of certain persons for director that are favored by the holders of a majority of our outstanding voting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Forum Selection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articles and articles include a forum selection provision that provides that, unless we consent in writing to the selection of an alternative forum, the Supreme Court of British Columbia, Canada and the appellate courts therefrom, are the sole and exclusive forum for (i) any derivative action or proceeding brought on our behalf; (ii) any action or proceeding asserting a claim of breach of a fiduciary duty owed by any of our directors, officers, or other employees to our company; (iii) any action or proceeding asserting a claim arising pursuant to any provision of the BCBCA or the notice of articles and articles (as each may be amended from time to time); or (iv) any action or proceeding asserting a claim otherwise related to the relationships among us, our affiliates and our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This provision does not apply to suits brought to enforce any duty or liability created by the Securities Act or the Exchange Act, or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claims brought under the Securities Act, Section 22 of the Securities Act creates concurrent jurisdiction for federal and state courts over all claims brought to enforce any duty or liability created by the Securities Act or the rules and regulations thereunder and the notice of articles and articles provides that the federal district courts of the United States of America, to the fullest extent permitted by law, are the sole and exclusive forum for resolving any complaint asserting a cause of action arising under the Securities Act, referred to herein as the Federal Forum Provision. Application of the Federal Forum Provision means that suits brought by our shareholders to enforce any duty or liability created by the Securities Act must be brought in federal court and cannot be brought in state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any of Common Shares shall be deemed to have notice of and consented to the aforementioned forum selection provisions, including the Federal Forum Provision. Additionally, our shareholders cannot waive compliance with the federal securities laws and the rules and regulations thereunder. These provisions may limit our shareholders’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the notice of articles and articles to be inapplicable or unenforceable in an action, we may incur additional costs associated with resolving such action in other jurisdictions, which could harm our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of Liability and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BCBCA, a company may indemnify: (i) a current or former director or officer of that company; (ii) a current or former director or officer of another company if, at the time such individual held such office, such company was an affiliate of the company, or if such individual held such office at the company’s request; or (iii) an individual who, at the request of the company, held, or holds, an equivalent position in another entity, or an indemnifiable person, against all judgments, penalties or fines, or amounts paid to settle a proceeding or an action, in respect of any legal proceeding or investigative action (whether current, threatened, pending or completed) in which he or she is involved because of that person’s position as an indemnifiable person, or an eligible proceeding, unless: (i) the individual did not act honestly and in good faith with a view to the best interests of such company or the other entity, as the case may be; or (ii) in the case of a proceeding other than a civil proceeding, the individual did not have reasonable grounds for believing that the individual’s conduct in respect of which proceeding was brought was lawful. A company cannot indemnify an indemnifiable person if it is prohibited from doing so under its articles or by applicable law. A company may pay, as they are incurred in advance of the final disposition of an eligible proceeding, the expenses actually and reasonably incurred, subject to the indemnifiable person providing an undertaking that such person will repay the amounts advanced if it is ultimately determined that the payment of such expenses is prohibited by the BCBCA.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0" w:name="a_013"/>
      <w:bookmarkEnd w:id="50"/>
      <w:r>
        <w:rPr>
          <w:rFonts w:ascii="Times New Roman;Times;Serif" w:hAnsi="Times New Roman;Times;Serif"/>
          <w:b/>
          <w:i w:val="false"/>
          <w:caps w:val="false"/>
          <w:smallCaps w:val="false"/>
          <w:sz w:val="20"/>
        </w:rPr>
        <w:t>OWNERSHIP AND EXCHANGE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limitation imposed by Canadian law or by the notice of articles and articles on the right of a non-resident to hold or vote Common Shares, other than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the ability to acquire and hold Common Shares may be imposed by the Competition Act (Canada). This legislation permits the Commissioner of Competition, or the Commissioner, to review any acquisition or establishment, directly or indirectly, including through the acquisition of shares, of control over or of a significant interest in us. This legislation grants the Commissioner jurisdiction, for up to one year after the acquisition has been substantially completed, to challenge this type of acquisition by seeking a remedial order, including an order to prohibit the acquisition or require divestitures, from the Canadian Competition Tribunal, which may be granted where the Competition Tribunal finds that the acquisition substantially prevents or lessens, or is likely to substantially prevent or lessen,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legislation also requires any person or persons who intend to acquire more than 20% of our voting shares or, if such person or persons already own more than 20% of our voting shares prior to the acquisition, more than 50% of our voting shares, to file a notification with the Canadian Competition Bureau if certain financial thresholds are exceeded. Where a notification is required, unless an exemption is available, the legislation prohibits completion of the acquisition until the expiration of the applicable statutory waiting period, unless the Commissioner either waives or terminates such waiting period or issues an advance ruling certificate. The Commissioner’s review of a notifiable transaction for substantive competition law considerations may take longer than the statutory waiting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Canada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Canada Act requires each “non Canadian” (as defined in the Investment Canada Act) who acquires “control” of an existing “Canadian business,” to file a notification in prescribed form with the responsible federal government department or departments not later than 30 days after closing, provided the acquisition of control is not a reviewable transaction under the Investment Canada Act. Subject to certain exemptions, a transaction that is reviewable under the Investment Canada Act may not be implemented until an application for review has been filed and the responsible Minister of the federal cabinet has determined that the investment is likely to be of “net benefit to Canada” taking into account certain factors set out in the Investment Canada Act. Under the Investment Canada Act, an investment in Common Shares by a non-Canadian who is an investor originating from a country with which Canada has a free trade agreement, including a United States investor, and is not a state-owned enterprise, would be reviewable only if it were an investment to acquire control of us pursuant to the Investment Canada Act and our enterprise value (as determined pursuant to the Investment Canada Act and its regulations) was equal to or greater than the amount specified, which is currently CAD$1.931 billion. For most other investors who are not state-owned enterprises the threshold is currently CAD$1.287 billion for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Canada Act contains various rules to determine if there has been an acquisition of control. Generally, for purposes of determining whether an investor has acquired control of a corporation by acquiring shares, the following general rules apply, subject to certain exceptions: the acquisition of a majority of the undivided ownership interests in the voting shares of the corporation is deemed to be acquisition of control of that corporation; the acquisition of less than a majority, but one-third or more, of the voting shares of a corporation or of an equivalent undivided ownership interest in the voting shares of the corporation is presumed to be acquisition of control of that corporation unless it can be established that, on the acquisition, the corporation is not controlled in fact by the acquirer through the ownership of voting shares; and the acquisition of less than one-third (1/3) of the voting shares of a corporation or of an equivalent undivided ownership interest in the voting shares of the corporation is deemed not to be acquisition of control of that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national-security-review regime in the Investment Canada Act, review on a discretionary basis may also be undertaken by the federal government in respect to a much broader range of investments by a non-Canadian to “acquire, in whole or part, or to establish an entity carrying on all or any part of its operations in Canada.” No financial threshold applies to a national-security review. The relevant test is whether such investment by a non-Canadian could be “injurious to national security.” The responsible ministers have broad discretion to determine whether an investor is a non-Canadian and therefore subject to national-security review. Review on national-security grounds is at the discretion of the responsible ministers, and may occur on a pre- or post-closing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transactions relating to Common Shares will generally be exempt from the Investment Canada Act, subject to the federal government’s prerogative to conduct a national-security review,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acquisition of Common Shares by a person in the ordinary course of that person’s business as a trader or dealer in securities;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acquisition of control of us in connection with the realization of security granted for a loan or other financial assistance and not for any purpose related to the provisions of the Investment Canada Act;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acquisition of control of us by reason of an amalgamation, merger, consolidation or corporate reorganization following which the ultimate direct or indirect control in fact of us, through ownership of Common Shares, remains unchanged.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law, governmental decree or regulation in Canada that restricts the export or import of capital, or that would affect the remittance of dividends (if any) or other payments by us to non-resident holders of Common Shares, other than withholding tax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shd w:fill="FFFFFF" w:val="clear"/>
        </w:rPr>
      </w:pPr>
      <w:bookmarkStart w:id="51" w:name="a_014"/>
      <w:bookmarkEnd w:id="51"/>
      <w:r>
        <w:rPr>
          <w:rFonts w:ascii="Times New Roman;Times;Serif" w:hAnsi="Times New Roman;Times;Serif"/>
          <w:b/>
          <w:i w:val="false"/>
          <w:caps/>
          <w:sz w:val="20"/>
          <w:shd w:fill="FFFFFF" w:val="clear"/>
        </w:rPr>
        <w:t>MATERIAL 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material U.S. federal income tax considerations applicable to you if you are a U.S. Holder (as defined below) of our Common Shares and/or public warrants. This discussion addresses only those U.S. Holders that hold our Common Shares and/or public warrants as capital assets within the meaning of Section 1221 of the Internal Revenue Code of 1986, as amended, or the Code (generally property held for investment). This summary does not discuss all aspects of U.S. federal income taxation that may be relevant to particular investors in light of their particular circumstances, or to investors subject to special tax rules, such as: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594"/>
        <w:gridCol w:w="9431"/>
      </w:tblGrid>
      <w:tr>
        <w:trPr/>
        <w:tc>
          <w:tcPr>
            <w:tcW w:w="18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rFonts w:ascii="Symbol" w:hAnsi="Symbol"/>
              </w:rPr>
            </w:pPr>
            <w:r>
              <w:rPr>
                <w:rFonts w:ascii="Symbol" w:hAnsi="Symbol"/>
              </w:rPr>
              <w:t>·</w:t>
            </w:r>
          </w:p>
        </w:tc>
        <w:tc>
          <w:tcPr>
            <w:tcW w:w="9431" w:type="dxa"/>
            <w:tcBorders/>
            <w:vAlign w:val="center"/>
          </w:tcPr>
          <w:p>
            <w:pPr>
              <w:pStyle w:val="TableContents"/>
              <w:bidi w:val="0"/>
              <w:spacing w:before="0" w:after="283"/>
              <w:jc w:val="both"/>
              <w:rPr/>
            </w:pPr>
            <w:r>
              <w:rPr/>
              <w:t>financial institutions;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574"/>
        <w:gridCol w:w="9457"/>
      </w:tblGrid>
      <w:tr>
        <w:trPr/>
        <w:tc>
          <w:tcPr>
            <w:tcW w:w="1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rFonts w:ascii="Symbol" w:hAnsi="Symbol"/>
              </w:rPr>
            </w:pPr>
            <w:r>
              <w:rPr>
                <w:rFonts w:ascii="Symbol" w:hAnsi="Symbol"/>
              </w:rPr>
              <w:t>·</w:t>
            </w:r>
          </w:p>
        </w:tc>
        <w:tc>
          <w:tcPr>
            <w:tcW w:w="9457" w:type="dxa"/>
            <w:tcBorders/>
            <w:vAlign w:val="center"/>
          </w:tcPr>
          <w:p>
            <w:pPr>
              <w:pStyle w:val="TableContents"/>
              <w:bidi w:val="0"/>
              <w:spacing w:before="0" w:after="283"/>
              <w:jc w:val="both"/>
              <w:rPr/>
            </w:pPr>
            <w:r>
              <w:rPr/>
              <w:t>insurance companies;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857"/>
        <w:gridCol w:w="9088"/>
      </w:tblGrid>
      <w:tr>
        <w:trPr/>
        <w:tc>
          <w:tcPr>
            <w:tcW w:w="2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rFonts w:ascii="Symbol" w:hAnsi="Symbol"/>
              </w:rPr>
            </w:pPr>
            <w:r>
              <w:rPr>
                <w:rFonts w:ascii="Symbol" w:hAnsi="Symbol"/>
              </w:rPr>
              <w:t>·</w:t>
            </w:r>
          </w:p>
        </w:tc>
        <w:tc>
          <w:tcPr>
            <w:tcW w:w="9088" w:type="dxa"/>
            <w:tcBorders/>
            <w:vAlign w:val="center"/>
          </w:tcPr>
          <w:p>
            <w:pPr>
              <w:pStyle w:val="TableContents"/>
              <w:bidi w:val="0"/>
              <w:spacing w:before="0" w:after="283"/>
              <w:jc w:val="both"/>
              <w:rPr/>
            </w:pPr>
            <w:r>
              <w:rPr/>
              <w:t>mutual funds;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824"/>
        <w:gridCol w:w="9131"/>
      </w:tblGrid>
      <w:tr>
        <w:trPr/>
        <w:tc>
          <w:tcPr>
            <w:tcW w:w="25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rFonts w:ascii="Symbol" w:hAnsi="Symbol"/>
              </w:rPr>
            </w:pPr>
            <w:r>
              <w:rPr>
                <w:rFonts w:ascii="Symbol" w:hAnsi="Symbol"/>
              </w:rPr>
              <w:t>·</w:t>
            </w:r>
          </w:p>
        </w:tc>
        <w:tc>
          <w:tcPr>
            <w:tcW w:w="9131" w:type="dxa"/>
            <w:tcBorders/>
            <w:vAlign w:val="center"/>
          </w:tcPr>
          <w:p>
            <w:pPr>
              <w:pStyle w:val="TableContents"/>
              <w:bidi w:val="0"/>
              <w:spacing w:before="0" w:after="283"/>
              <w:jc w:val="both"/>
              <w:rPr/>
            </w:pPr>
            <w:r>
              <w:rPr/>
              <w:t>pension plans;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786"/>
        <w:gridCol w:w="9181"/>
      </w:tblGrid>
      <w:tr>
        <w:trPr/>
        <w:tc>
          <w:tcPr>
            <w:tcW w:w="23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rFonts w:ascii="Symbol" w:hAnsi="Symbol"/>
              </w:rPr>
            </w:pPr>
            <w:r>
              <w:rPr>
                <w:rFonts w:ascii="Symbol" w:hAnsi="Symbol"/>
              </w:rPr>
              <w:t>·</w:t>
            </w:r>
          </w:p>
        </w:tc>
        <w:tc>
          <w:tcPr>
            <w:tcW w:w="9181" w:type="dxa"/>
            <w:tcBorders/>
            <w:vAlign w:val="center"/>
          </w:tcPr>
          <w:p>
            <w:pPr>
              <w:pStyle w:val="TableContents"/>
              <w:bidi w:val="0"/>
              <w:spacing w:before="0" w:after="283"/>
              <w:jc w:val="both"/>
              <w:rPr/>
            </w:pPr>
            <w:r>
              <w:rPr/>
              <w:t>S corporations;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793"/>
        <w:gridCol w:w="9171"/>
      </w:tblGrid>
      <w:tr>
        <w:trPr/>
        <w:tc>
          <w:tcPr>
            <w:tcW w:w="24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rFonts w:ascii="Symbol" w:hAnsi="Symbol"/>
              </w:rPr>
            </w:pPr>
            <w:r>
              <w:rPr>
                <w:rFonts w:ascii="Symbol" w:hAnsi="Symbol"/>
              </w:rPr>
              <w:t>·</w:t>
            </w:r>
          </w:p>
        </w:tc>
        <w:tc>
          <w:tcPr>
            <w:tcW w:w="9171" w:type="dxa"/>
            <w:tcBorders/>
            <w:vAlign w:val="center"/>
          </w:tcPr>
          <w:p>
            <w:pPr>
              <w:pStyle w:val="TableContents"/>
              <w:bidi w:val="0"/>
              <w:spacing w:before="0" w:after="283"/>
              <w:jc w:val="both"/>
              <w:rPr/>
            </w:pPr>
            <w:r>
              <w:rPr/>
              <w:t>broker-dealers;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6"/>
        <w:gridCol w:w="9898"/>
      </w:tblGrid>
      <w:tr>
        <w:trPr/>
        <w:tc>
          <w:tcPr>
            <w:tcW w:w="7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Symbol" w:hAnsi="Symbol"/>
              </w:rPr>
            </w:pPr>
            <w:r>
              <w:rPr>
                <w:rFonts w:ascii="Symbol" w:hAnsi="Symbol"/>
              </w:rPr>
              <w:t>·</w:t>
            </w:r>
          </w:p>
        </w:tc>
        <w:tc>
          <w:tcPr>
            <w:tcW w:w="9898" w:type="dxa"/>
            <w:tcBorders/>
            <w:vAlign w:val="center"/>
          </w:tcPr>
          <w:p>
            <w:pPr>
              <w:pStyle w:val="TableContents"/>
              <w:bidi w:val="0"/>
              <w:spacing w:before="0" w:after="283"/>
              <w:jc w:val="both"/>
              <w:rPr/>
            </w:pPr>
            <w:r>
              <w:rPr/>
              <w:t>traders in securities that elect mark-to-market treatment;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389"/>
        <w:gridCol w:w="9698"/>
      </w:tblGrid>
      <w:tr>
        <w:trPr/>
        <w:tc>
          <w:tcPr>
            <w:tcW w:w="11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rFonts w:ascii="Symbol" w:hAnsi="Symbol"/>
              </w:rPr>
            </w:pPr>
            <w:r>
              <w:rPr>
                <w:rFonts w:ascii="Symbol" w:hAnsi="Symbol"/>
              </w:rPr>
              <w:t>·</w:t>
            </w:r>
          </w:p>
        </w:tc>
        <w:tc>
          <w:tcPr>
            <w:tcW w:w="9698" w:type="dxa"/>
            <w:tcBorders/>
            <w:vAlign w:val="center"/>
          </w:tcPr>
          <w:p>
            <w:pPr>
              <w:pStyle w:val="TableContents"/>
              <w:bidi w:val="0"/>
              <w:spacing w:before="0" w:after="283"/>
              <w:jc w:val="both"/>
              <w:rPr/>
            </w:pPr>
            <w:r>
              <w:rPr/>
              <w:t>regulated investment companies;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452"/>
        <w:gridCol w:w="9616"/>
      </w:tblGrid>
      <w:tr>
        <w:trPr/>
        <w:tc>
          <w:tcPr>
            <w:tcW w:w="13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rFonts w:ascii="Symbol" w:hAnsi="Symbol"/>
              </w:rPr>
            </w:pPr>
            <w:r>
              <w:rPr>
                <w:rFonts w:ascii="Symbol" w:hAnsi="Symbol"/>
              </w:rPr>
              <w:t>·</w:t>
            </w:r>
          </w:p>
        </w:tc>
        <w:tc>
          <w:tcPr>
            <w:tcW w:w="9616" w:type="dxa"/>
            <w:tcBorders/>
            <w:vAlign w:val="center"/>
          </w:tcPr>
          <w:p>
            <w:pPr>
              <w:pStyle w:val="TableContents"/>
              <w:bidi w:val="0"/>
              <w:spacing w:before="0" w:after="283"/>
              <w:jc w:val="both"/>
              <w:rPr/>
            </w:pPr>
            <w:r>
              <w:rPr/>
              <w:t>real estate investment trusts;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696"/>
        <w:gridCol w:w="9298"/>
      </w:tblGrid>
      <w:tr>
        <w:trPr/>
        <w:tc>
          <w:tcPr>
            <w:tcW w:w="21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rFonts w:ascii="Symbol" w:hAnsi="Symbol"/>
              </w:rPr>
            </w:pPr>
            <w:r>
              <w:rPr>
                <w:rFonts w:ascii="Symbol" w:hAnsi="Symbol"/>
              </w:rPr>
              <w:t>·</w:t>
            </w:r>
          </w:p>
        </w:tc>
        <w:tc>
          <w:tcPr>
            <w:tcW w:w="9298" w:type="dxa"/>
            <w:tcBorders/>
            <w:vAlign w:val="center"/>
          </w:tcPr>
          <w:p>
            <w:pPr>
              <w:pStyle w:val="TableContents"/>
              <w:bidi w:val="0"/>
              <w:spacing w:before="0" w:after="283"/>
              <w:jc w:val="both"/>
              <w:rPr/>
            </w:pPr>
            <w:r>
              <w:rPr/>
              <w:t>trusts and estates;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27"/>
        <w:gridCol w:w="9909"/>
      </w:tblGrid>
      <w:tr>
        <w:trPr/>
        <w:tc>
          <w:tcPr>
            <w:tcW w:w="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Symbol" w:hAnsi="Symbol"/>
              </w:rPr>
            </w:pPr>
            <w:r>
              <w:rPr>
                <w:rFonts w:ascii="Symbol" w:hAnsi="Symbol"/>
              </w:rPr>
              <w:t>·</w:t>
            </w:r>
          </w:p>
        </w:tc>
        <w:tc>
          <w:tcPr>
            <w:tcW w:w="9909" w:type="dxa"/>
            <w:tcBorders/>
            <w:vAlign w:val="center"/>
          </w:tcPr>
          <w:p>
            <w:pPr>
              <w:pStyle w:val="TableContents"/>
              <w:bidi w:val="0"/>
              <w:spacing w:before="0" w:after="283"/>
              <w:jc w:val="both"/>
              <w:rPr/>
            </w:pPr>
            <w:r>
              <w:rPr/>
              <w:t>tax-exempt organizations (including private foundations);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investors that hold our Common Shares or public warrants as part of a “straddle,” “hedge,” “conversion,” “synthetic security,” “constructive ownership transaction,” “constructive sale” or other integrated transaction for U.S. federal income tax purposes;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84"/>
        <w:gridCol w:w="9966"/>
      </w:tblGrid>
      <w:tr>
        <w:trPr/>
        <w:tc>
          <w:tcPr>
            <w:tcW w:w="5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Symbol" w:hAnsi="Symbol"/>
              </w:rPr>
            </w:pPr>
            <w:r>
              <w:rPr>
                <w:rFonts w:ascii="Symbol" w:hAnsi="Symbol"/>
              </w:rPr>
              <w:t>·</w:t>
            </w:r>
          </w:p>
        </w:tc>
        <w:tc>
          <w:tcPr>
            <w:tcW w:w="9966" w:type="dxa"/>
            <w:tcBorders/>
            <w:vAlign w:val="center"/>
          </w:tcPr>
          <w:p>
            <w:pPr>
              <w:pStyle w:val="TableContents"/>
              <w:bidi w:val="0"/>
              <w:spacing w:before="0" w:after="283"/>
              <w:jc w:val="both"/>
              <w:rPr/>
            </w:pPr>
            <w:r>
              <w:rPr/>
              <w:t>investors subject to the alternative minimum tax provisions of the Code;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85"/>
        <w:gridCol w:w="9965"/>
      </w:tblGrid>
      <w:tr>
        <w:trPr/>
        <w:tc>
          <w:tcPr>
            <w:tcW w:w="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Symbol" w:hAnsi="Symbol"/>
              </w:rPr>
            </w:pPr>
            <w:r>
              <w:rPr>
                <w:rFonts w:ascii="Symbol" w:hAnsi="Symbol"/>
              </w:rPr>
              <w:t>·</w:t>
            </w:r>
          </w:p>
        </w:tc>
        <w:tc>
          <w:tcPr>
            <w:tcW w:w="9965" w:type="dxa"/>
            <w:tcBorders/>
            <w:vAlign w:val="center"/>
          </w:tcPr>
          <w:p>
            <w:pPr>
              <w:pStyle w:val="TableContents"/>
              <w:bidi w:val="0"/>
              <w:spacing w:before="0" w:after="283"/>
              <w:jc w:val="both"/>
              <w:rPr/>
            </w:pPr>
            <w:r>
              <w:rPr/>
              <w:t>U.S. Holders that have a functional currency other than the U.S. dollar;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197"/>
        <w:gridCol w:w="9949"/>
      </w:tblGrid>
      <w:tr>
        <w:trPr/>
        <w:tc>
          <w:tcPr>
            <w:tcW w:w="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Symbol" w:hAnsi="Symbol"/>
              </w:rPr>
            </w:pPr>
            <w:r>
              <w:rPr>
                <w:rFonts w:ascii="Symbol" w:hAnsi="Symbol"/>
              </w:rPr>
              <w:t>·</w:t>
            </w:r>
          </w:p>
        </w:tc>
        <w:tc>
          <w:tcPr>
            <w:tcW w:w="9949" w:type="dxa"/>
            <w:tcBorders/>
            <w:vAlign w:val="center"/>
          </w:tcPr>
          <w:p>
            <w:pPr>
              <w:pStyle w:val="TableContents"/>
              <w:bidi w:val="0"/>
              <w:spacing w:before="0" w:after="283"/>
              <w:jc w:val="both"/>
              <w:rPr/>
            </w:pPr>
            <w:r>
              <w:rPr/>
              <w:t>U.S. expatriates or former long-term residents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280"/>
        <w:gridCol w:w="9840"/>
      </w:tblGrid>
      <w:tr>
        <w:trPr/>
        <w:tc>
          <w:tcPr>
            <w:tcW w:w="8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Symbol" w:hAnsi="Symbol"/>
              </w:rPr>
            </w:pPr>
            <w:r>
              <w:rPr>
                <w:rFonts w:ascii="Symbol" w:hAnsi="Symbol"/>
              </w:rPr>
              <w:t>·</w:t>
            </w:r>
          </w:p>
        </w:tc>
        <w:tc>
          <w:tcPr>
            <w:tcW w:w="9840" w:type="dxa"/>
            <w:tcBorders/>
            <w:vAlign w:val="center"/>
          </w:tcPr>
          <w:p>
            <w:pPr>
              <w:pStyle w:val="TableContents"/>
              <w:bidi w:val="0"/>
              <w:spacing w:before="0" w:after="283"/>
              <w:jc w:val="both"/>
              <w:rPr/>
            </w:pPr>
            <w:r>
              <w:rPr/>
              <w:t>investors subject to the U.S. “inversion” rules;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U.S. Holders owning or considered as owning (directly, indirectly, or through attribution) 5% (measured by vote or value) or more of our Common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persons that acquired our Common Shares or public warrants pursuant to an exercise of employee share options, in connection with employee share incentive plans or otherwise as compensation as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402"/>
        <w:gridCol w:w="9681"/>
      </w:tblGrid>
      <w:tr>
        <w:trPr/>
        <w:tc>
          <w:tcPr>
            <w:tcW w:w="12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rFonts w:ascii="Symbol" w:hAnsi="Symbol"/>
              </w:rPr>
            </w:pPr>
            <w:r>
              <w:rPr>
                <w:rFonts w:ascii="Symbol" w:hAnsi="Symbol"/>
              </w:rPr>
              <w:t>·</w:t>
            </w:r>
          </w:p>
        </w:tc>
        <w:tc>
          <w:tcPr>
            <w:tcW w:w="9681" w:type="dxa"/>
            <w:tcBorders/>
            <w:vAlign w:val="center"/>
          </w:tcPr>
          <w:p>
            <w:pPr>
              <w:pStyle w:val="TableContents"/>
              <w:bidi w:val="0"/>
              <w:spacing w:before="0" w:after="283"/>
              <w:jc w:val="both"/>
              <w:rPr/>
            </w:pPr>
            <w:r>
              <w:rPr/>
              <w:t>controlled foreign corporations;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accrual method taxpayers that file applicable financial statements as described in Section 451(b) of the Code;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301"/>
        <w:gridCol w:w="9813"/>
      </w:tblGrid>
      <w:tr>
        <w:trPr/>
        <w:tc>
          <w:tcPr>
            <w:tcW w:w="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Symbol" w:hAnsi="Symbol"/>
              </w:rPr>
            </w:pPr>
            <w:r>
              <w:rPr>
                <w:rFonts w:ascii="Symbol" w:hAnsi="Symbol"/>
              </w:rPr>
              <w:t>·</w:t>
            </w:r>
          </w:p>
        </w:tc>
        <w:tc>
          <w:tcPr>
            <w:tcW w:w="9813" w:type="dxa"/>
            <w:tcBorders/>
            <w:vAlign w:val="center"/>
          </w:tcPr>
          <w:p>
            <w:pPr>
              <w:pStyle w:val="TableContents"/>
              <w:bidi w:val="0"/>
              <w:spacing w:before="0" w:after="283"/>
              <w:jc w:val="both"/>
              <w:rPr/>
            </w:pPr>
            <w:r>
              <w:rPr/>
              <w:t>passive foreign investment companies;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persons who are not U.S. Holders, all of whom may be subject to tax rules that differ materially from those summarized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discuss any state, local, or non-U.S. tax considerations, any non-income tax (such as gift or estate tax) considerations, the alternative minimum tax or the Medicare tax on net investment income. If a partnership (including an entity or arrangement treated as a partnership for U.S. federal income tax purposes) holds Common Shares or public warrants the tax treatment of a partner in such partnership will generally depend upon the status of the partner, the activities of the partnership and the partner and certain determinations made at the partner level. If you are a partner of a partnership holding Common Shares or public warrants, you are urged to consult your tax advisor regarding the tax consequences to you of the ownership and disposition of Common Shares or public warrants by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upon the Code, the U.S. Department of Treasury regulations, or Treasury Regulations, current administrative interpretations and practices of the Internal Revenue Service, or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Common Shares or public warrants, as the case may be, that is: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197"/>
        <w:gridCol w:w="9949"/>
      </w:tblGrid>
      <w:tr>
        <w:trPr/>
        <w:tc>
          <w:tcPr>
            <w:tcW w:w="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both"/>
              <w:rPr>
                <w:rFonts w:ascii="Symbol" w:hAnsi="Symbol"/>
              </w:rPr>
            </w:pPr>
            <w:r>
              <w:rPr>
                <w:rFonts w:ascii="Symbol" w:hAnsi="Symbol"/>
              </w:rPr>
              <w:t>·</w:t>
            </w:r>
          </w:p>
        </w:tc>
        <w:tc>
          <w:tcPr>
            <w:tcW w:w="9949" w:type="dxa"/>
            <w:tcBorders/>
            <w:vAlign w:val="center"/>
          </w:tcPr>
          <w:p>
            <w:pPr>
              <w:pStyle w:val="TableContents"/>
              <w:bidi w:val="0"/>
              <w:spacing w:before="0" w:after="283"/>
              <w:jc w:val="both"/>
              <w:rPr/>
            </w:pPr>
            <w:r>
              <w:rPr/>
              <w:t>an individual who is a U.S. citizen or resident of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corporation (including an entity treated as a corporation for U.S. federal income tax purposes) created or organized in or under the laws of the United States, any state thereof or the District of Columbia;</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 estate the income of which is includible in gross income for U.S. federal income tax purposes regardless of its source; or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of Ownership and Disposition of Common Shares and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 and Other Distributions on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PFIC rules discussed below under the heading “-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xml:space="preserve">,” distributions on Common Shares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Common Shares. Any remaining excess will be treated as gain realized on the sale or other disposition of the Common Shares and will be treated as described below under the heading “- </w:t>
      </w:r>
      <w:r>
        <w:rPr>
          <w:rFonts w:ascii="Times New Roman;Times;Serif" w:hAnsi="Times New Roman;Times;Serif"/>
          <w:b w:val="false"/>
          <w:i/>
          <w:caps w:val="false"/>
          <w:smallCaps w:val="false"/>
          <w:sz w:val="20"/>
        </w:rPr>
        <w:t>Tax Consequences of Ownership and Disposition of Common Shares and Public Warrants - Sale, Taxable Exchange or Other Taxable Disposition of Common Shares and Public Warrants.</w:t>
      </w:r>
      <w:r>
        <w:rPr>
          <w:rFonts w:ascii="Times New Roman;Times;Serif" w:hAnsi="Times New Roman;Times;Serif"/>
          <w:b w:val="false"/>
          <w:i w:val="false"/>
          <w:caps w:val="false"/>
          <w:smallCaps w:val="false"/>
          <w:sz w:val="20"/>
        </w:rPr>
        <w:t>” The amount of any such distribution will include any amounts withheld by us (or another applicable withholding agent) in respect of Canadian income taxes. Any amount treated as dividend income will be treated as foreign-source dividend income. Amounts treated as dividends that the Company pays to a U.S. Holder that is a taxable corporation generally will be taxed at regular rates and will not qualify for the dividends received deduction generally allowed to U.S. corporations in respect of dividends received from other U.S.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Common Shares are readily tradable on an established securities market in the United States or the Company is eligible for benefits under an applicable tax treaty with the United States, and the Company is not treated as a PFIC with respect to such U.S. Holder at the time the dividend was paid or in the preceding year and provided certain holding period requirements are met. The amount of any dividend distribution paid in Canadian dollars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limitations, non-refundable Canadian income taxes withheld from dividends on Common Shares at a rate not exceeding the rate provided by the applicable treaty with the United States will be eligible for credit against the U.S. treaty beneficiary’s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Canadian income tax, in computing their taxable income, subject to generally applicable limitations under U.S. law. An election to deduct foreign taxes instead of claiming foreign tax credits applies to all foreign taxes paid or accrued in the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Taxable Exchange or Other Taxable Disposition of Common Shares and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PFIC rules discussed below under the heading “- </w:t>
      </w:r>
      <w:r>
        <w:rPr>
          <w:rFonts w:ascii="Times New Roman;Times;Serif" w:hAnsi="Times New Roman;Times;Serif"/>
          <w:b w:val="false"/>
          <w:i/>
          <w:caps w:val="false"/>
          <w:smallCaps w:val="false"/>
          <w:sz w:val="20"/>
        </w:rPr>
        <w:t>Passive Foreign Investment Company Rules</w:t>
      </w:r>
      <w:r>
        <w:rPr>
          <w:rFonts w:ascii="Times New Roman;Times;Serif" w:hAnsi="Times New Roman;Times;Serif"/>
          <w:b w:val="false"/>
          <w:i w:val="false"/>
          <w:caps w:val="false"/>
          <w:smallCaps w:val="false"/>
          <w:sz w:val="20"/>
        </w:rPr>
        <w:t>,” upon any sale, exchange or other taxable disposition of Common Shares or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Common Shares or public warrants, in each case as calculated in U.S. dollars. If a U.S. Holder acquired such Common Shares or public warrants as part of a unit, the adjusted tax basis in the Common Shares or public warrants will be the portion of the acquisition cost allocated to the shares or warrants, respectively, or if such Common Shares were received upon exercise of public warrants, the initial basis of the Common Shares upon exercise of public warrants (generally determined as described below under the heading “</w:t>
      </w:r>
      <w:r>
        <w:rPr>
          <w:rFonts w:ascii="Times New Roman;Times;Serif" w:hAnsi="Times New Roman;Times;Serif"/>
          <w:b w:val="false"/>
          <w:i/>
          <w:caps w:val="false"/>
          <w:smallCaps w:val="false"/>
          <w:sz w:val="20"/>
        </w:rPr>
        <w:t>- Tax Consequences of Ownership and Disposition of Common Shares and Public Warrants - Exercise or Lapse of a Public Warrant</w:t>
      </w:r>
      <w:r>
        <w:rPr>
          <w:rFonts w:ascii="Times New Roman;Times;Serif" w:hAnsi="Times New Roman;Times;Serif"/>
          <w:b w:val="false"/>
          <w:i w:val="false"/>
          <w:caps w:val="false"/>
          <w:smallCaps w:val="false"/>
          <w:sz w:val="20"/>
        </w:rPr>
        <w:t>”). Any such gain or loss generally will be capital gain or loss and will be long-term capital gain or loss if the U.S. Holder’s holding period for such Common Shares or public warrants exceeds one (1) year. Long-term capital gain realized by a non-corporate U.S. Holder generally will be taxable at a reduced rate. The deduction of capital losses is subject to limitations. This gain or loss generally will be treated as U.S. source gain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or Lapse of a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will not recognize taxable gain or loss on the acquisition of a Common Share upon exercise of a public warrant for cash. The U.S. Holder’s tax basis in the Common Share received upon exercise of the public warrant generally will be an amount equal to the sum of the U.S. Holder’s initial investment in the public warrant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its tax basis, calculated in U.S. dollars) and the exercise price. The U.S. Holder’s holding period for a Common Share received upon exercise of the of a public warrant will begin on the day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U.S. Holder’s tax basis in the warrant (calculated in U.S. dollars). Such loss will be long-term if the warrant has been held for more than one (1)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a cashless exercise of a public warrant are not clear under current tax law. A cashless exercise may not be taxable, either because the exercise is not a realization event or because the exercise is treated as a recapitalization for U.S. federal income tax purposes. In either situation, a U.S. Holder’s tax basis in the shares of Common Shares received generally should equal the U.S. Holder’s tax basis in the public warrants. If the cashless exercise was not a realization event, it is unclear whether a U.S. Holder’s holding period for the Common Shares would be treated as commencing on the date of exercise of the public warrant or the day following the date of exercise of the public warrant. If the cashless exercise were treated as a recapitalization, the holding period of the shares of Common Shares received would include the holding period of the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possible that a cashless exercise may be treated in part as a taxable exchange in which gain or loss would be recognized. In such event, a U.S. Holder may be deemed to have surrendered a number of public warrants having a value equal to the exercise price for the total number of public warrants to be exercised. The U.S. Holder would recognize capital gain or loss in an amount equal to the difference between the fair market value of the public warrants deemed surrendered and the U.S. Holder’s tax basis in the public warrants deemed surrendered. In this case, a U.S. Holder’s tax basis in the shares of Common Shares received would equal the sum of the U.S. Holder’s tax basis in the public warrants exercised, and the exercise price of such public warrants. It is unclear whether a U.S. Holder’s holding period for the shares of Common Shares would commence on the date of exercise of the public warrant or the day following the date of exercise of the public warrant; in either case, the holding period will not include the period during which the U.S. Holder held the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absence of authority on the U.S. federal income tax treatment of a cashless exercise, including when a U.S. Holder’s holding period would commence with respect to the shares of Common Shares received, there can be no assurance as to which, if any, of the alternative tax consequences and holding periods described above would be adopted by the IRS or a court of law. Accordingly, U.S. Holders are urged to consult their tax advisors regarding the tax consequences of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redeems public warrants for cash or if the Company purchases public warrants in an open market transaction, such redemption or purchase generally will be treated as a taxable disposition to the U.S. Holder, taxed as described above under the heading “- </w:t>
      </w:r>
      <w:r>
        <w:rPr>
          <w:rFonts w:ascii="Times New Roman;Times;Serif" w:hAnsi="Times New Roman;Times;Serif"/>
          <w:b w:val="false"/>
          <w:i/>
          <w:caps w:val="false"/>
          <w:smallCaps w:val="false"/>
          <w:sz w:val="20"/>
        </w:rPr>
        <w:t>Tax Consequences of Ownership and Disposition of Common Shares and Public Warrants - Sale, Taxable Exchange or Other Taxable Disposition of Common Shares and Public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 to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Section 305 of the Code, if certain adjustments are made (or not made) to the number of shares to be issued upon the exercise of a public warrant or to the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Times New Roman;Times;Serif" w:hAnsi="Times New Roman;Times;Serif"/>
          <w:b w:val="false"/>
          <w:i/>
          <w:caps w:val="false"/>
          <w:smallCaps w:val="false"/>
          <w:sz w:val="20"/>
        </w:rPr>
        <w:t>Tax Consequences of Ownership and Disposition of Common Shares and Public Warrants - Dividends and Other Distributions on Common Shares</w:t>
      </w:r>
      <w:r>
        <w:rPr>
          <w:rFonts w:ascii="Times New Roman;Times;Serif" w:hAnsi="Times New Roman;Times;Serif"/>
          <w:b w:val="false"/>
          <w:i w:val="false"/>
          <w:caps w:val="false"/>
          <w:smallCaps w:val="false"/>
          <w:sz w:val="20"/>
        </w:rPr>
        <w:t>”). The rules governing constructive distributions as a result of certain adjustments with respect to a public warrant are complex, and U.S. Holders are urged to consult their tax advisors on the tax consequences any such constructive distribution with respect to a public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treatment of U.S. Holders of Common Shares and public warrants could be materially different from that described above if the Company is treated as a PFIC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a PFIC for any taxable year, U.S. Holders of Common Shares or public warrants may be subject to adverse U.S. federal income tax consequences with respect to dispositions of, and distributions with respect to Common Shares, and may be subject to additional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the Income Test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or the Asset Test.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initial assessment, we do not believe that the Company was classified as a PFIC for U.S. federal income tax purposes for the taxable year ending December 31, 2022. However, the application of the PFIC rules is subject to uncertainty in several respects, and we cannot assure you that the IRS will not take a contrary position. Furthermore, whether the Company is classified as a PFIC is a factual determination that must be made annually after the close of each taxable year. Accordingly, there can be no assurance with respect to the Company’s status as a PFIC for the current or any future taxable year. Although PFIC status is generally determined annually, if the Company is determined to be a PFIC for any taxable year (or portion thereof) that is included in the holding period of a U.S. Holder of Common Shares and the U.S. Holder did not make either a qualifying electing fund, or QEF, election or a mark-to-market election, or collectively, the PFIC Elections, for the first taxable year of the Company in which it was treated as a PFIC, and in which the U.S. Holder held (or was deemed to hold) such shares, or such U.S. Holder does not otherwise make an applicable purging election described below, such U.S. Holder generally will be subject to special and adverse rules with respect to (i) any gain recognized by the U.S. Holder on the sale or other disposition of its Common Shares and (ii) 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these rules: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U.S. Holder’s gain or excess distribution will be allocated ratably over the U.S. Holder’s holding period for the Common Shares;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amount allocated to the U.S. Holder’s taxable year in which the U.S. Holder recognized the gain or received the excess distribution, and to any period in the U.S. Holder’s holding period before the first day of the Company’s first taxable year in which the Company is a PFIC, will be taxed as ordinary income;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amount allocated to other taxable years (or portions thereof) of the U.S. Holder and included in its holding period will be taxed at the highest tax rate in effect for that year and applicable to the U.S. Holder;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 additional tax equal to the interest charge generally applicable to underpayments of tax will be imposed on the U.S. Holder with respect to the tax attributable to each such other taxable year of the U.S.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PFIC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if the Company is determined to be a PFIC, a U.S. Holder may avoid the adverse PFIC tax consequences described above in respect of Common Shares by making and maintaining a timely and valid QEF election (if eligible to do so) to include in income its pro rata share of the Company’s net capital gains (as long-term capital gain) and other earnings and profits (as ordinary income), on a current basis, in each case whether or not distributed, in the first taxable year of the U.S. Holder in which or with which the Company’s taxable year ends and each subsequent taxable year. A U.S. Holder generally may make a separate election to defer the payment of taxes on undistributed income inclusions under the QEF rules, but if deferred, any such taxes will be subject to an interest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requirements of a QEF election, a U.S. Holder must receive a PFIC Annual Information Statement from us. If the Company determines that it is a PFIC, the Company intends to provide the information necessary for U.S. Holders to make or maintain a QEF election, including information necessary to determine the appropriate income inclusion amounts for purposes of the QEF election. However, there is also no assurance that the Company will have timely knowledge of its status as a PFIC in the future or of the required information to be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if the Company is a PFIC and Common Shares constitute “marketable stock,” a U.S. Holder may avoid the adverse PFIC tax consequences discussed above if such U.S. Holder makes a mark-to-market election with respect to such shares for the first taxable year in which it holds (or is deemed to hold) Common Shares and each subsequent taxable year. Such U.S. Holder generally will include for each of its taxable years as ordinary income the excess, if any, of the fair market value of its Common Shares at the end of such year over its adjusted basis in its Common Shares. The U.S. Holder also will recognize an ordinary loss in respect of the excess, if any, of its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its Common Shares will be treated as ordinary income. Currently, a mark-to-market election may not be made with respect to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generally, stock that is regularly traded on a national securities exchange that is registered with the SEC, including the Nasdaq (on which Common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Common Shares cease to qualify as “marketable stock” for purposes of the PFIC rules or the IRS consents to the revocation of the election. U.S. Holders are urged to consult their tax advisors regarding the availability and tax consequences of a mark-to-market election with respect to Common Shares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the PFIC rules to public warrants is unclear. A proposed Treasury Regulation issued under these rules generally treats an “option” (which would include a public warrant) to acquire the stock of a PFIC as stock of the PFIC, while a final Treasury Regulation issued under these rules provides that the holder of an option is not entitled make the PFIC Elections. Another proposed Treasury Regulation provides that for purposes of the PFIC rules, stock acquired upon the exercise of an option will be deemed to have a holding period that includes the period the U.S. Holder held the public warrants. As a result, if the proposed Treasury Regulations were to apply, and a U.S. Holder were to sell or otherwise dispose of such public warrants (other than upon exercise of such public warrants for cash) and the Company was a PFIC at any time during the U.S. Holder’s holding period of such public warrants, any gain recognized generally would be treated as an excess distribution, taxed as described above. If a U.S. Holder that exercises such public warrants properly makes and maintains a QEF election with respect to the newly acquired Common Shares (or has previously made a QEF election with respect to Common Shares), the QEF election will apply to the newly acquired Common Shares. Notwithstanding such QEF election, if the proposed Treasury Regulations were to apply, the adverse tax consequences relating to PFIC shares, adjusted to take into account the current income inclusions resulting from the QEF election, would continue to apply with respect to such newly acquired Common Shares (which generally will be deemed to have a holding period for purposes of the PFIC rules that includes the period the U.S. Holder held the public warrants), unless the U.S. Holder makes a purging election under the PFIC rules described in the following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treated as a PFIC and a U.S. Holder failed or was unable to timely make a PFIC Election for prior periods, a U.S. Holder might seek make a purging election to rid the Common Shares of the PFIC taint. A purging election might be desirable if, for example, a U.S. Holder misses the deadline for filing a QEF election for a prior period, or if the Common Shares were acquired through the exercise of public warrants with a holding period that includes the period the warrants were held, either as a result of the application of the proposed Treasury Regulations, or because the Common Shares are acquired through a cashless exercise that is treated as a recapitalization. Under one type of purging election, the U.S. Holder will be deemed to have sold such shares at their fair market value and any gain recognized on such deemed sale will be treated as an excess distribution, as described above. Under another type of purging election, the Company will be deemed to have made a distribution to the U.S. Holder of such U.S. Holder’s pro rata share of the Company’s earnings and profits as determined for U.S. federal income tax purposes. In order for the U.S. Holder to make the second election, the Company must also be determined to be a “controlled foreign corporation” as defined by the Code (which is not currently expected to be the case). As a result of either purging election, the U.S. Holder will have a new basis and holding period in the Common Shares acquired upon the exercise of the public warrants solely for purposes of the PFIC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PFIC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the Company receives a distribution from, or disposes of all or part of its interest in, the lower-tier PFIC, or the U.S. Holder otherwise was deemed to have disposed of an interest in the lower-tier PFIC. In certain circumstances, a U.S. Holder may make a QEF election with respect to any lower-tier PFIC.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PFICs and with the QEF and mark-to-market elections are very complex and are affected by various factors in addition to those described above. Accordingly, U.S. Holders of Common Shares and public warrants are urged to consult their own tax advisors concerning the application of the PFIC rules to the Company’s securities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backup withholding from a payment to a U.S. Holder will be allowed as a credit against the holder’s U.S. federal income tax liability and may entitle it to a refund, provided that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discussion set forth above is included for general information only and may not be applicable to you depending upon your particular situation. You are urged to consult your own tax advisor with respect to the tax consequences to you of the ownership and disposition of our Common Shares and public warrants including the tax consequences under state, local, estate, foreign and other tax laws and tax treaties and the possible effects of changes in U.S. or other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shd w:fill="FFFFFF" w:val="clear"/>
        </w:rPr>
      </w:pPr>
      <w:bookmarkStart w:id="52" w:name="a_015"/>
      <w:bookmarkEnd w:id="52"/>
      <w:r>
        <w:rPr>
          <w:rFonts w:ascii="Times New Roman;Times;Serif" w:hAnsi="Times New Roman;Times;Serif"/>
          <w:b/>
          <w:i w:val="false"/>
          <w:caps/>
          <w:sz w:val="20"/>
          <w:shd w:fill="FFFFFF" w:val="clear"/>
        </w:rPr>
        <w:t>MATERIAL CANADIAN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as of the date of this prospectus, a summary of the principal Canadian federal income tax considerations pursuant to the </w:t>
      </w:r>
      <w:r>
        <w:rPr>
          <w:rFonts w:ascii="Times New Roman;Times;Serif" w:hAnsi="Times New Roman;Times;Serif"/>
          <w:b w:val="false"/>
          <w:i/>
          <w:caps w:val="false"/>
          <w:smallCaps w:val="false"/>
          <w:sz w:val="20"/>
        </w:rPr>
        <w:t xml:space="preserve">Income Tax Act </w:t>
      </w:r>
      <w:r>
        <w:rPr>
          <w:rFonts w:ascii="Times New Roman;Times;Serif" w:hAnsi="Times New Roman;Times;Serif"/>
          <w:b w:val="false"/>
          <w:i w:val="false"/>
          <w:caps w:val="false"/>
          <w:smallCaps w:val="false"/>
          <w:sz w:val="20"/>
        </w:rPr>
        <w:t>(Canada) and the regulations thereunder, (the “Tax Act”) that generally apply to the acquisition, holding and disposition of Common Shares and public warrants by a person who is neither resident nor deemed to be resident in Canada for purposes of the Tax Act and acquires a beneficial interest in Common Shares or public warrants (a “Non-Resident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applies only to a Non-Resident Holder who, at all relevant times, for purposes of the Tax Act: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Symbol" w:hAnsi="Symbol"/>
              </w:rPr>
            </w:pPr>
            <w:r>
              <w:rPr>
                <w:rFonts w:ascii="Symbol" w:hAnsi="Symbol"/>
              </w:rPr>
              <w:t>·</w:t>
            </w:r>
          </w:p>
        </w:tc>
        <w:tc>
          <w:tcPr>
            <w:tcW w:w="9944" w:type="dxa"/>
            <w:tcBorders/>
            <w:vAlign w:val="center"/>
          </w:tcPr>
          <w:p>
            <w:pPr>
              <w:pStyle w:val="TableContents"/>
              <w:bidi w:val="0"/>
              <w:spacing w:before="0" w:after="283"/>
              <w:jc w:val="left"/>
              <w:rPr/>
            </w:pPr>
            <w:r>
              <w:rPr/>
              <w:t>holds Common Shares and/or public warrants as capital property;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does not, and is not deemed to, use or hold Common Shares or public warrants in the course of carrying on a business in Canada;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66"/>
        <w:gridCol w:w="9859"/>
      </w:tblGrid>
      <w:tr>
        <w:trPr/>
        <w:tc>
          <w:tcPr>
            <w:tcW w:w="8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Symbol" w:hAnsi="Symbol"/>
              </w:rPr>
            </w:pPr>
            <w:r>
              <w:rPr>
                <w:rFonts w:ascii="Symbol" w:hAnsi="Symbol"/>
              </w:rPr>
              <w:t>·</w:t>
            </w:r>
          </w:p>
        </w:tc>
        <w:tc>
          <w:tcPr>
            <w:tcW w:w="9859" w:type="dxa"/>
            <w:tcBorders/>
            <w:vAlign w:val="center"/>
          </w:tcPr>
          <w:p>
            <w:pPr>
              <w:pStyle w:val="TableContents"/>
              <w:bidi w:val="0"/>
              <w:spacing w:before="0" w:after="283"/>
              <w:jc w:val="left"/>
              <w:rPr/>
            </w:pPr>
            <w:r>
              <w:rPr/>
              <w:t>deals at arm’s length and is not affiliated with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rules, which are not discussed in this summary, may apply to a Non-Resident Holder that is an insurer that carries on an insurance business in Canada and elsewhere or an “authorized foreign bank” (as defined in the Tax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on the current provisions of the Tax Act, all specific proposals to amend the Tax Act publicly announced by or on behalf of the Minister of Finance (Canada) prior to the date hereof (the “Tax Proposals”) and an understanding of the current administrative policies and assessing practices of the Canada Revenue Agency (the “CRA”) made publicly available prior to the date hereof. This summary assumes the Tax Proposals will be enacted in the form proposed, however, no assurance can be given that the Tax Proposals will be enacted in the form proposed, or at all. Except for the Tax Proposals, this summary does not take into account or anticipate any changes in law or administrative policies or assessing practices of the CRA, whether by legislative, governmental or judicial action, nor does it take into account other federal or any provincial, territorial or foreign income tax legislation or considerations, which may differ significantly from those discussed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for the purposes of the Tax Act, all amounts relating to the acquisition, holding and disposition of Common Shares and public warrants (including dividends, adjusted cost base and proceeds of disposition) must be expressed in Canadian dollars. Amounts denominated in U.S. dollars must be converted into Canadian dollars using the applicable rate of exchange (for the purposes of the Tax Act) quoted by the Bank of Canada on the date such amounts arose, or such other rate of exchange as is acceptable to the CRA.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summary is not exhaustive of all possible Canadian federal income tax considerations that apply to an investment in Common Shares and public warrants. Moreover, the income and other tax consequences of acquiring, holding or disposing of Common Shares or public warrants will vary depending on an investor’s particular circumstances. Accordingly, this summary is of a general nature only and is not intended to be, nor should it be construed to be, legal or tax advice to any investor. Consequently, investors should consult their own tax advisors for advice with respect to the income tax consequences of an investment in Common Shares and public warrants based on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Cost Base of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cost base to a Non-Resident Holder of a Common Share acquired pursuant to this offering will be determined by averaging the cost of that Common Share with the adjusted cost base (determined immediately before the acquisition of the Common Share) of all other Common Shares held as capital property by the Non-Resident Holder immediately prior to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gain or loss will be realized by a Non-Resident Holder upon the exercise of a public warrant to acquire a Common Share. A Non-Resident Holder’s cost of a Common Share so acquired will equal the aggregate of such Non-Resident Holder’s adjusted cost base of the public warrant exercised plus the exercise price paid for such Common Share. The Non-Resident Holder’s adjusted cost base of such Common Share will be determined by averaging the cost of the Common Share with the adjusted cost base (determined immediately before the acquisition of the Common Share) of all other Common Shares held as capital property by such Non-Resident Holder immediately prior to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on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Non-Resident Holder is liable to pay a Canadian withholding tax on every dividend that is or is deemed to be paid or credited to the Non-Resident Holder on the Non-Resident Holder’s Common Shares. The statutory rate of withholding tax is 25% of the gross amount of the dividend paid. Generally, the Canada - United States Tax Convention (1980), as amended (the “Treaty”) reduces the statutory rate with respect to dividends paid to a Non-Resident Holder who is resident in the U.S. for purposes of the Treaty, the beneficial owner of such dividends, and entitled to benefits under the Treaty, to 15% of the gross amount of the dividend. The Company is required to withhold the applicable tax from dividends payable to the Non-Resident Holder, and to remit the tax to the Receiver General of Canada for the account of the Non-Resident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Dispositions of Common Shares and Public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Non-Resident Holder will not be subject to tax under the Tax Act on any capital gain realized on a disposition or deemed disposition of Common Shares (other than a disposition to us, which may result in a deemed dividend, unless purchased by us in the open market in the manner in which Common Shares are normally purchased by any member of the public in the open market, in which case other considerations may arise) or public warrants, unless the Common Shares or public warrants (as applicable) are “taxable Canadian property” of the Non-Resident Holder for purposes of the Tax Act and the Non-Resident Holder is not entitled to relief under the Treaty or any other applicable income tax treaty or convention.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Common Shares and public warrants will not constitute “taxable Canadian property” of a Non-Resident Holder at a particular time provided that the Common Shares are listed at that time on a “designated stock exchange” for purposes of the Tax Act (which currently includes the Nasdaq), unless, at any particular time during the 60-month period that ends at that time, both of the following are true: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both"/>
              <w:rPr/>
            </w:pPr>
            <w:r>
              <w:rPr/>
              <w:t>1.</w:t>
            </w:r>
          </w:p>
        </w:tc>
        <w:tc>
          <w:tcPr>
            <w:tcW w:w="10016" w:type="dxa"/>
            <w:tcBorders/>
            <w:vAlign w:val="center"/>
          </w:tcPr>
          <w:p>
            <w:pPr>
              <w:pStyle w:val="TableContents"/>
              <w:bidi w:val="0"/>
              <w:spacing w:before="0" w:after="283"/>
              <w:jc w:val="both"/>
              <w:rPr/>
            </w:pPr>
            <w:r>
              <w:rPr/>
              <w:t>(a) the Non-Resident Holder, (b) persons with whom the Non-Resident Holder does not deal at arm’s length (for the purposes of the Tax Act), (c) partnerships in which the Non-Resident Holder or a person described in (b) holds an interest directly or indirectly through one or more partnerships, or (d) any combination of persons or partnerships described in (a) to (c), owned 25% or more of the issued shares of any class or series of our capital stock;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both"/>
              <w:rPr/>
            </w:pPr>
            <w:r>
              <w:rPr/>
              <w:t>2.</w:t>
            </w:r>
          </w:p>
        </w:tc>
        <w:tc>
          <w:tcPr>
            <w:tcW w:w="10015" w:type="dxa"/>
            <w:tcBorders/>
            <w:vAlign w:val="center"/>
          </w:tcPr>
          <w:p>
            <w:pPr>
              <w:pStyle w:val="TableContents"/>
              <w:bidi w:val="0"/>
              <w:spacing w:before="0" w:after="283"/>
              <w:jc w:val="both"/>
              <w:rPr/>
            </w:pPr>
            <w:r>
              <w:rPr/>
              <w:t>more than 50% of the fair market value of the Common Shares was derived directly or indirectly from one or any combination of: (a) real or immovable properties situated in Canada; (b) “Canadian resource properties” (as defined in the Tax Act); (c) “timber resource properties” (as defined in the Tax Act); and (d) options in respect of, or interests in, or for civil law rights in, any of the foregoing property, whether or not the property exists.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NOTWITHSTANDING THE FOREGOING, IN CERTAIN CIRCUMSTANCES SET OUT IN THE TAX ACT, COMMON SHARES AND PUBLIC WARRANTS MAY BE DEEMED TO BE TAXABLE CANADIAN PROPERTY. NON-RESIDENT HOLDERS WHOSE COMMON SHARES OR PUBLIC WARRANTS MAY CONSTITUTE TAXABLE CANADIAN PROPERTY SHOULD CONSULT THEIR OWN TAX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 w:name="a_016"/>
      <w:bookmarkEnd w:id="5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Fasken Martineau DuMoulin LLP, or Fasken, has passed upon the validity of the securities offered by this prospectus and certain other legal matters related to Canadian law. Mintz, Levin, Cohn, Ferris, Glovsky and Popeo, P.C., or Mintz, has passed upon the validity of certain other legal matters. Fasken and Mintz own 14,630 and 36,361 Common Shares,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4" w:name="a_018"/>
      <w:bookmarkEnd w:id="54"/>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TMC the metals company Inc. as of December 31, 2022 and 2021 and for the years then ended have been incorporated by reference herein and in the registration statement in reliance on the report of Ernst &amp; Young LLP, independent registered public accounting firm, incorporated by reference herein, and upon the authority of said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5" w:name="a_019"/>
      <w:bookmarkEnd w:id="55"/>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S-3,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and our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file annual, quarterly and current reports, proxy statements and other information with the SEC. Our SEC filings are available to the public on a website maintained by the SEC located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We also maintain a website at </w:t>
      </w:r>
      <w:r>
        <w:rPr>
          <w:rFonts w:ascii="Times New Roman;Times;Serif" w:hAnsi="Times New Roman;Times;Serif"/>
          <w:b w:val="false"/>
          <w:i/>
          <w:caps w:val="false"/>
          <w:smallCaps w:val="false"/>
          <w:sz w:val="20"/>
        </w:rPr>
        <w:t>www.metals.co</w:t>
      </w:r>
      <w:r>
        <w:rPr>
          <w:rFonts w:ascii="Times New Roman;Times;Serif" w:hAnsi="Times New Roman;Times;Serif"/>
          <w:b w:val="false"/>
          <w:i w:val="false"/>
          <w:caps w:val="false"/>
          <w:smallCaps w:val="false"/>
          <w:sz w:val="20"/>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We include our website address in this prospectus only as an inactive textual reference. Information contained in our website does not constitute a part of this prospectus or our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6" w:name="a_020"/>
      <w:bookmarkEnd w:id="56"/>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hyperlink r:id="rId28">
              <w:r>
                <w:rPr>
                  <w:rStyle w:val="InternetLink"/>
                  <w:color w:val="0000EE"/>
                  <w:u w:val="single"/>
                </w:rPr>
                <w:t>our Annual Report on Form 10-K for the fiscal year ended December 31, 2022 that we filed with the SEC on March 27,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Quarterly Reports on Form 10-Q for the quarters ended March 31, 2023, June 30, 2023 and September 30, 2023 that we filed with the SEC on </w:t>
            </w:r>
            <w:hyperlink r:id="rId29">
              <w:r>
                <w:rPr>
                  <w:rStyle w:val="InternetLink"/>
                  <w:color w:val="0000EE"/>
                  <w:u w:val="single"/>
                </w:rPr>
                <w:t>May 11, 2023</w:t>
              </w:r>
            </w:hyperlink>
            <w:r>
              <w:rPr/>
              <w:t xml:space="preserve">, </w:t>
            </w:r>
            <w:hyperlink r:id="rId30">
              <w:r>
                <w:rPr>
                  <w:rStyle w:val="InternetLink"/>
                  <w:color w:val="0000EE"/>
                  <w:u w:val="single"/>
                </w:rPr>
                <w:t>August 14, 2023</w:t>
              </w:r>
            </w:hyperlink>
            <w:r>
              <w:rPr/>
              <w:t xml:space="preserve"> and </w:t>
            </w:r>
            <w:hyperlink r:id="rId31">
              <w:r>
                <w:rPr>
                  <w:rStyle w:val="InternetLink"/>
                </w:rPr>
                <w:t>November 9, 2023</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xml:space="preserve">our Current Reports on Form 8-K and amendments thereto that we filed with the SEC on </w:t>
            </w:r>
            <w:hyperlink r:id="rId32">
              <w:r>
                <w:rPr>
                  <w:rStyle w:val="InternetLink"/>
                </w:rPr>
                <w:t>February 16, 2023</w:t>
              </w:r>
            </w:hyperlink>
            <w:r>
              <w:rPr/>
              <w:t xml:space="preserve">, </w:t>
            </w:r>
            <w:hyperlink r:id="rId33">
              <w:r>
                <w:rPr>
                  <w:rStyle w:val="InternetLink"/>
                </w:rPr>
                <w:t>February 17, 2023</w:t>
              </w:r>
            </w:hyperlink>
            <w:r>
              <w:rPr/>
              <w:t xml:space="preserve">, </w:t>
            </w:r>
            <w:hyperlink r:id="rId34">
              <w:r>
                <w:rPr>
                  <w:rStyle w:val="InternetLink"/>
                </w:rPr>
                <w:t>February 22, 2023</w:t>
              </w:r>
            </w:hyperlink>
            <w:r>
              <w:rPr/>
              <w:t xml:space="preserve">, </w:t>
            </w:r>
            <w:hyperlink r:id="rId35">
              <w:r>
                <w:rPr>
                  <w:rStyle w:val="InternetLink"/>
                </w:rPr>
                <w:t>April 20, 2023</w:t>
              </w:r>
            </w:hyperlink>
            <w:r>
              <w:rPr/>
              <w:t xml:space="preserve">, </w:t>
            </w:r>
            <w:hyperlink r:id="rId36">
              <w:r>
                <w:rPr>
                  <w:rStyle w:val="InternetLink"/>
                </w:rPr>
                <w:t>May 30, 2023</w:t>
              </w:r>
            </w:hyperlink>
            <w:r>
              <w:rPr/>
              <w:t xml:space="preserve">, </w:t>
            </w:r>
            <w:hyperlink r:id="rId37">
              <w:r>
                <w:rPr>
                  <w:rStyle w:val="InternetLink"/>
                </w:rPr>
                <w:t>June 8, 2023</w:t>
              </w:r>
            </w:hyperlink>
            <w:r>
              <w:rPr/>
              <w:t xml:space="preserve">, </w:t>
            </w:r>
            <w:hyperlink r:id="rId38">
              <w:r>
                <w:rPr>
                  <w:rStyle w:val="InternetLink"/>
                </w:rPr>
                <w:t>June 30, 2023</w:t>
              </w:r>
            </w:hyperlink>
            <w:r>
              <w:rPr/>
              <w:t xml:space="preserve">, </w:t>
            </w:r>
            <w:hyperlink r:id="rId39">
              <w:r>
                <w:rPr>
                  <w:rStyle w:val="InternetLink"/>
                </w:rPr>
                <w:t>August 1, 2023</w:t>
              </w:r>
            </w:hyperlink>
            <w:r>
              <w:rPr/>
              <w:t xml:space="preserve"> and </w:t>
            </w:r>
            <w:hyperlink r:id="rId40">
              <w:r>
                <w:rPr>
                  <w:rStyle w:val="InternetLink"/>
                </w:rPr>
                <w:t>August 14, 2023</w:t>
              </w:r>
            </w:hyperlink>
            <w:r>
              <w:rPr/>
              <w:t xml:space="preserve"> (other than any portion of such filings that are furnished under applicable SEC rules rather than filed);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hyperlink r:id="rId41">
              <w:r>
                <w:rPr>
                  <w:rStyle w:val="InternetLink"/>
                  <w:color w:val="0000EE"/>
                </w:rPr>
                <w:t>the description of our Common Shares contained in our Registration Statement on Form 8-A filed with the SEC on September 10, 2021, including any amendment or report filed for the purpose of updating such description; and</w:t>
              </w:r>
            </w:hyperlink>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all reports and other documents subsequently filed by us with the SEC (other than any portion of such filings that are furnished under applicable SEC rules rather than filed)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file number for each of the documents listed above is 001-39281.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orally or in writing, a copy of any or all of the documents incorporated herein by reference. These documents will be provided to you at no cost, by contacting: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 Howe Street, 10 Floor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British Columbia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V6C 2T5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 252-9333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also access these documents on our website, </w:t>
      </w:r>
      <w:r>
        <w:rPr>
          <w:rFonts w:ascii="Times New Roman;Times;Serif" w:hAnsi="Times New Roman;Times;Serif"/>
          <w:b w:val="false"/>
          <w:i/>
          <w:caps w:val="false"/>
          <w:smallCaps w:val="false"/>
          <w:sz w:val="20"/>
        </w:rPr>
        <w:t>www.metals.co</w:t>
      </w:r>
      <w:r>
        <w:rPr>
          <w:rFonts w:ascii="Times New Roman;Times;Serif" w:hAnsi="Times New Roman;Times;Serif"/>
          <w:b w:val="false"/>
          <w:i w:val="false"/>
          <w:caps w:val="false"/>
          <w:smallCaps w:val="false"/>
          <w:sz w:val="20"/>
        </w:rPr>
        <w:t>. The information contained on, or that can be accessed through, our website is not a part of this prospectus. We have included our website address in this prospectus solely as an inactive textual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628900" cy="914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2"/>
                    <a:stretch>
                      <a:fillRect/>
                    </a:stretch>
                  </pic:blipFill>
                  <pic:spPr bwMode="auto">
                    <a:xfrm>
                      <a:off x="0" y="0"/>
                      <a:ext cx="2628900" cy="9144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12,333,333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C Warrants to Purchase 12,333,333 Common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2025</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98562/000141057825000516/tmc-20241231x10k.htm" TargetMode="External"/><Relationship Id="rId4" Type="http://schemas.openxmlformats.org/officeDocument/2006/relationships/hyperlink" Target="https://www.sec.gov/ix?doc=/Archives/edgar/data/1798562/000141057825000516/tmc-20241231x10k.htm" TargetMode="External"/><Relationship Id="rId5" Type="http://schemas.openxmlformats.org/officeDocument/2006/relationships/hyperlink" Target="https://www.sec.gov/ix?doc=/Archives/edgar/data/1798562/000141057825000516/tmc-20241231x10k.htm" TargetMode="External"/><Relationship Id="rId6" Type="http://schemas.openxmlformats.org/officeDocument/2006/relationships/hyperlink" Target="https://www.sec.gov/ix?doc=/Archives/edgar/data/1798562/000141057825000516/tmc-20241231x10k.htm" TargetMode="External"/><Relationship Id="rId7" Type="http://schemas.openxmlformats.org/officeDocument/2006/relationships/hyperlink" Target="https://www.sec.gov/ix?doc=/Archives/edgar/data/1798562/000141057825000516/tmc-20241231x10k.htm" TargetMode="External"/><Relationship Id="rId8" Type="http://schemas.openxmlformats.org/officeDocument/2006/relationships/hyperlink" Target="https://www.sec.gov/ix?doc=/Archives/edgar/data/1798562/000141057825000516/tmc-20241231x10k.htm" TargetMode="External"/><Relationship Id="rId9" Type="http://schemas.openxmlformats.org/officeDocument/2006/relationships/hyperlink" Target="https://www.sec.gov/ix?doc=/Archives/edgar/data/1798562/000141057825000516/tmc-20241231x10k.htm" TargetMode="External"/><Relationship Id="rId10" Type="http://schemas.openxmlformats.org/officeDocument/2006/relationships/hyperlink" Target="https://www.sec.gov/ix?doc=/Archives/edgar/data/1798562/000141057825000516/tmc-20241231x10k.htm" TargetMode="External"/><Relationship Id="rId11" Type="http://schemas.openxmlformats.org/officeDocument/2006/relationships/hyperlink" Target="https://www.sec.gov/ix?doc=/Archives/edgar/data/1798562/000110465925002593/tm2431734d1_8k.htm" TargetMode="External"/><Relationship Id="rId12" Type="http://schemas.openxmlformats.org/officeDocument/2006/relationships/hyperlink" Target="https://www.sec.gov/ix?doc=/Archives/edgar/data/1798562/000110465925005640/tm254237d1_8k.htm" TargetMode="External"/><Relationship Id="rId13" Type="http://schemas.openxmlformats.org/officeDocument/2006/relationships/hyperlink" Target="https://www.sec.gov/ix?doc=/Archives/edgar/data/1798562/000110465925036264/tm252536-10_def14aseq1.htm" TargetMode="External"/><Relationship Id="rId14" Type="http://schemas.openxmlformats.org/officeDocument/2006/relationships/hyperlink" Target="https://www.sec.gov/Archives/edgar/data/1798562/000121390021047279/ea146988-8a12b_tmcthemetals.htm" TargetMode="External"/><Relationship Id="rId15" Type="http://schemas.openxmlformats.org/officeDocument/2006/relationships/hyperlink" Target="https://www.sec.gov/Archives/edgar/data/1798562/000141057825000516/tmc-20241231xex4d1.htm" TargetMode="External"/><Relationship Id="rId16" Type="http://schemas.openxmlformats.org/officeDocument/2006/relationships/image" Target="media/image2.jpeg"/><Relationship Id="rId17" Type="http://schemas.openxmlformats.org/officeDocument/2006/relationships/hyperlink" Target="https://www.sec.gov/Archives/edgar/data/1798562/000110465922038029/tmc-20211231x10k.htm" TargetMode="External"/><Relationship Id="rId18" Type="http://schemas.openxmlformats.org/officeDocument/2006/relationships/hyperlink" Target="https://www.sec.gov/Archives/edgar/data/1798562/000110465922057493/tmc-20220331x10q.htm" TargetMode="External"/><Relationship Id="rId19" Type="http://schemas.openxmlformats.org/officeDocument/2006/relationships/hyperlink" Target="https://www.sec.gov/Archives/edgar/data/1798562/000110465922091250/tmc-20220630x10q.htm" TargetMode="External"/><Relationship Id="rId20" Type="http://schemas.openxmlformats.org/officeDocument/2006/relationships/hyperlink" Target="https://www.sec.gov/Archives/edgar/data/1798562/000110465922018674/tm226092d1_8k.htm" TargetMode="External"/><Relationship Id="rId21" Type="http://schemas.openxmlformats.org/officeDocument/2006/relationships/hyperlink" Target="https://www.sec.gov/Archives/edgar/data/1798562/000110465922034803/tm229560d1_8k.htm" TargetMode="External"/><Relationship Id="rId22" Type="http://schemas.openxmlformats.org/officeDocument/2006/relationships/hyperlink" Target="https://www.sec.gov/Archives/edgar/data/1798562/000110465922067358/tm2217495d1_8k.htm" TargetMode="External"/><Relationship Id="rId23" Type="http://schemas.openxmlformats.org/officeDocument/2006/relationships/hyperlink" Target="https://www.sec.gov/ix?doc=/Archives/edgar/data/1798562/000110465922090666/tm2223376d3_8k.htm" TargetMode="External"/><Relationship Id="rId24" Type="http://schemas.openxmlformats.org/officeDocument/2006/relationships/hyperlink" Target="https://www.sec.gov/ix?doc=/Archives/edgar/data/1798562/000110465922104937/tm2227087d2_8k.htm" TargetMode="External"/><Relationship Id="rId25" Type="http://schemas.openxmlformats.org/officeDocument/2006/relationships/hyperlink" Target="https://www.sec.gov/ix?doc=/Archives/edgar/data/0001798562/000110465922107962/tm2227087d4_8k.htm" TargetMode="External"/><Relationship Id="rId26" Type="http://schemas.openxmlformats.org/officeDocument/2006/relationships/hyperlink" Target="https://www.sec.gov/Archives/edgar/data/1798562/000121390021047279/ea146988-8a12b_tmcthemetals.htm" TargetMode="External"/><Relationship Id="rId27" Type="http://schemas.openxmlformats.org/officeDocument/2006/relationships/image" Target="media/image3.jpeg"/><Relationship Id="rId28" Type="http://schemas.openxmlformats.org/officeDocument/2006/relationships/hyperlink" Target="https://www.sec.gov/ix?doc=/Archives/edgar/data/1798562/000110465923037110/tmc-20221231x10k.htm" TargetMode="External"/><Relationship Id="rId29" Type="http://schemas.openxmlformats.org/officeDocument/2006/relationships/hyperlink" Target="https://www.sec.gov/ix?doc=/Archives/edgar/data/1798562/000110465923059123/tmc-20230331x10q.htm" TargetMode="External"/><Relationship Id="rId30" Type="http://schemas.openxmlformats.org/officeDocument/2006/relationships/hyperlink" Target="https://www.sec.gov/ix?doc=/Archives/edgar/data/1798562/000110465923091509/tmc-20230630x10q.htm" TargetMode="External"/><Relationship Id="rId31" Type="http://schemas.openxmlformats.org/officeDocument/2006/relationships/hyperlink" Target="https://www.sec.gov/ix?doc=/Archives/edgar/data/1798562/000110465923116306/tmc-20230930x10q.htm" TargetMode="External"/><Relationship Id="rId32" Type="http://schemas.openxmlformats.org/officeDocument/2006/relationships/hyperlink" Target="https://www.sec.gov/ix?doc=/Archives/edgar/data/1798562/000110465923022723/tm237104d2_8k.htm" TargetMode="External"/><Relationship Id="rId33" Type="http://schemas.openxmlformats.org/officeDocument/2006/relationships/hyperlink" Target="https://www.sec.gov/ix?doc=/Archives/edgar/data/1798562/000110465923023295/tm237199d2_8k.htm" TargetMode="External"/><Relationship Id="rId34" Type="http://schemas.openxmlformats.org/officeDocument/2006/relationships/hyperlink" Target="https://www.sec.gov/ix?doc=/Archives/edgar/data/1798562/000110465923024088/tm237472d2_8k.htm" TargetMode="External"/><Relationship Id="rId35" Type="http://schemas.openxmlformats.org/officeDocument/2006/relationships/hyperlink" Target="https://www.sec.gov/ix?doc=/Archives/edgar/data/1798562/000110465923047863/tm2312599d5_8k.htm" TargetMode="External"/><Relationship Id="rId36" Type="http://schemas.openxmlformats.org/officeDocument/2006/relationships/hyperlink" Target="https://www.sec.gov/ix?doc=/Archives/edgar/data/1798562/000110465923066190/tm2317310d1_8k.htm" TargetMode="External"/><Relationship Id="rId37" Type="http://schemas.openxmlformats.org/officeDocument/2006/relationships/hyperlink" Target="https://www.sec.gov/ix?doc=/Archives/edgar/data/1798562/000110465923069479/tm2318023d1_8k.htm" TargetMode="External"/><Relationship Id="rId38" Type="http://schemas.openxmlformats.org/officeDocument/2006/relationships/hyperlink" Target="https://www.sec.gov/ix?doc=/Archives/edgar/data/1798562/000110465923076976/tm2320351d1_8k.htm" TargetMode="External"/><Relationship Id="rId39" Type="http://schemas.openxmlformats.org/officeDocument/2006/relationships/hyperlink" Target="https://www.sec.gov/ix?doc=/Archives/edgar/data/1798562/000110465923086437/tm2322494d1_8k.htm" TargetMode="External"/><Relationship Id="rId40" Type="http://schemas.openxmlformats.org/officeDocument/2006/relationships/hyperlink" Target="https://www.sec.gov/ix?doc=/Archives/edgar/data/1798562/000110465923091027/tm2323509d2_8k.htm" TargetMode="External"/><Relationship Id="rId41" Type="http://schemas.openxmlformats.org/officeDocument/2006/relationships/hyperlink" Target="https://www.sec.gov/Archives/edgar/data/1798562/000121390021047279/ea146988-8a12b_tmcthemetals.htm" TargetMode="External"/><Relationship Id="rId42" Type="http://schemas.openxmlformats.org/officeDocument/2006/relationships/image" Target="media/image1.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73862</Words>
  <Characters>383975</Characters>
  <CharactersWithSpaces>457598</CharactersWithSpaces>
  <Paragraphs>3962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