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333-267479 and 333-275822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Prospectuses dated October 14, 2022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142875</wp:posOffset>
            </wp:positionV>
            <wp:extent cx="236601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12,333,333 Common Shares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C Warrants to Purchase 12,333,333 Common Shares</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w:t>
      </w:r>
    </w:p>
    <w:p>
      <w:pPr>
        <w:spacing w:after="0" w:line="20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TMC the metals company Inc. is offering 12,333,333 of its common shares and accompanying Class C warrants to purchase 12,333,333 of our common shares in this offering (and the common shares issuable from time to time upon exercise of these Class C warrants). Each common share we sell in the offering will be accompanied by a Class C warrant to purchase one common share at an exercise price of $4.50 per share. Each common share and accompanying Class C warrant will be sold at a negotiated price of $3.00. The common shares and accompanying Class C warrants will be issued separately but can only be purchased together in this offering.</w:t>
      </w:r>
    </w:p>
    <w:p>
      <w:pPr>
        <w:spacing w:after="0" w:line="183"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Class C warrant will be exercisable from and after the date of issuance. The Class C warrants will expire three years from the date of the securities purchase agreement.</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shares and publicly listed warrants to purchase common shares, or the Public Warrants, are listed on the Nasdaq Global Select Market, or Nasdaq, under the symbol “TMC” and “TMCWW,” respectively. On May 9, 2025, the closing price of our common shares on the Nasdaq was $3.11 per share and the closing price of our Public Warrants was $0.59 per warrant.</w:t>
      </w:r>
    </w:p>
    <w:p>
      <w:pPr>
        <w:spacing w:after="0" w:line="172"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and an investment in our securities involve a high degree of risk. These risks are described under the caption “Risk Factors,” beginning on page S-8 of this prospectus supplement, and in “Item 1A. Risk Factors” in our Annual Report on Form 10-K for the year ended December 31, 2024.</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Per Common Share and</w:t>
            </w:r>
          </w:p>
        </w:tc>
        <w:tc>
          <w:tcPr>
            <w:tcW w:w="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Accompanying Class C</w:t>
            </w:r>
          </w:p>
        </w:tc>
        <w:tc>
          <w:tcPr>
            <w:tcW w:w="500" w:type="dxa"/>
            <w:vAlign w:val="bottom"/>
          </w:tcPr>
          <w:p>
            <w:pPr>
              <w:spacing w:after="0"/>
              <w:rPr>
                <w:sz w:val="18"/>
                <w:szCs w:val="18"/>
                <w:color w:val="auto"/>
              </w:rPr>
            </w:pPr>
          </w:p>
        </w:tc>
        <w:tc>
          <w:tcPr>
            <w:tcW w:w="1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500" w:type="dxa"/>
            <w:vAlign w:val="bottom"/>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37,000,000</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include proceeds from the exercise of the Class C warrants for cash, if any, issued in this offering. The proceeds to us before expenses is $3.00 per common share and accompanying Class C warrant and $37,000,000 in total. See “Plan of Distribution” beginning on page S-20 of this prospectus supplement for additional information about the expenses payable in connection with this offering.</w:t>
      </w:r>
    </w:p>
    <w:p>
      <w:pPr>
        <w:spacing w:after="0" w:line="176"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determined if this prospectus supplement or the accompanying prospectuses is truthful or complete. Any representation to the contrary is a criminal offense.</w:t>
      </w:r>
    </w:p>
    <w:p>
      <w:pPr>
        <w:spacing w:after="0" w:line="171"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offered by this prospectus supplement have not been qualified for distribution in Canada and may not be offered or sold in Canada.</w:t>
      </w:r>
    </w:p>
    <w:p>
      <w:pPr>
        <w:spacing w:after="0" w:line="15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under the federal securities laws and, as such, are subject to reduced public company reporting requirements. See “Prospectus Supplement Summary—Implications of Being an Emerging Growth Company and Smaller Reporting Company”.</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common shares and Class C warrants offered hereby is expected to occur on or about May 22, 2025.</w:t>
      </w:r>
    </w:p>
    <w:p>
      <w:pPr>
        <w:spacing w:after="0" w:line="2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105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3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7080" w:type="dxa"/>
            <w:vAlign w:val="bottom"/>
            <w:gridSpan w:val="8"/>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3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240" w:type="dxa"/>
            <w:vAlign w:val="bottom"/>
            <w:gridSpan w:val="13"/>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NOTICE REGARDING FORWARD-LOOKING STATEMENTS</w:t>
            </w:r>
          </w:p>
        </w:tc>
        <w:tc>
          <w:tcPr>
            <w:tcW w:w="4540" w:type="dxa"/>
            <w:vAlign w:val="bottom"/>
            <w:tcBorders>
              <w:bottom w:val="single" w:sz="8" w:color="CCEEFF"/>
            </w:tcBorders>
            <w:gridSpan w:val="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NO CANADIAN PROSPECTUS QUALIFICATION</w:t>
            </w: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STATEMENTS REGARDING THE NORI INITIAL ASSESSMENT AND TOML MINERAL RESOURCE STATEMENT</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3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46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74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ENFORCEABILITY OF CIVIL LIABILITIES AND SERVICE OF PROCESS</w:t>
            </w:r>
          </w:p>
        </w:tc>
        <w:tc>
          <w:tcPr>
            <w:tcW w:w="478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80" w:type="dxa"/>
            <w:vAlign w:val="bottom"/>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2022 PROSPECTUS</w:t>
            </w:r>
          </w:p>
        </w:tc>
        <w:tc>
          <w:tcPr>
            <w:tcW w:w="16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2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340" w:type="dxa"/>
            <w:vAlign w:val="bottom"/>
            <w:gridSpan w:val="12"/>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340" w:type="dxa"/>
            <w:vAlign w:val="bottom"/>
            <w:gridSpan w:val="12"/>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320" w:type="dxa"/>
            <w:vAlign w:val="bottom"/>
            <w:gridSpan w:val="19"/>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52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320" w:type="dxa"/>
            <w:vAlign w:val="bottom"/>
            <w:tcBorders>
              <w:bottom w:val="single" w:sz="8" w:color="CCEEFF"/>
            </w:tcBorders>
            <w:gridSpan w:val="9"/>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7100" w:type="dxa"/>
            <w:vAlign w:val="bottom"/>
            <w:tcBorders>
              <w:top w:val="single" w:sz="8" w:color="CCEEFF"/>
            </w:tcBorders>
            <w:gridSpan w:val="11"/>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1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4700" w:type="dxa"/>
            <w:vAlign w:val="bottom"/>
            <w:tcBorders>
              <w:bottom w:val="single" w:sz="8" w:color="CCEEFF"/>
            </w:tcBorders>
            <w:gridSpan w:val="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120" w:type="dxa"/>
            <w:vAlign w:val="bottom"/>
            <w:tcBorders>
              <w:top w:val="single" w:sz="8" w:color="CCEEFF"/>
            </w:tcBorders>
            <w:gridSpan w:val="18"/>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2023 PROSPECTUS</w:t>
            </w:r>
          </w:p>
        </w:tc>
        <w:tc>
          <w:tcPr>
            <w:tcW w:w="16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5"/>
        </w:trPr>
        <w:tc>
          <w:tcPr>
            <w:tcW w:w="2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340" w:type="dxa"/>
            <w:vAlign w:val="bottom"/>
            <w:gridSpan w:val="12"/>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340" w:type="dxa"/>
            <w:vAlign w:val="bottom"/>
            <w:gridSpan w:val="12"/>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320" w:type="dxa"/>
            <w:vAlign w:val="bottom"/>
            <w:gridSpan w:val="18"/>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4580" w:type="dxa"/>
            <w:vAlign w:val="bottom"/>
            <w:tcBorders>
              <w:top w:val="single" w:sz="8" w:color="CCEEFF"/>
            </w:tcBorders>
            <w:gridSpan w:val="4"/>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54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IMPORTANT PROVISIONS OF THE NOTICE OF ARTICLES AND ARTICLES AND THE BCBCA</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4060" w:type="dxa"/>
            <w:vAlign w:val="bottom"/>
            <w:tcBorders>
              <w:bottom w:val="single" w:sz="8" w:color="CCEEFF"/>
            </w:tcBorders>
            <w:gridSpan w:val="2"/>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800" w:type="dxa"/>
            <w:vAlign w:val="bottom"/>
            <w:tcBorders>
              <w:bottom w:val="single" w:sz="8" w:color="CCEEFF"/>
            </w:tcBorders>
            <w:gridSpan w:val="19"/>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and other statistical data included or incorporated by reference in this prospectus supplement were obtained from industry publications, market research and publicly available information as well as publications and research conducted by or on our behalf.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make no representation as to the accuracy of such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supplement are the property of their respective owners. We do not intend our use or display of other companies’ trade names, trademarks or service marks to imply a relationship with, or endorsement or sponsorship of us by, these</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other companies. Solely for convenience, trademarks and tradenames referred to in this prospectus supplement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prospectuses are part of two “shelf” registration statements on Form S-3, one of which we filed with the U.S. Securities and Exchange Commission, or the SEC, on September 16, 2022, which was declared effective by the SEC on October 14, 2022, or the 2022 Registration Statement, and the other of which we filed with the SEC on November 30, 2023, which was declared effective by the SEC on December 8, 2023, or the 2023 Registration Statement and together with the 2022 Registration Statement, the Registration Statements.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three parts. The first part is this prospectus supplement, which describes the specific terms of this offering and adds to and updates information contained in the accompanying prospectuses and the documents incorporated by reference into the accompanying prospectuses and this prospectus supplement. The second part is the accompanying prospectus filed with the SEC, as part of the 2022 Registration Statement, registering securities of up to a maximum aggregate initial offering price of $100,000,000, $32,615,380 of which remained unsold, unallocated and available for sale prior to the commencement of this offering. The third part is the accompanying prospectus filed with the SEC as part of the 2023 Registration Statement, registering securities of up to a maximum aggregate initial offering price of $100,000,000, $60,200,000 of which remained unsold, unallocated and available for sale prior to the commencement of this offering. The second and third parts provide more general information, some of which may not apply to this offering. We are including both accompanying prospectuses with this prospectus supplement because $32,615,380 of the common shares and Class C warrants offered by us are registered under the 2022 Registration Statement and $59,884,618.50 of the Class C warrants and all of the common shares issuable from time to time upon exercise of the Class C warrants offered by us are registered under the 2023 Registration Statement, each of which contains one of the foregoing prospectuses.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urge you to carefully read this prospectus supplement, the accompanying base prospectuses, the documents incorporated by reference herein and therein and the additional information under the headings “Where You Can Find More Information” and “Incorporation of Certain Information by Reference” before making a decision to invest in the common shares offered under this prospectus supplement. These documents contain important information you should consider when making your investment decision.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prospectuses. We have not authorized anyone to provide you with additional or different information. If anyone provides you with additional or different information, you should not rely on it. This prospectus supplement may add, update or change information contained in the accompanying base prospectuses. To the extent any information in this prospectus supplement is inconsistent with the accompanying base prospectuses, you should rely on the information in this prospectus supplement. The information in this prospectus supplement will be deemed to modify or supersede the information in the accompanying base prospectuses and the documents incorporated by reference therein, except for those documents incorporated by reference therein which we file with the SEC after the date of this prospectus supplement.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or incorporated by reference in this prospectus supplement and the accompanying base prospectuses is accurate on any date subsequent to the date set forth on the front cover of this prospectus supplement and the accompanying base prospectuses or on any date subsequent to the date of the document incorporated by reference or other dates specified in such documents, as applicable. Our business, financial condition, liquidity, results of operations and prospects may have changed since those dates.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described in this prospectus supplement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and the accompanying base prospectuses do not constitute, and may not be used in connection with, an offer to sell, or a solicitation of an offer to buy, any securities by any person in any jurisdiction in which it is unlawful for such person to make such an offer or solicitation.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supplement or the accompanying base prospectuses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otherwise indicated or required by the context, the terms “TMC,” “we,” “our,” “us” and the “Company” refer to TMC the metals company Inc.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587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left="4" w:firstLine="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TMC and this offering, you should carefully read this prospectus supplement, including the information incorporated by reference into this prospectus supplement, and the base prospectuses in their entirety. Our business and an investment in our common shares involve a high degree of risk that is described in this prospectus supplement under the heading “Risk Factors” and in our </w:t>
      </w:r>
      <w:hyperlink r:id="rId14">
        <w:r>
          <w:rPr>
            <w:rFonts w:ascii="Times New Roman" w:cs="Times New Roman" w:eastAsia="Times New Roman" w:hAnsi="Times New Roman"/>
            <w:sz w:val="18"/>
            <w:szCs w:val="18"/>
            <w:u w:val="single" w:color="auto"/>
            <w:color w:val="0000EE"/>
          </w:rPr>
          <w:t>Annual Report on Form 10-K for the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heading “Item 1A. Risk Factors.”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4" w:right="2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or the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spacing w:after="0" w:line="187" w:lineRule="exact"/>
        <w:rPr>
          <w:sz w:val="20"/>
          <w:szCs w:val="20"/>
          <w:color w:val="auto"/>
        </w:rPr>
      </w:pPr>
    </w:p>
    <w:p>
      <w:pPr>
        <w:jc w:val="both"/>
        <w:ind w:left="4" w:firstLine="324"/>
        <w:spacing w:after="0" w:line="257" w:lineRule="auto"/>
        <w:rPr>
          <w:sz w:val="20"/>
          <w:szCs w:val="20"/>
          <w:color w:val="auto"/>
        </w:rPr>
      </w:pPr>
      <w:r>
        <w:rPr>
          <w:rFonts w:ascii="Times New Roman" w:cs="Times New Roman" w:eastAsia="Times New Roman" w:hAnsi="Times New Roman"/>
          <w:sz w:val="18"/>
          <w:szCs w:val="18"/>
          <w:color w:val="auto"/>
        </w:rPr>
        <w:t>We believe these four metals contained in the polymetallic nodules are critical for energy infrastructure and industrial manufacturing. Our resource definition work to date shows that nodules in our target areas represent the world’s largest estimated undeveloped resource of these critical metals. If we are able to collect polymetallic nodules from the seafloor on a commercial scale, we plan to use such nodules to produce three types of metal products:</w:t>
      </w:r>
    </w:p>
    <w:p>
      <w:pPr>
        <w:spacing w:after="0" w:line="1" w:lineRule="exact"/>
        <w:rPr>
          <w:sz w:val="20"/>
          <w:szCs w:val="20"/>
          <w:color w:val="auto"/>
        </w:rPr>
      </w:pPr>
    </w:p>
    <w:p>
      <w:pPr>
        <w:jc w:val="both"/>
        <w:ind w:left="4" w:hanging="4"/>
        <w:spacing w:after="0" w:line="253" w:lineRule="auto"/>
        <w:tabs>
          <w:tab w:leader="none" w:pos="2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feedstock for battery cathode precursors (nickel and cobalt sulfates, or intermediary nickel-copper-cobalt matte, or nickel-copper-cobalt alloy) for electric vehicles, or EVs, and energy storage markets, (ii) copper cathode for EV wiring, energy transmission and other applications, and (iii) manganese silicate for manganese alloy production required for steel production. Our mission is to build a carefully managed, shared stock of metal, called a metal commons, that can be used, recovered and reused for generations to come. Significant quantities of newly mined metal are required because existing metal stocks are insufficient to meet rising demand.</w:t>
      </w:r>
    </w:p>
    <w:p>
      <w:pPr>
        <w:spacing w:after="0" w:line="187" w:lineRule="exact"/>
        <w:rPr>
          <w:sz w:val="20"/>
          <w:szCs w:val="20"/>
          <w:color w:val="auto"/>
        </w:rPr>
      </w:pPr>
    </w:p>
    <w:p>
      <w:pPr>
        <w:jc w:val="both"/>
        <w:ind w:left="4" w:right="2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 exploitation contract or a permit for commercial recovery from any regulators. Additionally, we do not yet hold the environmental or other permits required to construct and operate commercial-scale polymetallic nodule processing and refining facilities on land.</w:t>
      </w:r>
    </w:p>
    <w:p>
      <w:pPr>
        <w:spacing w:after="0" w:line="176" w:lineRule="exact"/>
        <w:rPr>
          <w:sz w:val="20"/>
          <w:szCs w:val="20"/>
          <w:color w:val="auto"/>
        </w:rPr>
      </w:pPr>
    </w:p>
    <w:p>
      <w:pPr>
        <w:jc w:val="both"/>
        <w:ind w:left="4" w:right="20" w:firstLine="324"/>
        <w:spacing w:after="0" w:line="258" w:lineRule="auto"/>
        <w:rPr>
          <w:sz w:val="20"/>
          <w:szCs w:val="20"/>
          <w:color w:val="auto"/>
        </w:rPr>
      </w:pPr>
      <w:r>
        <w:rPr>
          <w:rFonts w:ascii="Times New Roman" w:cs="Times New Roman" w:eastAsia="Times New Roman" w:hAnsi="Times New Roman"/>
          <w:sz w:val="18"/>
          <w:szCs w:val="18"/>
          <w:color w:val="auto"/>
        </w:rPr>
        <w:t>There are currently two primary legal frameworks governing the commercial recovery of deep-sea minerals from areas beyond national jurisdiction. The first is the Deep Seabed Hard Mineral Resources Act of 1980, or DSHMRA, a U.S. domestic statute administered by the U.S. Department of Commerce through the National Oceanic and Atmospheric Administration, or NOAA, and the second is the United Nations Convention on the Law of the Sea, or UNCLOS. The United States has not ratified UNCLOS, and is not a member state of the International Seabed Authority, or ISA, which administers the international regime.</w:t>
      </w:r>
    </w:p>
    <w:p>
      <w:pPr>
        <w:spacing w:after="0" w:line="183"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We are increasingly focused on advancing our commercial production strategy under the U.S.-based DSHMRA regime. Our wholly owned subsidiary, The Metals Company USA, LLC, or TMC USA, is a “United States citizen” under DSHMRA and, in April 2025, it submitted two exploration license applications (covering 199,895 square kilometers in the CCZ referred to as TMC USA-A and TMC USA-B) and one commercial recovery permit application (covering 25,160 square kilometers in the CCZ referred to as TMC USA-A_2) to NOAA. These applications include the areas under which our subsidiaries hold exploration contracts from the ISA, which are estimated to hold approximately 1.635 billion wet tonnes of measured, indicated and inferred mineral resources. Together, the resource is estimated to include approximately 15.5 million tonnes of nickel, 12.8 million tonnes of copper, 2.0 million tonnes of cobalt, and 345 million tonnes of manganese.</w:t>
      </w: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1008" w:right="439" w:bottom="1440" w:gutter="0" w:footer="0" w:header="0"/>
        </w:sectPr>
      </w:pPr>
    </w:p>
    <w:bookmarkStart w:id="5" w:name="page6"/>
    <w:bookmarkEnd w:id="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45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These applications reflect our belief that DSHMRA provides a viable and independent regulatory path to commercial production, distinct from the ISA regime under UNCLOS. We also welcomed the recent Executive Order signed by President Trump on April 24, 2025, titled “</w:t>
      </w:r>
      <w:r>
        <w:rPr>
          <w:rFonts w:ascii="Times New Roman" w:cs="Times New Roman" w:eastAsia="Times New Roman" w:hAnsi="Times New Roman"/>
          <w:sz w:val="18"/>
          <w:szCs w:val="18"/>
          <w:i w:val="1"/>
          <w:iCs w:val="1"/>
          <w:color w:val="auto"/>
        </w:rPr>
        <w:t>Unleashing America’s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Offshore Critical Minerals and Resources</w:t>
      </w:r>
      <w:r>
        <w:rPr>
          <w:rFonts w:ascii="Times New Roman" w:cs="Times New Roman" w:eastAsia="Times New Roman" w:hAnsi="Times New Roman"/>
          <w:sz w:val="18"/>
          <w:szCs w:val="18"/>
          <w:color w:val="auto"/>
        </w:rPr>
        <w:t>”, which directs the Commerce Secretary to implement an expedited permitting process under DSHMRA.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directing the International Development Finance Corporation, Export-Import Bank and Trade and Development Agency to identify tools to support this new industry, the Executive Order also instructs the Departments of Defense and Energy to assess the use of the National Defense Stockpile for nodule-derived minerals and of entering into offtake agreements for the procurement of these minerals. In addition, these departments are also directed to review and revise domestic processing capabilities for seabed mineral resources.</w:t>
      </w:r>
    </w:p>
    <w:p>
      <w:pPr>
        <w:spacing w:after="0" w:line="189"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At the same time as we pursue the U.S. pathway, we continue to preserve our rights under the ISA system. The ISA is an intergovernmental organization established pursuant to UNCLOS and the 1994 Agreement Relating to the Implementation of UNCLOS and regulates seabed mineral activities by its member states and their sponsored contractors. While the ISA does not have jurisdiction over U.S.-based operations, we maintain two exploration contracts in the CCZ—one held by our subsidiary Nauru Ocean Resources Inc., or NORI, sponsored by the Republic of Nauru, and one held by Tonga Offshore Mining Limited, or TOML, sponsored by the Kingdom of Tonga. The ISA has issued a total of 19 exploration contracts covering approximately 1.28 million square kilometers, 17 of which are located in the CCZ. On November 12, 2024, we announced our intention to submit an application for an exploitation contract to the ISA on June 27, 2025. Today, we are increasingly focused on pursuing commercial production through the U.S. regulatory pathway under DSHMRA, following the April 2025 submission of TMC USA’s exploration license and commercial recovery permit applications to NOAA. We do not believe pursuing licenses and permits with NOAA under DSHMRA nullifies our ISA exploration contracts. However, if ISA progress on adopting final exploitation regulations stalls or the resulting regulations prove commercially or legally unworkable, we may pivot fully to the U.S. regime.</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Group S.A., a major contractor in the global offshore energy industry, which developed and tested a pilot collection system and is now working to modify it into the first commercial production system, and (ii) Glencore International AG, which holds offtake rights (i.e., a contractual right to purchase a specific quantity of products over a defined period) to 50% of the NORI nickel and copper production if produced from a DeepGreen Engineering Pte. Ltd.-owned or controlled facility. In addition, we have worked with engineering firm Hatch and consultants KPM to develop a near-zero solid waste flowsheet (i.e., the potential to process and refine nodules into critical metals while leaving almost no solid waste streams behind).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In November 2022, we entered into a non-binding memorandum of understanding, or MoU, with Pacific Metals Co Ltd, or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by mid-2025) to toll treat 1.3 million tonnes of wet polymetallic nodules per year at its Hachinohe, Japan smelting facility, provided we obtain commercial production rights. The toll treatment is intended to take place on a dedicated Rotary Kiln Electric Arc Furnace, or RKEF, processing line and produce two products: nickel-copper-cobalt alloy, an intermediate product used as feedstock to produce lithium-ion battery cathodes, and a manganese silicate product used to make silico-manganese alloy, a critical input into steel manufacturing. In February 2025, PAMCO successfully processed approximately 2,000 tonnes of nodules from our integrated pilot collection system on their existing RKEF line, producing both nickel-copper-cobalt alloy and manganese silicate. We expect this relationship to progress to a definitive tolling agreement in 2025, subject to successful evaluation study outcomes and agreement to mutually acceptable commercial terms. There can be no assurance that we will enter into such definitive strategic alliance with PAMCO in a particular time period and with sufficient scale, or at all, or on terms similar to those set forth in the binding MoU, or that the existing facility will be able to successfully process nodules in a particular time period, or at all.</w:t>
      </w:r>
    </w:p>
    <w:p>
      <w:pPr>
        <w:spacing w:after="0" w:line="18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continuing to (i) define our resource and project economics, (ii) develop a commercial offshore nodule collection system, (iii) assess the environmental and social impacts of offshore nodule collection, and (iv) develop onshore technology to process collected polymetallic nodules into a manganese silicate product and an intermediate nickel-copper-cobalt alloy or matte product and/or end-products like nickel and cobalt sulfates, and copper cathode. We are also working towards our initial pre-feasibility study, which we are now updating to reflect the U.S. regulatory pathway under DSHMRA.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012"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01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t>Regulation of Mining of Deep-Sea Polymetallic Nodules by the United States</w:t>
      </w:r>
    </w:p>
    <w:p>
      <w:pPr>
        <w:spacing w:after="0" w:line="229" w:lineRule="exact"/>
        <w:rPr>
          <w:sz w:val="20"/>
          <w:szCs w:val="20"/>
          <w:color w:val="auto"/>
        </w:rPr>
      </w:pPr>
    </w:p>
    <w:p>
      <w:pPr>
        <w:jc w:val="both"/>
        <w:ind w:left="4" w:right="20" w:firstLine="324"/>
        <w:spacing w:after="0" w:line="256" w:lineRule="auto"/>
        <w:rPr>
          <w:sz w:val="20"/>
          <w:szCs w:val="20"/>
          <w:color w:val="auto"/>
        </w:rPr>
      </w:pPr>
      <w:r>
        <w:rPr>
          <w:rFonts w:ascii="Times New Roman" w:cs="Times New Roman" w:eastAsia="Times New Roman" w:hAnsi="Times New Roman"/>
          <w:sz w:val="18"/>
          <w:szCs w:val="18"/>
          <w:color w:val="auto"/>
        </w:rPr>
        <w:t>The Deep Seabed Hard Mineral Resources Act of 1980, or 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w:t>
      </w:r>
    </w:p>
    <w:p>
      <w:pPr>
        <w:spacing w:after="0" w:line="187"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w:t>
      </w:r>
    </w:p>
    <w:p>
      <w:pPr>
        <w:spacing w:after="0" w:line="3" w:lineRule="exact"/>
        <w:rPr>
          <w:sz w:val="20"/>
          <w:szCs w:val="20"/>
          <w:color w:val="auto"/>
        </w:rPr>
      </w:pPr>
    </w:p>
    <w:p>
      <w:pPr>
        <w:ind w:left="4" w:right="20" w:hanging="4"/>
        <w:spacing w:after="0" w:line="260" w:lineRule="auto"/>
        <w:tabs>
          <w:tab w:leader="none" w:pos="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expected to result in significant adverse environmental effects; and (v) does not pose undue risk to life or property at sea. These findings reflect NOAA’s dual mandate of advancing U.S. commercial interests in seabed minerals while minimizing environmental and diplomatic risk.</w:t>
      </w:r>
    </w:p>
    <w:p>
      <w:pPr>
        <w:spacing w:after="0" w:line="181" w:lineRule="exact"/>
        <w:rPr>
          <w:sz w:val="20"/>
          <w:szCs w:val="20"/>
          <w:color w:val="auto"/>
        </w:rPr>
      </w:pPr>
    </w:p>
    <w:p>
      <w:pPr>
        <w:jc w:val="both"/>
        <w:ind w:left="4" w:firstLine="324"/>
        <w:spacing w:after="0" w:line="261" w:lineRule="auto"/>
        <w:rPr>
          <w:sz w:val="20"/>
          <w:szCs w:val="20"/>
          <w:color w:val="auto"/>
        </w:rPr>
      </w:pPr>
      <w:r>
        <w:rPr>
          <w:rFonts w:ascii="Times New Roman" w:cs="Times New Roman" w:eastAsia="Times New Roman" w:hAnsi="Times New Roman"/>
          <w:sz w:val="18"/>
          <w:szCs w:val="18"/>
          <w:color w:val="auto"/>
        </w:rPr>
        <w:t>Eligibility for licensing under DSHMRA is limited to “United States citizens,” a term defined to include any individual, corporation, or other entity organized under the laws of a U.S. state or territory. This includes foreign-owned entities organized in the United States, as well as foreign entities with majority U.S. ownership or control. We believe that our wholly owned subsidiary TMC USA, as a North Carolina limited liability company, qualifies as a “United States citizen” under these provisions and is eligible to apply for and hold NOAA-issued licenses and permits.</w:t>
      </w:r>
    </w:p>
    <w:p>
      <w:pPr>
        <w:spacing w:after="0" w:line="180" w:lineRule="exact"/>
        <w:rPr>
          <w:sz w:val="20"/>
          <w:szCs w:val="20"/>
          <w:color w:val="auto"/>
        </w:rPr>
      </w:pPr>
    </w:p>
    <w:p>
      <w:pPr>
        <w:jc w:val="both"/>
        <w:ind w:left="4" w:right="20" w:firstLine="324"/>
        <w:spacing w:after="0" w:line="258" w:lineRule="auto"/>
        <w:rPr>
          <w:sz w:val="20"/>
          <w:szCs w:val="20"/>
          <w:color w:val="auto"/>
        </w:rPr>
      </w:pPr>
      <w:r>
        <w:rPr>
          <w:rFonts w:ascii="Times New Roman" w:cs="Times New Roman" w:eastAsia="Times New Roman" w:hAnsi="Times New Roman"/>
          <w:sz w:val="18"/>
          <w:szCs w:val="18"/>
          <w:color w:val="auto"/>
        </w:rPr>
        <w:t>TMC USA has submitted three formal applications to NOAA: two for exploration licenses and one for a commercial recovery permit. The DSHMRA framework contemplates sequential applications—first for an exploration license, then for a recovery permit—but neither the statute nor its regulations expressly prohibit concurrent or direct permitting where sufficient data is available. TMC USA previously submitted a legal memorandum requesting clarification from NOAA on this point and, if required, has also reserved the option of requesting a waiver from NOAA of the exploration license prerequisite.</w:t>
      </w:r>
    </w:p>
    <w:p>
      <w:pPr>
        <w:spacing w:after="0" w:line="183" w:lineRule="exact"/>
        <w:rPr>
          <w:sz w:val="20"/>
          <w:szCs w:val="20"/>
          <w:color w:val="auto"/>
        </w:rPr>
      </w:pPr>
    </w:p>
    <w:p>
      <w:pPr>
        <w:jc w:val="both"/>
        <w:ind w:left="4" w:right="20" w:firstLine="324"/>
        <w:spacing w:after="0" w:line="261" w:lineRule="auto"/>
        <w:rPr>
          <w:sz w:val="20"/>
          <w:szCs w:val="20"/>
          <w:color w:val="auto"/>
        </w:rPr>
      </w:pPr>
      <w:r>
        <w:rPr>
          <w:rFonts w:ascii="Times New Roman" w:cs="Times New Roman" w:eastAsia="Times New Roman" w:hAnsi="Times New Roman"/>
          <w:sz w:val="18"/>
          <w:szCs w:val="18"/>
          <w:color w:val="auto"/>
        </w:rPr>
        <w:t>Exploration licenses grant exclusive rights to conduct technical studies and test mining in a defined area and are typically issued for five-year terms. Commercial recovery permits authorize full-scale extraction for a period of 20 years subject to extension and are subject to enhanced environmental and operational requirements. NOAA grants licenses and permits to particular areas, in part, based on when applications are received. To date, NOAA has not issued any commercial recovery permits under DSHMRA as no U.S. citizen had applied for a commercial recovery permit prior to TMC USA.</w:t>
      </w:r>
    </w:p>
    <w:p>
      <w:pPr>
        <w:spacing w:after="0" w:line="180" w:lineRule="exact"/>
        <w:rPr>
          <w:sz w:val="20"/>
          <w:szCs w:val="20"/>
          <w:color w:val="auto"/>
        </w:rPr>
      </w:pPr>
    </w:p>
    <w:p>
      <w:pPr>
        <w:jc w:val="both"/>
        <w:ind w:left="4" w:firstLine="324"/>
        <w:spacing w:after="0" w:line="253" w:lineRule="auto"/>
        <w:rPr>
          <w:sz w:val="20"/>
          <w:szCs w:val="20"/>
          <w:color w:val="auto"/>
        </w:rPr>
      </w:pPr>
      <w:r>
        <w:rPr>
          <w:rFonts w:ascii="Times New Roman" w:cs="Times New Roman" w:eastAsia="Times New Roman" w:hAnsi="Times New Roman"/>
          <w:sz w:val="18"/>
          <w:szCs w:val="18"/>
          <w:color w:val="auto"/>
        </w:rPr>
        <w:t>TMC USA initiated pre-application consultations with NOAA in the first quarter of 2025 and, following those discussions, submitted its applications in April 2025. These are now under agency review. Each application includes the full environmental, technical, financial, and operational data required under DSHMRA and the National Environmental Policy Act, or NEPA. The NOAA review process includes a determination whether applications for exploration licenses are in full or substantial compliance with the applicable requirements under DSHMRA and its implementing regulations within 30 days of receipt and whether applications for a commercial recovery permit is complete within 60 days. NOAA is then expected to proceed with a full review of the applications, including interagency consultation with other U.S. government departments (including the Department of State, the Department of Defense, and the Environmental Protection Agency), preparation of an Environmental Impact Statement, or EIS, under NEPA, and a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1008" w:right="439" w:bottom="1440" w:gutter="0" w:footer="0" w:header="0"/>
        </w:sectPr>
      </w:pPr>
    </w:p>
    <w:bookmarkStart w:id="7" w:name="page8"/>
    <w:bookmarkEnd w:id="7"/>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273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t>DSHMRA and its regulations do not include a statutory deadline for application review. However, the Executive Order signed by President Trump on April 24, 2025, directs the Commerce Secretary to implement an expedited permitting process under DSHMRA.</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NOAA issued four exploration licenses in 1984 to U.S.-sponsored consortia for polymetallic nodule exploration in the CCZ. Two of these licenses (USA-1 and USA-4) remain active and are currently held by a Lockheed Martin subsidiary. These licenses have been renewed in accordance with DSHMRA’s statutory provisions, which require NOAA to grant extensions if the licensee has substantially complied with license terms. Lockheed Martin has not conducted recent offshore activities under these licenses, citing market conditions and the lack of international recognition of DSHMRA licenses. In 2022, NOAA acknowledged these factors and extended the licenses to 2027.</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NOAA has historically adopted a cautious and science-based regulatory posture under DSHMRA, coordinating with other U.S. federal agencies and supporting environmental studies to inform future decisions. In the 1980s, the United States entered into reciprocal recognition arrangements with other nations with similar domestic seabed mining laws, helping avoid overlapping claims prior to the establishment of the ISA. Once the ISA became operational in the 1990s, most seabed mining states transitioned to the UNCLOS/ISA system. The United States, however, remains outside that framework. NOAA is not restricted under DSHMRA from issuing licenses or permits over areas that are also subject to ISA exploration or exploitation contracts.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DSHMRA requires that recovered minerals be processed in the United States unless a waiver is granted. We are currently evaluating U.S.-based processing options to satisfy this requirement. If necessary, we expect to seek a waiver based on the statutory criteria and applicable regulations.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to become subject to additional U.S. laws and regulations as development progresses and are in the early stages of analyzing their applicability and potential impact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Financial Information as of and for the Three Months Ended March 31, 2025</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March 31, 2025, we estimate that we had cash on hand of $2.3 million. In addition, as of March 31, 2025, we estimate that we had short-term debt of approximately $10 million, representing amounts outstanding under the Unsecured Credit Facility, dated March 22, 2024, as amended, with Gerard Barron, our Chief Executive Officer and Chairman, and ERAS Capital LLC, the family fund of our director, Andrei Karkar, or the 2024 Credit Facility, and the Working Capital Loan Agreement, dated September 9, 2024, with Allseas Investments S.A., or the Working Capital Loan Agreement. We also estimate that operating expenses, operating loss and net cash used in operating activities for the three months ended March 31, 2025 were approximately $18.0 million, $20.6 million and $9.3 million, respectively. As of March 31, 2025, there remained $41.5 million undrawn under the 2024 Credit Facility. The lenders may terminate the 2024 Credit Facility if we raise at least $50 million in aggregate net proceeds from certain financings and commercial arrangements following the inception of the 2024 Credit Facility, which will include the proceeds from this offering. In addition, as of March 31, 2025, we had approximately $19.3 million available to be sold under the At-the-Market Equity Distribution Agreement, or the Sales Agreement, with Wedbush Securities Inc., having raised $5.7 million through the issuance of 2,975,226 common shares in the three months ended March 31, 2025 at an average per share price of $1.93.</w:t>
      </w:r>
    </w:p>
    <w:p>
      <w:pPr>
        <w:spacing w:after="0" w:line="19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information presented above is estimated, unaudited and preliminary and is subject to completion. We are in the process of finalizing our financial results for the quarter ended March 31, 2025. As a result, the estimates above may differ, potentially materially, from the actual results that will be presented in our condensed consolidated financial statements as of March 31, 2025 and the three-month period then ended when these condensed consolidated financial statements are completed. The information presented above is based upon management estimates to date and is the responsibility of management. Our independent registered public accounting firm has not audited, reviewed, compiled or performed any procedures with respect to this information and, accordingly, does not express an opinion or any other form of assurance upon this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the Province of British Columbia, Canada, and DeepGreen Metals Inc., a company existing under the laws of the Province of British Columbia, Canada, or DeepGreen. In connection with the closing of the Business Combination, or the Closing, SOAC changed its name to “TMC the metals company Inc.”</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1012" w:right="439" w:bottom="1440" w:gutter="0" w:footer="0" w:header="0"/>
        </w:sectPr>
      </w:pPr>
    </w:p>
    <w:bookmarkStart w:id="8" w:name="page9"/>
    <w:bookmarkEnd w:id="8"/>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24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6724650"/>
                    </a:xfrm>
                    <a:prstGeom prst="rect">
                      <a:avLst/>
                    </a:prstGeom>
                    <a:noFill/>
                  </pic:spPr>
                </pic:pic>
              </a:graphicData>
            </a:graphic>
          </wp:anchor>
        </w:drawing>
        <w:t>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 Our website address is www.metals.co. The information contained on, or that can be accessed through, our website is not and shall not be deemed to be part of this prospectus supplement or the base prospectuses. We have included our website address in this prospectus supplement solely as an inactive textual reference. Investors should not rely on any such information in deciding whether to purchase our common shares in this offering.</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left="4"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so long as we remain an emerging growth company, we may take advantage of certain exemptions from various reporting requirements and other burdens that are otherwise applicable generally to public companies. These provisions include:</w:t>
      </w:r>
    </w:p>
    <w:p>
      <w:pPr>
        <w:spacing w:after="0" w:line="176" w:lineRule="exact"/>
        <w:rPr>
          <w:sz w:val="20"/>
          <w:szCs w:val="20"/>
          <w:color w:val="auto"/>
        </w:rPr>
      </w:pPr>
    </w:p>
    <w:p>
      <w:pPr>
        <w:jc w:val="both"/>
        <w:ind w:left="644" w:hanging="320"/>
        <w:spacing w:after="0" w:line="257"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9"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9"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9" w:lineRule="exact"/>
        <w:rPr>
          <w:rFonts w:ascii="Times New Roman" w:cs="Times New Roman" w:eastAsia="Times New Roman" w:hAnsi="Times New Roman"/>
          <w:sz w:val="18"/>
          <w:szCs w:val="18"/>
          <w:color w:val="auto"/>
        </w:rPr>
      </w:pPr>
    </w:p>
    <w:p>
      <w:pPr>
        <w:ind w:left="644" w:right="20" w:hanging="320"/>
        <w:spacing w:after="0" w:line="26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81"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supplement.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left="4"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supplement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192" w:lineRule="exact"/>
        <w:rPr>
          <w:sz w:val="20"/>
          <w:szCs w:val="20"/>
          <w:color w:val="auto"/>
        </w:rPr>
      </w:pPr>
    </w:p>
    <w:p>
      <w:pPr>
        <w:jc w:val="both"/>
        <w:ind w:left="4"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jc w:val="both"/>
        <w:ind w:left="4" w:hanging="4"/>
        <w:spacing w:after="0" w:line="252" w:lineRule="auto"/>
        <w:tabs>
          <w:tab w:leader="none" w:pos="2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1012"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782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8782050"/>
                    </a:xfrm>
                    <a:prstGeom prst="rect">
                      <a:avLst/>
                    </a:prstGeom>
                    <a:noFill/>
                  </pic:spPr>
                </pic:pic>
              </a:graphicData>
            </a:graphic>
          </wp:anchor>
        </w:drawing>
        <w:t>THE OFFERING</w:t>
      </w:r>
    </w:p>
    <w:p>
      <w:pPr>
        <w:sectPr>
          <w:pgSz w:w="11900" w:h="16838" w:orient="portrait"/>
          <w:cols w:equalWidth="0" w:num="1">
            <w:col w:w="11020"/>
          </w:cols>
          <w:pgMar w:left="440" w:top="1008" w:right="439" w:bottom="906"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12,333,333 common shares</w:t>
      </w:r>
    </w:p>
    <w:p>
      <w:pPr>
        <w:spacing w:after="0" w:line="200" w:lineRule="exact"/>
        <w:rPr>
          <w:sz w:val="20"/>
          <w:szCs w:val="20"/>
          <w:color w:val="auto"/>
        </w:rPr>
      </w:pPr>
    </w:p>
    <w:p>
      <w:pPr>
        <w:sectPr>
          <w:pgSz w:w="11900" w:h="16838" w:orient="portrait"/>
          <w:cols w:equalWidth="0" w:num="2">
            <w:col w:w="2280" w:space="700"/>
            <w:col w:w="8040"/>
          </w:cols>
          <w:pgMar w:left="440" w:top="1008" w:right="439" w:bottom="906"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C warrants offered by 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C warrants to purchase up to an aggregate of 12,333,333 common shares. The common shares are being sold together with the Class C warrants. Each common share will be accompanied by a Class C warrant to purchase one common share. The Class C warrants are exercisable beginning on the issuance date at an exercise price of $4.50 per share, and will terminate on the third anniversary of the date of the securities purchase agreement, or the Termination Date.</w:t>
      </w:r>
    </w:p>
    <w:p>
      <w:pPr>
        <w:spacing w:after="0" w:line="179" w:lineRule="exact"/>
        <w:rPr>
          <w:sz w:val="20"/>
          <w:szCs w:val="20"/>
          <w:color w:val="auto"/>
        </w:rPr>
      </w:pPr>
    </w:p>
    <w:p>
      <w:pPr>
        <w:sectPr>
          <w:pgSz w:w="11900" w:h="16838" w:orient="portrait"/>
          <w:cols w:equalWidth="0" w:num="2">
            <w:col w:w="2360" w:space="620"/>
            <w:col w:w="8040"/>
          </w:cols>
          <w:pgMar w:left="440" w:top="1008" w:right="439" w:bottom="906"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shares outstanding before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340,708,460 shares.</w:t>
      </w:r>
    </w:p>
    <w:p>
      <w:pPr>
        <w:spacing w:after="0" w:line="448" w:lineRule="exact"/>
        <w:rPr>
          <w:sz w:val="20"/>
          <w:szCs w:val="20"/>
          <w:color w:val="auto"/>
        </w:rPr>
      </w:pPr>
    </w:p>
    <w:p>
      <w:pPr>
        <w:sectPr>
          <w:pgSz w:w="11900" w:h="16838" w:orient="portrait"/>
          <w:cols w:equalWidth="0" w:num="2">
            <w:col w:w="2720" w:space="260"/>
            <w:col w:w="8040"/>
          </w:cols>
          <w:pgMar w:left="440" w:top="1008" w:right="439" w:bottom="906" w:gutter="0" w:footer="0" w:header="0"/>
          <w:type w:val="continuous"/>
        </w:sect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353,041,793 shares, assuming no exercise of any Class C warrants issued in this offering.</w:t>
      </w:r>
    </w:p>
    <w:p>
      <w:pPr>
        <w:spacing w:after="0" w:line="448" w:lineRule="exact"/>
        <w:rPr>
          <w:sz w:val="20"/>
          <w:szCs w:val="20"/>
          <w:color w:val="auto"/>
        </w:rPr>
      </w:pPr>
    </w:p>
    <w:p>
      <w:pPr>
        <w:sectPr>
          <w:pgSz w:w="11900" w:h="16838" w:orient="portrait"/>
          <w:cols w:equalWidth="0" w:num="2">
            <w:col w:w="2620" w:space="360"/>
            <w:col w:w="8040"/>
          </w:cols>
          <w:pgMar w:left="440" w:top="1008" w:right="439" w:bottom="906"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common share and accompanying Class C Warrant will be sold at a negotiated price of $3.00.</w:t>
      </w:r>
    </w:p>
    <w:p>
      <w:pPr>
        <w:spacing w:after="0" w:line="207" w:lineRule="exact"/>
        <w:rPr>
          <w:sz w:val="20"/>
          <w:szCs w:val="20"/>
          <w:color w:val="auto"/>
        </w:rPr>
      </w:pPr>
    </w:p>
    <w:p>
      <w:pPr>
        <w:sectPr>
          <w:pgSz w:w="11900" w:h="16838" w:orient="portrait"/>
          <w:cols w:equalWidth="0" w:num="2">
            <w:col w:w="2260" w:space="720"/>
            <w:col w:w="8040"/>
          </w:cols>
          <w:pgMar w:left="440" w:top="1008" w:right="439" w:bottom="906"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offering expenses payable by us, will be approximately $36.75 million and assuming no exercise of the Class C warrants issued in this offering. We intend to use the net proceeds from this offering for working capital and general corporate purposes and to repay in whole or in part the outstanding balance of the 2024 Credit Facility and the Working Capital Loan Agreement. See “Use of Proceeds” beginning on page S-16 of this prospectus supplement for additional detail.</w:t>
      </w:r>
    </w:p>
    <w:p>
      <w:pPr>
        <w:spacing w:after="0" w:line="183" w:lineRule="exact"/>
        <w:rPr>
          <w:sz w:val="20"/>
          <w:szCs w:val="20"/>
          <w:color w:val="auto"/>
        </w:rPr>
      </w:pPr>
    </w:p>
    <w:p>
      <w:pPr>
        <w:sectPr>
          <w:pgSz w:w="11900" w:h="16838" w:orient="portrait"/>
          <w:cols w:equalWidth="0" w:num="2">
            <w:col w:w="2260" w:space="720"/>
            <w:col w:w="8040"/>
          </w:cols>
          <w:pgMar w:left="440" w:top="1008" w:right="439" w:bottom="906"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shares are listed on Nasdaq under the symbol “TMC”. We do not intend to list the Class C warrants, nor do we expect the Class C warrants to be quoted on Nasdaq or any other national securities exchange or any other nationally recognized trading system.</w:t>
      </w:r>
    </w:p>
    <w:p>
      <w:pPr>
        <w:spacing w:after="0" w:line="172" w:lineRule="exact"/>
        <w:rPr>
          <w:sz w:val="20"/>
          <w:szCs w:val="20"/>
          <w:color w:val="auto"/>
        </w:rPr>
      </w:pPr>
    </w:p>
    <w:p>
      <w:pPr>
        <w:sectPr>
          <w:pgSz w:w="11900" w:h="16838" w:orient="portrait"/>
          <w:cols w:equalWidth="0" w:num="2">
            <w:col w:w="2260" w:space="720"/>
            <w:col w:w="8040"/>
          </w:cols>
          <w:pgMar w:left="440" w:top="1008" w:right="439" w:bottom="906"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Delivery of the common shares and Class C warrants will be made against any payment therefor on or before May 22, 2025.</w:t>
      </w:r>
    </w:p>
    <w:p>
      <w:pPr>
        <w:spacing w:after="0" w:line="158" w:lineRule="exact"/>
        <w:rPr>
          <w:sz w:val="20"/>
          <w:szCs w:val="20"/>
          <w:color w:val="auto"/>
        </w:rPr>
      </w:pPr>
    </w:p>
    <w:p>
      <w:pPr>
        <w:sectPr>
          <w:pgSz w:w="11900" w:h="16838" w:orient="portrait"/>
          <w:cols w:equalWidth="0" w:num="2">
            <w:col w:w="2260" w:space="720"/>
            <w:col w:w="8040"/>
          </w:cols>
          <w:pgMar w:left="440" w:top="1008" w:right="439" w:bottom="906"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Our business and an investment in our common shares involve a high degree of risk. See “Risk Factors,” beginning on page S-8 of this prospectus supplement, “Item 1A. Risk Factors” in our Annual Report on Form 10-K for the year ended December 31, 2024 and other information included or incorporated in this prospectus supplement for a discussion of factors you should carefully consider before investing in our securities.</w:t>
      </w:r>
    </w:p>
    <w:p>
      <w:pPr>
        <w:spacing w:after="0" w:line="200" w:lineRule="exact"/>
        <w:rPr>
          <w:sz w:val="20"/>
          <w:szCs w:val="20"/>
          <w:color w:val="auto"/>
        </w:rPr>
      </w:pPr>
    </w:p>
    <w:p>
      <w:pPr>
        <w:sectPr>
          <w:pgSz w:w="11900" w:h="16838" w:orient="portrait"/>
          <w:cols w:equalWidth="0" w:num="2">
            <w:col w:w="2260" w:space="720"/>
            <w:col w:w="8040"/>
          </w:cols>
          <w:pgMar w:left="440" w:top="1008" w:right="439" w:bottom="906" w:gutter="0" w:footer="0" w:header="0"/>
          <w:type w:val="continuous"/>
        </w:sectPr>
      </w:pPr>
    </w:p>
    <w:p>
      <w:pPr>
        <w:spacing w:after="0" w:line="20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our common shares that will be outstanding immediately after this offering is based on 340,708,460 common shares outstanding as of December 31, 2024, and excludes:</w:t>
      </w:r>
    </w:p>
    <w:p>
      <w:pPr>
        <w:spacing w:after="0" w:line="162" w:lineRule="exact"/>
        <w:rPr>
          <w:sz w:val="20"/>
          <w:szCs w:val="20"/>
          <w:color w:val="auto"/>
        </w:rPr>
      </w:pPr>
    </w:p>
    <w:p>
      <w:pPr>
        <w:jc w:val="both"/>
        <w:ind w:left="640" w:hanging="320"/>
        <w:spacing w:after="0" w:line="25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27,885,450 common shares and 14,106,452 special shares, which are automatically convertible into common shares on a one-for-one basis if certain price thresholds are met, issuable upon exercise of share options outstanding as of December 31, 2024 under our stock incentive plans, at a weighted average per option exercise price of $1.21;</w:t>
      </w:r>
    </w:p>
    <w:p>
      <w:pPr>
        <w:spacing w:after="0" w:line="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34,312,655 common shares issuable upon the vesting of restricted share units outstanding as of December 31, 2024;</w:t>
      </w:r>
    </w:p>
    <w:p>
      <w:pPr>
        <w:spacing w:after="0" w:line="9" w:lineRule="exact"/>
        <w:rPr>
          <w:rFonts w:ascii="Times New Roman" w:cs="Times New Roman" w:eastAsia="Times New Roman" w:hAnsi="Times New Roman"/>
          <w:sz w:val="18"/>
          <w:szCs w:val="18"/>
          <w:color w:val="auto"/>
        </w:rPr>
      </w:pPr>
    </w:p>
    <w:p>
      <w:pPr>
        <w:ind w:left="640" w:right="20" w:hanging="320"/>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13,246,054 common shares available for future grant under the 2021 Incentive Equity Plan, which includes the evergreen increase in the number of shares available under the 2021 Incentive Equity Plan made in January 2025;</w:t>
      </w:r>
    </w:p>
    <w:p>
      <w:pPr>
        <w:ind w:left="640" w:right="20" w:hanging="320"/>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14,055,707 common shares available for future issuance under the 2021 Employee Stock Purchase Plan, which includes the evergreen increase in the number of shares available under the 2021 Employee Stock Purchase Plan made in January 2025;</w:t>
      </w:r>
    </w:p>
    <w:p>
      <w:pPr>
        <w:jc w:val="both"/>
        <w:ind w:left="640" w:right="20" w:hanging="320"/>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136,239,964 common shares reserved for issuance upon conversion of our outstanding special shares (including 14,106,452 special shares issuable upon outstanding options), which are automatically convertible into common shares on a one-for-one basis if certain price thresholds are met;</w:t>
      </w:r>
    </w:p>
    <w:p>
      <w:pPr>
        <w:spacing w:after="0" w:line="1" w:lineRule="exact"/>
        <w:rPr>
          <w:rFonts w:ascii="Times New Roman" w:cs="Times New Roman" w:eastAsia="Times New Roman" w:hAnsi="Times New Roman"/>
          <w:sz w:val="18"/>
          <w:szCs w:val="18"/>
          <w:color w:val="auto"/>
        </w:rPr>
      </w:pPr>
    </w:p>
    <w:p>
      <w:pPr>
        <w:ind w:left="640" w:right="20" w:hanging="320"/>
        <w:spacing w:after="0" w:line="25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38,180,770 common shares issuable upon exercise of outstanding warrants as of December 31, 2024 to purchase common shares, at a weighted average per warrant exercise price of $8.10;</w:t>
      </w:r>
    </w:p>
    <w:p>
      <w:pPr>
        <w:ind w:left="640" w:hanging="32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7,542,996 common shares issued after December 31, 2024 pursuant to the Sales Agreement; and</w:t>
      </w:r>
    </w:p>
    <w:p>
      <w:pPr>
        <w:spacing w:after="0" w:line="9" w:lineRule="exact"/>
        <w:rPr>
          <w:rFonts w:ascii="Times New Roman" w:cs="Times New Roman" w:eastAsia="Times New Roman" w:hAnsi="Times New Roman"/>
          <w:sz w:val="18"/>
          <w:szCs w:val="18"/>
          <w:color w:val="auto"/>
        </w:rPr>
      </w:pPr>
    </w:p>
    <w:p>
      <w:pPr>
        <w:jc w:val="both"/>
        <w:ind w:left="640" w:right="20" w:hanging="320"/>
        <w:spacing w:after="0" w:line="25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common shares and 2,500,000 common shares issuable upon exercise of our Class B warrants at an exercise price of $2.00 per share issued on February 6, 2025 in connection with the registered direct offering of common shares and Class B warrants pursuant to a securities purchase agreement, dated as of November 14, 2024, as amended on November 26, 2024.</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Class C warrants issued in this offering and does not reflect the potential issuance of our common shares that remain available for sale as of the date of this prospectus supplement under the Sales Agreement, pursuant to which we may sell common shares for remaining gross proceeds of up to $9.8 million after giving effect to the sale of an aggregate of $20.2 million common shares under the Sales Agreement as of the date of this prospectus supplement.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008" w:right="439" w:bottom="906"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Our </w:t>
      </w:r>
      <w:hyperlink r:id="rId14">
        <w:r>
          <w:rPr>
            <w:rFonts w:ascii="Times New Roman" w:cs="Times New Roman" w:eastAsia="Times New Roman" w:hAnsi="Times New Roman"/>
            <w:sz w:val="18"/>
            <w:szCs w:val="18"/>
            <w:i w:val="1"/>
            <w:iCs w:val="1"/>
            <w:u w:val="single" w:color="auto"/>
            <w:color w:val="0000EE"/>
          </w:rPr>
          <w:t>Annual Report on Form 10-K for the year ended December 31, 2024</w:t>
        </w:r>
      </w:hyperlink>
      <w:r>
        <w:rPr>
          <w:rFonts w:ascii="Times New Roman" w:cs="Times New Roman" w:eastAsia="Times New Roman" w:hAnsi="Times New Roman"/>
          <w:sz w:val="18"/>
          <w:szCs w:val="18"/>
          <w:i w:val="1"/>
          <w:iCs w:val="1"/>
          <w:color w:val="auto"/>
        </w:rPr>
        <w:t xml:space="preserve">, which is incorporated by reference into this prospectus supplement, as well as our other filings with the SEC, include material risk factors relating to us and an investment in our common shares.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financial condition, liquidity, results of operations and prospects. If any of those risks and uncertainties or the risks and uncertainties described below actually occurs, our business, financial condition, liquidity, results of operations or prospects could be harmed substantially. In such a case, you may lose all or part of your investment. You should carefully consider the risks and uncertainties described below and those risks and </w:t>
      </w:r>
      <w:hyperlink r:id="rId14">
        <w:r>
          <w:rPr>
            <w:rFonts w:ascii="Times New Roman" w:cs="Times New Roman" w:eastAsia="Times New Roman" w:hAnsi="Times New Roman"/>
            <w:sz w:val="18"/>
            <w:szCs w:val="18"/>
            <w:i w:val="1"/>
            <w:iCs w:val="1"/>
            <w:color w:val="auto"/>
          </w:rPr>
          <w:t xml:space="preserve">uncertainties incorporated by reference into this prospectus supplement, including from our </w:t>
        </w:r>
        <w:r>
          <w:rPr>
            <w:rFonts w:ascii="Times New Roman" w:cs="Times New Roman" w:eastAsia="Times New Roman" w:hAnsi="Times New Roman"/>
            <w:sz w:val="18"/>
            <w:szCs w:val="18"/>
            <w:i w:val="1"/>
            <w:iCs w:val="1"/>
            <w:u w:val="single" w:color="auto"/>
            <w:color w:val="0000EE"/>
          </w:rPr>
          <w:t>Annual Report on Form 10-K for the year ended December 31,</w:t>
        </w:r>
      </w:hyperlink>
      <w:r>
        <w:rPr>
          <w:rFonts w:ascii="Times New Roman" w:cs="Times New Roman" w:eastAsia="Times New Roman" w:hAnsi="Times New Roman"/>
          <w:sz w:val="18"/>
          <w:szCs w:val="18"/>
          <w:i w:val="1"/>
          <w:iCs w:val="1"/>
          <w:color w:val="auto"/>
        </w:rPr>
        <w:t xml:space="preserve"> </w:t>
      </w:r>
      <w:hyperlink r:id="rId14">
        <w:r>
          <w:rPr>
            <w:rFonts w:ascii="Times New Roman" w:cs="Times New Roman" w:eastAsia="Times New Roman" w:hAnsi="Times New Roman"/>
            <w:sz w:val="18"/>
            <w:szCs w:val="18"/>
            <w:i w:val="1"/>
            <w:iCs w:val="1"/>
            <w:u w:val="single" w:color="auto"/>
            <w:color w:val="0000EE"/>
          </w:rPr>
          <w:t>2024</w:t>
        </w:r>
        <w:r>
          <w:rPr>
            <w:rFonts w:ascii="Times New Roman" w:cs="Times New Roman" w:eastAsia="Times New Roman" w:hAnsi="Times New Roman"/>
            <w:sz w:val="18"/>
            <w:szCs w:val="18"/>
            <w:i w:val="1"/>
            <w:iCs w:val="1"/>
            <w:color w:val="000000"/>
          </w:rPr>
          <w:t>, as well as the other information included in this prospectus supplement, before making an investment decision with respect to our common shares.</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Since the filing of our Form 10-K, there have been no material changes in our risk factors relating to us from those disclosed therein, other than as provided below under “Risks Related to Our Business.”</w:t>
      </w:r>
    </w:p>
    <w:p>
      <w:pPr>
        <w:spacing w:after="0" w:line="190" w:lineRule="exact"/>
        <w:rPr>
          <w:rFonts w:ascii="Times New Roman" w:cs="Times New Roman" w:eastAsia="Times New Roman" w:hAnsi="Times New Roman"/>
          <w:sz w:val="18"/>
          <w:szCs w:val="18"/>
          <w:i w:val="1"/>
          <w:i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rFonts w:ascii="Times New Roman" w:cs="Times New Roman" w:eastAsia="Times New Roman" w:hAnsi="Times New Roman"/>
          <w:sz w:val="18"/>
          <w:szCs w:val="18"/>
          <w:i w:val="1"/>
          <w:iCs w:val="1"/>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pursue deep-sea nodule exploration licenses and a commercial recovery permit under the U.S. Deep Seabed Hard Mineral Resources Act may subject us to conflicting regulatory regimes, uncertain legal interpretations, and operational risks that could adversely affect our business.</w:t>
      </w:r>
    </w:p>
    <w:p>
      <w:pPr>
        <w:spacing w:after="0" w:line="159" w:lineRule="exact"/>
        <w:rPr>
          <w:rFonts w:ascii="Times New Roman" w:cs="Times New Roman" w:eastAsia="Times New Roman" w:hAnsi="Times New Roman"/>
          <w:sz w:val="18"/>
          <w:szCs w:val="18"/>
          <w:i w:val="1"/>
          <w:iCs w:val="1"/>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initiated a U.S.-based regulatory pathway with the U.S. Department of Commerce and NOAA under DSHMRA for the commercial recovery of polymetallic nodules in the CCZ, while maintaining our rights under our exploration contracts issued by the ISA under UNCLOS. We are now prioritizing this U.S. pathway, while preserving our rights under our subsidiaries’ ISA exploration contracts. Although we believe this dual-path approach enhances optionality, it introduces additional risks and complexities.</w:t>
      </w:r>
    </w:p>
    <w:p>
      <w:pPr>
        <w:spacing w:after="0" w:line="180" w:lineRule="exact"/>
        <w:rPr>
          <w:rFonts w:ascii="Times New Roman" w:cs="Times New Roman" w:eastAsia="Times New Roman" w:hAnsi="Times New Roman"/>
          <w:sz w:val="18"/>
          <w:szCs w:val="18"/>
          <w:i w:val="1"/>
          <w:iCs w:val="1"/>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Both the ISA under UNCLOS and the U.S. regime under DSHMRA have not yet been used for commercial production of seafloor polymetallic nodules. To date, NOAA has not issued a commercial recovery permit, and the legal framework, while established, has not yet been applied to the full lifecycle of a seabed mining project. Despite our April 2025 applications now under NOAA review, the applications are subject to an initial determination by NOAA as to substantial compliance and completeness under DSHMRA, and there can be no assurance that such determinations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on a timely basis or at all, or on commercially viable terms and conditions, which would materially and negatively impact our business, financial condition, liquidity, results of operations and prospects. In particular, NOAA’s regulations have been interpreted by some as requiring a sequential process in which an exploration license must first be obtained before a commercial recovery permit can be granted. Although we believe the regulations may allow for a direct or simultaneous application for a commercial recovery permit in cases where sufficient environmental and technical data already exists, there is no assurance that NOAA will agree with this interpretation . If NOAA requires us to begin the permitting process under DSHMRA with an exploration license, this likely would delay our intended commercialization timeline and increase permitting costs and complexity. Also, if TMC USA is required to resubmit any of its applications to NOAA because the initial applications are not in substantial compliance or complete, we could lose rights under DSHMRA to the areas covered by TMC USA’s initial applications if NOAA received another application covering the same areas before TMC USA resubmits the applications. In addition, there is no assurance that we will be able to comply with, or obtain a waiver of, the requirement under DSHMRA that minerals be processed in the United States.</w:t>
      </w:r>
    </w:p>
    <w:p>
      <w:pPr>
        <w:spacing w:after="0" w:line="195" w:lineRule="exact"/>
        <w:rPr>
          <w:rFonts w:ascii="Times New Roman" w:cs="Times New Roman" w:eastAsia="Times New Roman" w:hAnsi="Times New Roman"/>
          <w:sz w:val="18"/>
          <w:szCs w:val="18"/>
          <w:i w:val="1"/>
          <w:iCs w:val="1"/>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permitting under DSHMRA will subject us to a complex regulatory system in the United States which we are in the initial stages of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w:t>
      </w:r>
    </w:p>
    <w:p>
      <w:pPr>
        <w:spacing w:after="0" w:line="200" w:lineRule="exact"/>
        <w:rPr>
          <w:rFonts w:ascii="Times New Roman" w:cs="Times New Roman" w:eastAsia="Times New Roman" w:hAnsi="Times New Roman"/>
          <w:sz w:val="18"/>
          <w:szCs w:val="18"/>
          <w:i w:val="1"/>
          <w:iCs w:val="1"/>
          <w:color w:val="auto"/>
        </w:rPr>
      </w:pPr>
    </w:p>
    <w:p>
      <w:pPr>
        <w:spacing w:after="0" w:line="208" w:lineRule="exact"/>
        <w:rPr>
          <w:rFonts w:ascii="Times New Roman" w:cs="Times New Roman" w:eastAsia="Times New Roman" w:hAnsi="Times New Roman"/>
          <w:sz w:val="18"/>
          <w:szCs w:val="18"/>
          <w:i w:val="1"/>
          <w:i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a U.S.-issued permit would be a unilateral authorization by the United States not formally recognized by the ISA or by countries that are parties to UNCLOS. We do not believe pursuing licenses and permits with NOAA under DSHMRA nullifies our ISA exploration contracts or our sponsorship contracts with the Republic of Nauru and the Kingdom of Tonga, and we believe NORI and TOML are in compliance with each of their ISA exploration contracts and each of their sponsorship contracts. There can be no assurances, however, that the ISA may not attempt to suspend or terminate our existing exploration contracts or that it will renew our NORI exploration contract when it expires in July 2026 or our TOML exploration contract when it expires in January 2027. Nor can there be assurances that our sponsorship contracts will not be suspended or terminated. In addition, if we proceed under the DSHMRA regime and secure U.S. permits, we may need to relinquish or suspend overlapping rights held under our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our ability to secure or maintain exploration contracts or an exploitation contract under the ISA framework and may result in our need to engage in costly and time-consuming litigation to enforce our rights. In addition, UNCLOS parties and the ISA are under a legal obligation, under UNCLOS, not to recognize any commercial recovery permit issued to us under DSHMRA; many UNCLOS parties and the ISA are likely to regard such a permit as a violation of international law, including UNCLOS, which could affect international perceptions of the project, and could have implications for logistics, processing, and market access in UNCLOS parties for seabed minerals extracted under a U.S. license and for downstream products containing them, or for partnerships involving foreign entities, and could also result in actions, pursuant to UNCLOS, against TMC under the national laws of UNCLOS parties, any or all of which could have a material adverse affect on our business, financial condition, liquidity, results of operations and prospects.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of securities in this offering will experience immediate and substantial dilution in this offering. You may experience further dilution upon exercise of our outstanding options and warrants or vesting of our restricted share units.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price per share and accompanying Class C warrant in this offering may exceed the net tangible book value (deficit) per share. Based on the offering price of $3.00 per common share and accompanying Class C warrant and after deducting estimated offering expenses payable by us, investors in this offering would experience immediate dilution of $2.936 per share, representing the difference between our as adjusted net tangible book value (deficit) per share (not including the impact of exercise of Class C warrants) as of December 31, 2024, after giving effect to this offering, and the offering price. In addition, if our outstanding options or warrants are exercised or restricted share units vest, you could experience further dilution. For a further description of the dilution that you will experience immediately after this offering, see the section in this prospectus supplement entitled “Dilution.”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our common shares, or the perception that such future issuances may occur, may cause our share price to decline significantly.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issuance of a substantial number of our common shares through sales, compensation programs or otherwise, or the perception that these issuances could occur, following this offering could cause the market price of our common shares to decline significantly. A substantial majority of the outstanding common shares are, and the common shares sold in this offering upon issuance will be, freely tradable without restriction or further registration under the Securities Act of 1933, as amended, or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shares.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and we could spend the proceeds from this offering in ways our shareholders may not agree with or that do not yield a favorable return, if at all. We intend to use the net proceeds from this offering for working capital and general corporate purposes and to repay in whole or in part the outstanding balance of the 2024 Credit Facility and the Working Capital Loan Agreement. See “Use of Proceeds” beginning on page S-16 of this prospectus supplement for additional detail. However, our use of these proceeds may differ substantially from our current plans. If we do not invest or apply the proceeds from this offering in ways that improve our operating results, we may fail to achieve expected financial results, which could cause our share price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dividends in the foreseeable future. As a result, you must rely on capital appreciation, if any, for any return on your investment.</w:t>
      </w: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anticipate paying cash dividends on our common shares in the foreseeable future. Any payment of cash dividends would also depend on a number of factors, including our financial condition, liquidity, results of operations, capital requirements, prospects and other factors, and will be at the discretion of our board of directors. Accordingly, you will have to rely on capital appreciation, if any, to earn a return on your investment in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Class C warrants to purchase common shares being offered in this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Class C warrants being offered in this offering, and we do not expect a market to develop. In addition, we do not intend to apply to list the Class C warrants on any national securities exchange or other nationally recognized trading system, including Nasdaq. Without an active market, the liquidity of the Class C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Class C warrants will have no rights as a common shareholder until they acquire our common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you acquire our common shares upon exercise of the Class C warrants, you will have no rights with respect to our common shares issuable upon exercise of the Class C warrants. Upon exercise of your Class C warrants, you will be entitled to exercise the rights of a common shareholder only as to matters for which the record date occurs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C warrants are speculative in nature.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Class C warrants offered hereby do not confer any rights of common share ownership on their holders, such as voting rights or the right to receive dividends, but rather merely represent the right to acquire common shares at a fixed price. Specifically, commencing on the date of issuance, holders of the Class C warrants may acquire the common shares issuable upon exercise of such Class C warrants at an exercise price of $4.50 per share. Moreover, following this offering, the market value of the Class C warrants is uncertain and there can be no assurance that the market value of the Class C warrants will equal or exceed their offering price. There can be no assurance that the market price of the common shares will ever equal or exceed the exercise price of the Class C warrants and consequently, whether it will ever be profitable for holders of the Class C warrants to exercise the Class C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C warrants may not have any value.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the price of our common shares does not exceed the exercise price for the Class C warrants during the period when the Class C warrants are exercisable, the Class C warrants may not have any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jc w:val="both"/>
        <w:ind w:firstLine="32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prospectus supplement, the accompanying base prospectuses and the documents incorporated by reference include forward-looking statements within the meaning of Section 27A of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base prospectuses and the documents incorporated by reference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information in this prospectus supplement, the accompanying base prospectuses and the incorporated documents, particularly the information in </w:t>
      </w:r>
      <w:hyperlink r:id="rId14">
        <w:r>
          <w:rPr>
            <w:rFonts w:ascii="Times New Roman" w:cs="Times New Roman" w:eastAsia="Times New Roman" w:hAnsi="Times New Roman"/>
            <w:sz w:val="18"/>
            <w:szCs w:val="18"/>
            <w:u w:val="single" w:color="auto"/>
            <w:color w:val="0000EE"/>
          </w:rPr>
          <w:t>our Annual Report on Form 10-K for the year ended December 31, 2024</w:t>
        </w:r>
      </w:hyperlink>
      <w:r>
        <w:rPr>
          <w:rFonts w:ascii="Times New Roman" w:cs="Times New Roman" w:eastAsia="Times New Roman" w:hAnsi="Times New Roman"/>
          <w:sz w:val="18"/>
          <w:szCs w:val="18"/>
          <w:color w:val="auto"/>
        </w:rPr>
        <w:t xml:space="preserve"> under the captions “Business,” “Risk Factors,” and “Management’s Discussion and Analysis of Financial Condition and Results of Operations,” and the “Risk Factors” section of this prospectus supplement,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nickel and cobalt (including critical metals and battery cathode feedstocks), steel-making feedstocks, copper cathode and manganese ores;</w:t>
      </w: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nickel and cobalt (including critical metals and battery cathode feedstocks), steel-making feedstocks, copper cathode and manganese ores;</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concerning the pursuit of a U.S.-based regulatory pathway with NOAA and the U.S. Department of Commerce under DSHMRA for the commercial production of deep-sea polymetallic nodules in the CCZ;</w:t>
      </w: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concerning the status of our exploration contracts issued by the ISA and our expectations with respect to preparing, filing an application for an exploitation contract with the ISA and the expected interplay between the two regulatory pathways;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financial performance.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base prospectuses and in the documents incorporated by reference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in the accompanying base prospectuses, as supplemented by the discussion of risks and uncertainties under “Risk Factors” contained in </w:t>
      </w:r>
      <w:hyperlink r:id="rId14">
        <w:r>
          <w:rPr>
            <w:rFonts w:ascii="Times New Roman" w:cs="Times New Roman" w:eastAsia="Times New Roman" w:hAnsi="Times New Roman"/>
            <w:sz w:val="18"/>
            <w:szCs w:val="18"/>
            <w:u w:val="single" w:color="auto"/>
            <w:color w:val="0000EE"/>
          </w:rPr>
          <w:t>our Annual Report on Form 10-K for the year ended December 31, 2024</w:t>
        </w:r>
      </w:hyperlink>
      <w:r>
        <w:rPr>
          <w:rFonts w:ascii="Times New Roman" w:cs="Times New Roman" w:eastAsia="Times New Roman" w:hAnsi="Times New Roman"/>
          <w:sz w:val="18"/>
          <w:szCs w:val="18"/>
          <w:color w:val="auto"/>
        </w:rPr>
        <w:t>, as filed with the SEC and which is incorporated herein by reference. The information contained in this document and the documents incorporated by reference herein is believed to be current as of the date of such documents or other dates as may be specified in such documents.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the accompanying base prospectuses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 CANADIAN PROSPECTUS QUALIFICATION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common shares, Class C warrants and any common shares issuable from time to time upon exercise of the Class C warrants offered hereby have not been and will not be qualified for distribution to the public under the securities laws of any province or territory of Canada. The common shares, Class C warrants and any common shares issuable from time to time upon exercise of the Class C warrants may not be offered or sold, directly or indirectly, in Canada or to a Canadian purchaser or to any person who is purchasing for distribution to, or for the account of, any person in Canada. The Company is not a reporting issuer under Canadian securities laws and, as such, the common shares, Class C warrants and any common shares issuable from time to time upon exercise of the Class C warrants will be subject to resale restrictions in Canada under such laws for an indefinite amount of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 RESOURCE STATEMENT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where otherwise stated, the scientific and technical information set forth in this prospectus supplement relating to the area under which our subsidiary NORI holds an exploration contract issued by the ISA, or the NORI Area, and the area under which our subsidiary TOML holds an exploration contract issued by the ISA, or the TOML Area, and in the documents incorporated by reference is based on technical reports, or the Technical Reports, prepared in accordance with the SEC rules set forth in subpart 1300 of Regulation S-K as promulgated by the SEC, or S-K 1300.</w:t>
      </w:r>
    </w:p>
    <w:p>
      <w:pPr>
        <w:spacing w:after="0" w:line="180"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NORI Area, the technical report entitled “Technical Report Summary – Initial Assessment of the NORI Property, Clarion-Clipperton Zone” dated as of March 17, 2021, or the NORI Initial Assessment, prepared by AMC Consultants Pty Ltd. and other qualified persons, each a “qualified person” as defined in S-K 1300;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TOML Area, the technical report entitled “Technical Report Summary – TOML Mineral Resource, Clarion Clipperton Zone, Pacific Ocean” dated as of March 26, 2021, or the TOML Mineral Resource Statement, prepared by AMC Consultants Pty Ltd. and other qualified persons, each a “qualified person” as defined in S-K 1300.</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 In addition, 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low-capital asset expenditure, or CAPEX, approach to our development and commercialization of operations for our NORI Area D project where we reuse existing production assets as opposed to the high-CAPEX approach, where the majority of offshore and onshore production assets would be newly built by us as assumed in the 2021 economic analysis included in the NORI Initial Assessment. In addition, we are increasingly focused on advancing our commercial production strategy under the U.S.-based DSHMRA regime. As a result of these changes and the general passage of time since the valuation date of January 1, 2021, the 2021 point-in-time economic analysis included in Section 19 of the NORI Initial Assessment and the estimated capital and operating costs set forth in Section 18 of the NORI Initial Assessment, including any references thereto throughout the NORI Initial Assessment, should no longer be relied upon or used by investors for any reason.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supplement includes information that has been prepared in accordance with the requirements of the SEC Mining Rules set forth in S-K 1300.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225" w:lineRule="exact"/>
        <w:rPr>
          <w:sz w:val="20"/>
          <w:szCs w:val="20"/>
          <w:color w:val="auto"/>
        </w:rPr>
      </w:pPr>
    </w:p>
    <w:p>
      <w:pPr>
        <w:jc w:val="both"/>
        <w:ind w:firstLine="324"/>
        <w:spacing w:after="0" w:line="256" w:lineRule="auto"/>
        <w:rPr>
          <w:rFonts w:ascii="Times New Roman" w:cs="Times New Roman" w:eastAsia="Times New Roman" w:hAnsi="Times New Roman"/>
          <w:sz w:val="18"/>
          <w:szCs w:val="18"/>
          <w:color w:val="000000"/>
        </w:rPr>
      </w:pPr>
      <w:hyperlink r:id="rId14">
        <w:r>
          <w:rPr>
            <w:rFonts w:ascii="Times New Roman" w:cs="Times New Roman" w:eastAsia="Times New Roman" w:hAnsi="Times New Roman"/>
            <w:sz w:val="18"/>
            <w:szCs w:val="18"/>
            <w:color w:val="auto"/>
          </w:rPr>
          <w:t xml:space="preserve">Further information on each of the polymetallic nodule areas in the CCZ and the Technical Reports referred to above can be found in our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Report on Form 10-K for the year ended December 31, 2024</w:t>
        </w:r>
        <w:r>
          <w:rPr>
            <w:rFonts w:ascii="Times New Roman" w:cs="Times New Roman" w:eastAsia="Times New Roman" w:hAnsi="Times New Roman"/>
            <w:sz w:val="18"/>
            <w:szCs w:val="18"/>
            <w:color w:val="000000"/>
          </w:rPr>
          <w:t>. The information contained in this prospectus supplement and the documents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reference herein regarding the NORI Area and the TOML Area has been derived from the Technical Reports, is subject to certain assumptions, qualifications and procedures described in the Technical Reports and is qualified in its entirety by the full text of the Technical Reports, each of which is filed as an exhibit to our </w:t>
      </w:r>
      <w:hyperlink r:id="rId14">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000000"/>
        </w:rPr>
        <w:t>, which annual report is incorporated by reference into this prospectus supplement and the accompanying base prospectuses.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the securities in this offering, after deducting the estimated offering expenses payable by us, will be approximately $36.75 million. This estimate excludes the proceeds, if any, from the exercise of the Class C warrants sold in this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including any proceeds from the exercise of the Class C warrants sold in this offering, for working capital and general corporate purposes and to repay in whole or in part the outstanding balance of the 2024 Credit Facility with Gerard Barron, our Chief Executive Officer and Chairman, and ERAS Capital LLC, the family fund of our director, Andrei Karkar, and the outstanding balance under the Working Capital Loan with Allseas Investments S.A.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the outstanding balance of the 2024 Credit Agreement was $2.5 million. The 2024 Credit Facility has a borrowing limit of $44 million ($22 million for each lender), bears interest at the 6-month Secured Overnight Financing Rate, 180-day average plus 4.0% per annum payable in cash semi-annually (or plus 5% if paid-in-kind at maturity, at our election) on the first business day of each of June and January and matures on June 30, 2026 unless extended for up to two additional one-year periods by the lenders. We also pay an underutilization fee equal to 6.5% per annum payable semi-annually for any amounts that remain undrawn under the 2024 Credit Facility. In addition, the lenders may terminate the 2024 Credit Facility if we or any of our subsidiaries raises at least $50 million in the aggregate (i) through the issuance of any debt or equity securities, or (ii) in prepayments under an off-take agreement or similar commercial agreement.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balance of the Working Capital Loan Agreement with Allseas Investments S.A. was $7.5 million. The Working Capital Loan Agreement bears interest based on the 6-month Secured Overnight Financing Rate, 180-day average plus a margin of 4.0% per annum (or plus a margin of 5.0% if all interest payments are deferred to the repayment date) and is repayable on September 30, 2025.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for the net proceeds to be received upon the completion of this offering. Additionally, our management will have broad discretion in the timing and application of these proceeds. Pending application of the net proceeds as described above, we intend to invest the proceeds of this offering in money market funds, certificates of deposit and corporate debt securities.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planned use of the net proceeds from this offering and our existing cash, cash equivalents and investments, we expect that such funds will be sufficient to enable us to fund our operations through at least the next 12 months, subject to certain assumptions, including our anticipated cash needs. We have based this estimate on assumptions that may prove to be incorrect, and we could use our available capital resources sooner than we currently expect. 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offering price per share and accompanying Class C warrant and the as adjusted net tangible book value (deficit) per share after giving effect to this offering (excluding the common shares issuable upon exercise of the Class C warrants being offered in this offering and the payment of the exercise price therefor). We calculate net tangible book value (deficit) per share by dividing the net tangible book value (deficit), which is tangible assets (consisting of cash, exploration contracts, equipment and investments) less total liabilities (which excludes deferred tax liabilities), by the number of outstanding common shares. Dilution represents the difference between the amount per share paid by investors in this offering and the as adjusted net tangible book value (deficit) per share immediately after giving effect to this offering. Our net tangible book value (deficit) as of December 31, 2024 was approximately $(14.0) million, or $(0.041) per share.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12,333,333 common shares and accompanying Class C warrants to purchase one common share at the offering price of $3.00 per common share and accompanying Class C warrant and after deducting estimated aggregate offering expenses payable by us, our as adjusted net tangible book value (deficit) (not including the impact of exercise of Class C warrants) as of December 31, 2024 would be approximately $22.7 million, or $0.064 per share. This represents an immediate increase in net tangible book value (deficit) of $0.105 per share to our existing shareholders and an immediate dilution of $2.936 per share issued to the investors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common share and accompanying Class C warrant</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(deficit) per share as of December 31, 2024</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(0.041)</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(deficit) per share attributable to this offering</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0.105</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(deficit) per share after this offering</w:t>
            </w:r>
          </w:p>
        </w:tc>
        <w:tc>
          <w:tcPr>
            <w:tcW w:w="1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0.064</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1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table and discussion are based on 340,708,460 common shares outstanding as of December 31, 2024, and excludes: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27,885,450 common shares and 14,106,452 special shares, which are automatically convertible into common shares on a one-for-one basis if certain price thresholds are met, issuable upon exercise of share options outstanding as of December 31, 2024 under our stock incentive plans, at a weighted average per option exercise price of $1.21;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34,312,655 common shares issuable upon the vesting of restricted share units outstanding as of December 31,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13,246,054 common shares available for future grant under the 2021 Incentive Equity Plan, which includes the evergreen increase in the number of shares available under the 2021 Incentive Equity Plan made in January 2025;</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14,055,707 common shares available for future issuance under the 2021 Employee Stock Purchase Plan, which includes the evergreen increase in the number of shares available under the 2021 Employee Stock Purchase Plan made in January 2025;</w:t>
      </w:r>
    </w:p>
    <w:p>
      <w:pPr>
        <w:ind w:left="660" w:hanging="328"/>
        <w:spacing w:after="0" w:line="265"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136,239,964 common shares reserved for issuance upon conversion of our outstanding special shares (including 14,106,452 special shares issuable upon outstanding options), which are automatically convertible into common shares on a one-for-one basis if certain price thresholds are met;</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38,180,770 common shares issuable upon exercise of outstanding warrants as of December 31, 2024 to purchase common shares, at a weighted average per warrant exercise price of $8.10;</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7,542,996 common shares issued after December 31, 2024 pursuant to the Sales Agreement;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common shares and 2,500,000 common shares issuable upon exercise of our Class B warrants at an exercise price of $2.00 per share issued on February 6, 2025 in connection with the registered direct offering of common shares and Class B warrants pursuant to a securities purchase agreement, dated as of November 14, 2024, as amended on November 26,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restricted share units vest, new options or restricted share units are issued under our equity incentive plans, or we issue additional common shares or other equity or convertible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common shares and each other class of our securities that qualifies or limits our common shares are described in Exhibit 4.1 to our Annual Report on Form 10-K for the year ended December 31, 2024, which is incorporated herein by reference. As of December 31, 2024, we had 340,708,460 common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Class C warrants that are being offered hereby is not complete and is subject to, and qualified in its entirety by, the provisions of the Class C warrants, the form of which will be filed as an exhibit to a Current Report on Form 8-K that we will file with the SEC and that will be incorporated by reference into the Registration Statements of which this prospectus supplement forms a part. Prospective investors should carefully review the terms and provisions of the form of Class C warrants for a complete description of the terms and conditions of the Class C warrants.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Form. </w:t>
      </w:r>
      <w:r>
        <w:rPr>
          <w:rFonts w:ascii="Times New Roman" w:cs="Times New Roman" w:eastAsia="Times New Roman" w:hAnsi="Times New Roman"/>
          <w:sz w:val="18"/>
          <w:szCs w:val="18"/>
          <w:color w:val="auto"/>
        </w:rPr>
        <w:t>The Class C warrants will be issued as individual Class C warrant agreements to the investors.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Class C warrants are exercisable at any time on or after the issuance date until three years after the date of the securities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Class C warrants will be exercisable, at the option of each holder, in whole or in part by delivering to us a duly executed exercise notice and, at any time a registration statement registering the issuance of the common shares underlying the Class C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C warrants under the Securities Act is not then effective or available, the holder may only exercise the Class C warrant through a cashless exercise, in which case the holder would receive upon such exercise the net number of common shares determined according to the formula set forth in the Class C warrant. No fractional shares will be issued in connection with the exercise of a Class C warrant. In lieu of fractional shares, we will round down to the next whole share.</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Limitation. </w:t>
      </w:r>
      <w:r>
        <w:rPr>
          <w:rFonts w:ascii="Times New Roman" w:cs="Times New Roman" w:eastAsia="Times New Roman" w:hAnsi="Times New Roman"/>
          <w:sz w:val="18"/>
          <w:szCs w:val="18"/>
          <w:color w:val="auto"/>
        </w:rPr>
        <w:t>A holder will not have the right to exercise any portion of the Class C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9.99% or 19.99%, at the election of a holder, of the number of common shares outstanding immediately after giving effect to the exercise, as such percentage ownership is determined in accordance with the terms of the Class C warrants. However, any holder may increase or decrease such percentage to any other percentage not in excess of 9.99% (or 19.99% with prior written approval of the Company) upon at least 61 days’ prior notice from the holder to us.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Exercise Price; Adjustment</w:t>
      </w:r>
      <w:r>
        <w:rPr>
          <w:rFonts w:ascii="Times New Roman" w:cs="Times New Roman" w:eastAsia="Times New Roman" w:hAnsi="Times New Roman"/>
          <w:sz w:val="18"/>
          <w:szCs w:val="18"/>
          <w:color w:val="auto"/>
        </w:rPr>
        <w:t>. The initial exercise price per common share purchasable upon exercise of the Class C warrants is $4.50 per share,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Transferability/Warrant Agent. </w:t>
      </w:r>
      <w:r>
        <w:rPr>
          <w:rFonts w:ascii="Times New Roman" w:cs="Times New Roman" w:eastAsia="Times New Roman" w:hAnsi="Times New Roman"/>
          <w:sz w:val="18"/>
          <w:szCs w:val="18"/>
          <w:color w:val="auto"/>
        </w:rPr>
        <w:t>Subject to applicable laws, the Class C warrants may be offered for sale, sold, transferred or assigned without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There is currently no trading market for the Class C warrants and a trading market is not expected to develop. The Company will initially act as warrant agent for the Class C warrants.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Market. </w:t>
      </w:r>
      <w:r>
        <w:rPr>
          <w:rFonts w:ascii="Times New Roman" w:cs="Times New Roman" w:eastAsia="Times New Roman" w:hAnsi="Times New Roman"/>
          <w:sz w:val="18"/>
          <w:szCs w:val="18"/>
          <w:color w:val="auto"/>
        </w:rPr>
        <w:t>We do not plan on making the Class C warrants eligible to trade on any national securities exchange or any other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trading system or market.</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as described in the Class C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shares, the sale, transfer or other disposition of all or substantially all of our properties or assets, our consolidation or merger with or into another person, the holders of the Class C warrants will be entitled to receive upon exercise of the Class C warrants the kind and amount of securities, cash or other property that the holders would have received had they exercised the Class C warrants immediately prior to such fundamental transaction.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Call Provision. </w:t>
      </w:r>
      <w:r>
        <w:rPr>
          <w:rFonts w:ascii="Times New Roman" w:cs="Times New Roman" w:eastAsia="Times New Roman" w:hAnsi="Times New Roman"/>
          <w:sz w:val="18"/>
          <w:szCs w:val="18"/>
          <w:color w:val="auto"/>
        </w:rPr>
        <w:t>Subject to the terms of the Class C warrants, if (i) the volume weighted average price for each of 20 consecutive trading days exceeds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$7.00 per share (subject to adjustment for forward and reverse stock splits, recapitalizations, stock dividends) and (ii) the holder of the Class C warrant is not in possession of any information that constitutes, or might constitute, material non-public information which was provided by the Company, then the Company may, within one trading day of the end of such 20-day period, call for cancellation of all or any portion of the Class C warrants for which a notice of exercise has not yet been delivered for consideration equal to $0.0001 per warrant share.</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as a Shareholder. </w:t>
      </w:r>
      <w:r>
        <w:rPr>
          <w:rFonts w:ascii="Times New Roman" w:cs="Times New Roman" w:eastAsia="Times New Roman" w:hAnsi="Times New Roman"/>
          <w:sz w:val="18"/>
          <w:szCs w:val="18"/>
          <w:color w:val="auto"/>
        </w:rPr>
        <w:t>Except as otherwise provided in the Class C warrants or by virtue of such holder’s ownership of common shares,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Class C warrant does not have the rights or privileges of a holder of our common share, including any voting rights, until the holder exercises the Class C warrant.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Class C warrants are governed by New York law.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enter into a securities purchase agreement directly with the investors who have agreed to purchase our securities in this offering. The securities purchase agreement will contain customary representations, warranties and covenants. We will only sell securities in this offering to such investors. This offering is being made by us without an underwriter or a placement agent.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deliver the securities being issued to the investors in this offering upon receipt of investor funds for the purchase of the securities offered pursuant to this prospectus supplement. We expect to deliver the common shares and Class C warrants being offered pursuant to this prospectus supplement on or before May 22, 2025. The securities purchase agreement may be terminated by us as to any investor's obligations thereunder if the closing with respect to such investor has not been consummated on or before June 30,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this offering were subject to market conditions and negotiations between us and prospective investors. The factors considered in determining the price of the common shares and the Class C warrants included the recent market price of our common shares, the general condition of the securities market at the time of this offering, the history of, and the prospects, for the industry in which we compete, our past and present operations, and our prospects for future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the total offering expenses of this offering that will be payable by us will be approximately $250,000.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and Public Warrants are listed on Nasdaq under the trading symbol “TMC” and “TMCWW,” respectively.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Class C warrants, and we do not expect a market to develop. In addition, we do not intend to list the Class C warrants, nor do we expect Class C warrants to be quoted, on Nasdaq or any other national securities exchange or any other nationally recognized trading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will pass upon the validity of the securities offered by this prospectus supplement and certain other legal matters related to Canadian law for us. Mintz, Levin, Cohn, Ferris, Glovsky and Popeo, P.C., or Mintz, will pass upon certain other legal matters for us.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2024 and 2023 and for the years then ended have been incorporated by reference herein and in the Registration Statements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the Registration Statements, of which this prospectus supplement and the accompanying base prospectuses form a part, under the Securities Act, to register our common shares offered by this prospectus supplement. This prospectus supplement and the accompanying base prospectuses do not contain all of the information contained in the Registration Statements and the exhibits and schedules to the Registration Statements. For further information about us and the common shares, please refer to the Registration Statements, including the exhibits to the Registration Statements. The exhibits to the Registration Statements provide more details of the matters discussed in this prospectus supplement and the accompanying base prospectuses.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 or the accompanying base prospectuses. We include our website address in this prospectus supplement and the accompanying base prospectuses only as an inactive textual reference. Information contained in our website does not constitute a part of this prospectus supplement and the accompanying base prospectuses or our other filings with the SEC.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 SERVICE OF PROCESS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the Province of British Columbia, Canada with our registered office located in British Columbia, Canada.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us or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or other non-U.S. court would take jurisdiction on a matter of liability predicated solely upon U.S. federal securities laws or any state securities or blue-sky laws, and uncertainty with respect to whether a Canadian or other non-U.S. court would enforce a foreign judgement on liabilities predicated upon the U.S. federal securities laws or any state securities or blue-sky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001-39281. The documents incorporated by reference into this prospectus supplement contain important information that you should read about 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our Annual Report on Form 10-K for the fiscal year ended December 31, 2024 that we filed with the SEC on March 27, 2025;</w:t>
        </w:r>
      </w:hyperlink>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40">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January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any portion of such filings that are furnished under applicable SEC rules rather than filed);</w:t>
      </w: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42">
        <w:r>
          <w:rPr>
            <w:rFonts w:ascii="Times New Roman" w:cs="Times New Roman" w:eastAsia="Times New Roman" w:hAnsi="Times New Roman"/>
            <w:sz w:val="18"/>
            <w:szCs w:val="18"/>
            <w:u w:val="single" w:color="auto"/>
            <w:color w:val="0000EE"/>
          </w:rPr>
          <w:t>Definitive Proxy Statement on Schedule 14A that we filed with the SEC on April 18,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under applicable SEC rules;</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w:t>
      </w:r>
      <w:hyperlink r:id="rId43">
        <w:r>
          <w:rPr>
            <w:rFonts w:ascii="Times New Roman" w:cs="Times New Roman" w:eastAsia="Times New Roman" w:hAnsi="Times New Roman"/>
            <w:sz w:val="18"/>
            <w:szCs w:val="18"/>
            <w:u w:val="single" w:color="auto"/>
            <w:color w:val="0000EE"/>
          </w:rPr>
          <w:t>Form 8-A filed on September 10, 2021</w:t>
        </w:r>
      </w:hyperlink>
      <w:r>
        <w:rPr>
          <w:rFonts w:ascii="Times New Roman" w:cs="Times New Roman" w:eastAsia="Times New Roman" w:hAnsi="Times New Roman"/>
          <w:sz w:val="18"/>
          <w:szCs w:val="18"/>
          <w:color w:val="auto"/>
        </w:rPr>
        <w:t xml:space="preserve">, including any amendment or report filed for the purpose of updating such description as updated by </w:t>
      </w:r>
      <w:hyperlink r:id="rId4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December 31, 2024, and as subsequently amended or updated;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or the accompanying base prospectuses but not delivered with the prospectus, including exhibits which are specifically incorporated by reference into such documents. You should direct any requests for documents to TMC the metals company Inc., 1111 West Hastings Street, 15th Floor, Vancouver, British Columbia V6E 2J3, Canada.</w:t>
      </w:r>
    </w:p>
    <w:p>
      <w:pPr>
        <w:spacing w:after="0" w:line="180"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6"/>
          <w:szCs w:val="16"/>
          <w:color w:val="auto"/>
        </w:rPr>
        <w:t>Filed Pursuant to Rule 424(b)(3)</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Registration No. 333-267479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66010" cy="822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36601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MILLION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38,266,180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SHAREHOLDERS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8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780" w:type="dxa"/>
            <w:vAlign w:val="bottom"/>
            <w:tcBorders>
              <w:bottom w:val="single" w:sz="8" w:color="CCEEFF"/>
            </w:tcBorders>
            <w:gridSpan w:val="1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7780" w:type="dxa"/>
            <w:vAlign w:val="bottom"/>
            <w:tcBorders>
              <w:bottom w:val="single" w:sz="8" w:color="CCEEFF"/>
            </w:tcBorders>
            <w:gridSpan w:val="9"/>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175"/>
        </w:trPr>
        <w:tc>
          <w:tcPr>
            <w:tcW w:w="24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8560" w:type="dxa"/>
            <w:vAlign w:val="bottom"/>
            <w:tcBorders>
              <w:top w:val="single" w:sz="8" w:color="CCEEFF"/>
            </w:tcBorders>
            <w:gridSpan w:val="11"/>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2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616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7"/>
                <w:szCs w:val="17"/>
                <w:color w:val="auto"/>
              </w:rPr>
            </w:pPr>
          </w:p>
        </w:tc>
      </w:tr>
      <w:tr>
        <w:trPr>
          <w:trHeight w:val="175"/>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58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PROSPECTUS SUMMARY</w:t>
      </w:r>
    </w:p>
    <w:p>
      <w:pPr>
        <w:spacing w:after="0" w:line="227" w:lineRule="exact"/>
        <w:rPr>
          <w:sz w:val="20"/>
          <w:szCs w:val="20"/>
          <w:color w:val="auto"/>
        </w:rPr>
      </w:pPr>
    </w:p>
    <w:p>
      <w:pPr>
        <w:jc w:val="both"/>
        <w:ind w:left="10"/>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w:t>
      </w:r>
    </w:p>
    <w:p>
      <w:pPr>
        <w:spacing w:after="0" w:line="3" w:lineRule="exact"/>
        <w:rPr>
          <w:sz w:val="20"/>
          <w:szCs w:val="20"/>
          <w:color w:val="auto"/>
        </w:rPr>
      </w:pPr>
    </w:p>
    <w:p>
      <w:pPr>
        <w:jc w:val="both"/>
        <w:ind w:left="10" w:hanging="10"/>
        <w:spacing w:after="0" w:line="255"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34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022" w:right="67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026" w:right="679" w:bottom="1440" w:gutter="0" w:footer="0" w:header="0"/>
        </w:sectPr>
      </w:pPr>
    </w:p>
    <w:bookmarkStart w:id="30" w:name="page31"/>
    <w:bookmarkEnd w:id="30"/>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46 of this prospectus.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330" w:hanging="330"/>
        <w:spacing w:after="0"/>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Selling Shareholders May Offer</w:t>
      </w:r>
    </w:p>
    <w:p>
      <w:pPr>
        <w:spacing w:after="0" w:line="229"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spacing w:after="0" w:line="200" w:lineRule="exact"/>
        <w:rPr>
          <w:sz w:val="20"/>
          <w:szCs w:val="20"/>
          <w:color w:val="auto"/>
        </w:rPr>
      </w:pPr>
    </w:p>
    <w:p>
      <w:pPr>
        <w:spacing w:after="0" w:line="3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242" w:right="6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130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the need for additional financing;</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Shares to be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 Shares Beneficially</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Shareholder</w:t>
            </w:r>
            <w:r>
              <w:rPr>
                <w:rFonts w:ascii="Times New Roman" w:cs="Times New Roman" w:eastAsia="Times New Roman" w:hAnsi="Times New Roman"/>
                <w:sz w:val="29"/>
                <w:szCs w:val="29"/>
                <w:b w:val="1"/>
                <w:bCs w:val="1"/>
                <w:color w:val="auto"/>
                <w:vertAlign w:val="superscript"/>
              </w:rPr>
              <w:t>(1)</w:t>
            </w: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Willeese Pty Ltd ATF Wilson Family Trust</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Cadence Capital Limited</w:t>
            </w:r>
            <w:r>
              <w:rPr>
                <w:rFonts w:ascii="Times New Roman" w:cs="Times New Roman" w:eastAsia="Times New Roman" w:hAnsi="Times New Roman"/>
                <w:sz w:val="29"/>
                <w:szCs w:val="29"/>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Cadence Opportunities Fund Limited</w:t>
            </w:r>
            <w:r>
              <w:rPr>
                <w:rFonts w:ascii="Times New Roman" w:cs="Times New Roman" w:eastAsia="Times New Roman" w:hAnsi="Times New Roman"/>
                <w:sz w:val="29"/>
                <w:szCs w:val="29"/>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Carrera Capital International Ltd.</w:t>
            </w:r>
            <w:r>
              <w:rPr>
                <w:rFonts w:ascii="Times New Roman" w:cs="Times New Roman" w:eastAsia="Times New Roman" w:hAnsi="Times New Roman"/>
                <w:sz w:val="29"/>
                <w:szCs w:val="2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Lucas Cahill</w:t>
            </w:r>
            <w:r>
              <w:rPr>
                <w:rFonts w:ascii="Times New Roman" w:cs="Times New Roman" w:eastAsia="Times New Roman" w:hAnsi="Times New Roman"/>
                <w:sz w:val="29"/>
                <w:szCs w:val="29"/>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Paes-Braga</w:t>
            </w:r>
            <w:r>
              <w:rPr>
                <w:rFonts w:ascii="Times New Roman" w:cs="Times New Roman" w:eastAsia="Times New Roman" w:hAnsi="Times New Roman"/>
                <w:sz w:val="29"/>
                <w:szCs w:val="29"/>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Valola Holdings Corp.</w:t>
            </w:r>
            <w:r>
              <w:rPr>
                <w:rFonts w:ascii="Times New Roman" w:cs="Times New Roman" w:eastAsia="Times New Roman" w:hAnsi="Times New Roman"/>
                <w:sz w:val="29"/>
                <w:szCs w:val="29"/>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12,284,667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9,784,667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Stewart</w:t>
            </w:r>
            <w:r>
              <w:rPr>
                <w:rFonts w:ascii="Times New Roman" w:cs="Times New Roman" w:eastAsia="Times New Roman" w:hAnsi="Times New Roman"/>
                <w:sz w:val="29"/>
                <w:szCs w:val="29"/>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Namdar Family Holdings LLC</w:t>
            </w:r>
            <w:r>
              <w:rPr>
                <w:rFonts w:ascii="Times New Roman" w:cs="Times New Roman" w:eastAsia="Times New Roman" w:hAnsi="Times New Roman"/>
                <w:sz w:val="29"/>
                <w:szCs w:val="29"/>
                <w:color w:val="auto"/>
                <w:vertAlign w:val="superscript"/>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Majid Fahd M Alghaslan</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BMO Nesbitt Burns Inc. ITF Lynwood Opportunities Master Fund</w:t>
            </w:r>
            <w:r>
              <w:rPr>
                <w:rFonts w:ascii="Times New Roman" w:cs="Times New Roman" w:eastAsia="Times New Roman" w:hAnsi="Times New Roman"/>
                <w:sz w:val="29"/>
                <w:szCs w:val="29"/>
                <w:color w:val="auto"/>
                <w:vertAlign w:val="superscript"/>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Nero Resource Fund Pty Ltd</w:t>
            </w:r>
            <w:r>
              <w:rPr>
                <w:rFonts w:ascii="Times New Roman" w:cs="Times New Roman" w:eastAsia="Times New Roman" w:hAnsi="Times New Roman"/>
                <w:sz w:val="29"/>
                <w:szCs w:val="29"/>
                <w:color w:val="auto"/>
                <w:vertAlign w:val="superscript"/>
              </w:rPr>
              <w:t>(14)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Peter Jon Deschenes Jr</w:t>
            </w:r>
            <w:r>
              <w:rPr>
                <w:rFonts w:ascii="Times New Roman" w:cs="Times New Roman" w:eastAsia="Times New Roman" w:hAnsi="Times New Roman"/>
                <w:sz w:val="29"/>
                <w:szCs w:val="29"/>
                <w:color w:val="auto"/>
                <w:vertAlign w:val="superscript"/>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RF Trust</w:t>
            </w:r>
            <w:r>
              <w:rPr>
                <w:rFonts w:ascii="Times New Roman" w:cs="Times New Roman" w:eastAsia="Times New Roman" w:hAnsi="Times New Roman"/>
                <w:sz w:val="29"/>
                <w:szCs w:val="29"/>
                <w:color w:val="auto"/>
                <w:vertAlign w:val="superscript"/>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Gadi Slade</w:t>
            </w:r>
            <w:r>
              <w:rPr>
                <w:rFonts w:ascii="Times New Roman" w:cs="Times New Roman" w:eastAsia="Times New Roman" w:hAnsi="Times New Roman"/>
                <w:sz w:val="29"/>
                <w:szCs w:val="29"/>
                <w:color w:val="auto"/>
                <w:vertAlign w:val="superscript"/>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Ronit Global Opportunities Master Fund Limited</w:t>
            </w:r>
            <w:r>
              <w:rPr>
                <w:rFonts w:ascii="Times New Roman" w:cs="Times New Roman" w:eastAsia="Times New Roman" w:hAnsi="Times New Roman"/>
                <w:sz w:val="29"/>
                <w:szCs w:val="29"/>
                <w:color w:val="auto"/>
                <w:vertAlign w:val="superscript"/>
              </w:rPr>
              <w:t>(18)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Leste Global Fund SPC - Segregated Portfolio B</w:t>
            </w:r>
            <w:r>
              <w:rPr>
                <w:rFonts w:ascii="Times New Roman" w:cs="Times New Roman" w:eastAsia="Times New Roman" w:hAnsi="Times New Roman"/>
                <w:sz w:val="29"/>
                <w:szCs w:val="29"/>
                <w:color w:val="auto"/>
                <w:vertAlign w:val="superscript"/>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Light Doors LLC</w:t>
            </w:r>
            <w:r>
              <w:rPr>
                <w:rFonts w:ascii="Times New Roman" w:cs="Times New Roman" w:eastAsia="Times New Roman" w:hAnsi="Times New Roman"/>
                <w:sz w:val="29"/>
                <w:szCs w:val="29"/>
                <w:color w:val="auto"/>
                <w:vertAlign w:val="superscript"/>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Lydia Barron</w:t>
            </w:r>
            <w:r>
              <w:rPr>
                <w:rFonts w:ascii="Times New Roman" w:cs="Times New Roman" w:eastAsia="Times New Roman" w:hAnsi="Times New Roman"/>
                <w:sz w:val="29"/>
                <w:szCs w:val="29"/>
                <w:color w:val="auto"/>
                <w:vertAlign w:val="superscript"/>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Barron</w:t>
            </w:r>
            <w:r>
              <w:rPr>
                <w:rFonts w:ascii="Times New Roman" w:cs="Times New Roman" w:eastAsia="Times New Roman" w:hAnsi="Times New Roman"/>
                <w:sz w:val="29"/>
                <w:szCs w:val="29"/>
                <w:color w:val="auto"/>
                <w:vertAlign w:val="superscript"/>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Charlotte Barron</w:t>
            </w:r>
            <w:r>
              <w:rPr>
                <w:rFonts w:ascii="Times New Roman" w:cs="Times New Roman" w:eastAsia="Times New Roman" w:hAnsi="Times New Roman"/>
                <w:sz w:val="29"/>
                <w:szCs w:val="29"/>
                <w:color w:val="auto"/>
                <w:vertAlign w:val="superscript"/>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Allseas Group S.A.</w:t>
            </w:r>
            <w:r>
              <w:rPr>
                <w:rFonts w:ascii="Times New Roman" w:cs="Times New Roman" w:eastAsia="Times New Roman" w:hAnsi="Times New Roman"/>
                <w:sz w:val="29"/>
                <w:szCs w:val="29"/>
                <w:color w:val="auto"/>
                <w:vertAlign w:val="superscript"/>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22,701,648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Gerard Barron</w:t>
            </w:r>
            <w:r>
              <w:rPr>
                <w:rFonts w:ascii="Times New Roman" w:cs="Times New Roman" w:eastAsia="Times New Roman" w:hAnsi="Times New Roman"/>
                <w:sz w:val="29"/>
                <w:szCs w:val="29"/>
                <w:color w:val="auto"/>
                <w:vertAlign w:val="superscript"/>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18,806,677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18,702,997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ERAS Capital LLC</w:t>
            </w:r>
            <w:r>
              <w:rPr>
                <w:rFonts w:ascii="Times New Roman" w:cs="Times New Roman" w:eastAsia="Times New Roman" w:hAnsi="Times New Roman"/>
                <w:sz w:val="29"/>
                <w:szCs w:val="29"/>
                <w:color w:val="auto"/>
                <w:vertAlign w:val="superscript"/>
              </w:rPr>
              <w:t>(26)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53,370,692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47,120,692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Odeon Capital Group LLC</w:t>
            </w:r>
            <w:r>
              <w:rPr>
                <w:rFonts w:ascii="Times New Roman" w:cs="Times New Roman" w:eastAsia="Times New Roman" w:hAnsi="Times New Roman"/>
                <w:sz w:val="29"/>
                <w:szCs w:val="29"/>
                <w:color w:val="auto"/>
                <w:vertAlign w:val="superscript"/>
              </w:rPr>
              <w:t>(27)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Sugar</w:t>
            </w:r>
            <w:r>
              <w:rPr>
                <w:rFonts w:ascii="Times New Roman" w:cs="Times New Roman" w:eastAsia="Times New Roman" w:hAnsi="Times New Roman"/>
                <w:sz w:val="29"/>
                <w:szCs w:val="29"/>
                <w:color w:val="auto"/>
                <w:vertAlign w:val="superscript"/>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Rogier de la Rambelje</w:t>
            </w:r>
            <w:r>
              <w:rPr>
                <w:rFonts w:ascii="Times New Roman" w:cs="Times New Roman" w:eastAsia="Times New Roman" w:hAnsi="Times New Roman"/>
                <w:sz w:val="29"/>
                <w:szCs w:val="29"/>
                <w:color w:val="auto"/>
                <w:vertAlign w:val="superscript"/>
              </w:rPr>
              <w:t>(29)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Bonner</w:t>
            </w:r>
            <w:r>
              <w:rPr>
                <w:rFonts w:ascii="Times New Roman" w:cs="Times New Roman" w:eastAsia="Times New Roman" w:hAnsi="Times New Roman"/>
                <w:sz w:val="29"/>
                <w:szCs w:val="29"/>
                <w:color w:val="auto"/>
                <w:vertAlign w:val="superscript"/>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Shares.</w:t>
      </w:r>
    </w:p>
    <w:p>
      <w:pPr>
        <w:spacing w:after="0" w:line="27" w:lineRule="exact"/>
        <w:rPr>
          <w:rFonts w:ascii="Times New Roman" w:cs="Times New Roman" w:eastAsia="Times New Roman" w:hAnsi="Times New Roman"/>
          <w:sz w:val="18"/>
          <w:szCs w:val="18"/>
          <w:color w:val="auto"/>
        </w:rPr>
      </w:pPr>
    </w:p>
    <w:p>
      <w:pPr>
        <w:ind w:left="460" w:right="20" w:hanging="448"/>
        <w:spacing w:after="0" w:line="250" w:lineRule="auto"/>
        <w:tabs>
          <w:tab w:leader="none" w:pos="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10th Floor, Vancouver, British Columbia, Canada V6C 2T5.</w:t>
      </w:r>
    </w:p>
    <w:p>
      <w:pPr>
        <w:ind w:left="460" w:right="20" w:hanging="448"/>
        <w:spacing w:after="0" w:line="250" w:lineRule="auto"/>
        <w:tabs>
          <w:tab w:leader="none" w:pos="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David Wilson may be deemed to have voting and investment power over the shares held by Willeese Pty Ltd ATF Wilson Family Trust. The business address of such holder is 58 Warragal Road, Turramurra, New South Wales, 2074, Australia.</w:t>
      </w:r>
    </w:p>
    <w:p>
      <w:pPr>
        <w:ind w:left="460" w:right="20" w:hanging="448"/>
        <w:spacing w:after="0" w:line="250" w:lineRule="auto"/>
        <w:tabs>
          <w:tab w:leader="none" w:pos="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is a company listed on the Australian Securities Exchange. The business address of such holder is 11/131 Macquarie Street, Sydney, NSW, 2000.</w:t>
      </w:r>
    </w:p>
    <w:p>
      <w:pPr>
        <w:ind w:left="460" w:right="20" w:hanging="448"/>
        <w:spacing w:after="0" w:line="250" w:lineRule="auto"/>
        <w:tabs>
          <w:tab w:leader="none" w:pos="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Opportunities Fund Limited is a company listed on the Australian Securities Exchange. The business address of such holder is 11/131 Macquarie Street, Sydney, NSW, 2000.</w:t>
      </w:r>
    </w:p>
    <w:p>
      <w:pPr>
        <w:ind w:left="460" w:right="20" w:hanging="448"/>
        <w:spacing w:after="0" w:line="260" w:lineRule="auto"/>
        <w:tabs>
          <w:tab w:leader="none" w:pos="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Zicherman may be deemed to have voting and investment power over the shares held by Carrera Capital International Ltd. The business address of such holder is One Nexus Way, Camana Bay, Grand Cayman, Cayman Islands, KY1-9005.</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One Connaught Place, 1st Floor, London, W2 WET, United Kingdom.</w:t>
      </w:r>
    </w:p>
    <w:p>
      <w:pPr>
        <w:spacing w:after="0" w:line="27"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p>
      <w:pPr>
        <w:spacing w:after="0" w:line="1"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Paes-Braga may be deemed to have voting and investment power over the shares held by Valola Holdings Corp. The business address of such holder is One Nexus Way, Camana Bay, Grand Cayman, Cayman Islands, KY1-9005.</w:t>
      </w: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Weathervane Circle, Cream Ridge, NJ 08514.</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Igal Namdar may be deemed to have voting and investment power over the shares held by Namdar Family Holdings LLC. The business address of such holder is 150 Great Neck Road, Suite 304, Great Neck, NY, 11021.</w:t>
      </w: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3618, Al Amir Muhammad bin Fahd Rd, Al Qusur Unit 6, Dhahran, Kingdom of Saudi Arabia.</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AAM PO Box 107, Morley, Western Australia, Australia 6943.</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NY 10065.</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Muriel Rubin and Harriet Rothfeld may be deemed to have voting and investment power over the shares held by The RF Trust. The business address of such holder is PO Box 213399, Royal Palm Beach, Florida 33421.</w:t>
      </w: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Owenoke Park, Westport, CT 06880, USA.</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Ronit Capital LLP may be deemed to have voting and investment power over the shares held by Ronit Global Opportunities Master Fund Limited. The business address of such holder is C/O Ronit Capital LLP, 20 North Audley Street, London, W1K 6WE, UK.</w:t>
      </w: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Light Doors LLC. The business address of such holder is 750 Lexington Avenue, 27th Floor, NY, NY 10022.</w:t>
      </w: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399,944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300,238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307,144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14,639,239 Common Shares, (ii) 4,078,044 Common Shares that are issuable upon exercise of options that are exercisable within 60 days of August 31,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p>
      <w:pPr>
        <w:spacing w:after="0" w:line="1"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p>
      <w:pPr>
        <w:ind w:left="448" w:right="20" w:hanging="448"/>
        <w:spacing w:after="0" w:line="25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p>
      <w:pPr>
        <w:ind w:left="448" w:right="20" w:hanging="448"/>
        <w:spacing w:after="0" w:line="260" w:lineRule="auto"/>
        <w:tabs>
          <w:tab w:leader="none" w:pos="4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p>
      <w:pPr>
        <w:spacing w:after="0" w:line="39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8"/>
          </w:cols>
          <w:pgMar w:left="332" w:top="93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shareholders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1300" w:hanging="64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1300" w:hanging="644"/>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shareholders will sell any or all of the Common Shares registered pursuant to the shelf registration statement, of which this prospectus forms a part.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265,529,989 Common Shares issued and outstanding. As of September 30, 2022, we had approximately 125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jc w:val="both"/>
        <w:ind w:left="660" w:hanging="328"/>
        <w:spacing w:after="0" w:line="25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Allseas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ind w:left="980" w:right="20" w:hanging="324"/>
        <w:spacing w:after="0" w:line="260"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97" w:lineRule="exact"/>
        <w:rPr>
          <w:sz w:val="20"/>
          <w:szCs w:val="20"/>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4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4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ind w:left="720" w:hanging="334"/>
        <w:spacing w:after="0" w:line="180" w:lineRule="auto"/>
        <w:tabs>
          <w:tab w:leader="none" w:pos="720" w:val="left"/>
        </w:tabs>
        <w:numPr>
          <w:ilvl w:val="0"/>
          <w:numId w:val="4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39" w:lineRule="exact"/>
        <w:rPr>
          <w:sz w:val="20"/>
          <w:szCs w:val="20"/>
          <w:color w:val="auto"/>
        </w:rPr>
      </w:pPr>
    </w:p>
    <w:p>
      <w:pPr>
        <w:ind w:left="720" w:hanging="33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7" w:lineRule="exact"/>
        <w:rPr>
          <w:rFonts w:ascii="Times New Roman" w:cs="Times New Roman" w:eastAsia="Times New Roman" w:hAnsi="Times New Roman"/>
          <w:sz w:val="18"/>
          <w:szCs w:val="18"/>
          <w:color w:val="auto"/>
        </w:rPr>
      </w:pPr>
    </w:p>
    <w:p>
      <w:pPr>
        <w:ind w:left="720" w:right="20" w:hanging="334"/>
        <w:spacing w:after="0" w:line="182" w:lineRule="auto"/>
        <w:tabs>
          <w:tab w:leader="none" w:pos="720" w:val="left"/>
        </w:tabs>
        <w:numPr>
          <w:ilvl w:val="0"/>
          <w:numId w:val="4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ind w:left="720" w:hanging="33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w:t>
      </w:r>
    </w:p>
    <w:p>
      <w:pPr>
        <w:spacing w:after="0" w:line="22" w:lineRule="exact"/>
        <w:rPr>
          <w:rFonts w:ascii="Times New Roman" w:cs="Times New Roman" w:eastAsia="Times New Roman" w:hAnsi="Times New Roman"/>
          <w:sz w:val="18"/>
          <w:szCs w:val="18"/>
          <w:color w:val="auto"/>
        </w:rPr>
      </w:pPr>
    </w:p>
    <w:p>
      <w:pPr>
        <w:ind w:left="720" w:hanging="334"/>
        <w:spacing w:after="0" w:line="260"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the Code) who have the authority to control all substantial decisions of the trust or (B) that has in effect a valid election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39" w:lineRule="exact"/>
        <w:rPr>
          <w:sz w:val="20"/>
          <w:szCs w:val="20"/>
          <w:color w:val="auto"/>
        </w:rPr>
      </w:pPr>
    </w:p>
    <w:p>
      <w:pPr>
        <w:ind w:left="720" w:hanging="334"/>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w:t>
      </w:r>
    </w:p>
    <w:p>
      <w:pPr>
        <w:spacing w:after="0" w:line="22" w:lineRule="exact"/>
        <w:rPr>
          <w:rFonts w:ascii="Times New Roman" w:cs="Times New Roman" w:eastAsia="Times New Roman" w:hAnsi="Times New Roman"/>
          <w:sz w:val="18"/>
          <w:szCs w:val="18"/>
          <w:color w:val="auto"/>
        </w:rPr>
      </w:pPr>
    </w:p>
    <w:p>
      <w:pPr>
        <w:ind w:left="720" w:right="20" w:hanging="334"/>
        <w:spacing w:after="0" w:line="260"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in the U.S. Holder’s holding period before the first day of the Company’s first taxable year in which the Company is a PFIC, will be taxed as ordinary income;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7" w:name="page68"/>
    <w:bookmarkEnd w:id="67"/>
    <w:p>
      <w:pPr>
        <w:ind w:left="720" w:hanging="334"/>
        <w:spacing w:after="0" w:line="184" w:lineRule="auto"/>
        <w:tabs>
          <w:tab w:leader="none" w:pos="720" w:val="left"/>
        </w:tabs>
        <w:numPr>
          <w:ilvl w:val="0"/>
          <w:numId w:val="4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ind w:left="720" w:hanging="334"/>
        <w:spacing w:after="0" w:line="180" w:lineRule="auto"/>
        <w:tabs>
          <w:tab w:leader="none" w:pos="720" w:val="left"/>
        </w:tabs>
        <w:numPr>
          <w:ilvl w:val="0"/>
          <w:numId w:val="4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and the regulations thereunder, (the “Tax Act”) that generally apply to the acquisition, holding or disposition of Common Shares and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39" w:lineRule="exact"/>
        <w:rPr>
          <w:sz w:val="20"/>
          <w:szCs w:val="20"/>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w:t>
      </w:r>
    </w:p>
    <w:p>
      <w:pPr>
        <w:spacing w:after="0" w:line="27" w:lineRule="exact"/>
        <w:rPr>
          <w:sz w:val="20"/>
          <w:szCs w:val="20"/>
          <w:color w:val="auto"/>
        </w:rPr>
      </w:pPr>
    </w:p>
    <w:p>
      <w:pPr>
        <w:ind w:left="840" w:hanging="400"/>
        <w:spacing w:after="0" w:line="250"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Holder or a person described in (b) holds an interest directly or indirectly through one or more partnerships, or (d) any combination of (a) to (c), owned 25% or more of the issued shares of any class or series of our capital stock; and</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w:t>
      </w:r>
    </w:p>
    <w:p>
      <w:pPr>
        <w:spacing w:after="0" w:line="9" w:lineRule="exact"/>
        <w:rPr>
          <w:rFonts w:ascii="Times New Roman" w:cs="Times New Roman" w:eastAsia="Times New Roman" w:hAnsi="Times New Roman"/>
          <w:sz w:val="18"/>
          <w:szCs w:val="18"/>
          <w:color w:val="auto"/>
        </w:rPr>
      </w:pPr>
    </w:p>
    <w:p>
      <w:pPr>
        <w:jc w:val="both"/>
        <w:ind w:left="840" w:right="20" w:hanging="400"/>
        <w:spacing w:after="0" w:line="187" w:lineRule="auto"/>
        <w:tabs>
          <w:tab w:leader="none" w:pos="840" w:val="left"/>
        </w:tabs>
        <w:numPr>
          <w:ilvl w:val="0"/>
          <w:numId w:val="4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that we filed with the SEC on </w:t>
      </w:r>
      <w:hyperlink r:id="rId97">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8">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jc w:val="both"/>
        <w:ind w:left="660" w:hanging="328"/>
        <w:spacing w:after="0" w:line="255" w:lineRule="auto"/>
        <w:tabs>
          <w:tab w:leader="none" w:pos="660" w:val="left"/>
        </w:tabs>
        <w:numPr>
          <w:ilvl w:val="0"/>
          <w:numId w:val="4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99">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 xml:space="preserve">October 3,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 xml:space="preserve">October 12, 2022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rules rather than filed);</w:t>
      </w:r>
    </w:p>
    <w:p>
      <w:pPr>
        <w:spacing w:after="0" w:line="186" w:lineRule="exact"/>
        <w:rPr>
          <w:rFonts w:ascii="Times New Roman" w:cs="Times New Roman" w:eastAsia="Times New Roman" w:hAnsi="Times New Roman"/>
          <w:sz w:val="18"/>
          <w:szCs w:val="18"/>
          <w:color w:val="0000EE"/>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left="660" w:hanging="328"/>
        <w:spacing w:after="0" w:line="261" w:lineRule="auto"/>
        <w:tabs>
          <w:tab w:leader="none" w:pos="660" w:val="left"/>
        </w:tabs>
        <w:numPr>
          <w:ilvl w:val="0"/>
          <w:numId w:val="48"/>
        </w:numPr>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jc w:val="both"/>
        <w:ind w:left="660" w:hanging="328"/>
        <w:spacing w:after="0" w:line="253"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66010" cy="822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236601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$100,000,000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November 29, 2023, the last reported sale price of our Common Shares was $1.22 per share. We also have warrants to purchase Common Shares listed on the Nasdaq Global Select Market under the symbol “TMCWW”. On November 29, 2023, the last reported sale price of these public warrants to purchase Common Shares was $0.16.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5 of this prospectus,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440" w:type="dxa"/>
            <w:vAlign w:val="bottom"/>
            <w:gridSpan w:val="12"/>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440" w:type="dxa"/>
            <w:vAlign w:val="bottom"/>
            <w:gridSpan w:val="12"/>
          </w:tcPr>
          <w:p>
            <w:pPr>
              <w:spacing w:after="0"/>
              <w:rPr>
                <w:sz w:val="15"/>
                <w:szCs w:val="15"/>
                <w:color w:val="auto"/>
              </w:rPr>
            </w:pP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20" w:type="dxa"/>
            <w:vAlign w:val="bottom"/>
            <w:gridSpan w:val="18"/>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4680" w:type="dxa"/>
            <w:vAlign w:val="bottom"/>
            <w:tcBorders>
              <w:top w:val="single" w:sz="8" w:color="CCEEFF"/>
            </w:tcBorders>
            <w:gridSpan w:val="4"/>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IMPORTANT PROVISIONS OF THE NOTICE OF ARTICLES AND ARTICLES AND THE BCBCA</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4160" w:type="dxa"/>
            <w:vAlign w:val="bottom"/>
            <w:tcBorders>
              <w:bottom w:val="single" w:sz="8" w:color="CCEEFF"/>
            </w:tcBorders>
            <w:gridSpan w:val="2"/>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00" w:type="dxa"/>
            <w:vAlign w:val="bottom"/>
            <w:tcBorders>
              <w:bottom w:val="single" w:sz="8" w:color="CCEEFF"/>
            </w:tcBorders>
            <w:gridSpan w:val="19"/>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6887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PROSPECTUS SUMMARY</w:t>
      </w:r>
    </w:p>
    <w:p>
      <w:pPr>
        <w:spacing w:after="0" w:line="22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or the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clean energy transmission and other applications, and (iii) manganese silicate for manganese alloy production required for steel production. Our mission is to build a carefully managed, shared stock of metal, which we refer to as a metals commons,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w:t>
      </w:r>
    </w:p>
    <w:p>
      <w:pPr>
        <w:spacing w:after="0" w:line="3" w:lineRule="exact"/>
        <w:rPr>
          <w:sz w:val="20"/>
          <w:szCs w:val="20"/>
          <w:color w:val="auto"/>
        </w:rPr>
      </w:pPr>
    </w:p>
    <w:p>
      <w:pPr>
        <w:jc w:val="both"/>
        <w:ind w:left="4"/>
        <w:spacing w:after="0" w:line="231" w:lineRule="auto"/>
        <w:rPr>
          <w:sz w:val="20"/>
          <w:szCs w:val="20"/>
          <w:color w:val="auto"/>
        </w:rPr>
      </w:pPr>
      <w:r>
        <w:rPr>
          <w:rFonts w:ascii="Times New Roman" w:cs="Times New Roman" w:eastAsia="Times New Roman" w:hAnsi="Times New Roman"/>
          <w:sz w:val="18"/>
          <w:szCs w:val="18"/>
          <w:color w:val="auto"/>
        </w:rPr>
        <w:t>contracts covering approximately 1.28 million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20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 scale polymetallic nodule collection in the CCZ nor do we have the applicable environmental and other permits required to build and/ or operate commercial-scale polymetallic nodule processing and refining plants on land.</w:t>
      </w:r>
    </w:p>
    <w:p>
      <w:pPr>
        <w:spacing w:after="0" w:line="176"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We are currently focused on preparing to submit our application to the ISA for our first exploitation contract for the NORI Area D contract area following the July 2024 meetings of the ISA’s twenty-ninth session. To reach our objectives and initiate commercial production, if our potential application is approved, we are: (i) defining our resource and project economics, (ii) developing a commercial offshore nodule collection system,</w:t>
      </w:r>
    </w:p>
    <w:p>
      <w:pPr>
        <w:spacing w:after="0" w:line="1" w:lineRule="exact"/>
        <w:rPr>
          <w:sz w:val="20"/>
          <w:szCs w:val="20"/>
          <w:color w:val="auto"/>
        </w:rPr>
      </w:pPr>
    </w:p>
    <w:p>
      <w:pPr>
        <w:jc w:val="both"/>
        <w:ind w:left="4" w:hanging="4"/>
        <w:spacing w:after="0" w:line="255"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200" w:lineRule="exact"/>
        <w:rPr>
          <w:sz w:val="20"/>
          <w:szCs w:val="20"/>
          <w:color w:val="auto"/>
        </w:rPr>
      </w:pPr>
    </w:p>
    <w:p>
      <w:pPr>
        <w:spacing w:after="0" w:line="3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4"/>
          </w:cols>
          <w:pgMar w:left="436" w:top="1008"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6861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Cautionary Statements Regarding the NORI Initial Assessment and TOML Mineral Resource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44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In connection with the Business Combination, SOAC changed its name to “TMC the metals company Inc.” Our principal executive offices are located at 595 Howe Street, 10th Floor, Vancouver, British Columbia V6C 2T5, and our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Business Corporations Act (British Columbia).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included our website address in this prospectus solely as an inactive textual reference. Investors should not rely on any such information in deciding whether to purchase our Common Shares or other securities.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27875" cy="411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27875" cy="4118610"/>
                    </a:xfrm>
                    <a:prstGeom prst="rect">
                      <a:avLst/>
                    </a:prstGeom>
                    <a:noFill/>
                  </pic:spPr>
                </pic:pic>
              </a:graphicData>
            </a:graphic>
          </wp:anchor>
        </w:drawing>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40" w:hanging="32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1012" w:right="4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the ISA’s final exploitation regulations that will create the legal and technical framework for exploitation of polymetallic nodules in the CCZ;</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content of an application for an exploitation contract and/or plan of work for exploitation to the ISA for NORI Area D and the ISA’s review and approval thereof;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timing of commercial production if the ISA approves an application for an exploitation contract or plan of work for exploitation;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(1) through underwriters or dealers, (2) through agents or (3) directly to one or more purchasers, or through a combination of such methods. We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November 28, 2023, there were 306,366,984 Common Shares issued and outstanding. As of November 28, 2023, we had approximately 326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28, 2023,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jc w:val="center"/>
        <w:ind w:left="5540" w:right="1060" w:hanging="5208"/>
        <w:spacing w:after="0" w:line="783" w:lineRule="auto"/>
        <w:tabs>
          <w:tab w:leader="none" w:pos="66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5540" w:right="1320" w:hanging="5208"/>
        <w:spacing w:after="0" w:line="783" w:lineRule="auto"/>
        <w:tabs>
          <w:tab w:leader="none" w:pos="6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225" w:lineRule="exact"/>
        <w:rPr>
          <w:rFonts w:ascii="Times New Roman" w:cs="Times New Roman" w:eastAsia="Times New Roman" w:hAnsi="Times New Roman"/>
          <w:sz w:val="18"/>
          <w:szCs w:val="18"/>
          <w:color w:val="auto"/>
        </w:rPr>
      </w:pPr>
    </w:p>
    <w:p>
      <w:pPr>
        <w:ind w:right="900" w:firstLine="332"/>
        <w:spacing w:after="0" w:line="498"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The transfer agent and registrar for any warrants we offer will be set forth in the applicable prospectus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November 28, 2023,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November 28, 2023,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August 14, 2023 registered direct offering of common shares and accompanying Class A warrants to purchase common shares at a purchase price of $2.00 per common share and accompanying half of a Class A warrant to purchase one common share, as of November 28, 2023, we have issued Class A warrants to purchase 3,980,770 common shares and expect to issue additional Class A warrants to purchase 2,250,000 common shares on or before January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Transferability/Warrant Agent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plan on making the Class A warrants eligible to trade on any national securities exchange or any other nationally recognized trading system or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Provision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 for Certain Share Issuances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warrants are governed by New York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 on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and/or public warrants as capital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 or an “authorized foreign bank” (as defined in the Tax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at arm’s length (for the purposes of the Tax Act),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2022 and 2021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our Annual Report on Form 10-K for the fiscal year ended December 31, 2022 that we filed with the SEC on March 27, 2023;</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156">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57">
        <w:r>
          <w:rPr>
            <w:rFonts w:ascii="Times New Roman" w:cs="Times New Roman" w:eastAsia="Times New Roman" w:hAnsi="Times New Roman"/>
            <w:sz w:val="18"/>
            <w:szCs w:val="18"/>
            <w:u w:val="single" w:color="auto"/>
            <w:color w:val="0000EE"/>
          </w:rPr>
          <w:t xml:space="preserve">August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58">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86"/>
        </w:numPr>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auto"/>
          </w:rPr>
          <w:t xml:space="preserve">our Current Reports on Form 8-K and amendments thereto that we filed with the SEC on </w:t>
        </w:r>
        <w:r>
          <w:rPr>
            <w:rFonts w:ascii="Times New Roman" w:cs="Times New Roman" w:eastAsia="Times New Roman" w:hAnsi="Times New Roman"/>
            <w:sz w:val="18"/>
            <w:szCs w:val="18"/>
            <w:u w:val="single" w:color="auto"/>
            <w:color w:val="0000EE"/>
          </w:rPr>
          <w:t>February 16,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22,</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0">
        <w:r>
          <w:rPr>
            <w:rFonts w:ascii="Times New Roman" w:cs="Times New Roman" w:eastAsia="Times New Roman" w:hAnsi="Times New Roman"/>
            <w:sz w:val="18"/>
            <w:szCs w:val="18"/>
            <w:u w:val="single" w:color="auto"/>
            <w:color w:val="0000EE"/>
          </w:rPr>
          <w:t>April 20, 2023</w:t>
        </w:r>
      </w:hyperlink>
      <w:hyperlink r:id="rId1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1">
        <w:r>
          <w:rPr>
            <w:rFonts w:ascii="Times New Roman" w:cs="Times New Roman" w:eastAsia="Times New Roman" w:hAnsi="Times New Roman"/>
            <w:sz w:val="18"/>
            <w:szCs w:val="18"/>
            <w:u w:val="single" w:color="auto"/>
            <w:color w:val="0000EE"/>
          </w:rPr>
          <w:t>May 30, 2023</w:t>
        </w:r>
      </w:hyperlink>
      <w:hyperlink r:id="rId1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2">
        <w:r>
          <w:rPr>
            <w:rFonts w:ascii="Times New Roman" w:cs="Times New Roman" w:eastAsia="Times New Roman" w:hAnsi="Times New Roman"/>
            <w:sz w:val="18"/>
            <w:szCs w:val="18"/>
            <w:u w:val="single" w:color="auto"/>
            <w:color w:val="0000EE"/>
          </w:rPr>
          <w:t>June 8, 2023</w:t>
        </w:r>
      </w:hyperlink>
      <w:hyperlink r:id="rId1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3">
        <w:r>
          <w:rPr>
            <w:rFonts w:ascii="Times New Roman" w:cs="Times New Roman" w:eastAsia="Times New Roman" w:hAnsi="Times New Roman"/>
            <w:sz w:val="18"/>
            <w:szCs w:val="18"/>
            <w:u w:val="single" w:color="auto"/>
            <w:color w:val="0000EE"/>
          </w:rPr>
          <w:t>June 30, 2023</w:t>
        </w:r>
      </w:hyperlink>
      <w:hyperlink r:id="rId1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4">
        <w:r>
          <w:rPr>
            <w:rFonts w:ascii="Times New Roman" w:cs="Times New Roman" w:eastAsia="Times New Roman" w:hAnsi="Times New Roman"/>
            <w:sz w:val="18"/>
            <w:szCs w:val="18"/>
            <w:u w:val="single" w:color="auto"/>
            <w:color w:val="0000EE"/>
          </w:rPr>
          <w:t xml:space="preserve">August 1, 2023 </w:t>
        </w:r>
      </w:hyperlink>
      <w:hyperlink r:id="rId15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65">
        <w:r>
          <w:rPr>
            <w:rFonts w:ascii="Times New Roman" w:cs="Times New Roman" w:eastAsia="Times New Roman" w:hAnsi="Times New Roman"/>
            <w:sz w:val="18"/>
            <w:szCs w:val="18"/>
            <w:u w:val="single" w:color="auto"/>
            <w:color w:val="0000EE"/>
          </w:rPr>
          <w:t xml:space="preserve">August 14, 2023 </w:t>
        </w:r>
      </w:hyperlink>
      <w:hyperlink r:id="rId159">
        <w:r>
          <w:rPr>
            <w:rFonts w:ascii="Times New Roman" w:cs="Times New Roman" w:eastAsia="Times New Roman" w:hAnsi="Times New Roman"/>
            <w:sz w:val="18"/>
            <w:szCs w:val="18"/>
            <w:color w:val="000000"/>
          </w:rPr>
          <w:t>(other than any portion of such filings that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 furnished under applicable SEC rules rather than filed);</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spacing w:after="0" w:line="161" w:lineRule="exact"/>
        <w:rPr>
          <w:rFonts w:ascii="Times New Roman" w:cs="Times New Roman" w:eastAsia="Times New Roman" w:hAnsi="Times New Roman"/>
          <w:sz w:val="18"/>
          <w:szCs w:val="18"/>
          <w:u w:val="single" w:color="auto"/>
          <w:color w:val="0000EE"/>
        </w:rPr>
      </w:pPr>
    </w:p>
    <w:p>
      <w:pPr>
        <w:jc w:val="both"/>
        <w:ind w:left="660" w:hanging="328"/>
        <w:spacing w:after="0" w:line="261"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611505</wp:posOffset>
            </wp:positionV>
            <wp:extent cx="2366010" cy="8229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36601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12,333,333 Common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 C Warrants to Purchase 12,333,333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164465</wp:posOffset>
            </wp:positionV>
            <wp:extent cx="1783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617220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1)"/>
      <w:numFmt w:val="lowerRoman"/>
      <w:start w:val="1"/>
    </w:lvl>
  </w:abstractNum>
  <w:abstractNum w:abstractNumId="2">
    <w:nsid w:val="57E4CCAF"/>
    <w:multiLevelType w:val="hybridMultilevel"/>
    <w:lvl w:ilvl="0">
      <w:lvlJc w:val="left"/>
      <w:lvlText w:val="(%1)"/>
      <w:numFmt w:val="lowerRoman"/>
      <w:start w:val="4"/>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lowerRoman"/>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1)"/>
      <w:numFmt w:val="lowerRoman"/>
      <w:start w:val="3"/>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lvl w:ilvl="1">
      <w:lvlJc w:val="left"/>
      <w:lvlText w:val="(%2)"/>
      <w:numFmt w:val="decimal"/>
      <w:start w:val="1"/>
    </w:lvl>
  </w:abstractNum>
  <w:abstractNum w:abstractNumId="15">
    <w:nsid w:val="79A1DEAA"/>
    <w:multiLevelType w:val="hybridMultilevel"/>
    <w:lvl w:ilvl="0">
      <w:lvlJc w:val="left"/>
      <w:lvlText w:val="(%1)"/>
      <w:numFmt w:val="decimal"/>
      <w:start w:val="6"/>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lowerLetter"/>
      <w:start w:val="3"/>
    </w:lvl>
  </w:abstractNum>
  <w:abstractNum w:abstractNumId="20">
    <w:nsid w:val="374A3FE6"/>
    <w:multiLevelType w:val="hybridMultilevel"/>
    <w:lvl w:ilvl="0">
      <w:lvlJc w:val="left"/>
      <w:lvlText w:val="(%1)"/>
      <w:numFmt w:val="lowerLetter"/>
      <w:start w:val="7"/>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lowerRoman"/>
      <w:start w:val="2"/>
    </w:lvl>
  </w:abstractNum>
  <w:abstractNum w:abstractNumId="35">
    <w:nsid w:val="3F6AB60F"/>
    <w:multiLevelType w:val="hybridMultilevel"/>
    <w:lvl w:ilvl="0">
      <w:lvlJc w:val="left"/>
      <w:lvlText w:val="(%1)"/>
      <w:numFmt w:val="lowerRoman"/>
      <w:start w:val="2"/>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lowerRoman"/>
      <w:start w:val="4"/>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lowerRoman"/>
      <w:start w:val="3"/>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lowerLetter"/>
      <w:start w:val="3"/>
    </w:lvl>
  </w:abstractNum>
  <w:abstractNum w:abstractNumId="56">
    <w:nsid w:val="42C296BD"/>
    <w:multiLevelType w:val="hybridMultilevel"/>
    <w:lvl w:ilvl="0">
      <w:lvlJc w:val="left"/>
      <w:lvlText w:val="(%1)"/>
      <w:numFmt w:val="lowerLetter"/>
      <w:start w:val="7"/>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lowerRoman"/>
      <w:start w:val="2"/>
    </w:lvl>
  </w:abstractNum>
  <w:abstractNum w:abstractNumId="74">
    <w:nsid w:val="60B6DF70"/>
    <w:multiLevelType w:val="hybridMultilevel"/>
    <w:lvl w:ilvl="0">
      <w:lvlJc w:val="left"/>
      <w:lvlText w:val="(%1)"/>
      <w:numFmt w:val="lowerRoman"/>
      <w:start w:val="2"/>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lowerRoman"/>
      <w:start w:val="4"/>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1"/>
    </w:lvl>
    <w:lvl w:ilvl="1">
      <w:lvlJc w:val="left"/>
      <w:lvlText w:val="(%2)"/>
      <w:numFmt w:val="lowerLetter"/>
      <w:start w:val="3"/>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e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jpe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jpe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4" Type="http://schemas.openxmlformats.org/officeDocument/2006/relationships/hyperlink" Target="https://www.sec.gov/ix?doc=/Archives/edgar/data/1798562/000141057825000516/tmc-20241231x10k.htm" TargetMode="External"/><Relationship Id="rId40" Type="http://schemas.openxmlformats.org/officeDocument/2006/relationships/hyperlink" Target="https://www.sec.gov/ix?doc=/Archives/edgar/data/1798562/000110465925002593/tm2431734d1_8k.htm" TargetMode="External"/><Relationship Id="rId41" Type="http://schemas.openxmlformats.org/officeDocument/2006/relationships/hyperlink" Target="https://www.sec.gov/ix?doc=/Archives/edgar/data/1798562/000110465925005640/tm254237d1_8k.htm" TargetMode="External"/><Relationship Id="rId42" Type="http://schemas.openxmlformats.org/officeDocument/2006/relationships/hyperlink" Target="https://www.sec.gov/ix?doc=/Archives/edgar/data/1798562/000110465925036264/tm252536-10_def14aseq1.htm" TargetMode="External"/><Relationship Id="rId43" Type="http://schemas.openxmlformats.org/officeDocument/2006/relationships/hyperlink" Target="https://www.sec.gov/Archives/edgar/data/1798562/000121390021047279/ea146988-8a12b_tmcthemetals.htm" TargetMode="External"/><Relationship Id="rId44" Type="http://schemas.openxmlformats.org/officeDocument/2006/relationships/hyperlink" Target="https://www.sec.gov/Archives/edgar/data/1798562/000141057825000516/tmc-20241231xex4d1.htm" TargetMode="External"/><Relationship Id="rId96" Type="http://schemas.openxmlformats.org/officeDocument/2006/relationships/hyperlink" Target="https://www.sec.gov/Archives/edgar/data/1798562/000110465922038029/tmc-20211231x10k.htm" TargetMode="External"/><Relationship Id="rId97" Type="http://schemas.openxmlformats.org/officeDocument/2006/relationships/hyperlink" Target="https://www.sec.gov/Archives/edgar/data/1798562/000110465922057493/tmc-20220331x10q.htm" TargetMode="External"/><Relationship Id="rId98" Type="http://schemas.openxmlformats.org/officeDocument/2006/relationships/hyperlink" Target="https://www.sec.gov/Archives/edgar/data/1798562/000110465922091250/tmc-20220630x10q.htm" TargetMode="External"/><Relationship Id="rId99" Type="http://schemas.openxmlformats.org/officeDocument/2006/relationships/hyperlink" Target="https://www.sec.gov/Archives/edgar/data/1798562/000110465922018674/tm226092d1_8k.htm" TargetMode="External"/><Relationship Id="rId100" Type="http://schemas.openxmlformats.org/officeDocument/2006/relationships/hyperlink" Target="https://www.sec.gov/Archives/edgar/data/1798562/000110465922034803/tm229560d1_8k.htm" TargetMode="External"/><Relationship Id="rId101" Type="http://schemas.openxmlformats.org/officeDocument/2006/relationships/hyperlink" Target="https://www.sec.gov/Archives/edgar/data/1798562/000110465922067358/tm2217495d1_8k.htm" TargetMode="External"/><Relationship Id="rId102" Type="http://schemas.openxmlformats.org/officeDocument/2006/relationships/hyperlink" Target="https://www.sec.gov/ix?doc=/Archives/edgar/data/1798562/000110465922090666/tm2223376d3_8k.htm" TargetMode="External"/><Relationship Id="rId103" Type="http://schemas.openxmlformats.org/officeDocument/2006/relationships/hyperlink" Target="https://www.sec.gov/ix?doc=/Archives/edgar/data/1798562/000110465922104937/tm2227087d2_8k.htm" TargetMode="External"/><Relationship Id="rId104" Type="http://schemas.openxmlformats.org/officeDocument/2006/relationships/hyperlink" Target="https://www.sec.gov/ix?doc=/Archives/edgar/data/0001798562/000110465922107962/tm2227087d4_8k.htm" TargetMode="External"/><Relationship Id="rId155" Type="http://schemas.openxmlformats.org/officeDocument/2006/relationships/hyperlink" Target="https://www.sec.gov/ix?doc=/Archives/edgar/data/1798562/000110465923037110/tmc-20221231x10k.htm" TargetMode="External"/><Relationship Id="rId156" Type="http://schemas.openxmlformats.org/officeDocument/2006/relationships/hyperlink" Target="https://www.sec.gov/ix?doc=/Archives/edgar/data/1798562/000110465923059123/tmc-20230331x10q.htm" TargetMode="External"/><Relationship Id="rId157" Type="http://schemas.openxmlformats.org/officeDocument/2006/relationships/hyperlink" Target="https://www.sec.gov/ix?doc=/Archives/edgar/data/1798562/000110465923091509/tmc-20230630x10q.htm" TargetMode="External"/><Relationship Id="rId158" Type="http://schemas.openxmlformats.org/officeDocument/2006/relationships/hyperlink" Target="https://www.sec.gov/ix?doc=/Archives/edgar/data/1798562/000110465923116306/tmc-20230930x10q.htm" TargetMode="External"/><Relationship Id="rId159" Type="http://schemas.openxmlformats.org/officeDocument/2006/relationships/hyperlink" Target="https://www.sec.gov/ix?doc=/Archives/edgar/data/1798562/000110465923024088/tm237472d2_8k.htm" TargetMode="External"/><Relationship Id="rId160" Type="http://schemas.openxmlformats.org/officeDocument/2006/relationships/hyperlink" Target="https://www.sec.gov/ix?doc=/Archives/edgar/data/1798562/000110465923047863/tm2312599d5_8k.htm" TargetMode="External"/><Relationship Id="rId161" Type="http://schemas.openxmlformats.org/officeDocument/2006/relationships/hyperlink" Target="https://www.sec.gov/ix?doc=/Archives/edgar/data/1798562/000110465923066190/tm2317310d1_8k.htm" TargetMode="External"/><Relationship Id="rId162" Type="http://schemas.openxmlformats.org/officeDocument/2006/relationships/hyperlink" Target="https://www.sec.gov/ix?doc=/Archives/edgar/data/1798562/000110465923069479/tm2318023d1_8k.htm" TargetMode="External"/><Relationship Id="rId163" Type="http://schemas.openxmlformats.org/officeDocument/2006/relationships/hyperlink" Target="https://www.sec.gov/ix?doc=/Archives/edgar/data/1798562/000110465923076976/tm2320351d1_8k.htm" TargetMode="External"/><Relationship Id="rId164" Type="http://schemas.openxmlformats.org/officeDocument/2006/relationships/hyperlink" Target="https://www.sec.gov/ix?doc=/Archives/edgar/data/1798562/000110465923086437/tm2322494d1_8k.htm" TargetMode="External"/><Relationship Id="rId165" Type="http://schemas.openxmlformats.org/officeDocument/2006/relationships/hyperlink" Target="https://www.sec.gov/ix?doc=/Archives/edgar/data/1798562/000110465923091027/tm2323509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2025-05-12T16:23:50Z</dcterms:created>
  <dcterms:modified xsi:type="dcterms:W3CDTF">2025-05-12T16:23:50Z</dcterms:modified>
</cp:coreProperties>
</file>