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513980d1_8k.htm"/>
      <w:bookmarkStart w:id="1" w:name="kstm251398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5051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12, 2025</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8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3_edei--EntityFileNumber_c20250512"/>
            <w:bookmarkEnd w:id="6"/>
            <w:r>
              <w:rPr>
                <w:b/>
              </w:rPr>
              <w:t>001-39281</w:t>
            </w:r>
          </w:p>
        </w:tc>
        <w:tc>
          <w:tcPr>
            <w:tcW w:w="1775" w:type="dxa"/>
            <w:tcBorders/>
            <w:vAlign w:val="center"/>
          </w:tcPr>
          <w:p>
            <w:pPr>
              <w:pStyle w:val="TableContents"/>
              <w:bidi w:val="0"/>
              <w:spacing w:before="0" w:after="283"/>
              <w:jc w:val="center"/>
              <w:rPr>
                <w:b/>
              </w:rPr>
            </w:pPr>
            <w:bookmarkStart w:id="7" w:name="xdx_90C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65" w:type="dxa"/>
        <w:jc w:val="left"/>
        <w:tblInd w:w="0" w:type="dxa"/>
        <w:tblLayout w:type="fixed"/>
        <w:tblCellMar>
          <w:top w:w="0" w:type="dxa"/>
          <w:left w:w="0" w:type="dxa"/>
          <w:bottom w:w="0" w:type="dxa"/>
          <w:right w:w="0" w:type="dxa"/>
        </w:tblCellMar>
      </w:tblPr>
      <w:tblGrid>
        <w:gridCol w:w="3920"/>
        <w:gridCol w:w="60"/>
        <w:gridCol w:w="1085"/>
      </w:tblGrid>
      <w:tr>
        <w:trPr/>
        <w:tc>
          <w:tcPr>
            <w:tcW w:w="3920" w:type="dxa"/>
            <w:tcBorders/>
            <w:vAlign w:val="center"/>
          </w:tcPr>
          <w:p>
            <w:pPr>
              <w:pStyle w:val="TableContents"/>
              <w:bidi w:val="0"/>
              <w:spacing w:before="0" w:after="283"/>
              <w:jc w:val="center"/>
              <w:rPr>
                <w:b/>
              </w:rPr>
            </w:pPr>
            <w:bookmarkStart w:id="8" w:name="xdx_909_edei--EntityAddressAddressLine1_"/>
            <w:bookmarkEnd w:id="8"/>
            <w:r>
              <w:rPr>
                <w:b/>
              </w:rPr>
              <w:t xml:space="preserve">1111 West Hastings Street, </w:t>
            </w:r>
            <w:bookmarkStart w:id="9" w:name="xdx_90C_edei--EntityAddressAddressLine2_"/>
            <w:bookmarkEnd w:id="9"/>
            <w:r>
              <w:rPr>
                <w:b/>
              </w:rPr>
              <w:t>15th Floor,</w:t>
              <w:br/>
            </w:r>
            <w:bookmarkStart w:id="10" w:name="xdx_909_edei--EntityAddressCityOrTown_c2"/>
            <w:bookmarkEnd w:id="10"/>
            <w:r>
              <w:rPr>
                <w:b/>
              </w:rPr>
              <w:t xml:space="preserve">Vancouver, </w:t>
            </w:r>
            <w:bookmarkStart w:id="11" w:name="xdx_908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bookmarkStart w:id="12" w:name="xdx_90E_edei--EntityAddressPostalZipCode"/>
            <w:bookmarkEnd w:id="12"/>
            <w:r>
              <w:rPr>
                <w:b/>
              </w:rPr>
              <w:t>V6E 2J3</w:t>
            </w:r>
            <w:r>
              <w:rPr/>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C_edei--CityAreaCode_c20250512__20"/>
      <w:bookmarkEnd w:id="13"/>
      <w:r>
        <w:rPr>
          <w:rFonts w:ascii="Times New Roman;Times;Serif" w:hAnsi="Times New Roman;Times;Serif"/>
          <w:b/>
          <w:i w:val="false"/>
          <w:caps w:val="false"/>
          <w:smallCaps w:val="false"/>
          <w:sz w:val="20"/>
        </w:rPr>
        <w:t xml:space="preserve">888) </w:t>
      </w:r>
      <w:bookmarkStart w:id="14" w:name="xdx_909_edei--LocalPhoneNumber_c20250512"/>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F_edei--SolicitingMaterial_c202505"/>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9"/>
        <w:gridCol w:w="60"/>
        <w:gridCol w:w="1299"/>
        <w:gridCol w:w="60"/>
        <w:gridCol w:w="1927"/>
      </w:tblGrid>
      <w:tr>
        <w:trPr/>
        <w:tc>
          <w:tcPr>
            <w:tcW w:w="68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9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6_edei--Security12bTitle_c20250512"/>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1_edei--TradingSymbol_c20250512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5"/>
            <w:bookmarkEnd w:id="21"/>
            <w:r>
              <w:rPr>
                <w:rFonts w:ascii="Times New Roman;Times;Serif" w:hAnsi="Times New Roman;Times;Serif"/>
                <w:b w:val="false"/>
                <w:i w:val="false"/>
                <w:caps w:val="false"/>
                <w:smallCaps w:val="false"/>
                <w:sz w:val="20"/>
              </w:rPr>
              <w:t>The Nasdaq Stock Market LLC</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F_edei--Security12bTitle_c20250512"/>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0_edei--TradingSymbol_c20250512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E_edei--SecurityExchangeName_c2025"/>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B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025"/>
        <w:gridCol w:w="447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1.01.</w:t>
            </w:r>
          </w:p>
        </w:tc>
        <w:tc>
          <w:tcPr>
            <w:tcW w:w="4475" w:type="dxa"/>
            <w:tcBorders/>
            <w:vAlign w:val="center"/>
          </w:tcPr>
          <w:p>
            <w:pPr>
              <w:pStyle w:val="TableContents"/>
              <w:bidi w:val="0"/>
              <w:spacing w:before="0" w:after="283"/>
              <w:jc w:val="left"/>
              <w:rPr>
                <w:b/>
              </w:rPr>
            </w:pPr>
            <w:r>
              <w:rPr>
                <w:b/>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2025, TMC the metals company Inc. (the “Company”) entered into a securities purchase agreement (the “Purchase Agreement”) with certain new and existing investors (the “Purchasers”) pursuant to which the Company agreed to sell and issue, in a registered direct offering (the “Registered Offering”), an aggregate of 12,333,333 common shares (the “Shares”) of the Company, without par value (the “Common Shares”), and accompanying Class C warrants (the “Class C Warrants” and collectively with the Shares and the Common Shares issuable upon exercise of the Class C Warrants, the “Securities”) to purchase an aggregate of 12,333,333 Common Shares to such new and existing investors. The aggregate gross proceeds to the Company from the Registered Offering are expected to be approximately $37,000,000, before deducting offering expenses payable by the Company, not including the exercise of the Class C Warrants. Each Common Share and the accompanying Class C Warrant to purchase a Common Share are being sold at a price of $3.00.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being offered by the Company pursuant to the Company’s registration statement on Form S-3 (Reg. No. 333-275822), previously filed with the U.S. Securities and Exchange Commission (the “SEC”) on November 30, 2023 and declared effective by the SEC on December 8, 2023, the Company’s registration statement on Form S-3 (Reg. No. 333-267479), previously filed with the SEC on September 16, 2022, as amended on October 6, 2022 and declared effective by the SEC on October 14, 2022, the base prospectuses contained within each such registration statement, and a prospectus supplement dated May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Registered Offering is expected to occur on or about May 22, 2025, subject to the satisfaction of customary closing conditions. The Purchase Agreement may be terminated by the Company as to any Purchaser’s obligations thereunder if the closing with respect to such Purchaser has not been consummated on or before June 30,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C Warrants have an initial exercise price of $4.50 per share, are exercisable immediately upon issuance and will expire three years from the date of the Purchase Agreement. The Class C Warrants are subject to adjustment in the event of certain share dividends and distributions, share splits, share combinations, reclassifications or similar events affecting the Common Shares upon any distributions for no consideration of assets to the Company’s shareholders. The Company may also repurchase the Class C Warrants for $0.0001 per Common Share underlying the Class C Warrants if the volume weighted average price for the Common Shares for each trading day in a 20-consecutive trading day period exceeds $7.00 per share. In the event of certain corporate transactions, the holders of the Class C Warrants will be entitled to receive, upon exercise of the Class C Warrants, the kind and amount of securities, cash or other property that the holders would have received had they exercised the Class C Warrants immediately prior to such transaction. Each holder of a Class C Warrant will not have the right to exercise any portion of its Class C Warrant if the holder, together with its affiliates, would beneficially own in excess of 4.99% (or 9.99% or 19.99% at the election of a holder prior to the date of issuance) of the number of Common Shares outstanding immediately after giving effect to such exercise (the “Common Warrant Beneficial Ownership Limitation”); provided, however, that upon 61 days’ prior notice to the Company, the holder may increase the Common Warrant Beneficial Ownership Limitation, but not to above 9.99%, or 19.99% with the Company’s approval. The Class C Warrants do not entitle the holders thereof to any voting rights or any of the other rights or privileges to which holders of Common Stock are entitled.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C Warrants are not listed, and the Company does not intend to list the Class C Warrants, for trading on the Nasdaq Global Select Market or any other national securities exchange or any other nationally recognized trading system.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covenants and agreements by the Company, including Company customary conditions to closing, indemnification obligations, other obligations of the parties and termination provisions. The representations, warranties and covenants contained in the Purchase Agreement was made only for purposes of the Purchase Agreement and as of specific dates, were solely for the benefit of the parties to the Purchase Agreement and may be subject to limitations agreed upon by the contracting parties.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Fasken Martineau DuMoulin LLP and Mintz, Levin, Cohn, Ferris, Glovsky and Popeo, P.C., each counsel to the Company, relating to the Securities is filed with this Current Report on Form 8-K as Exhibit 5.1 and 5.2, respectively. The form of the Purchase Agreement and form of Class C Warrant are filed with this Current Report on Form 8-K as Exhibits 10.1 and 4.1, respectively, and are incorporated herein by reference. The foregoing description of such documents and the transactions contemplated thereby is qualified in its entirety by reference to such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including the exhibits hereto, shall not constitute an offer to sell or a solicitation of an offer to buy the Securities, nor shall there be any sale of the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08" w:type="dxa"/>
        <w:jc w:val="left"/>
        <w:tblInd w:w="0" w:type="dxa"/>
        <w:tblLayout w:type="fixed"/>
        <w:tblCellMar>
          <w:top w:w="0" w:type="dxa"/>
          <w:left w:w="0" w:type="dxa"/>
          <w:bottom w:w="0" w:type="dxa"/>
          <w:right w:w="0" w:type="dxa"/>
        </w:tblCellMar>
      </w:tblPr>
      <w:tblGrid>
        <w:gridCol w:w="38"/>
        <w:gridCol w:w="96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8.01 under “Preliminary Unaudited Financial Information as of and for the Three Months Ended March 31, 2025” is incorporated into this Item 2.02 by reference.</w:t>
      </w:r>
    </w:p>
    <w:p>
      <w:pPr>
        <w:pStyle w:val="TextBody"/>
        <w:bidi w:val="0"/>
        <w:spacing w:before="0" w:after="0"/>
        <w:ind w:left="0" w:right="0" w:hanging="0"/>
        <w:jc w:val="left"/>
        <w:rPr>
          <w:caps w:val="false"/>
          <w:smallCaps w:val="false"/>
        </w:rPr>
      </w:pPr>
      <w:r>
        <w:rPr>
          <w:caps w:val="false"/>
          <w:smallCaps w:val="false"/>
        </w:rPr>
        <w:t> </w:t>
      </w:r>
    </w:p>
    <w:tbl>
      <w:tblPr>
        <w:tblW w:w="2508" w:type="dxa"/>
        <w:jc w:val="left"/>
        <w:tblInd w:w="0" w:type="dxa"/>
        <w:tblLayout w:type="fixed"/>
        <w:tblCellMar>
          <w:top w:w="0" w:type="dxa"/>
          <w:left w:w="0" w:type="dxa"/>
          <w:bottom w:w="0" w:type="dxa"/>
          <w:right w:w="0" w:type="dxa"/>
        </w:tblCellMar>
      </w:tblPr>
      <w:tblGrid>
        <w:gridCol w:w="38"/>
        <w:gridCol w:w="1025"/>
        <w:gridCol w:w="14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Update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Registered Offering, the Company provided the following corporate update regarding its strategies and plans related to pursuing the U.S. regulatory pathway under the U.S. Deep Seabed Hard Mineral Resources Act (“DSHMRA”), a U.S. domestic statute administered by the U.S. Department of Commerce through the National Oceanic and Atmospheric Administration (“NOAA”), for the commercial production of deep-sea polymetallic nodules in the Clarion Clipperton Zone (“CCZ”).</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Regulatory Pathway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President Trump signed an Executive Order titled, “</w:t>
      </w:r>
      <w:r>
        <w:rPr>
          <w:rFonts w:ascii="Times New Roman;Times;Serif" w:hAnsi="Times New Roman;Times;Serif"/>
          <w:b w:val="false"/>
          <w:i/>
          <w:caps w:val="false"/>
          <w:smallCaps w:val="false"/>
          <w:sz w:val="20"/>
        </w:rPr>
        <w:t>Unleashing America’s Offshore Critical Minerals and Resources</w:t>
      </w:r>
      <w:r>
        <w:rPr>
          <w:rFonts w:ascii="Times New Roman;Times;Serif" w:hAnsi="Times New Roman;Times;Serif"/>
          <w:b w:val="false"/>
          <w:i w:val="false"/>
          <w:caps w:val="false"/>
          <w:smallCaps w:val="false"/>
          <w:sz w:val="20"/>
        </w:rPr>
        <w:t>”, which directs the Commerce Secretary to implement an expedited permitting process under DSHMRA. In addition to directing the International Development Finance Corporation, Export-Import Bank and Trade and Development Agency to identify tools to support this new industry, the Executive Order also instructs the Departments of Defense and Energy to assess the use of the National Defense Stockpile for nodule-derived minerals and of entering into offtake agreements for the procurement of these minerals. In addition, these departments are also directed, and to review and revise domestic processing capabilities for seabed mineral resources.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currently two primary legal frameworks governing the commercial recovery of deep-sea minerals from areas beyond national jurisdiction. The first is the DSHMRA and the second is the United Nations Convention on the Law of the Sea (“UNCLOS”). The United States has not ratified UNCLOS, and is not a member state of the International Seabed Authority (“ISA”), which administers the international regime.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increasingly focused on advancing its commercial production strategy under the U.S.-based DSHMRA regime. The Company’s wholly owned subsidiary, The Metals Company USA, LLC (“TMC USA”), is a “United States citizen” under DSHMRA and, in April 2025, it submitted two exploration license applications (covering 199,895 square kilometers in the CCZ referred to as TMC USA-A and TMC USA-B) and one commercial recovery permit application (covering 25,160 square kilometers in the CCZ referred to as TMC USA-A_2) to NOAA. These applications include the areas under which its subsidiaries hold exploration contracts from the ISA, which are estimated to hold approximately 1.635 billion wet tonnes of measured, indicated and inferred mineral resources. Together, the resource is estimated to include approximately 15.5 million tonnes of nickel, 12.8 million tonnes of copper, 2.0 million tonnes of cobalt, and 345 million tonnes of manganese. These applications reflect the Company’s belief that DSHMRA provides a viable and independent regulatory path to commercial production, distinct from the ISA regime under UNCLOS.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time as the Company pursues the U.S. pathway, it continues to preserve its rights under the ISA system. The ISA is an intergovernmental organization established pursuant to UNCLOS and the 1994 Agreement Relating to the Implementation of UNCLOS and regulates seabed mineral activities by its member states and their sponsored contractors. While the ISA does not have jurisdiction over U.S.-based operations, the Company maintains two exploration contracts in the CCZ—one held by its subsidiary Nauru Ocean Resources Inc. (“NORI”), sponsored by the Republic of Nauru, and one held by Tonga Offshore Mining Limited (“TOML”), sponsored by the Kingdom of Tonga. The ISA has issued a total of 19 exploration contracts covering approximately 1.28 million square kilometers, 17 of which are located in the CCZ. On November 12, 2024, the Company announced its intention to submit an application for an exploitation contract to the ISA on June 27, 2025. Today, the Company is increasingly focused on pursuing commercial production through the U.S. regulatory pathway under DSHMRA, following the April 2025 submission of TMC USA’s exploration license and commercial recovery permit applications to NOAA. The Company does not believe pursuing licenses and permits with NOAA under DSHMRA nullifies its ISA exploration contracts. However, if ISA progress on adopting final exploitation regulations stalls or the resulting regulations prove commercially or legally unworkable, the Company may pivot fully to the U.S. regime.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key strategic alliances with (i) Allseas Group S.A., a major contractor in the global offshore energy industry, which developed and tested a pilot collection system and is now working to modify it into the first commercial production system, and (ii) Glencore International AG, which holds offtake rights (i.e., a contractual right to purchase a specific quantity of products over a defined period) to 50% of the NORI nickel and copper production if produced from a DeepGreen Engineering Pte. Ltd.-owned or controlled facility. In addition, the Company has worked with engineering firm Hatch and consultants KPM to develop a near-zero solid waste flowsheet (i.e., the potential to process and refine nodules into critical metals while leaving almost no solid waste streams behind). The primary processing stages of the flowsheet from nodule to NiCuCo matte intermediate were demonstrated as part of its pilot plant program at FLSmidth and XPS’ facilities. The matte refining stages are being tested at SGS Lakefield. The near-zero solid waste flowsheet provides a design that is expected to serve as the basis for its onshore processing facilities. In November 2022, the Company entered into a non-binding memorandum of understanding (“MoU”), with Pacific Metals Co Ltd (“PAMCO”), of Japan pursuant to which PAMCO completed prefeasibility work assessing the prospect of processing nodules using their existing facilities. In November 2023, the Company entered into a binding MoU with PAMCO whereby they committed to completing a feasibility study (expected to be completed by mid-2025) to toll treat 1.3 million tonnes of wet polymetallic nodules per year at its Hachinohe, Japan smelting facility, provided the Company obtains commercial production rights. The toll treatment is intended to take place on a dedicated Rotary Kiln Electric Arc Furnace (“RKEF”), processing line and produce two products: nickel-copper-cobalt alloy, an intermediate product used as feedstock to produce lithium-ion battery cathodes, and a manganese silicate product used to make silico-manganese alloy, a critical input into steel manufacturing. In February 2025, PAMCO successfully processed approximately 2,000 tonnes of nodules from the Company’s integrated pilot collection system on their existing RKEF line, producing both nickel-copper-cobalt alloy and manganese silicate. The Company expects this relationship to progress to a definitive tolling agreement in 2025, subject to successful evaluation study outcomes and agreement to mutually acceptable commercial terms. There can be no assurance that the Company will enter into such definitive strategic alliance with PAMCO in a particular time period and with sufficient scale, or at all, or on terms similar to those set forth in the binding MoU, or that the existing facility will be able to successfully process nodules in a particular time period, or at all.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still in the exploration phase and has not yet obtained an exploitation contract or a permit for commercial recovery from any regulators. Additionally, the Company does not yet hold the environmental or other permits required to construct and operate commercial-scale polymetallic nodule processing and refining facilities on land.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reach its objective and initiate commercial production, the Company is continuing to (i) define its resource and project economics, (ii) develop a commercial offshore nodule collection system, (iii) assess the environmental and social impacts of offshore nodule collection, and (iv) develop onshore technology to process collected polymetallic nodules into a manganese silicate product and an intermediate nickel-copper-cobalt alloy or matte product and/or end-products like nickel and cobalt sulfates, and copper cathode. The Company is also working towards its initial pre-feasibility study, which the Company is now updating to reflect the U.S. regulatory pathway under DSHMRA.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of Mining of Deep-Sea Polymetallic Nodules by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DSHMRA establishes a domestic legal regime for U.S. citizens to explore for and commercially recover hard mineral resources from the seabed in areas beyond U.S. national jurisdiction. DSHMRA affirms that deep-sea mining is a lawful freedom of the high seas, subject to a duty of reasonable regard to the interests of other states in their exercise of those and other freedoms recognized by the general principles of international law, and provides a regulatory structure administered by NOAA, an agency under the U.S. Department of Commerce. NOAA’s implementing regulations detail the criteria and conditions for issuance of deep seabed exploration licenses and commercial recovery permits to U.S. citizens.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DSHMRA is to promote the development of seabed minerals by U.S. citizens while ensuring environmental protection, avoidance of conflict with other high seas uses, and consistency with international law. Before any license or permit is issued, NOAA must determine that the proposed activities meet a series of statutory requirements, including that the activity: (i) will not unreasonably interfere with the lawful use of the high seas by other states; (ii) is consistent with U.S. foreign policy and international obligations; (iii) does not create a risk to international peace and security; (iv) is not expected to result in significant adverse environmental effects; and (v) does not pose undue risk to life or property at sea. These findings reflect NOAA’s dual mandate of advancing U.S. commercial interests in seabed minerals while minimizing environmental and diplomatic risk.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Eligibility for licensing under DSHMRA is limited to “United States citizens,” a term defined to include any individual, corporation, or other entity organized under the laws of a U.S. state or territory. This includes foreign-owned entities organized in the United States, as well as foreign entities with majority U.S. ownership or control. The Company believes that its wholly owned subsidiary TMC USA, as a North Carolina limited liability company, qualifies as a “United States citizen” under these provisions and is eligible to apply for and hold NOAA-issued licenses and permits.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USA has submitted three formal applications to NOAA: two for exploration licenses and one for a commercial recovery permit. The DSHMRA framework contemplates sequential applications—first for an exploration license, then for a recovery permit—but neither the statute nor its regulations expressly prohibit concurrent or direct permitting where sufficient data is available. TMC USA previously submitted a legal memorandum requesting clarification from NOAA on this point and, if required, has also reserved the option of requesting a waiver from NOAA of the exploration license prerequisite.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Exploration licenses grant exclusive rights to conduct technical studies and test mining in a defined area and are typically issued for five-year terms. Commercial recovery permits authorize full-scale extraction for a period of 20 years subject to extension and are subject to enhanced environmental and operational requirements. NOAA grants licenses and permits to particular areas, in part, based on when applications are received. To date, NOAA has not issued any commercial recovery permits under DSHMRA as no U.S. citizen had applied for a commercial recovery permit prior to TMC USA.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USA initiated pre-application consultations with NOAA in the first quarter of 2025 and, following those discussions, submitted its applications in April 2025. These are now under agency review. Each application includes the full environmental, technical, financial, and operational data required under DSHMRA and the National Environmental Policy Act (“NEPA”). The NOAA review process includes a determination whether applications for exploration licenses are in full or substantial compliance with the applicable requirements under DSHMRA and its implementing regulations within 30 days of receipt and whether applications for a commercial recovery permit is complete within 60 days. NOAA is then expected to proceed with a full review of the applications, including interagency consultation with other U.S. government departments (including the Department of State, the Department of Defense, and the Environmental Protection Agency), preparation of an Environmental Impact Statement (“EIS”), under NEPA, and a public comment period. NOAA will determine whether to issue the requested licenses and permit, and if so, under what terms and conditions. All licenses and permits issued under DSHMRA are subject to oversight, periodic reporting, and potential suspension or revocation for noncompliance or unforeseen environmental harm.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DSHMRA and its regulations do not include a statutory deadline for application review. However, the Executive Order signed by President Trump on April 24, 2025, directs the Commerce Secretary to implement an expedited permitting process under DSHMRA.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NOAA issued four exploration licenses in 1984 to U.S.-sponsored consortia for polymetallic nodule exploration in the CCZ. Two of these licenses (USA-1 and USA-4) remain active and are currently held by a Lockheed Martin subsidiary. These licenses have been renewed in accordance with DSHMRA’s statutory provisions, which require NOAA to grant extensions if the licensee has substantially complied with license terms. Lockheed Martin has not conducted recent offshore activities under these licenses, citing market conditions and the lack of international recognition of DSHMRA licenses. In 2022, NOAA acknowledged these factors and extended the licenses to 2027.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NOAA has historically adopted a cautious and science-based regulatory posture under DSHMRA, coordinating with other U.S. federal agencies and supporting environmental studies to inform future decisions. In the 1980s, the United States entered into reciprocal recognition arrangements with other nations with similar domestic seabed mining laws, helping avoid overlapping claims prior to the establishment of the ISA. Once the ISA became operational in the 1990s, most seabed mining states transitioned to the UNCLOS/ISA system. The United States, however, remains outside that framework. NOAA is not restricted under DSHMRA from issuing licenses or permits over areas that are also subject to ISA exploration or exploitation contracts.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DSHMRA requires that recovered minerals be processed in the United States unless a waiver is granted. The Company is currently evaluating U.S.-based processing options to satisfy this requirement. If necessary, the Company expects to seek a waiver based on the statutory criteria and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become subject to additional U.S. laws and regulations as development progresses and are in the early stages of analyzing their applicability and potential impact on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Unaudited Financial Information as of and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the Company estimates that it had cash on hand of $2.3 million. In addition, as of March 31, 2025, the Company estimates that it had short-term debt of approximately $10 million, representing amounts outstanding under the Unsecured Credit Facility, dated March 22, 2024, as amended, with Gerard Barron, the Company’s Chief Executive Officer and Chairman, and ERAS Capital LLC, the family fund of the Company’s director, Andrei Karkar (the “2024 Credit Facility”), and the Working Capital Loan Agreement, dated September 9, 2024, with Allseas Investments S.A. The Company also estimates that operating expenses, operating loss and net cash used in operating activities for the three months ended March 31, 2025 were approximately $18.0 million, $20.6 million and $9.3 million, respectively. As of March 31, 2025, there remained $41.5 million undrawn under the 2024 Credit Facility. In addition, as of March 31, 2025, the Company had approximately $19.3 million (approximately $9.8 million as of the date of this Current Report on Form 8-K) available to be sold under the At-the-Market Equity Distribution Agreement with Wedbush Securities Inc., having raised $5.7 million through the issuance of 2,975,226 common shares in the three months ended March 31, 2025 at an average per share price of $1.93.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above is estimated, unaudited and preliminary and is subject to completion. The Company is in the process of finalizing its financial results for the quarter ended March 31, 2025. As a result, the estimates above may differ, potentially materially, from the actual results that will be presented in the Company’s condensed consolidated financial statements as of and for the quarter ended and the three months ended March 31, 2025 when these condensed consolidated financial statements are completed. The information presented above is based upon management estimates to date and is the responsibility of management. The Company’s independent registered public accounting firm has not audited, reviewed, compiled or performed any procedures with respect to this information and, accordingly, does not express an opinion or any other form of assurance upon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reminds investors that they should carefully review and consider the information regarding certain factors that could materially affect the Company’s business, consolidated financial condition or results of operations as set forth under Part I, Item 1A, “Risk Factors” in the Company’s Annual Report on Form 10-K for the year ended December 31, 2024 as filed with the SEC on March 27, 2025, as revised or added to as set forth in Exhibit 99.1 to this Current Report on Form 8-K, which exhibit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and information within the meaning of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including related to the anticipated closing of the Registered Offering and the anticipated proceeds from the Registered Offering; statements concerning the pursuit of a U.S.-based regulatory pathway with NOAA and the U.S. Department of Commerce under DSHMRA for the commercial production of deep-sea polymetallic nodules in the CCZ; statements concerning the status of the Company's exploration contracts issued by the ISA and the Company's expectations with respect to preparing and filing an application for an exploitation contract with the ISA and the expected interplay between the two regulatory pathways; government regulation of mineral extraction from the deep seafloor and changes in mining laws and regulations; and statements regarding the Company’s preliminary unaudited financial information as of and for the three months ended March 31, 2025.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Company’s ability to satisfy certain conditions to closing the Registered Offering on a timely basis or at all; changes in the Company’s financial results for the period ended March 31, 2025 from the preliminary unaudited financial information as of and for the three months ended March 31, 2025; the outcome of discussions and consultations with NOAA or other U.S. government officials; the Company’s ability to obtain required licenses and permits under DSHMRA or any other applicable U.S. laws or regulations; the potential for legal or jurisdictional challenges to the Company’s rights or proposed operations in international waters; regulatory uncertainties and the impact of government regulation and political instability on the Company’s activities; the potential for legal or jurisdictional challenges to the Company’s rights or proposed operations in international waters; environmental risks and liabilities; the Company’s ability to develop sufficient data to support permit applications and satisfy environmental requirements;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the Company’s ability to successfully adopt and profitably execute a new business strategy to develop a services business and to optimize and expand its resource portfolio; fluctuations in transportation costs; fluctuations in metals prices; testing and manufacturing of equipment; risks associated with the Company’s limited operating history, limited cash resources and need for additional financing; risks associated with the Company’s intellectual property; Low Carbon Royalties’ limited operating history; and other risks and uncertainties, any of which could cause actual results to differ from those expressed or implied in the forward-looking statements. These risks are described in greater detail in Part I, Item 1A “Risk Factors” in the Company’s Annual Report on Form 10-K for the year ended December 31, 2024, filed by the Company with the SEC on March 27, 2025, and in the Company’s other future filings with the SEC, including this Current Report on Form 8-K.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9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(d)</w:t>
            </w:r>
          </w:p>
        </w:tc>
        <w:tc>
          <w:tcPr>
            <w:tcW w:w="875" w:type="dxa"/>
            <w:tcBorders/>
            <w:vAlign w:val="center"/>
          </w:tcPr>
          <w:p>
            <w:pPr>
              <w:pStyle w:val="TableContents"/>
              <w:bidi w:val="0"/>
              <w:spacing w:before="0" w:after="283"/>
              <w:jc w:val="both"/>
              <w:rPr/>
            </w:pPr>
            <w:r>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05"/>
        <w:gridCol w:w="60"/>
        <w:gridCol w:w="8940"/>
      </w:tblGrid>
      <w:tr>
        <w:trPr/>
        <w:tc>
          <w:tcPr>
            <w:tcW w:w="1205"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40"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205" w:type="dxa"/>
            <w:tcBorders/>
            <w:tcMar>
              <w:bottom w:w="0" w:type="dxa"/>
            </w:tcMar>
            <w:vAlign w:val="center"/>
          </w:tcPr>
          <w:p>
            <w:pPr>
              <w:pStyle w:val="TableContents"/>
              <w:bidi w:val="0"/>
              <w:spacing w:before="0" w:after="283"/>
              <w:jc w:val="left"/>
              <w:rPr/>
            </w:pPr>
            <w:hyperlink w:anchor="tm2513980d1_ex4-1.htm">
              <w:r>
                <w:rPr>
                  <w:rStyle w:val="InternetLink"/>
                </w:rPr>
                <w:t>4.1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4-1.htm">
              <w:r>
                <w:rPr>
                  <w:rStyle w:val="InternetLink"/>
                </w:rPr>
                <w:t>Form of Class C Warrant to Purchase Common Shares.</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513980d1_ex5-1.htm">
              <w:r>
                <w:rPr>
                  <w:rStyle w:val="InternetLink"/>
                </w:rPr>
                <w:t>5.1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5-1.htm">
              <w:r>
                <w:rPr>
                  <w:rStyle w:val="InternetLink"/>
                </w:rPr>
                <w:t>Opinion of Fasken Martineau DuMoulin LLP.</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513980d1_ex5-2.htm">
              <w:r>
                <w:rPr>
                  <w:rStyle w:val="InternetLink"/>
                </w:rPr>
                <w:t>5.2</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5-2.htm">
              <w:r>
                <w:rPr>
                  <w:rStyle w:val="InternetLink"/>
                </w:rPr>
                <w:t>Opinion of Mintz, Levin, Cohn, Ferris, Glovsky and Popeo, P.C.</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513980d1_ex10-1.htm">
              <w:r>
                <w:rPr>
                  <w:rStyle w:val="InternetLink"/>
                </w:rPr>
                <w:t>10.1 </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10-1.htm">
              <w:r>
                <w:rPr>
                  <w:rStyle w:val="InternetLink"/>
                </w:rPr>
                <w:t>Form of Securities Purchase Agreement.</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513980d1_ex5-1.htm">
              <w:r>
                <w:rPr>
                  <w:rStyle w:val="InternetLink"/>
                </w:rPr>
                <w:t>23.1 </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5-1.htm">
              <w:r>
                <w:rPr>
                  <w:rStyle w:val="InternetLink"/>
                </w:rPr>
                <w:t>Consent of Fasken Martineau DuMoulin LLP (included in Exhibit 5.1).</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513980d1_ex5-2.htm">
              <w:r>
                <w:rPr>
                  <w:rStyle w:val="InternetLink"/>
                </w:rPr>
                <w:t>23.2 </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5-2.htm">
              <w:r>
                <w:rPr>
                  <w:rStyle w:val="InternetLink"/>
                </w:rPr>
                <w:t>Consent of Mintz, Levin, Cohn, Ferris, Glovsky and Popeo, P.C. (included in Exhibit 5.2).</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51398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99-1.htm">
              <w:r>
                <w:rPr>
                  <w:rStyle w:val="InternetLink"/>
                  <w:rFonts w:ascii="Times New Roman;Times;Serif" w:hAnsi="Times New Roman;Times;Serif"/>
                  <w:sz w:val="20"/>
                </w:rPr>
                <w:t>Risk Factor Updates.</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pPr>
            <w:hyperlink w:anchor="tm2513980d1_ex99-2.htm">
              <w:r>
                <w:rPr>
                  <w:rStyle w:val="InternetLink"/>
                </w:rPr>
                <w:t>99.2 </w:t>
              </w:r>
            </w:hyperlink>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hyperlink w:anchor="tm2513980d1_ex99-2.htm">
              <w:r>
                <w:rPr>
                  <w:rStyle w:val="InternetLink"/>
                </w:rPr>
                <w:t>Information relating to Part II, Item 14 of the Registration Statements on Form S-3 (Registration Nos. 333-275822 and 333-267479). </w:t>
              </w:r>
            </w:hyperlink>
          </w:p>
        </w:tc>
      </w:tr>
      <w:tr>
        <w:trPr/>
        <w:tc>
          <w:tcPr>
            <w:tcW w:w="12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pPr>
            <w:r>
              <w:rPr/>
              <w:t> </w:t>
            </w:r>
          </w:p>
        </w:tc>
      </w:tr>
      <w:tr>
        <w:trPr/>
        <w:tc>
          <w:tcPr>
            <w:tcW w:w="120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8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34" w:type="dxa"/>
        <w:jc w:val="left"/>
        <w:tblInd w:w="0" w:type="dxa"/>
        <w:tblLayout w:type="fixed"/>
        <w:tblCellMar>
          <w:top w:w="0" w:type="dxa"/>
          <w:left w:w="0" w:type="dxa"/>
          <w:bottom w:w="0" w:type="dxa"/>
          <w:right w:w="0" w:type="dxa"/>
        </w:tblCellMar>
      </w:tblPr>
      <w:tblGrid>
        <w:gridCol w:w="1745"/>
        <w:gridCol w:w="717"/>
        <w:gridCol w:w="2572"/>
      </w:tblGrid>
      <w:tr>
        <w:trPr/>
        <w:tc>
          <w:tcPr>
            <w:tcW w:w="174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TMC THE METALS COMPANY INC.</w:t>
            </w:r>
          </w:p>
        </w:tc>
      </w:tr>
      <w:tr>
        <w:trPr/>
        <w:tc>
          <w:tcPr>
            <w:tcW w:w="174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pPr>
            <w:r>
              <w:rPr/>
              <w:t> </w:t>
            </w:r>
          </w:p>
        </w:tc>
        <w:tc>
          <w:tcPr>
            <w:tcW w:w="2572"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rFonts w:ascii="Times New Roman;Times;Serif" w:hAnsi="Times New Roman;Times;Serif"/>
                <w:sz w:val="20"/>
              </w:rPr>
              <w:t>Date: May 12</w:t>
            </w:r>
            <w:r>
              <w:rPr/>
              <w:t>, 2025</w:t>
            </w:r>
          </w:p>
        </w:tc>
        <w:tc>
          <w:tcPr>
            <w:tcW w:w="7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Craig Shesky</w:t>
            </w:r>
          </w:p>
        </w:tc>
      </w:tr>
      <w:tr>
        <w:trPr/>
        <w:tc>
          <w:tcPr>
            <w:tcW w:w="174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72" w:type="dxa"/>
            <w:tcBorders/>
            <w:vAlign w:val="center"/>
          </w:tcPr>
          <w:p>
            <w:pPr>
              <w:pStyle w:val="TableContents"/>
              <w:bidi w:val="0"/>
              <w:spacing w:before="0" w:after="283"/>
              <w:jc w:val="left"/>
              <w:rPr/>
            </w:pPr>
            <w:r>
              <w:rPr/>
              <w:t> </w:t>
            </w:r>
            <w:r>
              <w:rPr>
                <w:rFonts w:ascii="Times New Roman;Times;Serif" w:hAnsi="Times New Roman;Times;Serif"/>
                <w:sz w:val="20"/>
              </w:rPr>
              <w:t>Craig Shesky</w:t>
            </w:r>
          </w:p>
        </w:tc>
      </w:tr>
      <w:tr>
        <w:trPr/>
        <w:tc>
          <w:tcPr>
            <w:tcW w:w="1745" w:type="dxa"/>
            <w:tcBorders/>
            <w:vAlign w:val="center"/>
          </w:tcPr>
          <w:p>
            <w:pPr>
              <w:pStyle w:val="TableContents"/>
              <w:bidi w:val="0"/>
              <w:spacing w:before="0" w:after="283"/>
              <w:jc w:val="left"/>
              <w:rPr/>
            </w:pPr>
            <w:r>
              <w:rPr/>
              <w:t> </w:t>
            </w:r>
          </w:p>
        </w:tc>
        <w:tc>
          <w:tcPr>
            <w:tcW w:w="7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572" w:type="dxa"/>
            <w:tcBorders/>
            <w:vAlign w:val="center"/>
          </w:tcPr>
          <w:p>
            <w:pPr>
              <w:pStyle w:val="TableContents"/>
              <w:bidi w:val="0"/>
              <w:spacing w:before="0" w:after="283"/>
              <w:jc w:val="left"/>
              <w:rPr/>
            </w:pPr>
            <w:r>
              <w:rPr/>
              <w:t> </w:t>
            </w: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513980d1_ex4-1.htm"/>
      <w:bookmarkStart w:id="28" w:name="kstm2513980d1_ex41"/>
      <w:bookmarkEnd w:id="27"/>
      <w:bookmarkEnd w:id="28"/>
      <w:r>
        <w:rPr/>
        <w:t> </w:t>
      </w:r>
      <w:r>
        <w:br w:type="page"/>
      </w:r>
    </w:p>
    <w:p>
      <w:pPr>
        <w:pStyle w:val="TextBody"/>
        <w:bidi w:val="0"/>
        <w:jc w:val="right"/>
        <w:rPr>
          <w:b/>
        </w:rPr>
      </w:pPr>
      <w:r>
        <w:rPr>
          <w:b/>
        </w:rPr>
        <w:t>Exhibit 4.1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C COMMON SHARE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TMC the metals company Inc.</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2510"/>
        <w:gridCol w:w="2180"/>
      </w:tblGrid>
      <w:tr>
        <w:trPr/>
        <w:tc>
          <w:tcPr>
            <w:tcW w:w="25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Shares: ___________</w:t>
            </w:r>
          </w:p>
        </w:tc>
        <w:tc>
          <w:tcPr>
            <w:tcW w:w="21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Issue Date:  May [●], 2025</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rPr>
        <w:t>CLASS C COMMON SHARE PURCHASE WARRANT</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[___________] , or its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issue date set forth above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and on or prior to 5:00 p.m. (New York City time) on May 12, 2028 (the “</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TMC the metals company Inc., a corporation incorporated under the laws of the Province of British Columbia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up to [_____] Common Shares (as subject to adjustment hereunder,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The purchase price of one Common Share under this Warrant shall be equal to the Exercise Price, as defined in Section 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Capitalized terms used and not otherwise defined herein shall have the meanings set forth in that certain Securities Purchase Agreement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dated May 12, 2025, among the Company and the purchasers signatories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Exercise of Warrant</w:t>
      </w:r>
      <w:r>
        <w:rPr>
          <w:rFonts w:ascii="Times New Roman;Times;Serif" w:hAnsi="Times New Roman;Times;Serif"/>
          <w:b w:val="false"/>
          <w:i w:val="false"/>
          <w:caps w:val="false"/>
          <w:smallCaps w:val="false"/>
          <w:sz w:val="20"/>
        </w:rPr>
        <w:t>. Exercise of the purchase rights represented by this Warrant may be made, in whole or in part, at any time or times on or after the Issue Date and on or before the Termination Date by delivery to the Company of a duly executed PDF copy submitted by e-mail (or e-mail attachment) of the Notice of Exercise in the form annexed hereto (the “</w:t>
      </w:r>
      <w:r>
        <w:rPr>
          <w:rFonts w:ascii="Times New Roman;Times;Serif" w:hAnsi="Times New Roman;Times;Serif"/>
          <w:b w:val="false"/>
          <w:i w:val="false"/>
          <w:caps w:val="false"/>
          <w:smallCaps w:val="false"/>
          <w:sz w:val="20"/>
          <w:u w:val="single"/>
        </w:rPr>
        <w:t>Notice of Exercise</w:t>
      </w:r>
      <w:r>
        <w:rPr>
          <w:rFonts w:ascii="Times New Roman;Times;Serif" w:hAnsi="Times New Roman;Times;Serif"/>
          <w:b w:val="false"/>
          <w:i w:val="false"/>
          <w:caps w:val="false"/>
          <w:smallCaps w:val="false"/>
          <w:sz w:val="20"/>
        </w:rPr>
        <w:t>”). Within the earlier of (i) two (2) Trading Days (as defined below)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r>
        <w:rPr>
          <w:rFonts w:ascii="Times New Roman;Times;Serif" w:hAnsi="Times New Roman;Times;Serif"/>
          <w:b w:val="false"/>
          <w:i w:val="false"/>
          <w:caps w:val="false"/>
          <w:smallCaps w:val="false"/>
          <w:sz w:val="20"/>
        </w:rPr>
        <w:t xml:space="preserve"> As used herein,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Common Shares is traded on a Trading Market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Common Share under this Warrant shall be $4.50, subject to adjustment hereunder (the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or the prospectus contained therein is not available for the issuance of the Warrant Shares to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35"/>
        <w:gridCol w:w="9795"/>
      </w:tblGrid>
      <w:tr>
        <w:trPr/>
        <w:tc>
          <w:tcPr>
            <w:tcW w:w="7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  </w:t>
            </w:r>
          </w:p>
        </w:tc>
        <w:tc>
          <w:tcPr>
            <w:tcW w:w="9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applicable: (i) the VWAP (as defined below)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(as defined below) of the Common Shares on the principal Trading Market as reported by Bloomberg L.P. (“</w:t>
            </w:r>
            <w:r>
              <w:rPr>
                <w:rFonts w:ascii="Times New Roman;Times;Serif" w:hAnsi="Times New Roman;Times;Serif"/>
                <w:sz w:val="20"/>
                <w:u w:val="single"/>
              </w:rPr>
              <w:t>Bloomberg</w:t>
            </w:r>
            <w:r>
              <w:rPr>
                <w:rFonts w:ascii="Times New Roman;Times;Serif" w:hAnsi="Times New Roman;Times;Serif"/>
                <w:sz w:val="20"/>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tc>
      </w:tr>
    </w:tbl>
    <w:p>
      <w:pPr>
        <w:pStyle w:val="TextBody"/>
        <w:bidi w:val="0"/>
        <w:spacing w:before="0" w:after="0"/>
        <w:ind w:left="2160" w:right="0" w:hanging="72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470"/>
        <w:gridCol w:w="4970"/>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 = </w:t>
            </w:r>
          </w:p>
        </w:tc>
        <w:tc>
          <w:tcPr>
            <w:tcW w:w="4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Exercise Price of this Warrant, as adjusted hereunder;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3"/>
        <w:gridCol w:w="9747"/>
      </w:tblGrid>
      <w:tr>
        <w:trPr/>
        <w:tc>
          <w:tcPr>
            <w:tcW w:w="75" w:type="dxa"/>
            <w:tcBorders/>
            <w:vAlign w:val="center"/>
          </w:tcPr>
          <w:p>
            <w:pPr>
              <w:pStyle w:val="TableContents"/>
              <w:bidi w:val="0"/>
              <w:spacing w:before="0" w:after="283"/>
              <w:jc w:val="left"/>
              <w:rPr/>
            </w:pPr>
            <w:r>
              <w:rPr/>
              <w:t> </w:t>
            </w:r>
          </w:p>
        </w:tc>
        <w:tc>
          <w:tcPr>
            <w:tcW w:w="3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 = </w:t>
            </w:r>
          </w:p>
        </w:tc>
        <w:tc>
          <w:tcPr>
            <w:tcW w:w="974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Shares are then listed or quoted on a Trading Market, the bid price of a Common Share for the time in question (or the nearest preceding date) on the Trading Market on which the Common Shares are then listed or quoted as reported by Bloomberg (based on a Trading Day from 9:30 a.m. (New York City time) to 4:02 p.m. (New York City time)), (b) if OTCQB or OTCQX is not a Trading Market, the volume weighted average price of a Common Share for such date (or the nearest preceding date) on OTCQB or OTCQX as applicable, (c) if the Common Shares are not then listed or quoted for trading on OTCQB or OTCQX and if prices for the Common Shares are then reported on The Pink Open Market (or a similar organization or agency succeeding to its functions of reporting prices), the most recent bid price per Common Share so reported, or (d) in all other cases, the fair market value of a Common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Shares are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Share is then listed or quoted on a Trading Market, the daily volume weighted average price of a Common Share for such date (or the nearest preceding date) on the Trading Market on which the Common Shares are then listed or quoted as reported by Bloomberg (based on a Trading Day from 9:30 a.m. (New York City time) to 4:02 p.m. (New York City time)), (b) if OTCQB or OTCQX is not a Trading Market, the volume weighted average price of a Common Share for such date (or the nearest preceding date) on OTCQB or OTCQX as applicable, (c) if the Common Shares are not then listed or quoted for trading on OTCQB or OTCQX and if prices for a Common Share are then reported in The Pink Open Market (or a similar organization or agency succeeding to its functions of reporting prices), the most recent bid price per Common Share so reported, or (d) in all other cases, the fair market value of a Common Share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Mechanics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(as defined below) to the Holder by crediting the account of the Holder’s or its designee’s balance account with The Depository Trust Company through its Deposit or Withdrawal at Custodian system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the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provided, that, in each case, payment of the aggregate Exercise Price (other than in the instance of a cashless exercise) is received by the Company by such date (such date, the “</w:t>
      </w:r>
      <w:r>
        <w:rPr>
          <w:rFonts w:ascii="Times New Roman;Times;Serif" w:hAnsi="Times New Roman;Times;Serif"/>
          <w:b w:val="false"/>
          <w:i w:val="false"/>
          <w:caps w:val="false"/>
          <w:smallCaps w:val="false"/>
          <w:sz w:val="20"/>
          <w:u w:val="single"/>
        </w:rPr>
        <w:t>Warrant Share Delivery Date</w:t>
      </w:r>
      <w:r>
        <w:rPr>
          <w:rFonts w:ascii="Times New Roman;Times;Serif" w:hAnsi="Times New Roman;Times;Serif"/>
          <w:b w:val="false"/>
          <w:i w:val="false"/>
          <w:caps w:val="false"/>
          <w:smallCaps w:val="false"/>
          <w:sz w:val="20"/>
        </w:rPr>
        <w:t>”). The Holder shall be deemed for all corporate purposes to have become the holder of record of the Warrant Shares upon the receipt of the aggregate Exercise Price by the Company.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a Common Share on the date of the applicable Notice of Exercise), $10 per Trading Day (increasing to $20 per Trading Day on the fifth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Shares as in effect on the date of delivery of the Notice of Exercise. As used herein, “</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2(d)(i) by the Warrant Share Delivery Date, then the Holder will have the right to rescind such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(other than a failure caused by incorrect or incomplete information provided by the Holder to the Company), and if after such date the Holder is required by its broker to purchase (in an open market transaction or otherwise) or the Holder’s brokerage firm otherwise purchases, Common Shares to deliver in satisfaction of a sale by the Holder of the Warrant Shares which the Holder anticipated receiving upon such exercise (a “</w:t>
      </w:r>
      <w:r>
        <w:rPr>
          <w:rFonts w:ascii="Times New Roman;Times;Serif" w:hAnsi="Times New Roman;Times;Serif"/>
          <w:b w:val="false"/>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Common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Common Shares that would have been issued had the Company timely complied with its exercise and delivery obligations hereunder. For example, if the Holder purchases Common Shares having a total purchase price of $11,000 to cover a Buy-In with respect to an attempted exercise of Common Shares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Common Shares upon exercise of the Warrant as required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round down to the next whole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Charges, Taxes and Expenses</w:t>
      </w:r>
      <w:r>
        <w:rPr>
          <w:rFonts w:ascii="Times New Roman;Times;Serif" w:hAnsi="Times New Roman;Times;Serif"/>
          <w:b w:val="false"/>
          <w:i w:val="false"/>
          <w:caps w:val="false"/>
          <w:smallCaps w:val="false"/>
          <w:sz w:val="20"/>
        </w:rPr>
        <w:t>.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shareholder books or records in any manner which prevents the timely exercise of this Warrant, pursuant to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(i) the Holder’s Affiliates (as defined below), (ii) any other Persons acting as a group together with the Holder or any of the Holder’s Affiliates and (iii) any other Persons whose beneficial ownership of the Common Shares would or could be aggregated with the Holder for the purposes of Section 13(d) of the Exchange Act (such Persons, “</w:t>
      </w:r>
      <w:r>
        <w:rPr>
          <w:rFonts w:ascii="Times New Roman;Times;Serif" w:hAnsi="Times New Roman;Times;Serif"/>
          <w:b w:val="false"/>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Common Shares beneficially owned by the Holder and its Affiliates and Attribution Parties shall include the number of Common Shares issuable upon exercise of this Warrant with respect to which such determination is being made, but shall exclude the number of Common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securities of the Company or the Subsidiaries which would entitle the holder thereof to acquire at any time Common Shares, including, without limitation, any debt, preferred share, right, option, warrant or other instrument that is at any time convertible into or exercisable or exchangeable for, or otherwise entitles the holder thereof to receive, Common Shares (“</w:t>
      </w:r>
      <w:r>
        <w:rPr>
          <w:rFonts w:ascii="Times New Roman;Times;Serif" w:hAnsi="Times New Roman;Times;Serif"/>
          <w:b w:val="false"/>
          <w:i w:val="false"/>
          <w:caps w:val="false"/>
          <w:smallCaps w:val="false"/>
          <w:sz w:val="20"/>
          <w:u w:val="single"/>
        </w:rPr>
        <w:t>Common Share Equivalents</w:t>
      </w:r>
      <w:r>
        <w:rPr>
          <w:rFonts w:ascii="Times New Roman;Times;Serif" w:hAnsi="Times New Roman;Times;Serif"/>
          <w:b w:val="false"/>
          <w:i w:val="false"/>
          <w:caps w:val="false"/>
          <w:smallCaps w:val="false"/>
          <w:sz w:val="20"/>
        </w:rPr>
        <w:t>”))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Common Shares that was provided by the Company.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Common Shares that was provided by the Company. For purposes of this Section 2(e), in determining the number of outstanding Common Shares, a Holder may rely on the number of outstanding Common Shares as reflected in (A) the Company’s most recent periodic or annual report filed with the Commission, as the case may be, (B) a more recent public announcement by the Company or (C) a more recent written notice by the Company or the Transfer Agent setting forth the number of Common Shares outstanding. Upon the written or oral request of a Holder, the Company shall within one Trading Day confirm orally and in writing to the Holder the number of Common Shares then outstanding. In any case, the number of outstanding Common Shares shall be determined after giving effect to the conversion or exercise of securities of the Company, including this Warrant, by the Holder or its Affiliates or Attribution Parties since the date as of which such number of outstanding Common Shares was reported. The “</w:t>
      </w:r>
      <w:r>
        <w:rPr>
          <w:rFonts w:ascii="Times New Roman;Times;Serif" w:hAnsi="Times New Roman;Times;Serif"/>
          <w:b w:val="false"/>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xml:space="preserve">” shall be [4.99 / 9.99 / 19.99]% of the number of Common Shares outstanding immediately after giving effect to the issuance of Common Shares issuable upon exercise of this Warrant. The Holder, upon notice to the Company, may increase or decrease the Beneficial Ownership Limitation provisions of this Section 2(e),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Beneficial Ownership Limitation in no event exceeds 9.99% (or 19.99% with prior written approval of the Company) of the number of Common Shares outstanding immediately after giving effect to the issuance of Common Shares upon exercise of this Warrant held by the Holder and the provisions of this Section 2(e)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 As used herein,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(as defined below) that, directly or indirectly through one or more intermediaries, controls or is controlled by or is under common control with a Person, as such terms are used in and construed under Rule 405 under the Securities Act. As used herein, “</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Call Provision</w:t>
      </w:r>
      <w:r>
        <w:rPr>
          <w:rFonts w:ascii="Times New Roman;Times;Serif" w:hAnsi="Times New Roman;Times;Serif"/>
          <w:b w:val="false"/>
          <w:i w:val="false"/>
          <w:caps w:val="false"/>
          <w:smallCaps w:val="false"/>
          <w:sz w:val="20"/>
        </w:rPr>
        <w:t>. Subject to the provisions of Section 2(e) and this Section 2(f), if, after the initial issuance of this Warrant (the “</w:t>
      </w:r>
      <w:r>
        <w:rPr>
          <w:rFonts w:ascii="Times New Roman;Times;Serif" w:hAnsi="Times New Roman;Times;Serif"/>
          <w:b w:val="false"/>
          <w:i w:val="false"/>
          <w:caps w:val="false"/>
          <w:smallCaps w:val="false"/>
          <w:sz w:val="20"/>
          <w:u w:val="single"/>
        </w:rPr>
        <w:t>Initial Exercise Date</w:t>
      </w:r>
      <w:r>
        <w:rPr>
          <w:rFonts w:ascii="Times New Roman;Times;Serif" w:hAnsi="Times New Roman;Times;Serif"/>
          <w:b w:val="false"/>
          <w:i w:val="false"/>
          <w:caps w:val="false"/>
          <w:smallCaps w:val="false"/>
          <w:sz w:val="20"/>
        </w:rPr>
        <w:t>”), (i) the VWAP for each of 20 consecutive Trading Days (the “</w:t>
      </w:r>
      <w:r>
        <w:rPr>
          <w:rFonts w:ascii="Times New Roman;Times;Serif" w:hAnsi="Times New Roman;Times;Serif"/>
          <w:b w:val="false"/>
          <w:i w:val="false"/>
          <w:caps w:val="false"/>
          <w:smallCaps w:val="false"/>
          <w:sz w:val="20"/>
          <w:u w:val="single"/>
        </w:rPr>
        <w:t>Measurement Period</w:t>
      </w:r>
      <w:r>
        <w:rPr>
          <w:rFonts w:ascii="Times New Roman;Times;Serif" w:hAnsi="Times New Roman;Times;Serif"/>
          <w:b w:val="false"/>
          <w:i w:val="false"/>
          <w:caps w:val="false"/>
          <w:smallCaps w:val="false"/>
          <w:sz w:val="20"/>
        </w:rPr>
        <w:t>,” which 20 consecutive Trading Day period shall not have commenced until after the Initial Exercise Date) exceeds $7.00 (subject to adjustment for forward and reverse share splits, recapitalizations, share dividends and the like) and (ii) the Holder is not in possession of any information that constitutes, or might constitute, material non-public information which was provided by the Company, any of its Subsidiaries, or any of their officers, directors, employees, agents or Affiliates, then the Company may, within 1 Trading Day of the end of such Measurement Period, call for cancellation of all or any portion of this Warrant for which a Notice of Exercise has not yet been delivered (such right, a “</w:t>
      </w:r>
      <w:r>
        <w:rPr>
          <w:rFonts w:ascii="Times New Roman;Times;Serif" w:hAnsi="Times New Roman;Times;Serif"/>
          <w:b w:val="false"/>
          <w:i w:val="false"/>
          <w:caps w:val="false"/>
          <w:smallCaps w:val="false"/>
          <w:sz w:val="20"/>
          <w:u w:val="single"/>
        </w:rPr>
        <w:t>Call</w:t>
      </w:r>
      <w:r>
        <w:rPr>
          <w:rFonts w:ascii="Times New Roman;Times;Serif" w:hAnsi="Times New Roman;Times;Serif"/>
          <w:b w:val="false"/>
          <w:i w:val="false"/>
          <w:caps w:val="false"/>
          <w:smallCaps w:val="false"/>
          <w:sz w:val="20"/>
        </w:rPr>
        <w:t>”) for consideration equal to $0.0001 per Warrant Share. To exercise this right, the Company must deliver to the Holder an irrevocable written notice (a “</w:t>
      </w:r>
      <w:r>
        <w:rPr>
          <w:rFonts w:ascii="Times New Roman;Times;Serif" w:hAnsi="Times New Roman;Times;Serif"/>
          <w:b w:val="false"/>
          <w:i w:val="false"/>
          <w:caps w:val="false"/>
          <w:smallCaps w:val="false"/>
          <w:sz w:val="20"/>
          <w:u w:val="single"/>
        </w:rPr>
        <w:t>Call Notice</w:t>
      </w:r>
      <w:r>
        <w:rPr>
          <w:rFonts w:ascii="Times New Roman;Times;Serif" w:hAnsi="Times New Roman;Times;Serif"/>
          <w:b w:val="false"/>
          <w:i w:val="false"/>
          <w:caps w:val="false"/>
          <w:smallCaps w:val="false"/>
          <w:sz w:val="20"/>
        </w:rPr>
        <w:t>”), indicating therein the portion of unexercised portion of this Warrant to which such notice applies. If the conditions set forth below for such Call are satisfied from the period from the date of the Call Notice through and including the Call Date (as defined below), then any portion of this Warrant subject to such Call Notice for which a Notice of Exercise shall not have been received by the Call Date will be cancelled at 6:30 p.m. (New York City time) on the tenth Trading Day after the date the Call Notice is received by the Holder (such date and time, the “</w:t>
      </w:r>
      <w:r>
        <w:rPr>
          <w:rFonts w:ascii="Times New Roman;Times;Serif" w:hAnsi="Times New Roman;Times;Serif"/>
          <w:b w:val="false"/>
          <w:i w:val="false"/>
          <w:caps w:val="false"/>
          <w:smallCaps w:val="false"/>
          <w:sz w:val="20"/>
          <w:u w:val="single"/>
        </w:rPr>
        <w:t>Call Date</w:t>
      </w:r>
      <w:r>
        <w:rPr>
          <w:rFonts w:ascii="Times New Roman;Times;Serif" w:hAnsi="Times New Roman;Times;Serif"/>
          <w:b w:val="false"/>
          <w:i w:val="false"/>
          <w:caps w:val="false"/>
          <w:smallCaps w:val="false"/>
          <w:sz w:val="20"/>
        </w:rPr>
        <w:t>”). Any unexercised portion of this Warrant to which the Call Notice does not pertain will be unaffected by such Call Notice. In furtherance thereof, the Company covenants and agrees that it will honor all Notices of Exercise with respect to Warrant Shares subject to a Call Notice that are tendered through 6:30 p.m. (New York City time) on the Call Date. The parties agree that any Notice of Exercise delivered following a Call Notice which calls less than all of the Warrants shall first reduce to zero the number of Warrant Shares subject to such Call Notice prior to reducing the remaining Warrant Shares available for purchase under this Warrant. For example, if (A) this Warrant then permits the Holder to acquire 100 Warrant Shares, (B) a Call Notice pertains to 75 Warrant Shares, and (C) prior to 6:30 p.m. (New York City time) on the Call Date the Holder tenders a Notice of Exercise in respect of 50 Warrant Shares, then (x) on the Call Date the right under this Warrant to acquire 25 Warrant Shares will be automatically cancelled, (y) the Company, in the time and manner required under this Warrant, will have issued and delivered to the Holder 50 Warrant Shares in respect of the exercises following receipt of the Call Notice, and (z) the Holder may, until the Termination Date, exercise this Warrant for 25 Warrant Shares (subject to adjustment as herein provided and subject to subsequent Call Notices). Subject again to the provisions of this Section 2(f), the Company may deliver subsequent Call Notices for any portion of this Warrant for which the Holder shall not have delivered a Notice of Exercise. Notwithstanding anything to the contrary set forth in this Warrant, the Company may not deliver a Call Notice or require the cancellation of this Warrant (and any such Call Notice shall be void), unless, from the beginning of the Measurement Period through the Call Date, (1) the Company shall have honored in accordance with the terms of this Warrant all Notices of Exercise delivered by 6:30 p.m. (New York City time) on the Call Date, and (2) a registration statement shall be effective as to all Warrant Shares and the prospectus thereunder available for use by the Company for the sale of all such Warrant Shares to the Holder, and (3) the Common Shares shall be listed or quoted for trading on the Trading Market, and (4) there is a sufficient number of authorized Common Shares for issuance of all Warrant Shares, and (5) the issuance of all Warrant Shares subject to a Call Notice shall not cause a breach of any provision of Section 2(e) herein. The Company’s right to call the Warrants under this Section 2(f) shall be exercised ratably among the Holders based on each Holder’s initial purchase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Certain 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Share Dividends and Splits</w:t>
      </w:r>
      <w:r>
        <w:rPr>
          <w:rFonts w:ascii="Times New Roman;Times;Serif" w:hAnsi="Times New Roman;Times;Serif"/>
          <w:b w:val="false"/>
          <w:i w:val="false"/>
          <w:caps w:val="false"/>
          <w:smallCaps w:val="false"/>
          <w:sz w:val="20"/>
        </w:rPr>
        <w:t>. If the Company, at any time while this Warrant is outstanding: (i) pays a share dividend or otherwise makes a distribution or distributions on Common Shares or any other equity or equity equivalent securities payable in Common Shares (which, for avoidance of doubt, shall not include any Common Shares issued by the Company upon exercise of this Warrant), (ii) subdivides outstanding Common Shares into a larger number of shares, (iii) combines (including by way of reverse share split) outstanding Common Shares into a smaller number of shares, or (iv) issues by reclassification of the Common Shares of the Company, then in each case the Exercise Price shall be multiplied by a fraction of which the numerator shall be the number of Common Shares (excluding treasury shares, if any) outstanding immediately before such event and of which the denominator shall be the number of Common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3(a) above, if at any time the Company grants, issues or sells any Common Share Equivalents or rights to purchase shares, warrants, securities or other property pro rata to the record holders of any class of Common Shares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Distributions</w:t>
      </w:r>
      <w:r>
        <w:rPr>
          <w:rFonts w:ascii="Times New Roman;Times;Serif" w:hAnsi="Times New Roman;Times;Serif"/>
          <w:b w:val="false"/>
          <w:i w:val="false"/>
          <w:caps w:val="false"/>
          <w:smallCaps w:val="false"/>
          <w:sz w:val="20"/>
        </w:rPr>
        <w:t>. Subject to compliance with applicable securities and corporate law, including the constituting documents of the Company,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shares or other securities, property or options by way of a dividend, spin off, reclassification, corporate rearrangement, scheme of arrangement or other similar transaction, other than such dividends or distributions that result in an adjustment under Section 3(a), (b) or (d)) (a “</w:t>
      </w:r>
      <w:r>
        <w:rPr>
          <w:rFonts w:ascii="Times New Roman;Times;Serif" w:hAnsi="Times New Roman;Times;Serif"/>
          <w:b w:val="false"/>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receive an equivalent distribution to such Distribution, in the same form and to the equivalent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receive such equivalent distribution to such Distribution would result in the Holder exceeding the Beneficial Ownership Limitation, then the Holder shall not be entitled to such equivalent distribution to such Distribution to such extent (or in the beneficial ownership of any Common Shares as a result of such Distribution to such extent) and the portion of such equivalent distribution shall be held in abeyance for the benefit of the Holder until such time, if ever, as its right thereto would not result in the Holder exceeding the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arrangement, amalgamation,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50% or more of the outstanding Common Shares or 50% or more of the outstanding voting power of the common equity of the Company, (iv) the Company,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including pursuant to an amalgamation or arrangement, or (v) the Company, directly or indirectly, in one or more related transactions consummates a share or share purchase agreement or other business combination (including, without limitation, a reorganization, recapitalization, spin-off, merger or scheme of arrangement) with another Person or group of Persons whereby such other Person or group acquires 50% or more of the outstanding Common Shares or 50% or more of the outstanding voting power of the common equity of the Company (each a “</w:t>
      </w:r>
      <w:r>
        <w:rPr>
          <w:rFonts w:ascii="Times New Roman;Times;Serif" w:hAnsi="Times New Roman;Times;Serif"/>
          <w:b w:val="false"/>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Shares of the successor or acquiring corporation or of the Company, if it is the surviving corporation, and any additional consideration (the “</w:t>
      </w:r>
      <w:r>
        <w:rPr>
          <w:rFonts w:ascii="Times New Roman;Times;Serif" w:hAnsi="Times New Roman;Times;Serif"/>
          <w:b w:val="false"/>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such Successor Entity (or its parent entity) equivalent to the Common Shares acquirable and receivable upon exercise of this Warrant (without regard to any limitations on the exercise of this Warrant) prior to such Fundamental Transaction, and with an exercise price which applies the exercise price hereunder to such shares (but taking into account the relative value of the Common Shares pursuant to such Fundamental Transaction and the value of such shares, such number of shares and such exercise price being for the purpose of protecting the economic value of this Warrant immediately prior to the consummation of such Fundamental Transaction), and which is reasonably satisfactory in form and substance to the Holder. Upon the occurrence or consummation of any such Fundamental Transaction, the Successor Entity shall succeed to, and be substituted for (so that from and after the occurrence or consummation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the Company may at any time during the term of this Warrant, subject to the prior written consent of the Holder, reduce the then current Exercise Price to any amount and for any period of time deemed appropriate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Notice to Holder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xml:space="preserve">. If (A) the Company shall declare a dividend (or any other distribution on Common Shares in whatever form) on the Common Shares, (B) the Company shall declare a special nonrecurring cash dividend on or a redemption of the Common Shares, (C) the Company shall authorize the granting to all holders of the Common Shares rights or warrants to subscribe for or purchase any shares of any class or of any rights, (D) the approval of any shareholders of the Company shall be required in connection with any reclassification of the Common Shares, any consolidation or merger to which the Company (and all of its Subsidiaries, taken as a whole) is a party, any sale or transfer of all or substantially all of the assets of the Company, or any compulsory share exchange whereby the Common Shares are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(as defined below)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Common Shares for securities, cash or other property deliverable upon such reclassification, consolidation, merger, sale, transfer or share exchange;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deliver such notice or any defect therein or in the delivery thereof shall not affect the validity of the corporate action required to be specified in such notice. Notwithstanding the foregoing, to the extent that any notice to be provided in this Warrant constitutes, or contains, material, non-public information regarding the Company or any of the Subsidiaries, the Company may delay such notice until such time as the Company would otherwise make a public announcement of such notice or information, whether by a Current Report on Form 8-K or otherwise.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Transfer of Warrant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Warrant and all rights hereunder (including, without limitation, any registration rights) are transferable, in whole or in part, upon surrender of this Warrant at the principal office of the Company or its designated agent, which may be accepted via email, together with a written assignment of this Warrant substantially in the form attached hereto duly executed by the Holder or its agent or attorney and funds sufficient to pay any transfer taxes payable upon the making of such transfer, subject to compliance with applicable securities laws.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 Notwithstanding the foregoing, each Holder hereby covenants and agrees in favour of the Company that it will not sell, transfer or assign any Warrants or any Warrant Shares to any Canadian resident or any person for subsequent resale to a Canadian resident for a period of four months and a day after the Issue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or its designated agent, which may be accepted via email,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or the Transfer Agent for that purpose (the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as Shareholder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covenants that, during the period the Warrant is outstanding, it will reserve from its authorized and unissued Common Shares a sufficient number of Common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Jurisdiction</w:t>
      </w:r>
      <w:r>
        <w:rPr>
          <w:rFonts w:ascii="Times New Roman;Times;Serif" w:hAnsi="Times New Roman;Times;Serif"/>
          <w:b w:val="false"/>
          <w:i w:val="false"/>
          <w:caps w:val="false"/>
          <w:smallCaps w:val="false"/>
          <w:sz w:val="20"/>
        </w:rPr>
        <w:t>. All questions concerning the construction, validity, enforcement and interpretation of this Warrant shall be determined in accordance with the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consents, waivers or other document or communications required or permitted to be given or delivered under the terms of this Warrant must be in writing and will be deemed to have been delivered: (i) upon receipt, if delivered personally; (ii) when sent, if sent by e-mail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such sent e-mail is kept on file (whether electronically or otherwise) by the sending party and the sending party does not receive an automatically generated message from the recipient’s e-mail server that such e-mail could not be delivered to such recipient) and (iii) if sent by overnight courier service, one (1) Trading Day after deposit with an overnight courier service with next day delivery specified, in each case, properly addressed to the party to receive the same. If notice is given by email, a copy of such notice shall be dispatched no later than the next business day by first class mail, postage prepaid. The addresses and e-mail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to the Company:</w:t>
            </w:r>
          </w:p>
        </w:tc>
      </w:tr>
      <w:tr>
        <w:trPr/>
        <w:tc>
          <w:tcPr>
            <w:tcW w:w="429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DuMoulin Black LLP</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ableContents"/>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w:t>
            </w:r>
          </w:p>
          <w:p>
            <w:pPr>
              <w:pStyle w:val="TableContents"/>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BC V6E 2J3</w:t>
            </w:r>
          </w:p>
        </w:tc>
      </w:tr>
      <w:tr>
        <w:trPr/>
        <w:tc>
          <w:tcPr>
            <w:tcW w:w="4295" w:type="dxa"/>
            <w:tcBorders/>
            <w:vAlign w:val="center"/>
          </w:tcPr>
          <w:p>
            <w:pPr>
              <w:pStyle w:val="TableContents"/>
              <w:bidi w:val="0"/>
              <w:spacing w:before="0" w:after="283"/>
              <w:ind w:left="0" w:right="0" w:firstLine="1440"/>
              <w:jc w:val="left"/>
              <w:rPr>
                <w:rFonts w:ascii="Times New Roman;Times;Serif" w:hAnsi="Times New Roman;Times;Serif"/>
                <w:sz w:val="20"/>
              </w:rPr>
            </w:pPr>
            <w:r>
              <w:rPr>
                <w:rFonts w:ascii="Times New Roman;Times;Serif" w:hAnsi="Times New Roman;Times;Serif"/>
                <w:sz w:val="20"/>
              </w:rPr>
              <w:t>Attention: Chief Financial Officer</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craig@metals.co</w:t>
            </w:r>
          </w:p>
        </w:tc>
      </w:tr>
      <w:tr>
        <w:trPr/>
        <w:tc>
          <w:tcPr>
            <w:tcW w:w="429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 a copy (for informational purposes only) to:</w:t>
            </w:r>
          </w:p>
        </w:tc>
      </w:tr>
      <w:tr>
        <w:trPr/>
        <w:tc>
          <w:tcPr>
            <w:tcW w:w="4295" w:type="dxa"/>
            <w:tcBorders/>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Mintz, Levin, Cohn, Ferris, Glovsky and Popeo, P.C.</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 Financial Center</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 MA 02111</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dtkajunski@mintz.com</w:t>
            </w:r>
          </w:p>
        </w:tc>
      </w:tr>
      <w:tr>
        <w:trPr/>
        <w:tc>
          <w:tcPr>
            <w:tcW w:w="4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Attention: Daniel Kajunski, Esq.</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a Holder, to its address or e-mail address set forth herein or on the books and records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 each of the above instances, to such other address or e-mail address and/or to the attention of such other Person as the recipient party has specified by written notice given to each other party at least five (5) days prior to the effectiveness of such change. Written confirmation of receipt (A) given by the recipient of such notice, consent, waiver or other communication or (B) provided by an overnight courier service shall be rebuttable evidence of personal service, receipt from an overnight courier service in accordance with clause (i) or (iii) above, respectively. A copy of the e-mail transmission containing the time, date and recipient e- mail address shall be rebuttable evidence of receipt by e-mail in accordance with clause (ii)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Shares or as a shareholder of the Company, whether such liability is asserted by the Company or by creditors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and the Holder. For avoidance of doubt and notwithstanding anything set forth in this Warrant or the Purchase Agreement, (i) no modification or amendment to any other Warrant issued pursuant to the Purchase Agreement or waiver of a provision of any such Warrant shall be applicable to this Warrant unless consented to by the Holder hereof pursuant to this Section 5(l) and (ii) each Warrant issued pursuant to the Purchase Agreement may be modified or amended or the provisions thereof may be waived without the same modification or amendment being made to this Warrant or such waiver applying to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Warrant to be executed by its officer thereunto duly authorized as of the date first above indicated.</w:t>
      </w:r>
    </w:p>
    <w:p>
      <w:pPr>
        <w:pStyle w:val="TextBody"/>
        <w:bidi w:val="0"/>
        <w:spacing w:before="0" w:after="0"/>
        <w:ind w:left="0" w:right="0" w:hanging="0"/>
        <w:jc w:val="left"/>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406"/>
        <w:gridCol w:w="2883"/>
        <w:gridCol w:w="75"/>
      </w:tblGrid>
      <w:tr>
        <w:trPr/>
        <w:tc>
          <w:tcPr>
            <w:tcW w:w="3289" w:type="dxa"/>
            <w:gridSpan w:val="2"/>
            <w:tcBorders/>
            <w:vAlign w:val="center"/>
          </w:tcPr>
          <w:p>
            <w:pPr>
              <w:pStyle w:val="TableContents"/>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TMC THE METALS COMPANY INC.</w:t>
            </w:r>
          </w:p>
        </w:tc>
        <w:tc>
          <w:tcPr>
            <w:tcW w:w="75" w:type="dxa"/>
            <w:tcBorders/>
            <w:vAlign w:val="center"/>
          </w:tcPr>
          <w:p>
            <w:pPr>
              <w:pStyle w:val="TableContents"/>
              <w:bidi w:val="0"/>
              <w:spacing w:before="0" w:after="283"/>
              <w:jc w:val="left"/>
              <w:rPr/>
            </w:pPr>
            <w:r>
              <w:rPr/>
              <w:t> </w:t>
            </w:r>
          </w:p>
        </w:tc>
      </w:tr>
      <w:tr>
        <w:trPr/>
        <w:tc>
          <w:tcPr>
            <w:tcW w:w="32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83"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Craig Shesky</w:t>
            </w:r>
          </w:p>
        </w:tc>
        <w:tc>
          <w:tcPr>
            <w:tcW w:w="75" w:type="dxa"/>
            <w:tcBorders/>
            <w:vAlign w:val="center"/>
          </w:tcPr>
          <w:p>
            <w:pPr>
              <w:pStyle w:val="TableContents"/>
              <w:bidi w:val="0"/>
              <w:spacing w:before="0" w:after="283"/>
              <w:jc w:val="left"/>
              <w:rPr/>
            </w:pPr>
            <w:r>
              <w:rPr/>
              <w:t> </w:t>
            </w:r>
          </w:p>
        </w:tc>
      </w:tr>
      <w:tr>
        <w:trPr/>
        <w:tc>
          <w:tcPr>
            <w:tcW w:w="406" w:type="dxa"/>
            <w:tcBorders/>
            <w:vAlign w:val="center"/>
          </w:tcPr>
          <w:p>
            <w:pPr>
              <w:pStyle w:val="TableContents"/>
              <w:bidi w:val="0"/>
              <w:spacing w:before="0" w:after="283"/>
              <w:jc w:val="left"/>
              <w:rPr/>
            </w:pPr>
            <w:r>
              <w:rPr/>
              <w:t> </w:t>
            </w:r>
          </w:p>
        </w:tc>
        <w:tc>
          <w:tcPr>
            <w:tcW w:w="28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Class C Common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350"/>
        <w:gridCol w:w="2480"/>
      </w:tblGrid>
      <w:tr>
        <w:trPr/>
        <w:tc>
          <w:tcPr>
            <w:tcW w:w="350" w:type="dxa"/>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TO:</w:t>
            </w:r>
          </w:p>
        </w:tc>
        <w:tc>
          <w:tcPr>
            <w:tcW w:w="24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TMC the metals company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hereby elects to purchase ________ Warrant Shares of the Company pursuant to the terms of the attached Warrant (to be delivered only if exercised in full), and tenders herewith payment of the exercise price in full, together with all applicable transfer taxes,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lawful money of the United States;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OF HOLDER]</w:t>
      </w:r>
    </w:p>
    <w:p>
      <w:pPr>
        <w:pStyle w:val="TextBody"/>
        <w:bidi w:val="0"/>
        <w:spacing w:before="0" w:after="0"/>
        <w:ind w:left="0" w:right="0" w:hanging="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2180"/>
        <w:gridCol w:w="75"/>
      </w:tblGrid>
      <w:tr>
        <w:trPr/>
        <w:tc>
          <w:tcPr>
            <w:tcW w:w="2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Name of Investing Entity: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4460"/>
        <w:gridCol w:w="75"/>
      </w:tblGrid>
      <w:tr>
        <w:trPr/>
        <w:tc>
          <w:tcPr>
            <w:tcW w:w="4460" w:type="dxa"/>
            <w:tcBorders/>
            <w:vAlign w:val="center"/>
          </w:tcPr>
          <w:p>
            <w:pPr>
              <w:pStyle w:val="TableContents"/>
              <w:bidi w:val="0"/>
              <w:spacing w:before="0" w:after="283"/>
              <w:jc w:val="both"/>
              <w:rPr>
                <w:sz w:val="20"/>
              </w:rPr>
            </w:pPr>
            <w:r>
              <w:rPr>
                <w:rFonts w:ascii="Times New Roman;Times;Serif" w:hAnsi="Times New Roman;Times;Serif"/>
                <w:i/>
                <w:sz w:val="20"/>
              </w:rPr>
              <w:t>Signature of Authorized Signatory of Investing Entity</w:t>
            </w:r>
            <w:r>
              <w:rPr>
                <w:sz w:val="20"/>
              </w:rPr>
              <w:t>:</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2570"/>
        <w:gridCol w:w="75"/>
      </w:tblGrid>
      <w:tr>
        <w:trPr/>
        <w:tc>
          <w:tcPr>
            <w:tcW w:w="25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70" w:type="dxa"/>
        <w:jc w:val="left"/>
        <w:tblInd w:w="0" w:type="dxa"/>
        <w:tblLayout w:type="fixed"/>
        <w:tblCellMar>
          <w:top w:w="0" w:type="dxa"/>
          <w:left w:w="0" w:type="dxa"/>
          <w:bottom w:w="0" w:type="dxa"/>
          <w:right w:w="0" w:type="dxa"/>
        </w:tblCellMar>
      </w:tblPr>
      <w:tblGrid>
        <w:gridCol w:w="2495"/>
        <w:gridCol w:w="75"/>
      </w:tblGrid>
      <w:tr>
        <w:trPr/>
        <w:tc>
          <w:tcPr>
            <w:tcW w:w="24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 of Authorized Signatory:</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470"/>
        <w:gridCol w:w="75"/>
      </w:tblGrid>
      <w:tr>
        <w:trPr/>
        <w:tc>
          <w:tcPr>
            <w:tcW w:w="4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 assign the foregoing Warrant, execute this form and supply required information. Do not use this form to purchase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295"/>
        <w:gridCol w:w="1100"/>
      </w:tblGrid>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w:t>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Number:</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 Address:</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Dated: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685" w:type="dxa"/>
        <w:jc w:val="left"/>
        <w:tblInd w:w="0" w:type="dxa"/>
        <w:tblLayout w:type="fixed"/>
        <w:tblCellMar>
          <w:top w:w="0" w:type="dxa"/>
          <w:left w:w="0" w:type="dxa"/>
          <w:bottom w:w="0" w:type="dxa"/>
          <w:right w:w="0" w:type="dxa"/>
        </w:tblCellMar>
      </w:tblPr>
      <w:tblGrid>
        <w:gridCol w:w="1610"/>
        <w:gridCol w:w="75"/>
      </w:tblGrid>
      <w:tr>
        <w:trPr/>
        <w:tc>
          <w:tcPr>
            <w:tcW w:w="16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Signature: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550" w:type="dxa"/>
        <w:jc w:val="left"/>
        <w:tblInd w:w="0" w:type="dxa"/>
        <w:tblLayout w:type="fixed"/>
        <w:tblCellMar>
          <w:top w:w="0" w:type="dxa"/>
          <w:left w:w="0" w:type="dxa"/>
          <w:bottom w:w="0" w:type="dxa"/>
          <w:right w:w="0" w:type="dxa"/>
        </w:tblCellMar>
      </w:tblPr>
      <w:tblGrid>
        <w:gridCol w:w="1475"/>
        <w:gridCol w:w="75"/>
      </w:tblGrid>
      <w:tr>
        <w:trPr/>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Holder’s Address:</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513980d1_ex5-1.htm"/>
      <w:bookmarkStart w:id="30" w:name="kstm2513980d1_ex51"/>
      <w:bookmarkEnd w:id="29"/>
      <w:bookmarkEnd w:id="3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1238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12382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V6E 2J3,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tab/>
        <w:t>     TMC the metals company Inc. –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British Columbia counsel to TMC the metals company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of a Prospectus Supplement, dated May 12, 2025 (the “</w:t>
      </w:r>
      <w:r>
        <w:rPr>
          <w:rFonts w:ascii="Times New Roman;Times;Serif" w:hAnsi="Times New Roman;Times;Serif"/>
          <w:b/>
          <w:i w:val="false"/>
          <w:caps w:val="false"/>
          <w:smallCaps w:val="false"/>
          <w:sz w:val="20"/>
        </w:rPr>
        <w:t>Prospectus Supplement</w:t>
      </w:r>
      <w:r>
        <w:rPr>
          <w:rFonts w:ascii="Times New Roman;Times;Serif" w:hAnsi="Times New Roman;Times;Serif"/>
          <w:b w:val="false"/>
          <w:i w:val="false"/>
          <w:caps w:val="false"/>
          <w:smallCaps w:val="false"/>
          <w:sz w:val="20"/>
        </w:rPr>
        <w:t>”), to Registration Statement (File No. 333-275822) (the “</w:t>
      </w:r>
      <w:r>
        <w:rPr>
          <w:rFonts w:ascii="Times New Roman;Times;Serif" w:hAnsi="Times New Roman;Times;Serif"/>
          <w:b/>
          <w:i w:val="false"/>
          <w:caps w:val="false"/>
          <w:smallCaps w:val="false"/>
          <w:sz w:val="20"/>
        </w:rPr>
        <w:t>2023 Registration Statement</w:t>
      </w:r>
      <w:r>
        <w:rPr>
          <w:rFonts w:ascii="Times New Roman;Times;Serif" w:hAnsi="Times New Roman;Times;Serif"/>
          <w:b w:val="false"/>
          <w:i w:val="false"/>
          <w:caps w:val="false"/>
          <w:smallCaps w:val="false"/>
          <w:sz w:val="20"/>
        </w:rPr>
        <w:t>”) and to Registration Statement (File No. 333-267479) (the “</w:t>
      </w:r>
      <w:r>
        <w:rPr>
          <w:rFonts w:ascii="Times New Roman;Times;Serif" w:hAnsi="Times New Roman;Times;Serif"/>
          <w:b/>
          <w:i w:val="false"/>
          <w:caps w:val="false"/>
          <w:smallCaps w:val="false"/>
          <w:sz w:val="20"/>
        </w:rPr>
        <w:t>2022 Registration Statement</w:t>
      </w:r>
      <w:r>
        <w:rPr>
          <w:rFonts w:ascii="Times New Roman;Times;Serif" w:hAnsi="Times New Roman;Times;Serif"/>
          <w:b w:val="false"/>
          <w:i w:val="false"/>
          <w:caps w:val="false"/>
          <w:smallCaps w:val="false"/>
          <w:sz w:val="20"/>
        </w:rPr>
        <w:t>” and collectively with the 2023 Registration Statement, the “</w:t>
      </w:r>
      <w:r>
        <w:rPr>
          <w:rFonts w:ascii="Times New Roman;Times;Serif" w:hAnsi="Times New Roman;Times;Serif"/>
          <w:b/>
          <w:i w:val="false"/>
          <w:caps w:val="false"/>
          <w:smallCaps w:val="false"/>
          <w:sz w:val="20"/>
        </w:rPr>
        <w:t>Registration Statements</w:t>
      </w:r>
      <w:r>
        <w:rPr>
          <w:rFonts w:ascii="Times New Roman;Times;Serif" w:hAnsi="Times New Roman;Times;Serif"/>
          <w:b w:val="false"/>
          <w:i w:val="false"/>
          <w:caps w:val="false"/>
          <w:smallCaps w:val="false"/>
          <w:sz w:val="20"/>
        </w:rPr>
        <w:t xml:space="preserve">”), each on Form S-3, filed by the Corporation with the Commission under the </w:t>
      </w:r>
      <w:r>
        <w:rPr>
          <w:rFonts w:ascii="Times New Roman;Times;Serif" w:hAnsi="Times New Roman;Times;Serif"/>
          <w:b w:val="false"/>
          <w:i/>
          <w:caps w:val="false"/>
          <w:smallCaps w:val="false"/>
          <w:sz w:val="20"/>
        </w:rPr>
        <w:t>Securities Act of 1933</w:t>
      </w:r>
      <w:r>
        <w:rPr>
          <w:rFonts w:ascii="Times New Roman;Times;Serif" w:hAnsi="Times New Roman;Times;Serif"/>
          <w:b w:val="false"/>
          <w:i w:val="false"/>
          <w:caps w:val="false"/>
          <w:smallCaps w:val="false"/>
          <w:sz w:val="20"/>
        </w:rPr>
        <w:t>,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Prospectus Supplement relates to the offering of an aggregate of 12,333,333 common shares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without par value, in the capital of the Corporation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and Class C Common Share purchase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to purchase an aggregate of 12,333,333 Common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and together with the Offered Shares, the Warrants and the Warrant Shares,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pursuant to a securities purchase agreement (collectively,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between the Corporation and the purchasers named therein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This opinion is being rendered in connection with the filing of the Prospectus Supplement with the Commission. All capitalized terms used herein and not otherwise defined shall have the respective meanings given to them in the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and relied upon (a) the Registration Statements, (b) the Prospectus Supplement, (c) the form of SPA, (d) the form of instrument representing and setting out the terms of the Warrants (the “</w:t>
      </w:r>
      <w:r>
        <w:rPr>
          <w:rFonts w:ascii="Times New Roman;Times;Serif" w:hAnsi="Times New Roman;Times;Serif"/>
          <w:b/>
          <w:i w:val="false"/>
          <w:caps w:val="false"/>
          <w:smallCaps w:val="false"/>
          <w:sz w:val="20"/>
        </w:rPr>
        <w:t>Warrant Instrument</w:t>
      </w:r>
      <w:r>
        <w:rPr>
          <w:rFonts w:ascii="Times New Roman;Times;Serif" w:hAnsi="Times New Roman;Times;Serif"/>
          <w:b w:val="false"/>
          <w:i w:val="false"/>
          <w:caps w:val="false"/>
          <w:smallCaps w:val="false"/>
          <w:sz w:val="20"/>
        </w:rPr>
        <w:t>”), (e) a certificate of an officer of the Corporation dated the date hereof, certifying certain factual matters including, among other things: the constating documents of the Corporation, and resolutions passed by the directors of the Corporation, including resolutions passed by a committee duly created by the directors of the Corporation, approving, among other things, the Offering, the completion of the transactions contemplated therein and certain final terms of the Offering (the “</w:t>
      </w:r>
      <w:r>
        <w:rPr>
          <w:rFonts w:ascii="Times New Roman;Times;Serif" w:hAnsi="Times New Roman;Times;Serif"/>
          <w:b/>
          <w:i w:val="false"/>
          <w:caps w:val="false"/>
          <w:smallCaps w:val="false"/>
          <w:sz w:val="20"/>
        </w:rPr>
        <w:t>Opinion Support Certificate</w:t>
      </w:r>
      <w:r>
        <w:rPr>
          <w:rFonts w:ascii="Times New Roman;Times;Serif" w:hAnsi="Times New Roman;Times;Serif"/>
          <w:b w:val="false"/>
          <w:i w:val="false"/>
          <w:caps w:val="false"/>
          <w:smallCaps w:val="false"/>
          <w:sz w:val="20"/>
        </w:rPr>
        <w:t xml:space="preserve">”), (f) a certificate of good standing dated May 12, 2025 issued pursuant to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(British Columbia) with respect of the Corporation, and (g) originals or copies certified to our satisfaction of such records, documents, certificates, memoranda and other instruments as in our judgment are necessary or appropriate to enable us to render the opinion expressed below. We have not carried out a review of the minute books or other corporate records of the Corporation other than as contained in the Opinion Support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the authenticity of all documents submitted to us as originals, the genuineness of all signatures and the conformity to authentic originals of all documents submitted to us as copies and that all facts set forth in official public records and certificates and other documents supplied by public officials or otherwise conveyed to us by public officials are complete, true and accurate as of, and at all material times prior to, the date of this opinion letter. We have also assumed the legal capacity for all purposes relevant hereto of all natural persons. In making our examination of executed documents or documents to be executed, we have assumed that the parties thereto, including the Corporation, have legal capacity, had or will have the power, corporate or other, to enter into and perform all obligations thereunder and have also assumed the due authorization by all requisite action, corporate or other, and execution and delivery by such parties of such documents and, the validity, binding effect, and enforceability on all such parties. We have assumed that the SPA and Warrant Instruments will be executed and delivered substantially in the form of such instrument we have examined. In our capacity as counsel to the Corporation in connection with the registration of the Registration Statements, the Prospectus Supplement, we are familiar with the proceedings taken and proposed to be taken by the Corporation in connection with the authorization and issuance of the Securities. For purposes of this opinion, we have assumed that such proceedings will be timely and properly completed, in accordance with all requirements of the Applicable Law (as defined below), in the manner presently proposed. As to questions of fact material to our opinions, we have relied upon certificates of officers of the Corporation and of public officials.</w:t>
      </w:r>
    </w:p>
    <w:p>
      <w:pPr>
        <w:pStyle w:val="TextBody"/>
        <w:bidi w:val="0"/>
        <w:spacing w:before="0" w:after="0"/>
        <w:ind w:left="0" w:right="0" w:hanging="0"/>
        <w:jc w:val="left"/>
        <w:rPr>
          <w:caps w:val="false"/>
          <w:smallCaps w:val="false"/>
        </w:rPr>
      </w:pPr>
      <w:r>
        <w:rPr>
          <w:caps w:val="false"/>
          <w:smallCaps w:val="false"/>
        </w:rPr>
        <w:t> </w:t>
      </w:r>
    </w:p>
    <w:tbl>
      <w:tblPr>
        <w:tblW w:w="480" w:type="dxa"/>
        <w:jc w:val="left"/>
        <w:tblInd w:w="0" w:type="dxa"/>
        <w:tblLayout w:type="fixed"/>
        <w:tblCellMar>
          <w:top w:w="0" w:type="dxa"/>
          <w:left w:w="0" w:type="dxa"/>
          <w:bottom w:w="0" w:type="dxa"/>
          <w:right w:w="0" w:type="dxa"/>
        </w:tblCellMar>
      </w:tblPr>
      <w:tblGrid>
        <w:gridCol w:w="480"/>
      </w:tblGrid>
      <w:tr>
        <w:trPr/>
        <w:tc>
          <w:tcPr>
            <w:tcW w:w="480" w:type="dxa"/>
            <w:tcBorders/>
            <w:vAlign w:val="center"/>
          </w:tcPr>
          <w:p>
            <w:pPr>
              <w:pStyle w:val="TableContents"/>
              <w:bidi w:val="0"/>
              <w:spacing w:before="0" w:after="283"/>
              <w:jc w:val="center"/>
              <w:rPr/>
            </w:pPr>
            <w:r>
              <w:rPr/>
              <w:drawing>
                <wp:inline distT="0" distB="0" distL="0" distR="0">
                  <wp:extent cx="285750" cy="285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 cy="285750"/>
                          </a:xfrm>
                          <a:prstGeom prst="rect">
                            <a:avLst/>
                          </a:prstGeom>
                        </pic:spPr>
                      </pic:pic>
                    </a:graphicData>
                  </a:graphic>
                </wp:inline>
              </w:drawing>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428750" cy="333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333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herein is limited to the laws of the Province of British Columbia and the federal laws of Canada applicable therein now in effect (the “</w:t>
      </w:r>
      <w:r>
        <w:rPr>
          <w:rFonts w:ascii="Times New Roman;Times;Serif" w:hAnsi="Times New Roman;Times;Serif"/>
          <w:b/>
          <w:i w:val="false"/>
          <w:caps w:val="false"/>
          <w:smallCaps w:val="false"/>
          <w:sz w:val="20"/>
        </w:rPr>
        <w:t>Applicable Law</w:t>
      </w:r>
      <w:r>
        <w:rPr>
          <w:rFonts w:ascii="Times New Roman;Times;Serif" w:hAnsi="Times New Roman;Times;Serif"/>
          <w:b w:val="false"/>
          <w:i w:val="false"/>
          <w:caps w:val="false"/>
          <w:smallCaps w:val="false"/>
          <w:sz w:val="20"/>
        </w:rPr>
        <w:t>”). We express no opinion as to whether the laws of any particular jurisdiction other than those identified above are applicable to the subject matter hereof. We assume no obligation to revise or supplement this opinion should any applicable laws be changed subsequent to the date hereof by legislative action, judicial decision or otherwise or if there is a change in any fact or facts after the date hereof. Where our opinion refers to any of the Securities as being “fully paid and non-assessable”, no opinion is expressed as to actual receipt by the Corporation of the consideration for the issuance of such shares or as to the adequacy of any consideration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our opinions set forth herein, we have also assumed that, at the time of any offer and sale of the Securities, (i) the Corporation has been duly organized and is validly existing and in good standing, and has the requisite legal status and legal capacity, under the laws of the Province of British Columbia; (ii) the Corporation has complied and will comply with the laws of all relevant jurisdictions in connection with the transactions contemplated by, and the performance of its obligations under, the Registration Statements, and the Prospectus Supplement; (iii) the Registration Statements, the Prospectus Supplement, and any amendments thereto (including any post-effective amendments thereto) have become effective under the Securities Act; (iv) that the Prospectus Supplement has been prepared, delivered and filed in compliance with the Securities Act and the applicable rules and regulations thereunder; (v) that the SPA have been filed with the Commission on a Current Report on Form 8-K or other applicable periodic report in the manner contemplated in the Registration Statements or the Prospectus Supplement; (vi) that the Securities will be issued and sold in compliance with applicable U.S. federal and state securities laws and in the manner stated in the Registration Statements and the Prospectus Supplement; and (vii) all facts set forth and statements made in certificates supplied by directors and/or officers of the Corporation, including the Opinion Support Certificate, are and remain true, accurate and complete. As to any facts material to our opinion, we have made no independent investigation of such facts and have relied, to the extent that we deem such reliance proper, upon certificates of public officials and officers or other representatives of the Corporation. We assume, based on advise previously received from the Corporation, that the applicable agreements relating to any of the Securities will be governed by the laws of a jurisdiction outside of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assumptions and qualifications we are of the opinion that: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1.</w:t>
            </w:r>
          </w:p>
        </w:tc>
        <w:tc>
          <w:tcPr>
            <w:tcW w:w="10008" w:type="dxa"/>
            <w:tcBorders/>
            <w:vAlign w:val="center"/>
          </w:tcPr>
          <w:p>
            <w:pPr>
              <w:pStyle w:val="TableContents"/>
              <w:bidi w:val="0"/>
              <w:spacing w:before="0" w:after="283"/>
              <w:jc w:val="both"/>
              <w:rPr/>
            </w:pPr>
            <w:r>
              <w:rPr/>
              <w:t>With respect to the issuance of any Offered Shares, when upon payment in full therefor and issuance thereof in accordance with the SPA and the Prospectus Supplement, the Offered Shares will be validly issued as fully paid and non-assessable Common Shares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2.</w:t>
            </w:r>
          </w:p>
        </w:tc>
        <w:tc>
          <w:tcPr>
            <w:tcW w:w="10016" w:type="dxa"/>
            <w:tcBorders/>
            <w:vAlign w:val="center"/>
          </w:tcPr>
          <w:p>
            <w:pPr>
              <w:pStyle w:val="TableContents"/>
              <w:bidi w:val="0"/>
              <w:spacing w:before="0" w:after="283"/>
              <w:jc w:val="both"/>
              <w:rPr/>
            </w:pPr>
            <w:r>
              <w:rPr/>
              <w:t>The Warrant Shares have been duly and validly authorized and allotted for issuance and, upon the due exercise of the Warrants in accordance with the terms of the SPA, the Prospectus Supplement and the applicable Warrant Instruments, including payment of the exercise price in full therefor, the Warrant Shares issuable upon exercise of the Warrants will be validly issued as fully paid and non-assessable Common Shares of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use of our name in, and the filing of this opinion as an exhibit to, the Registration Statement and to reference the firm’s name under the caption “Legal Matters” in the Prospectus Supplement. In giving this consent, we do not thereby admit that we are in the category of persons whose consent is required under the Securities Act or the rules and regulations promulgated thereunder. This opinion is expressed as of the date hereof unless otherwise expressly stated, and we disclaim any undertaking to advise you of any subsequent changes of the facts stated or assumed herein or any subsequent changes in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Fasken Martineau DuMoulin LLP</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drawing>
                <wp:inline distT="0" distB="0" distL="0" distR="0">
                  <wp:extent cx="285750" cy="2857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5750" cy="285750"/>
                          </a:xfrm>
                          <a:prstGeom prst="rect">
                            <a:avLst/>
                          </a:prstGeom>
                        </pic:spPr>
                      </pic:pic>
                    </a:graphicData>
                  </a:graphic>
                </wp:inline>
              </w:drawing>
            </w:r>
            <w:r>
              <w:rPr/>
              <w:br/>
              <w:t>2</w:t>
            </w:r>
          </w:p>
        </w:tc>
      </w:tr>
    </w:tbl>
    <w:p>
      <w:pPr>
        <w:pStyle w:val="TextBody"/>
        <w:bidi w:val="0"/>
        <w:ind w:left="0" w:right="0" w:hanging="0"/>
        <w:jc w:val="left"/>
        <w:rPr/>
      </w:pPr>
      <w:bookmarkStart w:id="31" w:name="tm2513980d1_ex5-2.htm"/>
      <w:bookmarkStart w:id="32" w:name="kstm2513980d1_ex52"/>
      <w:bookmarkEnd w:id="31"/>
      <w:bookmarkEnd w:id="3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5.2</w:t>
      </w:r>
    </w:p>
    <w:p>
      <w:pPr>
        <w:pStyle w:val="TextBody"/>
        <w:bidi w:val="0"/>
        <w:spacing w:before="0" w:after="0"/>
        <w:ind w:left="0" w:right="0" w:hanging="0"/>
        <w:jc w:val="left"/>
        <w:rPr>
          <w:caps w:val="false"/>
          <w:smallCaps w:val="false"/>
        </w:rPr>
      </w:pPr>
      <w:r>
        <w:rPr>
          <w:caps w:val="false"/>
          <w:smallCaps w:val="false"/>
        </w:rPr>
        <w:t> </w:t>
      </w:r>
    </w:p>
    <w:tbl>
      <w:tblPr>
        <w:tblW w:w="3455" w:type="dxa"/>
        <w:jc w:val="left"/>
        <w:tblInd w:w="0" w:type="dxa"/>
        <w:tblLayout w:type="fixed"/>
        <w:tblCellMar>
          <w:top w:w="0" w:type="dxa"/>
          <w:left w:w="0" w:type="dxa"/>
          <w:bottom w:w="0" w:type="dxa"/>
          <w:right w:w="0" w:type="dxa"/>
        </w:tblCellMar>
      </w:tblPr>
      <w:tblGrid>
        <w:gridCol w:w="75"/>
        <w:gridCol w:w="1620"/>
        <w:gridCol w:w="1760"/>
      </w:tblGrid>
      <w:tr>
        <w:trPr/>
        <w:tc>
          <w:tcPr>
            <w:tcW w:w="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1620" w:type="dxa"/>
            <w:tcBorders/>
            <w:vAlign w:val="center"/>
          </w:tcPr>
          <w:p>
            <w:pPr>
              <w:pStyle w:val="TableContents"/>
              <w:bidi w:val="0"/>
              <w:spacing w:before="0" w:after="283"/>
              <w:jc w:val="center"/>
              <w:rPr/>
            </w:pPr>
            <w:r>
              <w:rPr/>
              <w:drawing>
                <wp:inline distT="0" distB="0" distL="0" distR="0">
                  <wp:extent cx="1028700" cy="1238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8700" cy="1238250"/>
                          </a:xfrm>
                          <a:prstGeom prst="rect">
                            <a:avLst/>
                          </a:prstGeom>
                        </pic:spPr>
                      </pic:pic>
                    </a:graphicData>
                  </a:graphic>
                </wp:inline>
              </w:drawing>
            </w:r>
          </w:p>
        </w:tc>
        <w:tc>
          <w:tcPr>
            <w:tcW w:w="176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617 542 6000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mintz.com</w:t>
            </w:r>
          </w:p>
          <w:p>
            <w:pPr>
              <w:pStyle w:val="TableContents"/>
              <w:bidi w:val="0"/>
              <w:spacing w:before="0" w:after="0"/>
              <w:ind w:left="0" w:right="0" w:hanging="0"/>
              <w:jc w:val="righ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British Columbia V6E 2J3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U.S. legal counsel to TMC the metals company Inc., a corporation continued under the laws of the Province of British Columbia, Canada (the “Company”), in connection with the preparation and filing with the Securities and Exchange Commission (the “Commission”) of a Prospectus Supplement, dated May 12, 2025, to a base prospectus, dated December 8, 2023, and a base prospectus, dated October 14, 2022 (collectively, the “Prospectuses and Prospectus Supplement”), filed pursuant to a Registration Statement on Form S-3, Registration No. 333-275822, and a Registration Statement on Form S-3, Registration No. 333-267479, as amended, respectively (collectively, the “Registration Statements”), pursuant to which the Company is offering for sale under the Securities Act of 1933, as amended (the “Securities Act”), 12,333,333 common shares (the “Shares”) of the Company, without par value (the “Common Shares”), and accompanying Class C warrants to purchase up to 12,333,333 Common Shares (the “Class C Warrants”, and together with the Shares and the Common Shares issuable upon exercise of the Class C Warrants, the “Securities”). The Securities are being sold pursuant to a Securities Purchase Agreement, dated May 12, 2025, between the Company and the purchasers named therein (the “Purchase Agreement”), pursuant to which the Company may issue and sell the Securities pursuant to the Registration Statements and the Prospectuses and Prospectus Supplement. The forms of the Purchase Agreement and the Class C Warrant will be filed as an exhibit to a Current Report on Form 8-K and incorporated by reference into the Registration Statements. This opinion is being furnished at the request of the Company and in accordance with the requirements of Item 601(b)(5) of Regulation S-K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the certificate of continuation, the notice of articles and the articles of the Company, each as currently in effect, such other records of the corporate proceedings of the Company and certificates of the Company’s officers as we have deemed relevant, as well as the Registration Statements and the exhibits thereto and the Prospectuses and Prospectus Supplement, the Purchase Agreement and the Class C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 and the truth and correctness of any representations and warranties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limitations set forth below, we are of the opinion that the Class C Warrants, when duly executed by the Company and delivered to the purchasers thereof against payment therefor as contemplated in the Purchase Agreement, the Registration Statements, the Prospectuses and the Prospectus Supplement, will be valid and binding obligations of the Company enforceable against the Company in accordance with their terms, subject to bankruptcy, insolvency, fraudulent transfer, reorganization, moratorium and other laws of general applicability relating to or affecting creditors’ rights and to general equity principles.</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4"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Boston    Los Angeles    MIAMI    New York    San Diego    San Francisco    toronto    Washington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Mintz, Levin, Cohn, Ferris, Glovsky and Popeo,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1175"/>
        <w:gridCol w:w="60"/>
        <w:gridCol w:w="495"/>
      </w:tblGrid>
      <w:tr>
        <w:trPr/>
        <w:tc>
          <w:tcPr>
            <w:tcW w:w="117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MINTZ</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tc>
        <w:tc>
          <w:tcPr>
            <w:tcW w:w="60" w:type="dxa"/>
            <w:tcBorders/>
            <w:vAlign w:val="center"/>
          </w:tcPr>
          <w:p>
            <w:pPr>
              <w:pStyle w:val="TableContents"/>
              <w:bidi w:val="0"/>
              <w:spacing w:before="0" w:after="283"/>
              <w:jc w:val="left"/>
              <w:rPr/>
            </w:pPr>
            <w:r>
              <w:rPr/>
              <w:t> </w:t>
            </w:r>
          </w:p>
        </w:tc>
        <w:tc>
          <w:tcPr>
            <w:tcW w:w="495" w:type="dxa"/>
            <w:tcBorders/>
            <w:vAlign w:val="center"/>
          </w:tcPr>
          <w:p>
            <w:pPr>
              <w:pStyle w:val="TableContents"/>
              <w:bidi w:val="0"/>
              <w:spacing w:before="0" w:after="283"/>
              <w:jc w:val="right"/>
              <w:rPr/>
            </w:pPr>
            <w:r>
              <w:rPr/>
              <w:drawing>
                <wp:inline distT="0" distB="0" distL="0" distR="0">
                  <wp:extent cx="266700" cy="285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6700" cy="285750"/>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expressed only with respect to the federal laws of the United States, the laws of the Commonwealth of Massachusetts and the State of New York. We express no opinion to the extent that any other laws are applicable to the subject matter hereof and express no opinion and provide no assurance as to compliance with any federal or state securities law, rule or regulation.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 With respect to all matters of the laws of the Province of British Columbia and the federal laws of Canada applicable therein, you understand that we are relying upon the opinion, dated the date hereof, of Canadian counsel to the Company, and our opinion is subject to the same assumptions, qualifications and limitations with respect to such matters as are contained in such opinion of Canadian counsel and assumes the due authorization, execution and delivery of the Class C Warrants by the Company, and assuming the securities issuable upon exercise of such Class C Warrants have been duly authorized and reserved for issuance by all necessary corporate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as to certain matters on information obtained from public officials, officers of the Company, and other sources believed by us to be responsible.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a Current Report on Form 8-K in accordance with the requirements of Item 601(b)(5) of Regulation S-K under the Securities Act and to the use of this firm’s name therein and in the Prospectuses and Prospectus Supplement under the caption “Legal Matters.” In giving such consent, we do not hereby admit that we are in the category of persons whose consent is required under Section 7 of the Securities Act or the rules and regulations of the Commission.</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4520"/>
      </w:tblGrid>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Mintz, Levin, Cohn, Ferris, Glovsky and Popeo, P.C.</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&amp; Popeo, P.C.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33" w:name="tm2513980d1_ex10-1.htm"/>
      <w:bookmarkStart w:id="34" w:name="kstm2513980d1_ex101"/>
      <w:bookmarkEnd w:id="33"/>
      <w:bookmarkEnd w:id="34"/>
      <w:r>
        <w:rPr/>
        <w:t> </w:t>
      </w:r>
      <w:r>
        <w:br w:type="page"/>
      </w:r>
    </w:p>
    <w:p>
      <w:pPr>
        <w:pStyle w:val="TextBody"/>
        <w:bidi w:val="0"/>
        <w:jc w:val="right"/>
        <w:rPr>
          <w:b/>
        </w:rPr>
      </w:pPr>
      <w:r>
        <w:rPr>
          <w:b/>
        </w:rPr>
        <w:t>Exhibit 10.1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May 12, 2025, between TMC the metals company Inc., a company existing under the laws of the Province of British Columbia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the effective Registration Statement (as defined below)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w:t>
      </w:r>
      <w:r>
        <w:rPr>
          <w:rFonts w:ascii="Times New Roman;Times;Serif" w:hAnsi="Times New Roman;Times;Serif"/>
          <w:b w:val="false"/>
          <w:i w:val="false"/>
          <w:caps w:val="false"/>
          <w:smallCaps w:val="false"/>
          <w:sz w:val="20"/>
        </w:rPr>
        <w:br/>
        <w:t>DEFINITIONS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 C Purchase Warrants</w:t>
      </w:r>
      <w:r>
        <w:rPr>
          <w:rFonts w:ascii="Times New Roman;Times;Serif" w:hAnsi="Times New Roman;Times;Serif"/>
          <w:b w:val="false"/>
          <w:i w:val="false"/>
          <w:caps w:val="false"/>
          <w:smallCaps w:val="false"/>
          <w:sz w:val="20"/>
        </w:rPr>
        <w:t xml:space="preserve">” means, collectively, the Class C purchase warrants delivered to the Purchasers at the Closing in accordance with Section 2.2(a) hereof, which warrants shall be exercisable on or after the issuance thereof and have a term of exercise until May 12, 2028, with such further terms as set out in the warrant instrument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earlier than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hereof, but on or before May 22,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means the common shares of the Company, no par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Shares, including, without limitation, any debt, preferred shares, special shares, right, option, warrant or other instrument that is at any time convertible into or exercisable or exchangeable for, or otherwise entitles the holder thereof to receive Common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DSHMRA</w:t>
      </w:r>
      <w:r>
        <w:rPr>
          <w:rFonts w:ascii="Times New Roman;Times;Serif" w:hAnsi="Times New Roman;Times;Serif"/>
          <w:b w:val="false"/>
          <w:i w:val="false"/>
          <w:caps w:val="false"/>
          <w:smallCaps w:val="false"/>
          <w:sz w:val="20"/>
        </w:rPr>
        <w:t>” shall have the meaning ascribed to such term in Section 3.1(ee).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have the meaning ascribed to such term in Section 3.1(m).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shall have the meaning assigned to such term in Section 3.1(m).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ISA</w:t>
      </w:r>
      <w:r>
        <w:rPr>
          <w:rFonts w:ascii="Times New Roman;Times;Serif" w:hAnsi="Times New Roman;Times;Serif"/>
          <w:b w:val="false"/>
          <w:i w:val="false"/>
          <w:caps w:val="false"/>
          <w:smallCaps w:val="false"/>
          <w:sz w:val="20"/>
        </w:rPr>
        <w:t>” shall have the meaning ascribed to such term in Section 3.1(ee).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NOAA</w:t>
      </w:r>
      <w:r>
        <w:rPr>
          <w:rFonts w:ascii="Times New Roman;Times;Serif" w:hAnsi="Times New Roman;Times;Serif"/>
          <w:b w:val="false"/>
          <w:i w:val="false"/>
          <w:caps w:val="false"/>
          <w:smallCaps w:val="false"/>
          <w:sz w:val="20"/>
        </w:rPr>
        <w:t>” shall have the meaning ascribed to such term in Section 3.1(ee).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$3.00, subject to adjustment for reverse and forward stock splits, stock dividends, stock combinations and other similar transactions of the Common Shares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 partial proceeding, such as a deposition), whether commenced or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base prospectuses included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will be filed with the Commission in connection with the offer and sale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collectively the effective shelf registration statement on Form S-3 (File No. 333-267479), as amended, and the effective shelf registration statement on Form S-3 (File No. 333-275822), including the registration statements on Form S-3 filed by the Company pursuant to Rule 462(b) under the Securities Act with respect thereto, which together register the offer and sale of the Securities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shall have the meaning ascribed to such term in Section 3.1(ee).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S-K 1300</w:t>
      </w:r>
      <w:r>
        <w:rPr>
          <w:rFonts w:ascii="Times New Roman;Times;Serif" w:hAnsi="Times New Roman;Times;Serif"/>
          <w:b w:val="false"/>
          <w:i w:val="false"/>
          <w:caps w:val="false"/>
          <w:smallCaps w:val="false"/>
          <w:sz w:val="20"/>
        </w:rPr>
        <w:t>” shall have the meaning ascribed to such term in Section 3.1(gg).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the Shares, the Warrants and the Warrant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Common Shares issued or issuable to each Purchaser pursuant to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and Class C Purchase Warrants purchased hereunder by such Purchaser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Shares are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Warrants, all exhibits and schedules thereto and hereto and any other documents or agreements executed with the Purchasers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UNCLOS</w:t>
      </w:r>
      <w:r>
        <w:rPr>
          <w:rFonts w:ascii="Times New Roman;Times;Serif" w:hAnsi="Times New Roman;Times;Serif"/>
          <w:b w:val="false"/>
          <w:i w:val="false"/>
          <w:caps w:val="false"/>
          <w:smallCaps w:val="false"/>
          <w:sz w:val="20"/>
        </w:rPr>
        <w:t>” shall have the meaning ascribed to such term in Section 3.1(ee).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UNCLOS Laws and Regulations</w:t>
      </w:r>
      <w:r>
        <w:rPr>
          <w:rFonts w:ascii="Times New Roman;Times;Serif" w:hAnsi="Times New Roman;Times;Serif"/>
          <w:b w:val="false"/>
          <w:i w:val="false"/>
          <w:caps w:val="false"/>
          <w:smallCaps w:val="false"/>
          <w:sz w:val="20"/>
        </w:rPr>
        <w:t>” shall have the meaning ascribed to such term in Section 3.1(ee).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means the Class C Purchase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means the Common Shares issuable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w:t>
      </w:r>
      <w:r>
        <w:rPr>
          <w:rFonts w:ascii="Times New Roman;Times;Serif" w:hAnsi="Times New Roman;Times;Serif"/>
          <w:b w:val="false"/>
          <w:i w:val="false"/>
          <w:caps w:val="false"/>
          <w:smallCaps w:val="false"/>
          <w:sz w:val="20"/>
        </w:rPr>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$37,000,000 of Shares and Warrants. Each Purchaser’s Subscription Amount, as set forth on the signature page hereto executed by such Purchaser, shall be made available for “Delivery Versus Payment” settlement with the Company or its designee. The Company shall deliver to each Purchaser its respective Shares and a Class C Purchase Warrant, as determined pursuant to Section 2.2(a)(iii), and the Company and each Purchaser shall deliver the other items set forth in Section 2.2 at the Closing. Upon satisfaction of the covenants and conditions set forth in Sections 2.2 and 2.3, the Closing shall occur at the offices of Mintz, Levin, Cohn, Ferris, Glovsky &amp; Popeo, P.C. or such other location as the parties shall mutually agree. Settlement of the Shares shall occur via “Delivery Versus Payment” (i.e., on the Closing Date, the Company shall issue the Shares in book-entry form registered in the Purchasers’ name released by the Transfer Agent directly to the account(s) maintained by the Transfer Agent identified by each Purchaser or, if allowed, via The Depository Trust Company Deposit or Withdrawal at Custodian system, following receipt of payment therefor by the Company, which shall be made by each Purchaser by wire transfer to the Company). Settlement of the Warrants shall occur via delivery, which may be electronic, of the Class C Purchase Warrant on the Closing Date. Notwithstanding the foregoing, with respect to any Notice(s) of Exercise (as defined in the Class C Purchase Warrants) delivered on or prior to 12:00 p.m. (New York City time) on the Closing Date, the Company agrees to deliver the Warrant Shares subject to such notice(s) by 4:00 p.m. (New York City time) on the Closing Date, and the Closing Date shall be the Warrant Share Delivery Date (as defined in the Class C Purchase Warrants) for purposes hereunder.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Section 2.1, the Company’s wire instructions, on Company letterhead and executed by the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to Section 2.1, a copy of the irrevocable instructions to the Transfer Agent instructing the Transfer Agent to deliver on an expedited basis Shares equal to such Purchaser’s Subscription Amount divided by the Per Share Purchase Price (rounded down to the nearest whole share) in accordance with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Class C Purchase Warrant registered in the name of such Purchaser to purchase up to a number of Common Shares equal to 100% of such Purchaser’s number of Shares, with an exercise price equal to $4.50, subject to adjustment therein, in accordance with Section 2.1;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Prospectus and the Prospectus Supplement (which may be delivered in accordance with Rule 172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“Delivery Versus Payment” settlement with the Company or its designee.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 applicable to such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participating in the Closing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since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Shares shall not have been suspended by the Commission or the Company’s principal Trading Market, and, at any time prior to the Closing Date, trading in securities generally on any nationally recognized securities exchange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III.</w:t>
      </w:r>
      <w:r>
        <w:rPr>
          <w:rFonts w:ascii="Times New Roman;Times;Serif" w:hAnsi="Times New Roman;Times;Serif"/>
          <w:b w:val="false"/>
          <w:i w:val="false"/>
          <w:caps w:val="false"/>
          <w:smallCaps w:val="false"/>
          <w:sz w:val="20"/>
        </w:rPr>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SEC Reports, which SEC Reports shall be deemed a part hereof and shall qualify any representation or otherwise made herein (whether or not such representation or warranty specifically references the SEC Reports), the Company hereby makes the following representations and warranties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in the SEC Reports. Except as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or will have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or will be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notice of articles, articles,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such filings as are required to be made under applicable state securities laws and/or the rules of the Financial Industry Regulatory Authority, Inc.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Securities; Registration</w:t>
      </w:r>
      <w:r>
        <w:rPr>
          <w:rFonts w:ascii="Times New Roman;Times;Serif" w:hAnsi="Times New Roman;Times;Serif"/>
          <w:b w:val="false"/>
          <w:i w:val="false"/>
          <w:caps w:val="false"/>
          <w:smallCaps w:val="false"/>
          <w:sz w:val="20"/>
        </w:rPr>
        <w:t>. The Shares are duly authorized and, when issued and paid for in accordance with the applicable Transaction Documents, will be duly and validly issued, fully paid and nonassessable, free and clear of all Liens imposed by the Company. The Warrants are duly authorized by the Company and, when executed and delivered by the Company, will be valid and binding agreements of the Company, enforceable against the Company in accordance with their respective terms, except as the enforcement thereof may be limited by bankruptcy, insolvency, reorganization, moratorium or other similar laws relating to or affecting the rights and remedies of creditors or by general equitable principles. The Warrant Shares are duly authorized and, when issued and (assuming a cash exercise) paid for in accordance with the terms of the Warrants, will be validly issued, fully paid and nonassessable, and free and clear of all Liens imposed by the Company. The Company has reserved from its duly authorized capital stock the maximum number of Common Shares issuable pursuant to this Agreement and the Warrants. The Company has prepared and filed the Registration Statement in conformity with the requirements of the Securities Act,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in writing by the Commission. The Company shall file the Prospectus Supplement with the Commission pursuant to Rule 424(b) covering the offer and sale of the Securities. At the time the Registration Statement and any post-effective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Supplement and any amendments or supplements thereto, at the time the Prospectus Supplement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eligible to use Form S-3 under the Securities Act and it meets the transaction requirements as set forth in General Instruction I.B.1 of Form S-3.</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in the SEC Reports. Except as disclosed in the Prospectus Supplement, the Company has not issued any capital stock since its most recently filed periodic report under the Exchange Act, other than pursuant to the exercise of stock options under the Company’s equity plans or arrangements, the issuance of Common Shares to employees, directors and consultants pursuant to the Company’s equity plans or employee stock purchase plans, pursuant to the conversion and/or exercise of Common Share Equivalents outstanding as of the date of the most recently filed periodic report under the Exchange Act or issued under such equity plans or employee stock purchase plan and pursuant to the At-the-Market Equity Distribution Agreement, as amended, with Wedbush Securities Inc. Except as disclosed in the SEC Reports or as has been waived, no Person has any right of first refusal, preemptive right, right of participation, or any similar right to participate in the transactions contemplated by the Transaction Documents. Except as disclosed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Common Shares or the capital stock of any Subsidiary, or contracts, commitments, understandings or arrangements by which the Company or any Subsidiary is or may become bound to issue additional Common Shares or Common Share Equivalents or capital stock of any Subsidiary. The issuance and sale of the Securities will not obligate the Company or any Subsidiary to issue Common Shares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of the Company were duly authorized, validly issued, fully paid and nonassessable, have been issued in compliance with all federal and state securities laws, and none of such outstanding shares were issued in violation of any preemptive rights or similar rights to subscribe for or purchase securities. No further approval or authorization of any shareholder,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year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complied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(i) for such adjustments to accounting standards and practices as are noted therein and (ii) in the case of unaudited interim statements, to the extent the Company may exclude footnotes or may be condensed or summary statements),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most recent unaudited financial statements included within the SEC Reports, except as disclosed in the SEC Reports,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and (v) the Company has not issued any equity securities to any officer, director or Affiliate, except pursuant to existing Company equity plans or arrangements. The Company does not have pending before the Commission any request for confidential treatment of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in writing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Securities or (ii) would, if there were an unfavorable decision, have or reasonably be expected to result in a Material Adverse Effect. Neither the Company nor any Subsidiary, nor any director or officer thereof (in his or her capacity as such),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(in his or her capacity as such).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written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(ii) Liens for the payment of federal, state or other taxes, for which appropriate reserves have been made therefor in accordance with GAAP and, the payment of which is neither delinquent nor subject to penalties and (iii) Liens that would not, individually or in the aggregate, have or reasonably be expected to have a Material Adverse Event.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where the failure to so have would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Neither the Company nor any Subsidiary has received a written notice that any of the material Intellectual Property Rights has expired, terminated or been abandoned, or is expected to expire or terminate or be abandoned, within two (2) years from the date of this Agreement, other than in accordance with the terms of the Intellectual Property Rights. Neither the Company nor any Subsidiary has received, since the date of the most recent unaudited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Related Person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There are no business relationships or related person transactions, as defined in Item 404 of Regulation S-K under the Exchange Act, involving the Company or any subsidiary or any other person required to be described in the Prospectus which have not been described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Supplement in connection with this transaction,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Securities will not be,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in the SEC Reports,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Shares are registered pursuant to Section 12(b) or 12(g) of the Exchange Act, and the Company has taken no action designed to, or which to its knowledge is likely to have the effect of, terminating the registration of the Common Shares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Shares are or has been listed or quoted to the effect that the Company is not in compliance with the listing or maintenance requirements of such Trading Market. The Common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(it being understood that such disclosure furnished by or on behalf of the Company to the Purchasers includes the SEC Reports). The Company acknowledges and agrees that no Purchaser makes or has made any representations or warranties with respect to the transactions contemplated hereby other than those specifically set forth in Section 3.2 and Article IV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federal, provincial,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except for such taxes, if any, as are being contested in good faith and as to which adequate reserves have been established by the Company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Ernst &amp; Young LLP. To the knowledge and belief of the Company, such accounting firm is a registered public accounting firm as required by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Regulatory Compliance</w:t>
      </w:r>
      <w:r>
        <w:rPr>
          <w:rFonts w:ascii="Times New Roman;Times;Serif" w:hAnsi="Times New Roman;Times;Serif"/>
          <w:b w:val="false"/>
          <w:i w:val="false"/>
          <w:caps w:val="false"/>
          <w:smallCaps w:val="false"/>
          <w:sz w:val="20"/>
        </w:rPr>
        <w:t>. (1) Except as disclosed in the SEC Reports., neither the Company nor any of its Subsidiaries has held any material Regulatory Permits and, to the Company’s knowledge, no such Regulatory Permits are or have been necessary for the Company or any of its Subsidiaries to conduct their respective businesses as presently conducted. Except as set forth in the SEC Reports, to the Company’s knowledge, no Governmental Authority (including the ISA or sponsoring state under UNCLOS or NOAA or the U.S. Department of Commerce) has stated or otherwise indicated that a material Regulatory Permit is required for the Company or any of its Subsidiaries to conduct their respective businesses as presently conducted. (2) There are no actions, suits or proceedings or, to the Company’s knowledge, threatened against the Company or any of its Subsidiaries related to compliance with UNCLOS Laws and Regulations or DSHMRA, including by a Governmental Authority (including the ISA or sponsoring state under UNCLOS or NOAA or the U.S. Department of Commerce). To the Company’s knowledge, the Company and its Subsidiaries are in material compliance with UNCLOS Laws and Regulations and DSHMRA. To the Company’s knowledge, each of the Company and its Subsidiaries currently have the use and benefit of all contracts executed in connection with their obligations under the UNCLOS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Section 3.1(ee), the following terms have the defined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DSHMRA</w:t>
      </w:r>
      <w:r>
        <w:rPr>
          <w:rFonts w:ascii="Times New Roman;Times;Serif" w:hAnsi="Times New Roman;Times;Serif"/>
          <w:b w:val="false"/>
          <w:i w:val="false"/>
          <w:caps w:val="false"/>
          <w:smallCaps w:val="false"/>
          <w:sz w:val="20"/>
        </w:rPr>
        <w:t>” means the U.S. Deep Seabed Hard Mineral Resources Act and the regulations adopted by NOAA thereunder (15 Code of Federal Regulations parts 970 and 971).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ISA</w:t>
      </w:r>
      <w:r>
        <w:rPr>
          <w:rFonts w:ascii="Times New Roman;Times;Serif" w:hAnsi="Times New Roman;Times;Serif"/>
          <w:b w:val="false"/>
          <w:i w:val="false"/>
          <w:caps w:val="false"/>
          <w:smallCaps w:val="false"/>
          <w:sz w:val="20"/>
        </w:rPr>
        <w:t>” means the International Seabed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NOAA</w:t>
      </w:r>
      <w:r>
        <w:rPr>
          <w:rFonts w:ascii="Times New Roman;Times;Serif" w:hAnsi="Times New Roman;Times;Serif"/>
          <w:b w:val="false"/>
          <w:i w:val="false"/>
          <w:caps w:val="false"/>
          <w:smallCaps w:val="false"/>
          <w:sz w:val="20"/>
        </w:rPr>
        <w:t>” means U.S. National Oceanic and Atmospheric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means all (i) permits or contracts granted or approved by ISA or sponsoring state to the Company or any of its Subsidiaries or (ii) licenses or permits granted by NOAA under DSHMRA to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UNCLOS Laws and Regulations</w:t>
      </w:r>
      <w:r>
        <w:rPr>
          <w:rFonts w:ascii="Times New Roman;Times;Serif" w:hAnsi="Times New Roman;Times;Serif"/>
          <w:b w:val="false"/>
          <w:i w:val="false"/>
          <w:caps w:val="false"/>
          <w:smallCaps w:val="false"/>
          <w:sz w:val="20"/>
        </w:rPr>
        <w:t>” means the United Nations Convention for the Law of the Sea (“</w:t>
      </w:r>
      <w:r>
        <w:rPr>
          <w:rFonts w:ascii="Times New Roman;Times;Serif" w:hAnsi="Times New Roman;Times;Serif"/>
          <w:b w:val="false"/>
          <w:i w:val="false"/>
          <w:caps w:val="false"/>
          <w:smallCaps w:val="false"/>
          <w:sz w:val="20"/>
          <w:u w:val="single"/>
        </w:rPr>
        <w:t>UNCLOS</w:t>
      </w:r>
      <w:r>
        <w:rPr>
          <w:rFonts w:ascii="Times New Roman;Times;Serif" w:hAnsi="Times New Roman;Times;Serif"/>
          <w:b w:val="false"/>
          <w:i w:val="false"/>
          <w:caps w:val="false"/>
          <w:smallCaps w:val="false"/>
          <w:sz w:val="20"/>
        </w:rPr>
        <w:t>”) and all related laws, conventions, international agreements, implementing agreements, and rules, regulations and procedures adopted by the ISA, including (a) the 1994 Agreement relating to the Implementation of Part XI of UNCLOS, (b) the laws administered by the ISA, and (c) any applicable customary international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Mineral Rights Agreements</w:t>
      </w:r>
      <w:r>
        <w:rPr>
          <w:rFonts w:ascii="Times New Roman;Times;Serif" w:hAnsi="Times New Roman;Times;Serif"/>
          <w:b w:val="false"/>
          <w:i w:val="false"/>
          <w:caps w:val="false"/>
          <w:smallCaps w:val="false"/>
          <w:sz w:val="20"/>
        </w:rPr>
        <w:t>. Any and all of the agreements and other documents and instruments relating to the Mineral Rights are valid and subsisting agreements, documents or instruments in full force and effect, enforceable in accordance with the terms thereof, neither the Company nor any of its Subsidiaries is in default of any of the material provisions of any such agreements, documents or instruments, nor to the knowledge of the Company has any such default been alleged, except in each case as would not, singly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Technical Reports</w:t>
      </w:r>
      <w:r>
        <w:rPr>
          <w:rFonts w:ascii="Times New Roman;Times;Serif" w:hAnsi="Times New Roman;Times;Serif"/>
          <w:b w:val="false"/>
          <w:i w:val="false"/>
          <w:caps w:val="false"/>
          <w:smallCaps w:val="false"/>
          <w:sz w:val="20"/>
        </w:rPr>
        <w:t>. Except as disclosed in the SEC Reports, the Technical Reports complied in all material respects with the requirements of subpart 1300 of Regulation S-K under the Securities Act (“</w:t>
      </w:r>
      <w:r>
        <w:rPr>
          <w:rFonts w:ascii="Times New Roman;Times;Serif" w:hAnsi="Times New Roman;Times;Serif"/>
          <w:b w:val="false"/>
          <w:i w:val="false"/>
          <w:caps w:val="false"/>
          <w:smallCaps w:val="false"/>
          <w:sz w:val="20"/>
          <w:u w:val="single"/>
        </w:rPr>
        <w:t>S-K 1300</w:t>
      </w:r>
      <w:r>
        <w:rPr>
          <w:rFonts w:ascii="Times New Roman;Times;Serif" w:hAnsi="Times New Roman;Times;Serif"/>
          <w:b w:val="false"/>
          <w:i w:val="false"/>
          <w:caps w:val="false"/>
          <w:smallCaps w:val="false"/>
          <w:sz w:val="20"/>
        </w:rPr>
        <w:t>”) as at the date of each such report and since the date of preparation of the Technical Reports there has been no change that would disaffirm or change any aspect of the Technical Reports in any material respect or require the Company to file updated Technical Reports in accordance with S-K 1300.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not a resident in a province or territory of Canada and acknowledges that the Securities have not been and will not be qualified for distribution in Canada and may not be offered or sold in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notice of the transaction contemplated hereunder (written or oral) from the Company or any other Person representing the Company and ending immediately prior to the execution hereof.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funds representing such Purchaser’s Subscription Amount which will be advanced by such Purchaser to the Company hereunder will not represent proceeds of crime for the purposes of the Proceeds of Crime (Money Laundering) and Terrorist Financing Act (Canada) (the “</w:t>
      </w:r>
      <w:r>
        <w:rPr>
          <w:rFonts w:ascii="Times New Roman;Times;Serif" w:hAnsi="Times New Roman;Times;Serif"/>
          <w:b w:val="false"/>
          <w:i w:val="false"/>
          <w:caps w:val="false"/>
          <w:smallCaps w:val="false"/>
          <w:sz w:val="20"/>
          <w:u w:val="single"/>
        </w:rPr>
        <w:t>PCMLA</w:t>
      </w:r>
      <w:r>
        <w:rPr>
          <w:rFonts w:ascii="Times New Roman;Times;Serif" w:hAnsi="Times New Roman;Times;Serif"/>
          <w:b w:val="false"/>
          <w:i w:val="false"/>
          <w:caps w:val="false"/>
          <w:smallCaps w:val="false"/>
          <w:sz w:val="20"/>
        </w:rPr>
        <w:t>”) or the equivalent laws or regulations in other jurisdictions, and such Purchaser acknowledges that the Company may in the future be required by law to disclose such Purchaser’s name and other information relating to this Agreement and such Purchaser’s subscription hereunder, on a confidential basis, pursuant to the PCMLA or other similar law or regulation. To the best of such Purchaser’s knowledge (i) none of the subscription funds to be provided by such Purchaser’s (A) have been or will be obtained or derived, directly or indirectly, from or related to any activity that is deemed criminal under the law of Canada, the United States of America, or any other jurisdiction, or (B) are being tendered on behalf of a person or entity who has not been identified to such Purchaser, and (ii) it shall promptly notify the Company if such Purchaser discovers that any of such representations ceases to be true, and to provide the Company with appropriate information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IV.</w:t>
      </w:r>
      <w:r>
        <w:rPr>
          <w:rFonts w:ascii="Times New Roman;Times;Serif" w:hAnsi="Times New Roman;Times;Serif"/>
          <w:b w:val="false"/>
          <w:i w:val="false"/>
          <w:caps w:val="false"/>
          <w:smallCaps w:val="false"/>
          <w:sz w:val="20"/>
        </w:rPr>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If all or any portion of a Warrant is exercised at a time when there is an effective registration statement to cover the issuance of the Warrant Shares or if the Warrant is exercised via cashless exercise, if applicable,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reasonable best efforts to keep a registration statement (including the Registration Statement) registering the issuance or resale of the Warrant Shares effective during the term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earliest of the time that (i) no Purchaser owns Warrants or (ii) the Warrants have expired, the Company covenants to use reasonable best efforts to timely file (or obtain extensions in respect thereof and file within the applicable grace period) all reports required to be filed by the Company after the date hereof pursuant to the Exchange Act, provided that the Company is then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file a Current Report on Form 8-K, including the Transaction Documents as exhibits thereto, with the Commission within the time required by the Exchange Act. From and after the issuance of such Current Report on Form 8-K,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Current Report on Form 8-K,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to the extent permitted by law, provide the Purchasers with prior notice of such disclosure permitted under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in any case acting on behalf of the Company or any of its Subsidiaries,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Unless otherwise agreed to by the applicable parties, to the extent that any notice provided pursuant to any Transaction Document constitutes, or contains, material, non-public information regarding the Company or any Subsidiaries, the Company shall simultaneously file such material, non-public information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intends to use the net proceeds from the sale of the Securities hereunder for working capital, and other general corporate purposes and to repay all or a portion of outstanding indebtedness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Reservation of Common Shares</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Common Shares for the purpose of enabling the Company to issue Shares pursuant to this Agreement and Warrant Shares pursuant to any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Listing of Common Shares</w:t>
      </w:r>
      <w:r>
        <w:rPr>
          <w:rFonts w:ascii="Times New Roman;Times;Serif" w:hAnsi="Times New Roman;Times;Serif"/>
          <w:b w:val="false"/>
          <w:i w:val="false"/>
          <w:caps w:val="false"/>
          <w:smallCaps w:val="false"/>
          <w:sz w:val="20"/>
        </w:rPr>
        <w:t>. The Company hereby agrees to use commercially reasonable efforts to maintain the listing or quotation of the Common Shares on the Trading Market on which they are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Shares traded on any other Trading Market, it will then include in such application all of the Shares and Warrant Shares, and will take such other action as is reasonably necessary to cause all of the Shares and Warrant Shares to be listed or quoted on such other Trading Market as promptly as possible. The Company will then take all action reasonably necessary to continue the listing and trading of its Common Shares on a Trading Market and will comply in all respects with the Company’s reporting, filing and other obligations of which it has control under its articles or rules of the Trading Market. The Company agrees to maintain the eligibility of the Common Shares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(other than the Shares purchased hereunder) during the period commencing with the execution of this Agreement and ending at such time that the transactions contemplated by this Agreement are first publicly announced pursuant to the Current Report on Form 8-K as described in Section 4.4. Each Purchaser, severally and not jointly with the other Purchasers, covenants that until such time as the transactions contemplated by this Agreement are publicly disclosed by the Company pursuant to the Current Report on Form 8-K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Current Report on Form 8-K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Current Report on Form 8-K as described in Section 4.4 and (iii) no Purchaser shall have any duty of confidentiality or duty not to trade in the securities of the Company to the Company or its Subsidiaries after the issuance of the Current Report on Form 8-K as described in Section 4.4 other than pursuant to any separate confidentiality or similar agreement between such Purchaser and the Company, if 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Canadian Sales</w:t>
      </w:r>
      <w:r>
        <w:rPr>
          <w:rFonts w:ascii="Times New Roman;Times;Serif" w:hAnsi="Times New Roman;Times;Serif"/>
          <w:b w:val="false"/>
          <w:i w:val="false"/>
          <w:caps w:val="false"/>
          <w:smallCaps w:val="false"/>
          <w:sz w:val="20"/>
        </w:rPr>
        <w:t>. Each Purchaser (i) acknowledges that any resale of the Securities in or into Canada must be exempt from, or not subject to, the requirement in Canadian securities legislation that prohibits a person or company from distributing a security without a prospectus that qualifies that distribution, and, where applicable, in compliance with or exempt from dealer registration requirements under Canadian securities legislation, and (ii) covenants that, unless permitted under applicable Canadian securities legislation, such Purchaser will not trade the Securities in Canada before the date that is four (4) months and a day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ARTICLE V.</w:t>
      </w:r>
      <w:r>
        <w:rPr>
          <w:rFonts w:ascii="Times New Roman;Times;Serif" w:hAnsi="Times New Roman;Times;Serif"/>
          <w:b w:val="false"/>
          <w:i w:val="false"/>
          <w:caps w:val="false"/>
          <w:smallCaps w:val="false"/>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the Company, as to any Purchaser’s obligations hereunder and without any effect whatsoever on the obligations between the Company and the other Purchasers, by written notice to such Purchaser, if the Closing with respect to such Purchaser has not been consummated on or before June 30, 2025; provided, however, that no such termination will affect the right of any party to sue for any breach by any other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xml:space="preserve">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Securities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in any material respect, the consent of such disproportionately impacted Purchaser (or group of Purchasers) shall also be required, provided, further that a Purchaser’s Subscription Amount may not be changed without such Purchaser’s consent. No waiver of any default with respect to any provision, condition or requirement of this Agreement shall be deemed to be a continuing waiver in the future or a waiver of any subsequent default or a waiver of any other provision, condition or requirement hereof except to the extent expressly stated in such waiver,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sale of all or substantially all assets or other similar sale transaction). A Purchaser may not assign this Agreement or any rights or obligations hereunder without the prior written consent of the Company (other than by merger, sale of all or substantially all assets or other similar sale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 for one year following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or any electronic signature complying with the U.S. federal ESIGN Act of 2000, the Uniform Electronic Transactions Act or other applicable law (e.g., www.docusign.com), such signature shall create a valid and binding obligation of the party executing (or on whose behalf such signature is executed) with the same force and effect as if such “.pdf” or “electronic”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Common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evidencing such restored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Subject to Section 5.5,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Subject to Section 5.5, the Company has elected to provide all Purchasers with the same terms and Transaction Documents for the convenience of the Company and not because it was required or requested to do so by any of the Purchasers. Subject to Section 5.5,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Shares in any Transaction Document shall be subject to adjustment for reverse and forward stock splits, stock dividends, stock combinations and other similar transactions of the Common Shares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i w:val="false"/>
          <w:caps w:val="false"/>
          <w:smallCaps w:val="false"/>
          <w:sz w:val="20"/>
        </w:rPr>
        <w:t>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6774" w:type="dxa"/>
        <w:jc w:val="left"/>
        <w:tblInd w:w="0" w:type="dxa"/>
        <w:tblLayout w:type="fixed"/>
        <w:tblCellMar>
          <w:top w:w="0" w:type="dxa"/>
          <w:left w:w="0" w:type="dxa"/>
          <w:bottom w:w="0" w:type="dxa"/>
          <w:right w:w="0" w:type="dxa"/>
        </w:tblCellMar>
      </w:tblPr>
      <w:tblGrid>
        <w:gridCol w:w="1466"/>
        <w:gridCol w:w="2708"/>
        <w:gridCol w:w="60"/>
        <w:gridCol w:w="2540"/>
      </w:tblGrid>
      <w:tr>
        <w:trPr/>
        <w:tc>
          <w:tcPr>
            <w:tcW w:w="4174" w:type="dxa"/>
            <w:gridSpan w:val="2"/>
            <w:tcBorders/>
            <w:vAlign w:val="center"/>
          </w:tcPr>
          <w:p>
            <w:pPr>
              <w:pStyle w:val="TableContents"/>
              <w:bidi w:val="0"/>
              <w:spacing w:before="0" w:after="283"/>
              <w:jc w:val="left"/>
              <w:rPr>
                <w:b/>
                <w:caps/>
              </w:rPr>
            </w:pPr>
            <w:r>
              <w:rPr>
                <w:b/>
                <w:caps/>
              </w:rPr>
              <w:t>TMC the metals company Inc.</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u w:val="single"/>
              </w:rPr>
            </w:pPr>
            <w:r>
              <w:rPr>
                <w:u w:val="single"/>
              </w:rPr>
              <w:t>Address for Notice:</w:t>
            </w:r>
          </w:p>
        </w:tc>
      </w:tr>
      <w:tr>
        <w:trPr/>
        <w:tc>
          <w:tcPr>
            <w:tcW w:w="4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pPr>
            <w:r>
              <w:rPr/>
              <w:t> </w:t>
            </w:r>
          </w:p>
        </w:tc>
      </w:tr>
      <w:tr>
        <w:trPr/>
        <w:tc>
          <w:tcPr>
            <w:tcW w:w="1466" w:type="dxa"/>
            <w:tcBorders/>
            <w:vAlign w:val="center"/>
          </w:tcPr>
          <w:p>
            <w:pPr>
              <w:pStyle w:val="TableContents"/>
              <w:bidi w:val="0"/>
              <w:spacing w:before="0" w:after="283"/>
              <w:jc w:val="left"/>
              <w:rPr/>
            </w:pPr>
            <w:r>
              <w:rPr/>
              <w:t>By:</w:t>
            </w:r>
          </w:p>
        </w:tc>
        <w:tc>
          <w:tcPr>
            <w:tcW w:w="270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pPr>
            <w:r>
              <w:rPr/>
              <w:t>1111 West Hastings Street</w:t>
            </w:r>
          </w:p>
        </w:tc>
      </w:tr>
      <w:tr>
        <w:trPr/>
        <w:tc>
          <w:tcPr>
            <w:tcW w:w="1466"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pPr>
            <w:r>
              <w:rPr/>
              <w:t>15th Floor</w:t>
            </w:r>
          </w:p>
        </w:tc>
      </w:tr>
      <w:tr>
        <w:trPr/>
        <w:tc>
          <w:tcPr>
            <w:tcW w:w="1466" w:type="dxa"/>
            <w:tcBorders/>
            <w:vAlign w:val="center"/>
          </w:tcPr>
          <w:p>
            <w:pPr>
              <w:pStyle w:val="TableContents"/>
              <w:bidi w:val="0"/>
              <w:spacing w:before="0" w:after="283"/>
              <w:jc w:val="left"/>
              <w:rPr/>
            </w:pPr>
            <w:r>
              <w:rPr/>
              <w:t> </w:t>
            </w:r>
          </w:p>
        </w:tc>
        <w:tc>
          <w:tcPr>
            <w:tcW w:w="2708"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pPr>
            <w:r>
              <w:rPr/>
              <w:t>Vancouver, BC V6E 2J3</w:t>
            </w:r>
          </w:p>
        </w:tc>
      </w:tr>
      <w:tr>
        <w:trPr/>
        <w:tc>
          <w:tcPr>
            <w:tcW w:w="4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283"/>
              <w:jc w:val="both"/>
              <w:rPr/>
            </w:pPr>
            <w:r>
              <w:rPr/>
              <w:t>Email: craig@metals.co</w:t>
            </w:r>
          </w:p>
        </w:tc>
      </w:tr>
    </w:tbl>
    <w:p>
      <w:pPr>
        <w:pStyle w:val="TextBody"/>
        <w:bidi w:val="0"/>
        <w:spacing w:before="0" w:after="0"/>
        <w:ind w:left="0" w:right="0" w:hanging="0"/>
        <w:jc w:val="left"/>
        <w:rPr>
          <w:caps w:val="false"/>
          <w:smallCaps w:val="false"/>
        </w:rPr>
      </w:pPr>
      <w:r>
        <w:rPr>
          <w:caps w:val="false"/>
          <w:smallCaps w:val="false"/>
        </w:rPr>
        <w:t> </w:t>
      </w:r>
    </w:p>
    <w:tbl>
      <w:tblPr>
        <w:tblW w:w="4295" w:type="dxa"/>
        <w:jc w:val="left"/>
        <w:tblInd w:w="0" w:type="dxa"/>
        <w:tblLayout w:type="fixed"/>
        <w:tblCellMar>
          <w:top w:w="0" w:type="dxa"/>
          <w:left w:w="0" w:type="dxa"/>
          <w:bottom w:w="0" w:type="dxa"/>
          <w:right w:w="0" w:type="dxa"/>
        </w:tblCellMar>
      </w:tblPr>
      <w:tblGrid>
        <w:gridCol w:w="4295"/>
      </w:tblGrid>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Daniel T. Kajunski</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tc>
      </w:tr>
      <w:tr>
        <w:trPr/>
        <w:tc>
          <w:tcPr>
            <w:tcW w:w="4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dtkajunski@mintz.com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SIGNATURE PAGES TO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1730" w:type="dxa"/>
        <w:jc w:val="left"/>
        <w:tblInd w:w="0" w:type="dxa"/>
        <w:tblLayout w:type="fixed"/>
        <w:tblCellMar>
          <w:top w:w="0" w:type="dxa"/>
          <w:left w:w="0" w:type="dxa"/>
          <w:bottom w:w="0" w:type="dxa"/>
          <w:right w:w="0" w:type="dxa"/>
        </w:tblCellMar>
      </w:tblPr>
      <w:tblGrid>
        <w:gridCol w:w="1595"/>
        <w:gridCol w:w="60"/>
        <w:gridCol w:w="75"/>
      </w:tblGrid>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45" w:type="dxa"/>
        <w:jc w:val="left"/>
        <w:tblInd w:w="0" w:type="dxa"/>
        <w:tblLayout w:type="fixed"/>
        <w:tblCellMar>
          <w:top w:w="0" w:type="dxa"/>
          <w:left w:w="0" w:type="dxa"/>
          <w:bottom w:w="0" w:type="dxa"/>
          <w:right w:w="0" w:type="dxa"/>
        </w:tblCellMar>
      </w:tblPr>
      <w:tblGrid>
        <w:gridCol w:w="4010"/>
        <w:gridCol w:w="60"/>
        <w:gridCol w:w="75"/>
      </w:tblGrid>
      <w:tr>
        <w:trPr/>
        <w:tc>
          <w:tcPr>
            <w:tcW w:w="401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of Authorized Signatory of Purchaser:</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2705" w:type="dxa"/>
        <w:jc w:val="left"/>
        <w:tblInd w:w="0" w:type="dxa"/>
        <w:tblLayout w:type="fixed"/>
        <w:tblCellMar>
          <w:top w:w="0" w:type="dxa"/>
          <w:left w:w="0" w:type="dxa"/>
          <w:bottom w:w="0" w:type="dxa"/>
          <w:right w:w="0" w:type="dxa"/>
        </w:tblCellMar>
      </w:tblPr>
      <w:tblGrid>
        <w:gridCol w:w="2570"/>
        <w:gridCol w:w="60"/>
        <w:gridCol w:w="75"/>
      </w:tblGrid>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0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410" w:type="dxa"/>
        <w:jc w:val="left"/>
        <w:tblInd w:w="0" w:type="dxa"/>
        <w:tblLayout w:type="fixed"/>
        <w:tblCellMar>
          <w:top w:w="0" w:type="dxa"/>
          <w:left w:w="0" w:type="dxa"/>
          <w:bottom w:w="0" w:type="dxa"/>
          <w:right w:w="0" w:type="dxa"/>
        </w:tblCellMar>
      </w:tblPr>
      <w:tblGrid>
        <w:gridCol w:w="3275"/>
        <w:gridCol w:w="60"/>
        <w:gridCol w:w="75"/>
      </w:tblGrid>
      <w:tr>
        <w:trPr/>
        <w:tc>
          <w:tcPr>
            <w:tcW w:w="3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Securities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Blocker: ☐ 4.99% or ☐ 9.99% or ☐ 19.99% (if unchecked, will be 4.99%)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Class C Purchase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5" w:name="tm2513980d1_ex99-1.htm"/>
      <w:bookmarkStart w:id="36" w:name="kstm2513980d1_ex991"/>
      <w:bookmarkEnd w:id="35"/>
      <w:bookmarkEnd w:id="36"/>
      <w:r>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 Update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Investors should carefully review and consider the information regarding certain factors that could materially affect TMC the metals company Inc.’s (the “Company”) business, consolidated financial condition or results of operations set forth under Part I, Item 1A, “Risk Factors” in the Company’s Annual Report on Form 10-K for the year ended December 31, 2024 as filed with the Securities and Exchange Commission (“SEC”) on March 27, 2025 (the “2024 Form 10-K”), as materially revised or added to as set forth below. There have been no material changes from or additions to the risk factors disclosed in the 2024 Form 10-K other than the revised and new risk factors set forth below. The Company may disclose changes to risk factors or additional factors from time to time in its future filings with the SEC. Capitalized terms used in this Exhibit 99.1 and not defined herein shall have the meaning ascribed thereto in the Current Report on Form 8-K to which this Exhibit 99.1 is 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efforts to pursue deep-sea nodule exploration licenses and a commercial recovery permit under the U.S. Deep Seabed Hard Mineral Resources Act may subject us to conflicting regulatory regimes, uncertain legal interpretations, and operational risks that could adversely affect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initiated a U.S.-based regulatory pathway with the U.S. Department of Commerce and NOAA under DSHMRA for the commercial recovery of polymetallic nodules in the CCZ, while maintaining our rights under our exploration contracts issued by the ISA under UNCLOS. We are now prioritizing this U.S. pathway, while preserving our rights under our subsidiaries’ ISA exploration contracts. Although we believe this dual-path approach enhances optionality, it introduces additional risks and complexities.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ISA under UNCLOS and the U.S. regime under DSHMRA have not yet been used for commercial production of seafloor polymetallic nodules. To date, NOAA has not issued a commercial recovery permit, and the legal framework, while established, has not yet been applied to the full lifecycle of a seabed mining project. Despite our April 2025 applications now under NOAA review, the applications are subject to an initial determination by NOAA as to substantial compliance and completeness under DSHMRA, and there can be no assurance that such determinations will be favorable, that the applications will proceed to full review without delay, or that NOAA will not request additional information, modifications, or clarifications prior to accepting the applications for full review or that any of the applications will lead to NOAA granting the Company any exploration licenses or a commercial recovery permit on a timely basis or at all, or on commercially viable terms and conditions, which would materially and negatively impact our business, financial condition, liquidity, results of operations and prospects. In particular, NOAA’s regulations have been interpreted by some as requiring a sequential process in which an exploration license must first be obtained before a commercial recovery permit can be granted. Although we believe the regulations may allow for a direct or simultaneous application for a commercial recovery permit in cases where sufficient environmental and technical data already exists, there is no assurance that NOAA will agree with this interpretation . If NOAA requires us to begin the permitting process under DSHMRA with an exploration license, this likely would delay our intended commercialization timeline and increase permitting costs and complexity. Also, if TMC USA is required to resubmit any of its applications to NOAA because the initial applications are not in substantial compliance or complete, we could lose rights under DSHMRA to the areas covered by TMC USA’s initial applications if NOAA received another application covering the same areas before TMC USA resubmits the applications. In addition, there is no assurance that we will be able to comply with, or obtain a waiver of, the requirement under DSHMRA that minerals be processed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permitting under DSHMRA will subject us to a complex regulatory system in the United States which we are in the initial stages of analyzing to determine applicability and how compliance will impact our development plans and potential commercial operations. For example, we will be subject to the Merchant Marine Act of 1920 and will need to be in full compliance with U.S. environmental laws, and NOAA may deny a commercial recovery permit if it determines that significant adverse environmental effects cannot be adequately mitigated. The review and approval process will also be subject to a full EIS process under NEPA, as well as public comment and potential legal challenge in U.S. courts by third parties. Although the recent Executive Order signed by President Trump on April 24, 2025 directs the Commerce Secretary to implement an expedited permitting process under DSHMRA, the timing of license or permit issuance remains uncertain, as there is no statutory deadline under DSHMRA and actual review timelines will depend on the scope and outcome of NOAA’s assessment.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 U.S.-issued permit would be a unilateral authorization by the United States not formally recognized by the ISA or by countries that are parties to UNCLOS. We do not believe pursuing licenses and permits with NOAA under DSHMRA nullifies our ISA exploration contracts or our sponsorship contracts with the Republic of Nauru and the Kingdom of Tonga, and we believe NORI and TOML are in compliance with each of their ISA exploration contracts and each of their sponsorship contracts. There can be no assurances, however, that the ISA may not attempt to suspend or terminate our existing exploration contracts or that it will renew our NORI exploration contract when it expires in July 2026 or our TOML exploration contract when it expires in January 2027. Nor can there be assurances that our sponsorship contracts will not be suspended or terminated. In addition, if we proceed under the DSHMRA regime and secure U.S. permits, we may need to relinquish or suspend overlapping rights held under our ISA exploration contracts, which could raise diplomatic concerns or be perceived as undermining the ISA’s authority and allow the ISA to grant rights to these overlapping areas to other parties. While we believe our dual-path strategy is legally sound and the Trump administration, the U.S. Department of Commerce and NOAA have stated that U.S. companies can apply for exploration licenses and commercial recovery permits for deep-sea mining in ocean areas beyond national jurisdiction under DSHMRA, the announcement or implementation of this strategy may cause additional regulatory and political tensions, delay ISA decision-making, or impair our ability to secure or maintain exploration contracts or an exploitation contract under the ISA framework and may result in our need to engage in costly and time-consuming litigation to enforce our rights. In addition, UNCLOS parties and the ISA are under a legal obligation, under UNCLOS, not to recognize any commercial recovery permit issued to us under DSHMRA; many UNCLOS parties and the ISA are likely to regard such a permit as a violation of international law, including UNCLOS, which could affect international perceptions of the project, and could have implications for logistics, processing, and market access in UNCLOS parties for seabed minerals extracted under a U.S. license and for downstream products containing them, or for partnerships involving foreign entities, and could also result in actions, pursuant to UNCLOS, against the Company under the national laws of UNCLOS parties, any or all of which could have a material adverse affect on our business, financial condition, liquidity, results of operations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 under the U.S. regulatory pathway will also require continued policy support from the U.S. executive branch and agencies such as NOAA and the Department of Commerce. Shifts in U.S. political priorities, legal interpretations, or agency leadership could adversely affect our ability to obtain and maintain required approvals or to rely on DSHMRA as a viable permitting pathway.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jc w:val="left"/>
        <w:rPr/>
      </w:pPr>
      <w:bookmarkStart w:id="37" w:name="tm2513980d1_ex99-2.htm"/>
      <w:bookmarkStart w:id="38" w:name="kstm2513980d1_ex992"/>
      <w:bookmarkEnd w:id="37"/>
      <w:bookmarkEnd w:id="38"/>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jc w:val="both"/>
        <w:rPr/>
      </w:pPr>
      <w:r>
        <w:rPr/>
        <w:t>The registrant is filing this Exhibit 99.2 for the purpose of incorporating the information set forth herein by reference into the registration statements on Form S-3 (Reg. Nos. 333-275822 and 333-267479) that were filed by the registrant with the Securities and Exchange Commission (the “SEC”) on November 30, 2023 and September 16, 2022, respectively, and declared effective by the SEC on December 8, 2023 and October 14, 2022, respectively.</w:t>
      </w:r>
    </w:p>
    <w:p>
      <w:pPr>
        <w:pStyle w:val="TextBody"/>
        <w:bidi w:val="0"/>
        <w:spacing w:before="0" w:after="283"/>
        <w:jc w:val="left"/>
        <w:rPr/>
      </w:pPr>
      <w:r>
        <w:rPr/>
        <w:t> </w:t>
      </w:r>
    </w:p>
    <w:p>
      <w:pPr>
        <w:pStyle w:val="TextBody"/>
        <w:bidi w:val="0"/>
        <w:jc w:val="both"/>
        <w:rPr/>
      </w:pPr>
      <w:r>
        <w:rPr/>
        <w:t>The following table sets forth the estimated costs and expenses payable by the registrant in connection with the sale of the securities being registered:</w:t>
      </w:r>
    </w:p>
    <w:p>
      <w:pPr>
        <w:pStyle w:val="TextBody"/>
        <w:bidi w:val="0"/>
        <w:spacing w:before="0" w:after="283"/>
        <w:jc w:val="left"/>
        <w:rPr/>
      </w:pPr>
      <w:r>
        <w:rPr/>
        <w:t> </w:t>
      </w:r>
    </w:p>
    <w:tbl>
      <w:tblPr>
        <w:tblW w:w="4620" w:type="dxa"/>
        <w:jc w:val="left"/>
        <w:tblInd w:w="0" w:type="dxa"/>
        <w:tblLayout w:type="fixed"/>
        <w:tblCellMar>
          <w:top w:w="0" w:type="dxa"/>
          <w:left w:w="0" w:type="dxa"/>
          <w:bottom w:w="0" w:type="dxa"/>
          <w:right w:w="0" w:type="dxa"/>
        </w:tblCellMar>
      </w:tblPr>
      <w:tblGrid>
        <w:gridCol w:w="3725"/>
        <w:gridCol w:w="125"/>
        <w:gridCol w:w="695"/>
        <w:gridCol w:w="75"/>
      </w:tblGrid>
      <w:tr>
        <w:trPr/>
        <w:tc>
          <w:tcPr>
            <w:tcW w:w="3725" w:type="dxa"/>
            <w:tcBorders/>
            <w:shd w:fill="CCEEFF" w:val="clear"/>
            <w:vAlign w:val="center"/>
          </w:tcPr>
          <w:p>
            <w:pPr>
              <w:pStyle w:val="TableContents"/>
              <w:bidi w:val="0"/>
              <w:spacing w:before="0" w:after="283"/>
              <w:jc w:val="left"/>
              <w:rPr>
                <w:sz w:val="20"/>
              </w:rPr>
            </w:pPr>
            <w:r>
              <w:rPr>
                <w:sz w:val="20"/>
              </w:rPr>
              <w:t>SEC registration fee</w:t>
            </w:r>
          </w:p>
        </w:tc>
        <w:tc>
          <w:tcPr>
            <w:tcW w:w="125" w:type="dxa"/>
            <w:tcBorders/>
            <w:shd w:fill="CCEEFF" w:val="clear"/>
            <w:vAlign w:val="center"/>
          </w:tcPr>
          <w:p>
            <w:pPr>
              <w:pStyle w:val="TableContents"/>
              <w:bidi w:val="0"/>
              <w:spacing w:before="0" w:after="283"/>
              <w:jc w:val="left"/>
              <w:rPr>
                <w:sz w:val="20"/>
              </w:rPr>
            </w:pPr>
            <w:r>
              <w:rPr>
                <w:sz w:val="20"/>
              </w:rPr>
              <w:t>$</w:t>
            </w:r>
          </w:p>
        </w:tc>
        <w:tc>
          <w:tcPr>
            <w:tcW w:w="695"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FINRA filing fee</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Printing and engraving expenses</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15,000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Legal fees and expenses</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175,000</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Accountants’ fees and expenses</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20,000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Transfer agent and registrar fees and expenses</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15,000</w:t>
            </w:r>
          </w:p>
        </w:tc>
        <w:tc>
          <w:tcPr>
            <w:tcW w:w="75"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sz w:val="20"/>
              </w:rPr>
            </w:pPr>
            <w:r>
              <w:rPr>
                <w:sz w:val="20"/>
              </w:rPr>
              <w:t>Miscellaneous expenses</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25,000</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283"/>
              <w:jc w:val="left"/>
              <w:rPr>
                <w:sz w:val="20"/>
              </w:rPr>
            </w:pPr>
            <w:r>
              <w:rPr>
                <w:sz w:val="20"/>
              </w:rPr>
              <w:t>Total</w:t>
            </w:r>
          </w:p>
        </w:tc>
        <w:tc>
          <w:tcPr>
            <w:tcW w:w="125" w:type="dxa"/>
            <w:tcBorders/>
            <w:shd w:fill="FFFFFF" w:val="clear"/>
            <w:vAlign w:val="center"/>
          </w:tcPr>
          <w:p>
            <w:pPr>
              <w:pStyle w:val="TableContents"/>
              <w:bidi w:val="0"/>
              <w:spacing w:before="0" w:after="283"/>
              <w:jc w:val="left"/>
              <w:rPr>
                <w:sz w:val="20"/>
              </w:rPr>
            </w:pPr>
            <w:r>
              <w:rPr>
                <w:sz w:val="20"/>
              </w:rPr>
              <w:t>$</w:t>
            </w:r>
          </w:p>
        </w:tc>
        <w:tc>
          <w:tcPr>
            <w:tcW w:w="695" w:type="dxa"/>
            <w:tcBorders/>
            <w:shd w:fill="FFFFFF" w:val="clear"/>
            <w:vAlign w:val="center"/>
          </w:tcPr>
          <w:p>
            <w:pPr>
              <w:pStyle w:val="TableContents"/>
              <w:bidi w:val="0"/>
              <w:spacing w:before="0" w:after="283"/>
              <w:jc w:val="right"/>
              <w:rPr>
                <w:sz w:val="20"/>
              </w:rPr>
            </w:pPr>
            <w:r>
              <w:rPr>
                <w:sz w:val="20"/>
              </w:rPr>
              <w:t>250,000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33478</Words>
  <Characters>178041</Characters>
  <CharactersWithSpaces>212713</CharactersWithSpaces>
  <Paragraphs>1288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