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356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00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0" w:type="dxa"/>
            <w:vAlign w:val="bottom"/>
          </w:tcPr>
          <w:p>
            <w:pPr>
              <w:spacing w:after="0"/>
              <w:rPr>
                <w:sz w:val="1"/>
                <w:szCs w:val="1"/>
                <w:color w:val="auto"/>
              </w:rPr>
            </w:pPr>
          </w:p>
        </w:tc>
      </w:tr>
      <w:tr>
        <w:trPr>
          <w:trHeight w:val="216"/>
        </w:trPr>
        <w:tc>
          <w:tcPr>
            <w:tcW w:w="356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6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356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incorporation)</w:t>
            </w:r>
          </w:p>
        </w:tc>
        <w:tc>
          <w:tcPr>
            <w:tcW w:w="3000" w:type="dxa"/>
            <w:vAlign w:val="bottom"/>
          </w:tcPr>
          <w:p>
            <w:pPr>
              <w:spacing w:after="0"/>
              <w:rPr>
                <w:sz w:val="20"/>
                <w:szCs w:val="20"/>
                <w:color w:val="auto"/>
              </w:rPr>
            </w:pP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37"/>
        </w:trPr>
        <w:tc>
          <w:tcPr>
            <w:tcW w:w="3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1111 West Hastings Street, 15th Floor</w:t>
            </w:r>
          </w:p>
        </w:tc>
        <w:tc>
          <w:tcPr>
            <w:tcW w:w="3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Vancouver, British Columbia</w:t>
            </w:r>
          </w:p>
        </w:tc>
        <w:tc>
          <w:tcPr>
            <w:tcW w:w="3000" w:type="dxa"/>
            <w:vAlign w:val="bottom"/>
          </w:tcPr>
          <w:p>
            <w:pPr>
              <w:spacing w:after="0"/>
              <w:rPr>
                <w:sz w:val="19"/>
                <w:szCs w:val="19"/>
                <w:color w:val="auto"/>
              </w:rPr>
            </w:pPr>
          </w:p>
        </w:tc>
        <w:tc>
          <w:tcPr>
            <w:tcW w:w="26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V6E 2J3</w:t>
            </w:r>
          </w:p>
        </w:tc>
        <w:tc>
          <w:tcPr>
            <w:tcW w:w="0" w:type="dxa"/>
            <w:vAlign w:val="bottom"/>
          </w:tcPr>
          <w:p>
            <w:pPr>
              <w:spacing w:after="0"/>
              <w:rPr>
                <w:sz w:val="1"/>
                <w:szCs w:val="1"/>
                <w:color w:val="auto"/>
              </w:rPr>
            </w:pPr>
          </w:p>
        </w:tc>
      </w:tr>
      <w:tr>
        <w:trPr>
          <w:trHeight w:val="216"/>
        </w:trPr>
        <w:tc>
          <w:tcPr>
            <w:tcW w:w="3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000" w:type="dxa"/>
            <w:vAlign w:val="bottom"/>
          </w:tcPr>
          <w:p>
            <w:pPr>
              <w:spacing w:after="0"/>
              <w:rPr>
                <w:sz w:val="18"/>
                <w:szCs w:val="18"/>
                <w:color w:val="auto"/>
              </w:rPr>
            </w:pPr>
          </w:p>
        </w:tc>
        <w:tc>
          <w:tcPr>
            <w:tcW w:w="2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offices)</w:t>
            </w:r>
          </w:p>
        </w:tc>
        <w:tc>
          <w:tcPr>
            <w:tcW w:w="3000" w:type="dxa"/>
            <w:vAlign w:val="bottom"/>
          </w:tcPr>
          <w:p>
            <w:pPr>
              <w:spacing w:after="0"/>
              <w:rPr>
                <w:sz w:val="20"/>
                <w:szCs w:val="20"/>
                <w:color w:val="auto"/>
              </w:rPr>
            </w:pPr>
          </w:p>
        </w:tc>
        <w:tc>
          <w:tcPr>
            <w:tcW w:w="26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458-3420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TMC</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TMCWW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 an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14, 2025, TMC the metals company Inc. (the “Company”) issued a press release announcing its results for the first quarter ended March 31, 2025 and providing a business update. A copy of the press release is furnished as Exhibit 99.1 hereto. In addition, the Company will hold a conference call on May 14, 2025 at 4:30 p.m. EDT to discuss these results and the business update.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Except for historical information contained in the press release attached as an exhibit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the press release contains forward-looking statements which involve certain risks and uncertainties that could cause actual results to differ materially from those expressed or implied by these statements. Please refer to the cautionary note in the press release regarding these forward-looking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8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May 14, 2025</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2025</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Provides First Quarter 2025 Corporate Update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 May 14, 2025 — TMC the metals company Inc. (Nasdaq: TMC) (“TMC” or “the Company”), a leading explorer of the world’s largest undeveloped resource of critical metals essential to energy, defense, manufacturing, and infrastructure, today provided a corporate update and first quarter results for the period ending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2025 Financial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liquidity of approximately $43.8 million at March 31, 2025, including cash of $2.3 million</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ERAS/Barron facility increased from $38 million to $44 million ($41.5 million available) as previously announced;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Allseas Group SA affiliate facility of $25 million was terminated by mutual agreement in Q1 2025 as maturity was approaching and no amounts were outstanding, while the maturity of the $7.5 million Allseas Working Capital loan was extended from April to September 2025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 million cash used in operations for the quarter ended March 31,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$20.6 million and net loss per share of $0.06 for the quarter ended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Direct Offering</w:t>
      </w:r>
    </w:p>
    <w:p>
      <w:pPr>
        <w:spacing w:after="0" w:line="229"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Direct Offering resulting in expected gross proceeds of $37 million through the issuance of 12.3 million common shares at $3.00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Direct Offering is led by by Michael Hess, Chief Investment Officer of Hess Capital, Brian Paes-Braga, Managing Partner at SAF Group and Head of SAF Growth, and includes the participation of an existing strategic TMC investor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is accompanied by a Class C warrant to purchase one additional share at an exercise price of $4.50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have a three-year term with mandatory exercise if shares trade above $7.00 per share for 20 consecutive days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Gerard Barron, Chairman &amp; CEO of The Metals Company, commented: “The first quarter of 2025 marked a turning point, not just for TMC, but for the deep-sea critical minerals industry. President Trump signed a landmark Executive Order, ‘</w:t>
      </w:r>
      <w:r>
        <w:rPr>
          <w:rFonts w:ascii="Times New Roman" w:cs="Times New Roman" w:eastAsia="Times New Roman" w:hAnsi="Times New Roman"/>
          <w:sz w:val="18"/>
          <w:szCs w:val="18"/>
          <w:i w:val="1"/>
          <w:iCs w:val="1"/>
          <w:color w:val="auto"/>
        </w:rPr>
        <w:t>Unleashing America’s Offshore Critical Minerals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and TMC USA submitted the world’s first application for commercial recovery permit, two months ahead of schedule, and two exploration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applications under U.S. law. These applications offer the United States a path to mineral independence in nickel, copper, cobalt, and manganese— metals critical for energy, defense, manufacturing and infrastructure. We have invested over a half a billion dollars and more than a decade preparing for this moment.”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milestones achieved in the last two months are historic, we are just getting warmed up and are very excited about some key catalysts in the near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Later this quarter, we expect further detail from the Commerce Department and NOAA on tangible actions to expedite the application review processes and we look forward to providing a more definitive step-by-step permitting timeline to the market soon after.”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also pleased to announce that our PFS will be completed next quarter for the commercial recovery area over which we applied, allowing us to reflect new assumptions made possible by our new U.S. permitting strategy. Further, with this path to commercial production now coming into focus, we intend to provide more clarity on the potential valuation across our total estimated resource, well beyond NORI-D which has historically been our valuation anchor.”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eyes of the world now firmly on this emerging industry, we’re also proud to welcome new strategic investors like Michael Hess to the business, who along with Brian Paes-Braga anchored our last announced financing. Mr. Hess brings over 15 years of offshore exploration and production experience, as both an investor and operator, along with deep relationships across the U.S. At the same time, we will continue to discuss alternative financing sources with the U.S. government and potential strategic partners to prepare for commercial production, as the equity round just announced is more than sufficient to get us past the expected review process on a commercial recovery permit.”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TMC Announces $37 Million Strategic Investment to Advance Deep-Sea Mineral Development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12, 2025, we announced a $37 million registered direct offering through a securities purchase agreement led by Michael Hess, Chief Investment Officer of Hess Capital, and Brian Paes-Braga, Managing Partner at SAF Group, Head of SAF Growth and a long-time supporter of TMC. An existing strategic TMC investor also participated in the offering. Pursuant to the agreement, TMC will issue 12.3 million common shares at $3.00 per share, with each share accompanied by a Class C warrant to purchase one additional share at an exercise price of $4.50 per share. The warrants have a three-year term and include a mandatory exercise provision if the stock trades above $7.00 per share for 20 consecutive trading days.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TMC USA Submits Application for Commercial Recovery of Deep-Sea Minerals in the High Seas Under U.S. Seabed Mining Code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29, 2025, we announced that TMC USA had submitted the first-ever application for a commercial recovery permit and applications for two exploration licenses under the Deep Seabed Hard Mineral Resources Act of 1980 (DSHMRA), ahead of its original June 27, 2025, application target for commercial recovery. The application area for the commercial recovery permit, TMC USA-A_2, covers a total combined area of 25,160 square kilometers in the Clarion Clipperton Zone which includes areas that contain the Company’s already indicated and measured resources. TMC USA also submitted two exploration license applications: TMC USA-A and TMC USA-B with a total combined area of 199,895 square kilometers. The Company believes the TMC USA-A and USA-B exploration areas contain SEC SK 1300-compliant resources of 1.635 billion wet tonnes of polymetallic nodules supported by existing issued technical report summaries, with an additional estimated 500 million tonnes of potential exploration upside. The resources are estimated to contain approximately 15.5 million tonnes of nickel, 12.8 million tonnes of copper, 2.0 million tonnes of cobalt, and 345 million tonnes of manganese.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Rutger Bosland, Pioneering Engineer and Technical Lead on Development of TMC’s Nodule Collection System, Joins Company to Drive Commercial Readiness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15, 2025, we announced that Rutger Bosland, the engineer and technical lead who oversaw the design, build, and successful test deployment of Allseas’ integrated nodule collection system, had joined the Company as Chief Innovation and Offshore Technology Officer (CIOTO). Rutger will lead offshore innovation and efforts to scale our technologies for commercial production. He brings world-class expertise in deep-sea mining, naval architecture, and offshore operations to TMC, having led a team of 80+ engineers in developing TMC’s nodule collection system, and Allseas’ program to scale-up nodule collection technology in preparation for TMC’s planned commercial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TMC and PAMCO Achieve Nodule Processing Milestone, Unlocking Critical Battery &amp; Steelmaking Materials at Existing Facilities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18, 2025, we announced that our partner PAMCO had successfully smelted 450 tonnes of calcine into 35 tonnes of NiCuCo alloy and 320 tonnes of Mn silicate products, as part of the program of campaigns to process a 2,000-tonne sample of deep-seafloor polymetallic nodules at PAMCO’s Hachinohe Rotary Kiln Electric-Arc Furnace facility in Hachinohe, Japan, demonstrating the process at scale. The process data and operational experience gathered during the processing trial will inform expected definitive processing agreements between the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Update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President Trump Executive Order on Deep-Seabed Mining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24, 2025, we welcomed an Executive Order signed by President Trump to create a robust domestic supply for critical minerals derived from seabed resources. The Executive Order, ‘</w:t>
      </w:r>
      <w:r>
        <w:rPr>
          <w:rFonts w:ascii="Times New Roman" w:cs="Times New Roman" w:eastAsia="Times New Roman" w:hAnsi="Times New Roman"/>
          <w:sz w:val="18"/>
          <w:szCs w:val="18"/>
          <w:i w:val="1"/>
          <w:iCs w:val="1"/>
          <w:color w:val="auto"/>
        </w:rPr>
        <w:t>Unleashing America’s Offshore Critical Minerals and Resources</w:t>
      </w:r>
      <w:r>
        <w:rPr>
          <w:rFonts w:ascii="Times New Roman" w:cs="Times New Roman" w:eastAsia="Times New Roman" w:hAnsi="Times New Roman"/>
          <w:sz w:val="18"/>
          <w:szCs w:val="18"/>
          <w:color w:val="auto"/>
        </w:rPr>
        <w:t>’, directs the Commerce Secretary to implement an expedited permitting process under DSHMRA, a statute passed by Congress in 1980. In addition to directing the International Development Finance Corporation, Export-Import Bank and Trade and Development Agency to identify tools to support this new industry, the order instructs the Departments of Defense and Energy to assess the use of the National Defense Stockpile for nodule-derived minerals and entering into offtake agreements for the procurement of these minerals. These departments are also directed to review and revise domestic processing capabilities for seabed mineral resources and Defense Production Act authorities. The executive order also issued a directive for a joint assessment, led by the Secretaries of Commerce, State, Interior, and Energy in coordination with U.S. partners and allies, on the feasibility of an international seabed benefit-sharing 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TMC CEO Testifies to House Committee on Natural Resources: Deep-Sea Minerals Key to U.S. Industrial Future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29, 2025, TMC CEO Gerard Barron testified before the U.S. House Natural Resources Subcommittee on Oversight and Investigations at a hearing titled, “</w:t>
      </w:r>
      <w:r>
        <w:rPr>
          <w:rFonts w:ascii="Times New Roman" w:cs="Times New Roman" w:eastAsia="Times New Roman" w:hAnsi="Times New Roman"/>
          <w:sz w:val="18"/>
          <w:szCs w:val="18"/>
          <w:i w:val="1"/>
          <w:iCs w:val="1"/>
          <w:color w:val="auto"/>
        </w:rPr>
        <w:t>Exploring the Potential of Deep-Sea Mining to Expand American Mineral Production</w:t>
      </w:r>
      <w:r>
        <w:rPr>
          <w:rFonts w:ascii="Times New Roman" w:cs="Times New Roman" w:eastAsia="Times New Roman" w:hAnsi="Times New Roman"/>
          <w:sz w:val="18"/>
          <w:szCs w:val="18"/>
          <w:color w:val="auto"/>
        </w:rPr>
        <w:t>”. In his remarks, Mr. Barron emphasized that the United States must reclaim its leadership in deep-seabed mineral development to strengthen energy and supply chain security and reinforce national defense and manufacturing. Also participating as an expert witness during the hearing was Dr Thomas Peacock of MIT, one of the world’s leading experts on deep-sea sediment plume dynamics, who asked the Committee to be wary of misinformation.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2025, we held cash of approximately $2.3 million and short-term debt of $10 million. We believe that our total liquidity including cash and borrowing availability of $41.5 million under our credit facility with ERAS Capital LLC and Mr. Barron, will be sufficient to meet our working capital and capital expenditure commitments for at least the next twelve months from today. The announcement of the strategic investment of $37 million on May 12, 2025 is expected to provide additional liquidity.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reported a net loss of approximately $20.6 million, or $0.06 per share for the quarter ended March 31, 2025, compared to net loss of $25.1 million, or $0.08 per share, for the quarter ended March 31, 2024. Exploration and evaluation expenses during the quarter ended March 31, 2025 were $9.5 million compared to $18.1 million for the quarter ended March 31, 2024. The decrease in the exploration and evaluation expenses in the first quarter of 2025 was due to the decrease in environmental studies costs and mining, technological and process development costs as the comparative period included costs associated with Campaign 8 which was completed in the first quarter of 2024 and nodule transport costs to the PAMCO facility in Japan. This decrease in exploration and evaluation costs was partially offset by an increase in share-based compensation costs reflecting the amortization of the fair value of the RSUs granted to officers in the second quarter of 2024.</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$8.5 million for the quarter ended March 31, 2025 compared to $6.6 million for the quarter ended March 31, 2024, reflecting higher amortization of share-based compensation, partially offset by lower legal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hold a conference call today at 4:30 p.m. EDT to provide an update on recent corporate developments and first quarter 2025 financial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Conference Call Details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Wednesday, May 14, 2025</w:t>
            </w:r>
          </w:p>
        </w:tc>
      </w:tr>
      <w:tr>
        <w:trPr>
          <w:trHeight w:val="48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Time:</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4:30 p.m. ET</w:t>
            </w:r>
          </w:p>
        </w:tc>
      </w:tr>
      <w:tr>
        <w:trPr>
          <w:trHeight w:val="44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Audio-only Dial-in:</w:t>
            </w: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Register Here</w:t>
            </w:r>
          </w:p>
        </w:tc>
        <w:tc>
          <w:tcPr>
            <w:tcW w:w="900" w:type="dxa"/>
            <w:vAlign w:val="bottom"/>
          </w:tcPr>
          <w:p>
            <w:pPr>
              <w:spacing w:after="0"/>
              <w:rPr>
                <w:sz w:val="24"/>
                <w:szCs w:val="24"/>
                <w:color w:val="auto"/>
              </w:rPr>
            </w:pPr>
          </w:p>
        </w:tc>
      </w:tr>
      <w:tr>
        <w:trPr>
          <w:trHeight w:val="46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Virtual webcast with slides:</w:t>
            </w: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Register Here</w:t>
            </w:r>
          </w:p>
        </w:tc>
        <w:tc>
          <w:tcPr>
            <w:tcW w:w="900" w:type="dxa"/>
            <w:vAlign w:val="bottom"/>
          </w:tcPr>
          <w:p>
            <w:pPr>
              <w:spacing w:after="0"/>
              <w:rPr>
                <w:sz w:val="24"/>
                <w:szCs w:val="24"/>
                <w:color w:val="auto"/>
              </w:rPr>
            </w:pPr>
          </w:p>
        </w:tc>
      </w:tr>
    </w:tbl>
    <w:p>
      <w:pPr>
        <w:spacing w:after="0" w:line="200" w:lineRule="exact"/>
        <w:rPr>
          <w:sz w:val="20"/>
          <w:szCs w:val="20"/>
          <w:color w:val="auto"/>
        </w:rPr>
      </w:pP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virtual webcast will be available for replay in the ‘Investors’ tab of the Company’s website under ‘Investors’ &gt; ‘Media’ &gt; ‘</w:t>
      </w:r>
      <w:r>
        <w:rPr>
          <w:rFonts w:ascii="Times New Roman" w:cs="Times New Roman" w:eastAsia="Times New Roman" w:hAnsi="Times New Roman"/>
          <w:sz w:val="18"/>
          <w:szCs w:val="18"/>
          <w:u w:val="single" w:color="auto"/>
          <w:color w:val="auto"/>
        </w:rPr>
        <w:t>Events and Presentations</w:t>
      </w:r>
      <w:r>
        <w:rPr>
          <w:rFonts w:ascii="Times New Roman" w:cs="Times New Roman" w:eastAsia="Times New Roman" w:hAnsi="Times New Roman"/>
          <w:sz w:val="18"/>
          <w:szCs w:val="18"/>
          <w:color w:val="auto"/>
        </w:rPr>
        <w:t>’, approximately two hours after the event.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Metals Company is an explorer of lower-impact critical metals from seafloor polymetallic nodules, on a dual mission: (1) supply metals for energy, defense, manufacturing and infrastructure with net positive impacts compared to conventional production routes and (2) trace, recover and recycle the metals we supply to help create a metal commons that can be used in perpetuity. The Company has conducted more than a decade of research into the environmental and social impacts of offshore nodule collection and onshore processing. More information is available at </w:t>
      </w:r>
      <w:r>
        <w:rPr>
          <w:rFonts w:ascii="Times New Roman" w:cs="Times New Roman" w:eastAsia="Times New Roman" w:hAnsi="Times New Roman"/>
          <w:sz w:val="18"/>
          <w:szCs w:val="18"/>
          <w:u w:val="single" w:color="auto"/>
          <w:color w:val="auto"/>
        </w:rPr>
        <w:t>www.metals.co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 </w:t>
      </w:r>
      <w:r>
        <w:rPr>
          <w:rFonts w:ascii="Times New Roman" w:cs="Times New Roman" w:eastAsia="Times New Roman" w:hAnsi="Times New Roman"/>
          <w:sz w:val="18"/>
          <w:szCs w:val="18"/>
          <w:u w:val="single" w:color="auto"/>
          <w:color w:val="auto"/>
        </w:rPr>
        <w:t>media@metals.co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 </w:t>
      </w:r>
      <w:r>
        <w:rPr>
          <w:rFonts w:ascii="Times New Roman" w:cs="Times New Roman" w:eastAsia="Times New Roman" w:hAnsi="Times New Roman"/>
          <w:sz w:val="18"/>
          <w:szCs w:val="18"/>
          <w:u w:val="single" w:color="auto"/>
          <w:color w:val="auto"/>
        </w:rPr>
        <w:t>investors@metals.co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and information within the meaning of the Private Securities Litigation Reform Act of 1995. These statements may be identified by words such as “believes,” “could,” “expects,” “may,” “plans,” “possible,” “potential,” “will” and variations of these words or similar expressions, although not all forward-looking statements contain these words. Forward-looking statements in this press release include, but are not limited to, statements with respect to the Company’s strategy to pursue commercial recovery of seafloor polymetallic nodules under the U.S. regulatory regime; the outcome and timing of regulatory reviews of its applications submitted pursuant to the Deep Seabed Hard Mineral Resources Act of 1980 (DSHMRA); the potential adoption of final exploitation regulations by the International Seabed Authority (ISA); the impact of recent executive action by the U.S. government in support of domestic seabed mineral development; the expected use of proceeds from recent financings; the timing and success of feasibility studies and processing trials; and the Company’s operational and financial plans, including the potential development of a commercial-scale offshore nodule collection system and related onshore processing facilities.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the outcome and timing of regulatory reviews by NOAA under DSHMRA; the ability to obtain an exploitation contract from the ISA or permits from the U.S. government; risks related to the Company’s dual-path permitting strategy; changes in environmental, mining and other applicable laws and regulations; the timing and results of environmental assessments and technical studies; the development, testing and scaling of offshore collection systems; risks related to strategic partnerships and technology sharing; uncertainties relating to processing nodules at commercial scale; metals price volatility; the sufficiency of the Company’s cash and ability to secure additional financing on acceptable terms or at all; dependence on third parties, including Allseas Group S.A. and PAMCO; the outcome of any pending or future litigation; and other risks and uncertainties described in greater detail in the section entitled “Risk Factors” in the Company’s 2024 Annual Report on Form 10-K and in subsequent Quarterly Reports on Form 10-Q filed with the U.S. Securities and Exchange Commission (SEC), including the Company’s Annual Report on Form 10-K for the year ended December 31, 2024 filed with the SEC on March 27, 2025. Any forward-looking statements contained in this press release speak only as of the date hereof, and the Company expressly disclaims any obligation to update any forward-looking statements contained herein, whether because of any new information, future events, changed circumstances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As at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at</w:t>
            </w: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80" w:type="dxa"/>
            <w:vAlign w:val="bottom"/>
          </w:tcPr>
          <w:p>
            <w:pPr>
              <w:spacing w:after="0"/>
              <w:rPr>
                <w:sz w:val="18"/>
                <w:szCs w:val="18"/>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80" w:type="dxa"/>
            <w:vAlign w:val="bottom"/>
            <w:shd w:val="clear" w:color="auto" w:fill="CCEEFF"/>
          </w:tcPr>
          <w:p>
            <w:pPr>
              <w:spacing w:after="0"/>
              <w:rPr>
                <w:sz w:val="19"/>
                <w:szCs w:val="19"/>
                <w:color w:val="auto"/>
              </w:rPr>
            </w:pPr>
          </w:p>
        </w:tc>
      </w:tr>
      <w:tr>
        <w:trPr>
          <w:trHeight w:val="209"/>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Exploration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42,951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42,951</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80" w:type="dxa"/>
            <w:vAlign w:val="bottom"/>
            <w:shd w:val="clear" w:color="auto" w:fill="CCEEFF"/>
          </w:tcPr>
          <w:p>
            <w:pPr>
              <w:spacing w:after="0"/>
              <w:rPr>
                <w:sz w:val="18"/>
                <w:szCs w:val="18"/>
                <w:color w:val="auto"/>
              </w:rPr>
            </w:pPr>
          </w:p>
        </w:tc>
      </w:tr>
      <w:tr>
        <w:trPr>
          <w:trHeight w:val="230"/>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80" w:type="dxa"/>
            <w:vAlign w:val="bottom"/>
          </w:tcPr>
          <w:p>
            <w:pPr>
              <w:spacing w:after="0"/>
              <w:rPr>
                <w:sz w:val="19"/>
                <w:szCs w:val="19"/>
                <w:color w:val="auto"/>
              </w:rPr>
            </w:pPr>
          </w:p>
        </w:tc>
      </w:tr>
      <w:tr>
        <w:trPr>
          <w:trHeight w:val="209"/>
        </w:trPr>
        <w:tc>
          <w:tcPr>
            <w:tcW w:w="8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8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64,485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45,245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42,754</w:t>
            </w:r>
          </w:p>
        </w:tc>
        <w:tc>
          <w:tcPr>
            <w:tcW w:w="80" w:type="dxa"/>
            <w:vAlign w:val="bottom"/>
            <w:shd w:val="clear" w:color="auto" w:fill="CCEEFF"/>
          </w:tcPr>
          <w:p>
            <w:pPr>
              <w:spacing w:after="0"/>
              <w:rPr>
                <w:sz w:val="18"/>
                <w:szCs w:val="18"/>
                <w:color w:val="auto"/>
              </w:rPr>
            </w:pPr>
          </w:p>
        </w:tc>
      </w:tr>
      <w:tr>
        <w:trPr>
          <w:trHeight w:val="229"/>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debt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11,775</w:t>
            </w:r>
          </w:p>
        </w:tc>
        <w:tc>
          <w:tcPr>
            <w:tcW w:w="80" w:type="dxa"/>
            <w:vAlign w:val="bottom"/>
          </w:tcPr>
          <w:p>
            <w:pPr>
              <w:spacing w:after="0"/>
              <w:rPr>
                <w:sz w:val="19"/>
                <w:szCs w:val="19"/>
                <w:color w:val="auto"/>
              </w:rPr>
            </w:pPr>
          </w:p>
        </w:tc>
      </w:tr>
      <w:tr>
        <w:trPr>
          <w:trHeight w:val="210"/>
        </w:trPr>
        <w:tc>
          <w:tcPr>
            <w:tcW w:w="8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Royalty liability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80" w:type="dxa"/>
            <w:vAlign w:val="bottom"/>
          </w:tcPr>
          <w:p>
            <w:pPr>
              <w:spacing w:after="0"/>
              <w:rPr>
                <w:sz w:val="18"/>
                <w:szCs w:val="18"/>
                <w:color w:val="auto"/>
              </w:rPr>
            </w:pPr>
          </w:p>
        </w:tc>
      </w:tr>
      <w:tr>
        <w:trPr>
          <w:trHeight w:val="23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liability</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shd w:val="clear" w:color="auto" w:fill="CCEEFF"/>
          </w:tcPr>
          <w:p>
            <w:pPr>
              <w:spacing w:after="0"/>
              <w:rPr>
                <w:sz w:val="19"/>
                <w:szCs w:val="19"/>
                <w:color w:val="auto"/>
              </w:rPr>
            </w:pPr>
          </w:p>
        </w:tc>
      </w:tr>
      <w:tr>
        <w:trPr>
          <w:trHeight w:val="209"/>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81,251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80,116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Common shares </w:t>
            </w:r>
            <w:r>
              <w:rPr>
                <w:rFonts w:ascii="Times New Roman" w:cs="Times New Roman" w:eastAsia="Times New Roman" w:hAnsi="Times New Roman"/>
                <w:sz w:val="18"/>
                <w:szCs w:val="18"/>
                <w:i w:val="1"/>
                <w:iCs w:val="1"/>
                <w:color w:val="auto"/>
              </w:rPr>
              <w:t>(unlimited shares, no par value – issued: 356,617,022 (December 31, 2024 –340,708,460))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495,804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477,217</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140,656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138,303</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(1,203)</w:t>
            </w:r>
          </w:p>
        </w:tc>
      </w:tr>
      <w:tr>
        <w:trPr>
          <w:trHeight w:val="23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(652,023)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(631,435)</w:t>
            </w: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(16,766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(17,118</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64,485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62,998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69"/>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and Comprehensive Loss</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6"/>
        </w:trPr>
        <w:tc>
          <w:tcPr>
            <w:tcW w:w="836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14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238"/>
        </w:trPr>
        <w:tc>
          <w:tcPr>
            <w:tcW w:w="83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9,515</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18,123</w:t>
            </w:r>
          </w:p>
        </w:tc>
      </w:tr>
      <w:tr>
        <w:trPr>
          <w:trHeight w:val="229"/>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6,559</w:t>
            </w: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18,015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24,682</w:t>
            </w: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Fees and interest on borrowing and credit facilities</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r>
      <w:tr>
        <w:trPr>
          <w:trHeight w:val="209"/>
        </w:trPr>
        <w:tc>
          <w:tcPr>
            <w:tcW w:w="8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period</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20,588</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25,194</w:t>
            </w:r>
          </w:p>
        </w:tc>
      </w:tr>
      <w:tr>
        <w:trPr>
          <w:trHeight w:val="229"/>
        </w:trPr>
        <w:tc>
          <w:tcPr>
            <w:tcW w:w="83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 basic and diluted</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0.06</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0.08</w:t>
            </w:r>
          </w:p>
        </w:tc>
      </w:tr>
      <w:tr>
        <w:trPr>
          <w:trHeight w:val="210"/>
        </w:trPr>
        <w:tc>
          <w:tcPr>
            <w:tcW w:w="8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 and diluted</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345,346,393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311,521,854</w:t>
            </w:r>
          </w:p>
        </w:tc>
      </w:tr>
      <w:tr>
        <w:trPr>
          <w:trHeight w:val="696"/>
        </w:trPr>
        <w:tc>
          <w:tcPr>
            <w:tcW w:w="836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86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0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 in Capital</w:t>
            </w:r>
          </w:p>
        </w:tc>
        <w:tc>
          <w:tcPr>
            <w:tcW w:w="120" w:type="dxa"/>
            <w:vAlign w:val="bottom"/>
          </w:tcPr>
          <w:p>
            <w:pPr>
              <w:spacing w:after="0"/>
              <w:rPr>
                <w:sz w:val="15"/>
                <w:szCs w:val="15"/>
                <w:color w:val="auto"/>
              </w:rPr>
            </w:pPr>
          </w:p>
        </w:tc>
        <w:tc>
          <w:tcPr>
            <w:tcW w:w="134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340,708,460</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477,217</w:t>
            </w: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138,303</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(1,203)</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(631,435)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(17,118)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shares and warrants under Registered</w:t>
            </w: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5,000,000</w:t>
            </w:r>
          </w:p>
        </w:tc>
        <w:tc>
          <w:tcPr>
            <w:tcW w:w="14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2,237</w:t>
            </w:r>
          </w:p>
        </w:tc>
        <w:tc>
          <w:tcPr>
            <w:tcW w:w="740" w:type="dxa"/>
            <w:vAlign w:val="bottom"/>
          </w:tcPr>
          <w:p>
            <w:pPr>
              <w:spacing w:after="0"/>
              <w:rPr>
                <w:sz w:val="10"/>
                <w:szCs w:val="10"/>
                <w:color w:val="auto"/>
              </w:rPr>
            </w:pPr>
          </w:p>
        </w:tc>
        <w:tc>
          <w:tcPr>
            <w:tcW w:w="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0"/>
                <w:szCs w:val="10"/>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2,763</w:t>
            </w:r>
          </w:p>
        </w:tc>
        <w:tc>
          <w:tcPr>
            <w:tcW w:w="120" w:type="dxa"/>
            <w:vAlign w:val="bottom"/>
          </w:tcPr>
          <w:p>
            <w:pPr>
              <w:spacing w:after="0"/>
              <w:rPr>
                <w:sz w:val="10"/>
                <w:szCs w:val="10"/>
                <w:color w:val="auto"/>
              </w:rPr>
            </w:pPr>
          </w:p>
        </w:tc>
        <w:tc>
          <w:tcPr>
            <w:tcW w:w="13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86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5,000</w:t>
            </w:r>
          </w:p>
        </w:tc>
        <w:tc>
          <w:tcPr>
            <w:tcW w:w="0" w:type="dxa"/>
            <w:vAlign w:val="bottom"/>
          </w:tcPr>
          <w:p>
            <w:pPr>
              <w:spacing w:after="0"/>
              <w:rPr>
                <w:sz w:val="1"/>
                <w:szCs w:val="1"/>
                <w:color w:val="auto"/>
              </w:rPr>
            </w:pPr>
          </w:p>
        </w:tc>
      </w:tr>
      <w:tr>
        <w:trPr>
          <w:trHeight w:val="171"/>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 Offering, net of expenses</w:t>
            </w: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as per At-the-Market Equity Distribution</w:t>
            </w: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2,975,226</w:t>
            </w: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5,562</w:t>
            </w:r>
          </w:p>
        </w:tc>
        <w:tc>
          <w:tcPr>
            <w:tcW w:w="74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5,562</w:t>
            </w:r>
          </w:p>
        </w:tc>
        <w:tc>
          <w:tcPr>
            <w:tcW w:w="0" w:type="dxa"/>
            <w:vAlign w:val="bottom"/>
          </w:tcPr>
          <w:p>
            <w:pPr>
              <w:spacing w:after="0"/>
              <w:rPr>
                <w:sz w:val="1"/>
                <w:szCs w:val="1"/>
                <w:color w:val="auto"/>
              </w:rPr>
            </w:pPr>
          </w:p>
        </w:tc>
      </w:tr>
      <w:tr>
        <w:trPr>
          <w:trHeight w:val="171"/>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Agreement</w:t>
            </w:r>
          </w:p>
        </w:tc>
        <w:tc>
          <w:tcPr>
            <w:tcW w:w="11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w:t>
            </w: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7,933,336</w:t>
            </w:r>
          </w:p>
        </w:tc>
        <w:tc>
          <w:tcPr>
            <w:tcW w:w="14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10,788</w:t>
            </w:r>
          </w:p>
        </w:tc>
        <w:tc>
          <w:tcPr>
            <w:tcW w:w="740" w:type="dxa"/>
            <w:vAlign w:val="bottom"/>
          </w:tcPr>
          <w:p>
            <w:pPr>
              <w:spacing w:after="0"/>
              <w:rPr>
                <w:sz w:val="10"/>
                <w:szCs w:val="10"/>
                <w:color w:val="auto"/>
              </w:rPr>
            </w:pPr>
          </w:p>
        </w:tc>
        <w:tc>
          <w:tcPr>
            <w:tcW w:w="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(10,788)</w:t>
            </w:r>
          </w:p>
        </w:tc>
        <w:tc>
          <w:tcPr>
            <w:tcW w:w="120" w:type="dxa"/>
            <w:vAlign w:val="bottom"/>
          </w:tcPr>
          <w:p>
            <w:pPr>
              <w:spacing w:after="0"/>
              <w:rPr>
                <w:sz w:val="10"/>
                <w:szCs w:val="10"/>
                <w:color w:val="auto"/>
              </w:rPr>
            </w:pPr>
          </w:p>
        </w:tc>
        <w:tc>
          <w:tcPr>
            <w:tcW w:w="13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6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withheld for taxes</w:t>
            </w: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 and Expenses settled with</w:t>
            </w: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10,378</w:t>
            </w:r>
          </w:p>
        </w:tc>
        <w:tc>
          <w:tcPr>
            <w:tcW w:w="12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10,378</w:t>
            </w:r>
          </w:p>
        </w:tc>
        <w:tc>
          <w:tcPr>
            <w:tcW w:w="0" w:type="dxa"/>
            <w:vAlign w:val="bottom"/>
          </w:tcPr>
          <w:p>
            <w:pPr>
              <w:spacing w:after="0"/>
              <w:rPr>
                <w:sz w:val="1"/>
                <w:szCs w:val="1"/>
                <w:color w:val="auto"/>
              </w:rPr>
            </w:pPr>
          </w:p>
        </w:tc>
      </w:tr>
      <w:tr>
        <w:trPr>
          <w:trHeight w:val="171"/>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w:t>
            </w:r>
          </w:p>
        </w:tc>
        <w:tc>
          <w:tcPr>
            <w:tcW w:w="11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(20,588)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(20,588)</w:t>
            </w:r>
          </w:p>
        </w:tc>
        <w:tc>
          <w:tcPr>
            <w:tcW w:w="0" w:type="dxa"/>
            <w:vAlign w:val="bottom"/>
          </w:tcPr>
          <w:p>
            <w:pPr>
              <w:spacing w:after="0"/>
              <w:rPr>
                <w:sz w:val="1"/>
                <w:szCs w:val="1"/>
                <w:color w:val="auto"/>
              </w:rPr>
            </w:pPr>
          </w:p>
        </w:tc>
      </w:tr>
      <w:tr>
        <w:trPr>
          <w:trHeight w:val="142"/>
        </w:trPr>
        <w:tc>
          <w:tcPr>
            <w:tcW w:w="33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356,617,022</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495,804</w:t>
            </w: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140,656</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(1,203</w:t>
            </w:r>
          </w:p>
        </w:tc>
        <w:tc>
          <w:tcPr>
            <w:tcW w:w="22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(652,023</w:t>
            </w:r>
          </w:p>
        </w:tc>
        <w:tc>
          <w:tcPr>
            <w:tcW w:w="140" w:type="dxa"/>
            <w:vAlign w:val="bottom"/>
            <w:tcBorders>
              <w:top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(16,766</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399"/>
        </w:trPr>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3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86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0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 in Capital</w:t>
            </w:r>
          </w:p>
        </w:tc>
        <w:tc>
          <w:tcPr>
            <w:tcW w:w="120" w:type="dxa"/>
            <w:vAlign w:val="bottom"/>
          </w:tcPr>
          <w:p>
            <w:pPr>
              <w:spacing w:after="0"/>
              <w:rPr>
                <w:sz w:val="15"/>
                <w:szCs w:val="15"/>
                <w:color w:val="auto"/>
              </w:rPr>
            </w:pPr>
          </w:p>
        </w:tc>
        <w:tc>
          <w:tcPr>
            <w:tcW w:w="134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306,558,710</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438,239</w:t>
            </w: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122,797</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(548,902)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10,918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shares and warrants under Registered</w:t>
            </w: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4,500,000</w:t>
            </w:r>
          </w:p>
        </w:tc>
        <w:tc>
          <w:tcPr>
            <w:tcW w:w="14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7,447</w:t>
            </w:r>
          </w:p>
        </w:tc>
        <w:tc>
          <w:tcPr>
            <w:tcW w:w="740" w:type="dxa"/>
            <w:vAlign w:val="bottom"/>
          </w:tcPr>
          <w:p>
            <w:pPr>
              <w:spacing w:after="0"/>
              <w:rPr>
                <w:sz w:val="10"/>
                <w:szCs w:val="10"/>
                <w:color w:val="auto"/>
              </w:rPr>
            </w:pPr>
          </w:p>
        </w:tc>
        <w:tc>
          <w:tcPr>
            <w:tcW w:w="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0"/>
                <w:szCs w:val="10"/>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1,553</w:t>
            </w:r>
          </w:p>
        </w:tc>
        <w:tc>
          <w:tcPr>
            <w:tcW w:w="120" w:type="dxa"/>
            <w:vAlign w:val="bottom"/>
          </w:tcPr>
          <w:p>
            <w:pPr>
              <w:spacing w:after="0"/>
              <w:rPr>
                <w:sz w:val="10"/>
                <w:szCs w:val="10"/>
                <w:color w:val="auto"/>
              </w:rPr>
            </w:pPr>
          </w:p>
        </w:tc>
        <w:tc>
          <w:tcPr>
            <w:tcW w:w="13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86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9,000</w:t>
            </w:r>
          </w:p>
        </w:tc>
        <w:tc>
          <w:tcPr>
            <w:tcW w:w="0" w:type="dxa"/>
            <w:vAlign w:val="bottom"/>
          </w:tcPr>
          <w:p>
            <w:pPr>
              <w:spacing w:after="0"/>
              <w:rPr>
                <w:sz w:val="1"/>
                <w:szCs w:val="1"/>
                <w:color w:val="auto"/>
              </w:rPr>
            </w:pPr>
          </w:p>
        </w:tc>
      </w:tr>
      <w:tr>
        <w:trPr>
          <w:trHeight w:val="171"/>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 Offering, net of expenses</w:t>
            </w: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1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120,000</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7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26"/>
        </w:trPr>
        <w:tc>
          <w:tcPr>
            <w:tcW w:w="3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w:t>
            </w: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7,112,673</w:t>
            </w:r>
          </w:p>
        </w:tc>
        <w:tc>
          <w:tcPr>
            <w:tcW w:w="14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8,601</w:t>
            </w:r>
          </w:p>
        </w:tc>
        <w:tc>
          <w:tcPr>
            <w:tcW w:w="740" w:type="dxa"/>
            <w:vAlign w:val="bottom"/>
          </w:tcPr>
          <w:p>
            <w:pPr>
              <w:spacing w:after="0"/>
              <w:rPr>
                <w:sz w:val="10"/>
                <w:szCs w:val="10"/>
                <w:color w:val="auto"/>
              </w:rPr>
            </w:pPr>
          </w:p>
        </w:tc>
        <w:tc>
          <w:tcPr>
            <w:tcW w:w="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(8,601)</w:t>
            </w:r>
          </w:p>
        </w:tc>
        <w:tc>
          <w:tcPr>
            <w:tcW w:w="120" w:type="dxa"/>
            <w:vAlign w:val="bottom"/>
          </w:tcPr>
          <w:p>
            <w:pPr>
              <w:spacing w:after="0"/>
              <w:rPr>
                <w:sz w:val="10"/>
                <w:szCs w:val="10"/>
                <w:color w:val="auto"/>
              </w:rPr>
            </w:pPr>
          </w:p>
        </w:tc>
        <w:tc>
          <w:tcPr>
            <w:tcW w:w="13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6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withheld for taxes</w:t>
            </w: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 and Expenses settled with</w:t>
            </w: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6,896</w:t>
            </w:r>
          </w:p>
        </w:tc>
        <w:tc>
          <w:tcPr>
            <w:tcW w:w="12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6,896</w:t>
            </w:r>
          </w:p>
        </w:tc>
        <w:tc>
          <w:tcPr>
            <w:tcW w:w="0" w:type="dxa"/>
            <w:vAlign w:val="bottom"/>
          </w:tcPr>
          <w:p>
            <w:pPr>
              <w:spacing w:after="0"/>
              <w:rPr>
                <w:sz w:val="1"/>
                <w:szCs w:val="1"/>
                <w:color w:val="auto"/>
              </w:rPr>
            </w:pPr>
          </w:p>
        </w:tc>
      </w:tr>
      <w:tr>
        <w:trPr>
          <w:trHeight w:val="171"/>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w:t>
            </w:r>
          </w:p>
        </w:tc>
        <w:tc>
          <w:tcPr>
            <w:tcW w:w="11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(25,194)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(25,194)</w:t>
            </w:r>
          </w:p>
        </w:tc>
        <w:tc>
          <w:tcPr>
            <w:tcW w:w="0" w:type="dxa"/>
            <w:vAlign w:val="bottom"/>
          </w:tcPr>
          <w:p>
            <w:pPr>
              <w:spacing w:after="0"/>
              <w:rPr>
                <w:sz w:val="1"/>
                <w:szCs w:val="1"/>
                <w:color w:val="auto"/>
              </w:rPr>
            </w:pPr>
          </w:p>
        </w:tc>
      </w:tr>
      <w:tr>
        <w:trPr>
          <w:trHeight w:val="142"/>
        </w:trPr>
        <w:tc>
          <w:tcPr>
            <w:tcW w:w="33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318,291,383</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454,431</w:t>
            </w: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122,691</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(574,096</w:t>
            </w:r>
          </w:p>
        </w:tc>
        <w:tc>
          <w:tcPr>
            <w:tcW w:w="140" w:type="dxa"/>
            <w:vAlign w:val="bottom"/>
            <w:tcBorders>
              <w:top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1,810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68"/>
        </w:trPr>
        <w:tc>
          <w:tcPr>
            <w:tcW w:w="3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6"/>
        </w:trPr>
        <w:tc>
          <w:tcPr>
            <w:tcW w:w="824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20" w:type="dxa"/>
            <w:vAlign w:val="bottom"/>
          </w:tcPr>
          <w:p>
            <w:pPr>
              <w:spacing w:after="0"/>
              <w:rPr>
                <w:sz w:val="18"/>
                <w:szCs w:val="18"/>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238"/>
        </w:trPr>
        <w:tc>
          <w:tcPr>
            <w:tcW w:w="8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(20,588)</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(25,194)</w:t>
            </w: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Items not affecting cash:</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 on credit facilities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expense</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 and expenses settled with equity</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6,896</w:t>
            </w: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foreign exchange movement</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short-term debt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5,543</w:t>
            </w:r>
          </w:p>
        </w:tc>
        <w:tc>
          <w:tcPr>
            <w:tcW w:w="80" w:type="dxa"/>
            <w:vAlign w:val="bottom"/>
          </w:tcPr>
          <w:p>
            <w:pPr>
              <w:spacing w:after="0"/>
              <w:rPr>
                <w:sz w:val="19"/>
                <w:szCs w:val="19"/>
                <w:color w:val="auto"/>
              </w:rPr>
            </w:pPr>
          </w:p>
        </w:tc>
      </w:tr>
      <w:tr>
        <w:trPr>
          <w:trHeight w:val="209"/>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(11,852)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equipment and software</w:t>
            </w:r>
          </w:p>
        </w:tc>
        <w:tc>
          <w:tcPr>
            <w:tcW w:w="1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r>
      <w:tr>
        <w:trPr>
          <w:trHeight w:val="209"/>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registered direct offering</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paid for registered direct offering</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Shares issued from ATM</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Debt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10"/>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8,293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 in cash</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(1,124)</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(3,144)</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293</w:t>
            </w:r>
          </w:p>
        </w:tc>
      </w:tr>
      <w:tr>
        <w:trPr>
          <w:trHeight w:val="23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6,842</w:t>
            </w:r>
          </w:p>
        </w:tc>
        <w:tc>
          <w:tcPr>
            <w:tcW w:w="80" w:type="dxa"/>
            <w:vAlign w:val="bottom"/>
            <w:shd w:val="clear" w:color="auto" w:fill="CCEEFF"/>
          </w:tcPr>
          <w:p>
            <w:pPr>
              <w:spacing w:after="0"/>
              <w:rPr>
                <w:sz w:val="19"/>
                <w:szCs w:val="19"/>
                <w:color w:val="auto"/>
              </w:rPr>
            </w:pPr>
          </w:p>
        </w:tc>
      </w:tr>
      <w:tr>
        <w:trPr>
          <w:trHeight w:val="210"/>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68"/>
        </w:trPr>
        <w:tc>
          <w:tcPr>
            <w:tcW w:w="8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2025-05-14T15:18:04Z</dcterms:created>
  <dcterms:modified xsi:type="dcterms:W3CDTF">2025-05-14T15:18:04Z</dcterms:modified>
</cp:coreProperties>
</file>