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356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00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216"/>
        </w:trPr>
        <w:tc>
          <w:tcPr>
            <w:tcW w:w="356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64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56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incorporation)</w:t>
            </w:r>
          </w:p>
        </w:tc>
        <w:tc>
          <w:tcPr>
            <w:tcW w:w="3000" w:type="dxa"/>
            <w:vAlign w:val="bottom"/>
          </w:tcPr>
          <w:p>
            <w:pPr>
              <w:spacing w:after="0"/>
              <w:rPr>
                <w:sz w:val="20"/>
                <w:szCs w:val="20"/>
                <w:color w:val="auto"/>
              </w:rPr>
            </w:pP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37"/>
        </w:trPr>
        <w:tc>
          <w:tcPr>
            <w:tcW w:w="3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Vancouver, British Columbia</w:t>
            </w:r>
          </w:p>
        </w:tc>
        <w:tc>
          <w:tcPr>
            <w:tcW w:w="3000" w:type="dxa"/>
            <w:vAlign w:val="bottom"/>
          </w:tcPr>
          <w:p>
            <w:pPr>
              <w:spacing w:after="0"/>
              <w:rPr>
                <w:sz w:val="19"/>
                <w:szCs w:val="19"/>
                <w:color w:val="auto"/>
              </w:rPr>
            </w:pPr>
          </w:p>
        </w:tc>
        <w:tc>
          <w:tcPr>
            <w:tcW w:w="26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V6E 2J3</w:t>
            </w:r>
          </w:p>
        </w:tc>
        <w:tc>
          <w:tcPr>
            <w:tcW w:w="0" w:type="dxa"/>
            <w:vAlign w:val="bottom"/>
          </w:tcPr>
          <w:p>
            <w:pPr>
              <w:spacing w:after="0"/>
              <w:rPr>
                <w:sz w:val="1"/>
                <w:szCs w:val="1"/>
                <w:color w:val="auto"/>
              </w:rPr>
            </w:pPr>
          </w:p>
        </w:tc>
      </w:tr>
      <w:tr>
        <w:trPr>
          <w:trHeight w:val="216"/>
        </w:trPr>
        <w:tc>
          <w:tcPr>
            <w:tcW w:w="3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000" w:type="dxa"/>
            <w:vAlign w:val="bottom"/>
          </w:tcPr>
          <w:p>
            <w:pPr>
              <w:spacing w:after="0"/>
              <w:rPr>
                <w:sz w:val="18"/>
                <w:szCs w:val="18"/>
                <w:color w:val="auto"/>
              </w:rPr>
            </w:pPr>
          </w:p>
        </w:tc>
        <w:tc>
          <w:tcPr>
            <w:tcW w:w="2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offices)</w:t>
            </w:r>
          </w:p>
        </w:tc>
        <w:tc>
          <w:tcPr>
            <w:tcW w:w="3000" w:type="dxa"/>
            <w:vAlign w:val="bottom"/>
          </w:tcPr>
          <w:p>
            <w:pPr>
              <w:spacing w:after="0"/>
              <w:rPr>
                <w:sz w:val="20"/>
                <w:szCs w:val="20"/>
                <w:color w:val="auto"/>
              </w:rPr>
            </w:pPr>
          </w:p>
        </w:tc>
        <w:tc>
          <w:tcPr>
            <w:tcW w:w="26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28, 2025, The Metals Company USA, LLC (“TMC USA”), a wholly-owned subsidiary of TMC the metals company Inc. (the “Company”), received written notice from the National Oceanic and Atmospheric Administration (“NOAA”) that its exploration license applications for areas designated USA-A and USA-B have been found to be in substantial compliance with the requirements of the Deep Seabed Hard Mineral Resources Act (30 U.S.C. §§ 1401–1473) (“DSHMRA”) and NOAA’s implementing regulations under 15 C.F.R. Part 970, Subpart B.</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determination grants TMC USA a priority of right to receive exploration licenses for the areas covered in those applications, pursuant to 15 C.F.R. § 970.209 and 30 U.S.C. § 1413(b). NOAA also provided a list of specific items to be addressed before the applications can be deemed in full compliance. TMC USA intends to submit the requested information in the coming days in the form of amended applications, consistent with NOAA’s procedures under 15 C.F.R. § 970.210.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2025-05-29T06:23:25Z</dcterms:created>
  <dcterms:modified xsi:type="dcterms:W3CDTF">2025-05-29T06:23:25Z</dcterms:modified>
</cp:coreProperties>
</file>