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9"/>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TMC the metals Co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TMC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7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4"/>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0" w:type="dxa"/>
            <w:vAlign w:val="bottom"/>
            <w:gridSpan w:val="9"/>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162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6"/>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6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6"/>
                <w:szCs w:val="6"/>
                <w:color w:val="auto"/>
              </w:rPr>
            </w:pPr>
          </w:p>
        </w:tc>
        <w:tc>
          <w:tcPr>
            <w:tcW w:w="342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60" w:type="dxa"/>
            <w:vAlign w:val="bottom"/>
            <w:gridSpan w:val="10"/>
            <w:vMerge w:val="continue"/>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5"/>
          </w:tcPr>
          <w:p>
            <w:pPr>
              <w:spacing w:after="0" w:line="189" w:lineRule="exact"/>
              <w:rPr>
                <w:sz w:val="20"/>
                <w:szCs w:val="20"/>
                <w:color w:val="auto"/>
              </w:rPr>
            </w:pPr>
            <w:r>
              <w:rPr>
                <w:rFonts w:ascii="Times New Roman" w:cs="Times New Roman" w:eastAsia="Times New Roman" w:hAnsi="Times New Roman"/>
                <w:sz w:val="17"/>
                <w:szCs w:val="17"/>
                <w:color w:val="0000FF"/>
              </w:rPr>
              <w:t>VANCOUVER  A1</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4"/>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4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5"/>
                <w:szCs w:val="15"/>
                <w:color w:val="auto"/>
              </w:rPr>
            </w:pP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05/30/2025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18,963</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307,956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05/30/2025</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22,371</w:t>
            </w:r>
            <w:r>
              <w:rPr>
                <w:rFonts w:ascii="Times New Roman" w:cs="Times New Roman" w:eastAsia="Times New Roman" w:hAnsi="Times New Roman"/>
                <w:sz w:val="22"/>
                <w:szCs w:val="22"/>
                <w:color w:val="008000"/>
                <w:w w:val="93"/>
                <w:vertAlign w:val="superscript"/>
              </w:rPr>
              <w:t>(2)</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330,327</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60,953,495</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9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7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4"/>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4"/>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1111 WEST HASTINGS STREET, 15TH FLOOR</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V6E 2J3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ERAS Capital LLC</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TMC THE METALS COMPANY INC.,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1111 WEST HASTINGS STREET, 15TH FLOOR</w:t>
      </w:r>
    </w:p>
    <w:p>
      <w:pPr>
        <w:sectPr>
          <w:pgSz w:w="11900" w:h="16838" w:orient="portrait"/>
          <w:cols w:equalWidth="0" w:num="1">
            <w:col w:w="11080"/>
          </w:cols>
          <w:pgMar w:left="460" w:top="219" w:right="359" w:bottom="0" w:gutter="0" w:footer="0" w:header="0"/>
          <w:type w:val="continuous"/>
        </w:sectPr>
      </w:pPr>
    </w:p>
    <w:p>
      <w:pPr>
        <w:spacing w:after="0" w:line="29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80" w:type="dxa"/>
        <w:tblCellMar>
          <w:top w:w="0" w:type="dxa"/>
          <w:left w:w="0" w:type="dxa"/>
          <w:bottom w:w="0" w:type="dxa"/>
          <w:right w:w="0" w:type="dxa"/>
        </w:tblCellMar>
      </w:tblPr>
      <w:tr>
        <w:trPr>
          <w:trHeight w:val="226"/>
        </w:trPr>
        <w:tc>
          <w:tcPr>
            <w:tcW w:w="12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0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A1</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V6E 2J3</w:t>
            </w:r>
          </w:p>
        </w:tc>
      </w:tr>
      <w:tr>
        <w:trPr>
          <w:trHeight w:val="155"/>
        </w:trPr>
        <w:tc>
          <w:tcPr>
            <w:tcW w:w="12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16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-440690</wp:posOffset>
            </wp:positionV>
            <wp:extent cx="2809240" cy="520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52070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lieu of cash compensation under the Issuer's Nonemployee Director Compensation Policy ("Director Compensation Policy"), the Reporting Person was granted restricted stock units ("RSUs") under the Issuer's 2021 Equity Incentive Plan ("Equity Incentive Plan"). Each RSU represents the right to receive one common share upon vesting. The RSUs vested immediately upon issuance.</w:t>
      </w:r>
    </w:p>
    <w:p>
      <w:pPr>
        <w:spacing w:after="0" w:line="7" w:lineRule="exact"/>
        <w:rPr>
          <w:rFonts w:ascii="Times New Roman" w:cs="Times New Roman" w:eastAsia="Times New Roman" w:hAnsi="Times New Roman"/>
          <w:sz w:val="13"/>
          <w:szCs w:val="13"/>
          <w:color w:val="008000"/>
        </w:rPr>
      </w:pPr>
    </w:p>
    <w:p>
      <w:pPr>
        <w:ind w:right="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Director Compensation Policy, the Reporting Person was granted RSUs under the Equity Incentive Plan. Each RSU represents the right to receive one common share upon vesting. The RSUs vest on the date of the Issuer's 2026 annual meeting of shareholders, subject to the Reporting Person's continued service through the vesting date.</w:t>
      </w:r>
    </w:p>
    <w:p>
      <w:pPr>
        <w:spacing w:after="0" w:line="7" w:lineRule="exact"/>
        <w:rPr>
          <w:rFonts w:ascii="Times New Roman" w:cs="Times New Roman" w:eastAsia="Times New Roman" w:hAnsi="Times New Roman"/>
          <w:sz w:val="13"/>
          <w:szCs w:val="13"/>
          <w:color w:val="008000"/>
        </w:rPr>
      </w:pPr>
    </w:p>
    <w:p>
      <w:pPr>
        <w:ind w:right="1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Exhibit 24.1 - Power of Attorney</w:t>
      </w:r>
    </w:p>
    <w:p>
      <w:pPr>
        <w:spacing w:after="0" w:line="6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Michelle Ancosky,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06/03/2025</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00"/>
          </w:cols>
          <w:pgMar w:left="500" w:top="125" w:right="5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1"/>
          <w:szCs w:val="21"/>
          <w:color w:val="auto"/>
        </w:rPr>
        <w:t> </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color w:val="auto"/>
        </w:rPr>
        <w:t>Exhibit 24.1</w:t>
      </w:r>
    </w:p>
    <w:p>
      <w:pPr>
        <w:spacing w:after="0"/>
        <w:rPr>
          <w:sz w:val="20"/>
          <w:szCs w:val="20"/>
          <w:color w:val="auto"/>
        </w:rPr>
      </w:pPr>
      <w:r>
        <w:rPr>
          <w:rFonts w:ascii="Times New Roman" w:cs="Times New Roman" w:eastAsia="Times New Roman" w:hAnsi="Times New Roman"/>
          <w:sz w:val="21"/>
          <w:szCs w:val="21"/>
          <w:color w:val="auto"/>
        </w:rPr>
        <w:t> </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Know all by these present, that the undersigned hereby constitutes and appoints each of Meg Green, Nadia do Canto, Jessica Zhang, Kaoru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Suzuki, Daniel Kajunski, Maura Foley and Robyn Frattali of Mintz, Levin, Cohn, Ferris, Glovsky and Popeo, P.C., and each of Craig Shesky, Ryan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Coombes, Michelle Ancosky and Claude Plourde of TMC the metals company Inc. (the “Company”), signing singly, with full power of substitution,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undersigned's true and lawful attorney-in-fact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execute for and on behalf of the undersigned, forms and authentication documents for EDGAR Filing Access;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           do and perform any and all acts for and on behalf of the undersigned which may be necessary or desirable to complete and execute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forms and authentication documents;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(3)           execute for and on behalf of the undersigned, in the undersigned’s capacity as an officer, director and/or 10% shareholder of the Company, Forms 3, 4 and 5 in accordance with Section 16(a) of the Securities Exchange Act of 1934 and the rules thereunder;  </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           do and perform any and all acts for and on behalf of the undersigned which may be necessary or desirable to complete and execute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Form 3, 4 or 5 and timely file such form with the United States Securities and Exchange Commission and any stock exchange or similar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(5)           take any other action of any type whatsoever in connection with the foregoing which, in the opinion of such attorney-in-fact, may be of</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to, in the best interests of, or legally required by, the undersigned, it being understood that the documents executed by such attorney-in-fact 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behalf of the undersigned pursuant to this Power of Attorney shall be in such form and shall contain such terms and conditions as such attorney-in-fact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approve in such attorney-in-fact's discretion.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p>
      <w:pPr>
        <w:ind w:right="20" w:firstLine="640"/>
        <w:spacing w:after="0" w:line="247"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with respect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undersigned's holdings of and transactions in securities issued by the Company, unless earlier revoked by the undersigned in a signed writing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delivered to the foregoing attorneys-in-fact.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0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effective as of December 31, 2023.</w:t>
            </w:r>
          </w:p>
        </w:tc>
        <w:tc>
          <w:tcPr>
            <w:tcW w:w="0" w:type="dxa"/>
            <w:vAlign w:val="bottom"/>
          </w:tcPr>
          <w:p>
            <w:pPr>
              <w:spacing w:after="0"/>
              <w:rPr>
                <w:sz w:val="1"/>
                <w:szCs w:val="1"/>
                <w:color w:val="auto"/>
              </w:rPr>
            </w:pPr>
          </w:p>
        </w:tc>
      </w:tr>
      <w:tr>
        <w:trPr>
          <w:trHeight w:val="175"/>
        </w:trPr>
        <w:tc>
          <w:tcPr>
            <w:tcW w:w="340" w:type="dxa"/>
            <w:vAlign w:val="bottom"/>
            <w:vMerge w:val="continue"/>
          </w:tcPr>
          <w:p>
            <w:pPr>
              <w:spacing w:after="0"/>
              <w:rPr>
                <w:sz w:val="15"/>
                <w:szCs w:val="15"/>
                <w:color w:val="auto"/>
              </w:rPr>
            </w:pPr>
          </w:p>
        </w:tc>
        <w:tc>
          <w:tcPr>
            <w:tcW w:w="516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1"/>
                <w:szCs w:val="21"/>
                <w:color w:val="auto"/>
              </w:rPr>
            </w:pPr>
          </w:p>
        </w:tc>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Andrei Karkar</w:t>
            </w:r>
          </w:p>
        </w:tc>
        <w:tc>
          <w:tcPr>
            <w:tcW w:w="0" w:type="dxa"/>
            <w:vAlign w:val="bottom"/>
          </w:tcPr>
          <w:p>
            <w:pPr>
              <w:spacing w:after="0"/>
              <w:rPr>
                <w:sz w:val="1"/>
                <w:szCs w:val="1"/>
                <w:color w:val="auto"/>
              </w:rPr>
            </w:pPr>
          </w:p>
        </w:tc>
      </w:tr>
      <w:tr>
        <w:trPr>
          <w:trHeight w:val="188"/>
        </w:trPr>
        <w:tc>
          <w:tcPr>
            <w:tcW w:w="3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Andrei Karkar</w:t>
            </w:r>
          </w:p>
        </w:tc>
        <w:tc>
          <w:tcPr>
            <w:tcW w:w="0" w:type="dxa"/>
            <w:vAlign w:val="bottom"/>
          </w:tcPr>
          <w:p>
            <w:pPr>
              <w:spacing w:after="0"/>
              <w:rPr>
                <w:sz w:val="1"/>
                <w:szCs w:val="1"/>
                <w:color w:val="auto"/>
              </w:rPr>
            </w:pPr>
          </w:p>
        </w:tc>
      </w:tr>
      <w:tr>
        <w:trPr>
          <w:trHeight w:val="23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980"/>
      </w:cols>
      <w:pgMar w:left="460" w:top="11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874431" TargetMode="External"/><Relationship Id="rId14" Type="http://schemas.openxmlformats.org/officeDocument/2006/relationships/hyperlink" Target="http://www.sec.gov/cgi-bin/browse-edgar?action=getcompany&amp;CIK=0001798562" TargetMode="External"/><Relationship Id="rId15"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2025-06-03T07:53:42Z</dcterms:created>
  <dcterms:modified xsi:type="dcterms:W3CDTF">2025-06-03T07:53:42Z</dcterms:modified>
</cp:coreProperties>
</file>