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 Brendan</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266,790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updates information included in the Form 4 filed for the reporting person on December 27, 2024 to reflect the amount of securities beneficially owned following the reported transaction as 253,335 (as opposed to 100,040), and in the Form 4 filed for the reporting person on March 6, 2025 to reflect the amount of securities beneficially owned following the reported transaction as 244,419 (as opposed to 108,365).</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rPr>
          <w:sz w:val="20"/>
          <w:szCs w:val="20"/>
          <w:color w:val="auto"/>
        </w:rPr>
      </w:pPr>
      <w:r>
        <w:rPr>
          <w:rFonts w:ascii="Times New Roman" w:cs="Times New Roman" w:eastAsia="Times New Roman" w:hAnsi="Times New Roman"/>
          <w:sz w:val="21"/>
          <w:szCs w:val="21"/>
          <w:color w:val="auto"/>
        </w:rPr>
        <w:t> </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Suzuki, Daniel Kajunski, Maura Foley and Robyn Frattali of Mintz, Levin, Cohn, Ferris, Glovsky and Popeo, P.C., and each of Craig Shesky, Ryan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Coombes, Michelle Ancosky and Claude Plourde of TMC the metals company Inc. (the “Company”), signing singly, with full power of substitution,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undersigned's true and lawful attorney-in-fact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            do and perform any and all acts for and on behalf of the undersigned which may be necessary or desirable to complete and execute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forms and authentication documents;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  </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(4)            do and perform any and all acts for and on behalf of the undersigned which may be necessary or desirable to complete and execute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Form 3, 4 or 5 and timely file such form with the United States Securities and Exchange Commission and any stock exchange or similar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            take any other action of any type whatsoever in connection with the foregoing which, in the opinion of such attorney-in-fact, may be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to, in the best interests of, or legally required by, the undersigned, it being understood that the documents executed by such attorney-in-fact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undersigned pursuant to this Power of Attorney shall be in such form and shall contain such terms and conditions as such attorney-in-fact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approve in such attorney-in-fact's discretion.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640"/>
        <w:spacing w:after="0" w:line="247"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undersigned's holdings of and transactions in securities issued by the Company, unless earlier revoked by the undersigned in a signed writing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foregoing attorneys-in-fact.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tc>
        <w:tc>
          <w:tcPr>
            <w:tcW w:w="0" w:type="dxa"/>
            <w:vAlign w:val="bottom"/>
          </w:tcPr>
          <w:p>
            <w:pPr>
              <w:spacing w:after="0"/>
              <w:rPr>
                <w:sz w:val="1"/>
                <w:szCs w:val="1"/>
                <w:color w:val="auto"/>
              </w:rPr>
            </w:pPr>
          </w:p>
        </w:tc>
      </w:tr>
      <w:tr>
        <w:trPr>
          <w:trHeight w:val="175"/>
        </w:trPr>
        <w:tc>
          <w:tcPr>
            <w:tcW w:w="340" w:type="dxa"/>
            <w:vAlign w:val="bottom"/>
            <w:vMerge w:val="continue"/>
          </w:tcPr>
          <w:p>
            <w:pPr>
              <w:spacing w:after="0"/>
              <w:rPr>
                <w:sz w:val="15"/>
                <w:szCs w:val="15"/>
                <w:color w:val="auto"/>
              </w:rPr>
            </w:pPr>
          </w:p>
        </w:tc>
        <w:tc>
          <w:tcPr>
            <w:tcW w:w="5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1"/>
                <w:szCs w:val="21"/>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May</w:t>
            </w: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Brendan May</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sectPr>
      <w:pgSz w:w="11900" w:h="16838" w:orient="portrait"/>
      <w:cols w:equalWidth="0" w:num="1">
        <w:col w:w="10980"/>
      </w:cols>
      <w:pgMar w:left="4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2522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2025-06-03T07:53:38Z</dcterms:created>
  <dcterms:modified xsi:type="dcterms:W3CDTF">2025-06-03T07:53:38Z</dcterms:modified>
</cp:coreProperties>
</file>