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Hall Andrew</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66,508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359,267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under the Issuer's 2021 Equity Incentive Plan. Each RSU represents the right to receive one common share. Subject to the Reporting Person's continued service, the RSUs vest on the third anniversary of the grant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417"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2025-06-05T19:54:43Z</dcterms:created>
  <dcterms:modified xsi:type="dcterms:W3CDTF">2025-06-05T19:54:43Z</dcterms:modified>
</cp:coreProperties>
</file>