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030303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216535</wp:posOffset>
            </wp:positionV>
            <wp:extent cx="714184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248285</wp:posOffset>
            </wp:positionV>
            <wp:extent cx="71418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030303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030303"/>
        </w:rPr>
        <w:t>WASHINGTON, D.C. 20549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030303"/>
        </w:rPr>
        <w:t>SCHEDULE14A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30303"/>
        </w:rPr>
        <w:t>Proxy Statement Pursuant to Section 14(a) of the Securities Exchange Act of 1934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(Amendment No</w:t>
      </w:r>
      <w:r>
        <w:rPr>
          <w:rFonts w:ascii="Times New Roman" w:cs="Times New Roman" w:eastAsia="Times New Roman" w:hAnsi="Times New Roman"/>
          <w:sz w:val="17"/>
          <w:szCs w:val="17"/>
          <w:color w:val="424242"/>
        </w:rPr>
        <w:t>.</w:t>
      </w: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 xml:space="preserve"> 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030303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030303"/>
        </w:rPr>
        <w:t>☐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030303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   Preliminary Proxy Statement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030303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 xml:space="preserve">   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030303"/>
        </w:rPr>
        <w:t>Confidential, for Use of the Commission Only (as permitted by Rule 14a-6(e)(2))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719" w:firstLine="1"/>
        <w:spacing w:after="0" w:line="204" w:lineRule="exact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030303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 xml:space="preserve">Definitive Proxy Statement </w:t>
      </w:r>
      <w:r>
        <w:rPr>
          <w:rFonts w:ascii="MS PGothic" w:cs="MS PGothic" w:eastAsia="MS PGothic" w:hAnsi="MS PGothic"/>
          <w:sz w:val="17"/>
          <w:szCs w:val="17"/>
          <w:color w:val="030303"/>
        </w:rPr>
        <w:t>☒</w:t>
      </w: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 xml:space="preserve"> Definitive Additional Materials</w:t>
      </w:r>
    </w:p>
    <w:p>
      <w:pPr>
        <w:spacing w:after="0" w:line="1" w:lineRule="exact"/>
        <w:rPr>
          <w:rFonts w:ascii="MS PGothic" w:cs="MS PGothic" w:eastAsia="MS PGothic" w:hAnsi="MS PGothic"/>
          <w:sz w:val="17"/>
          <w:szCs w:val="17"/>
          <w:color w:val="030303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030303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Soliciting Material Under §240.14a-12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030303"/>
        </w:rPr>
        <w:t>TMC THE METALS COMPANY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894080</wp:posOffset>
            </wp:positionH>
            <wp:positionV relativeFrom="paragraph">
              <wp:posOffset>55880</wp:posOffset>
            </wp:positionV>
            <wp:extent cx="5354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894080</wp:posOffset>
            </wp:positionH>
            <wp:positionV relativeFrom="paragraph">
              <wp:posOffset>300990</wp:posOffset>
            </wp:positionV>
            <wp:extent cx="5354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Payment of Filing Fee (Check all boxes that apply)</w:t>
      </w:r>
      <w:r>
        <w:rPr>
          <w:rFonts w:ascii="Times New Roman" w:cs="Times New Roman" w:eastAsia="Times New Roman" w:hAnsi="Times New Roman"/>
          <w:sz w:val="17"/>
          <w:szCs w:val="17"/>
          <w:color w:val="424242"/>
        </w:rPr>
        <w:t>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030303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No fee required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030303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Fee paid previously with preliminary materials</w:t>
      </w:r>
    </w:p>
    <w:p>
      <w:pPr>
        <w:spacing w:after="0" w:line="11" w:lineRule="exact"/>
        <w:rPr>
          <w:rFonts w:ascii="MS PGothic" w:cs="MS PGothic" w:eastAsia="MS PGothic" w:hAnsi="MS PGothic"/>
          <w:sz w:val="17"/>
          <w:szCs w:val="17"/>
          <w:color w:val="030303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030303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Fee computed on table in exhibit required by Item 25(b) per Exchange Act Rules 14a-6(i)(1) and 0-1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161925</wp:posOffset>
            </wp:positionV>
            <wp:extent cx="71418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186055</wp:posOffset>
            </wp:positionV>
            <wp:extent cx="714184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633095</wp:posOffset>
            </wp:positionV>
            <wp:extent cx="7141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5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267335</wp:posOffset>
            </wp:positionH>
            <wp:positionV relativeFrom="page">
              <wp:posOffset>424180</wp:posOffset>
            </wp:positionV>
            <wp:extent cx="6886575" cy="88417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884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267335</wp:posOffset>
            </wp:positionH>
            <wp:positionV relativeFrom="page">
              <wp:posOffset>88900</wp:posOffset>
            </wp:positionV>
            <wp:extent cx="6886575" cy="9519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51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2025-07-18T07:56:27Z</dcterms:created>
  <dcterms:modified xsi:type="dcterms:W3CDTF">2025-07-18T07:56:27Z</dcterms:modified>
</cp:coreProperties>
</file>