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4194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19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Shesky Craig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7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TMC the metals Co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TMC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TMC THE METALS COMPANY INC.,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09/23/2025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1111 WEST HASTINGS STREET, 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Financial Officer</w:t>
      </w:r>
    </w:p>
    <w:p>
      <w:pPr>
        <w:spacing w:after="0" w:line="50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9"/>
            <w:col w:w="3351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VANCOUVER   A1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V6E 2J3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2,000,000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-1631950</wp:posOffset>
            </wp:positionV>
            <wp:extent cx="28575" cy="1637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the right to receive one common share ("Share") upon vesting.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hanging="2"/>
        <w:spacing w:after="0" w:line="234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granted pursuant to the Issuer's long-term retention plan and vest, subject to the Reporting Person's continued employment through September 1, 2029 (the "Retention Date"), as follows: (i) 50% upon the trailing 30-day average closing price of the Shares (the "Average Share Price") reaching $10.00 on or before April 16, 2029, and (ii) 50% upon the Average Share Price reaching $12.50 on or before April 16, 2029. Shares received upon settlement of the RSUs may not be sold or otherwise transferred prior to the Retention Date.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Michelle Ancosky, Attorney- 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09/24/2025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-25400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2978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-80010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4308" TargetMode="External"/><Relationship Id="rId14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2025-09-24T20:05:25Z</dcterms:created>
  <dcterms:modified xsi:type="dcterms:W3CDTF">2025-09-24T20:05:25Z</dcterms:modified>
</cp:coreProperties>
</file>