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-586105</wp:posOffset>
            </wp:positionV>
            <wp:extent cx="55880"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94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-586105</wp:posOffset>
            </wp:positionV>
            <wp:extent cx="558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944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618490</wp:posOffset>
            </wp:positionV>
            <wp:extent cx="7002145" cy="8823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23325"/>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2"/>
            <w:vMerge w:val="restart"/>
          </w:tcPr>
          <w:p>
            <w:pPr>
              <w:spacing w:after="0"/>
              <w:rPr>
                <w:rFonts w:ascii="Times New Roman" w:cs="Times New Roman" w:eastAsia="Times New Roman" w:hAnsi="Times New Roman"/>
                <w:sz w:val="19"/>
                <w:szCs w:val="19"/>
                <w:color w:val="0000EE"/>
                <w:w w:val="96"/>
              </w:rPr>
            </w:pPr>
            <w:hyperlink r:id="rId13">
              <w:r>
                <w:rPr>
                  <w:rFonts w:ascii="Times New Roman" w:cs="Times New Roman" w:eastAsia="Times New Roman" w:hAnsi="Times New Roman"/>
                  <w:sz w:val="19"/>
                  <w:szCs w:val="19"/>
                  <w:color w:val="0000EE"/>
                  <w:w w:val="96"/>
                </w:rPr>
                <w:t>ILVES Erika</w:t>
              </w:r>
            </w:hyperlink>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7"/>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TMC the metals Co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w w:val="97"/>
              </w:rPr>
              <w:t>(Check all applicable)</w:t>
            </w: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980" w:type="dxa"/>
            <w:vAlign w:val="bottom"/>
            <w:tcBorders>
              <w:bottom w:val="single" w:sz="8" w:color="0000EE"/>
            </w:tcBorders>
            <w:gridSpan w:val="2"/>
            <w:vMerge w:val="continue"/>
          </w:tcPr>
          <w:p>
            <w:pPr>
              <w:spacing w:after="0"/>
              <w:rPr>
                <w:sz w:val="4"/>
                <w:szCs w:val="4"/>
                <w:color w:val="auto"/>
              </w:rPr>
            </w:pPr>
          </w:p>
        </w:tc>
        <w:tc>
          <w:tcPr>
            <w:tcW w:w="2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980" w:type="dxa"/>
            <w:vAlign w:val="bottom"/>
            <w:gridSpan w:val="2"/>
          </w:tcPr>
          <w:p>
            <w:pPr>
              <w:spacing w:after="0"/>
              <w:rPr>
                <w:sz w:val="3"/>
                <w:szCs w:val="3"/>
                <w:color w:val="auto"/>
              </w:rPr>
            </w:pPr>
          </w:p>
        </w:tc>
        <w:tc>
          <w:tcPr>
            <w:tcW w:w="2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1"/>
                <w:szCs w:val="11"/>
                <w:color w:val="auto"/>
              </w:rPr>
            </w:pPr>
          </w:p>
        </w:tc>
        <w:tc>
          <w:tcPr>
            <w:tcW w:w="1420" w:type="dxa"/>
            <w:vAlign w:val="bottom"/>
            <w:gridSpan w:val="4"/>
          </w:tcPr>
          <w:p>
            <w:pPr>
              <w:ind w:left="180"/>
              <w:spacing w:after="0" w:line="12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6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2"/>
                <w:szCs w:val="12"/>
                <w:color w:val="auto"/>
              </w:rPr>
              <w:t>(Last)</w:t>
            </w:r>
          </w:p>
        </w:tc>
        <w:tc>
          <w:tcPr>
            <w:tcW w:w="440" w:type="dxa"/>
            <w:vAlign w:val="bottom"/>
            <w:tcBorders>
              <w:top w:val="single" w:sz="8" w:color="EEEEEE"/>
            </w:tcBorders>
          </w:tcPr>
          <w:p>
            <w:pPr>
              <w:spacing w:after="0"/>
              <w:rPr>
                <w:sz w:val="11"/>
                <w:szCs w:val="11"/>
                <w:color w:val="auto"/>
              </w:rPr>
            </w:pPr>
          </w:p>
        </w:tc>
        <w:tc>
          <w:tcPr>
            <w:tcW w:w="220" w:type="dxa"/>
            <w:vAlign w:val="bottom"/>
            <w:tcBorders>
              <w:top w:val="single" w:sz="8" w:color="EEEEEE"/>
            </w:tcBorders>
          </w:tcPr>
          <w:p>
            <w:pPr>
              <w:spacing w:after="0"/>
              <w:rPr>
                <w:sz w:val="11"/>
                <w:szCs w:val="11"/>
                <w:color w:val="auto"/>
              </w:rPr>
            </w:pPr>
          </w:p>
        </w:tc>
        <w:tc>
          <w:tcPr>
            <w:tcW w:w="110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Borders>
              <w:top w:val="single" w:sz="8" w:color="EEEEEE"/>
            </w:tcBorders>
          </w:tcPr>
          <w:p>
            <w:pPr>
              <w:spacing w:after="0"/>
              <w:rPr>
                <w:sz w:val="11"/>
                <w:szCs w:val="11"/>
                <w:color w:val="auto"/>
              </w:rPr>
            </w:pPr>
          </w:p>
        </w:tc>
        <w:tc>
          <w:tcPr>
            <w:tcW w:w="3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09" w:lineRule="exact"/>
              <w:rPr>
                <w:sz w:val="20"/>
                <w:szCs w:val="20"/>
                <w:color w:val="auto"/>
              </w:rPr>
            </w:pPr>
            <w:r>
              <w:rPr>
                <w:rFonts w:ascii="Arial" w:cs="Arial" w:eastAsia="Arial" w:hAnsi="Arial"/>
                <w:sz w:val="12"/>
                <w:szCs w:val="12"/>
                <w:color w:val="auto"/>
              </w:rPr>
              <w:t>below)</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ind w:left="18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4"/>
            <w:vMerge w:val="restart"/>
          </w:tcPr>
          <w:p>
            <w:pPr>
              <w:ind w:left="440"/>
              <w:spacing w:after="0" w:line="174" w:lineRule="exact"/>
              <w:rPr>
                <w:sz w:val="20"/>
                <w:szCs w:val="20"/>
                <w:color w:val="auto"/>
              </w:rPr>
            </w:pPr>
            <w:r>
              <w:rPr>
                <w:rFonts w:ascii="Times New Roman" w:cs="Times New Roman" w:eastAsia="Times New Roman" w:hAnsi="Times New Roman"/>
                <w:sz w:val="16"/>
                <w:szCs w:val="16"/>
                <w:color w:val="0000FF"/>
              </w:rPr>
              <w:t>Chief Strategy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326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gridSpan w:val="7"/>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6"/>
            <w:vMerge w:val="continue"/>
          </w:tcPr>
          <w:p>
            <w:pPr>
              <w:spacing w:after="0"/>
              <w:rPr>
                <w:sz w:val="17"/>
                <w:szCs w:val="17"/>
                <w:color w:val="auto"/>
              </w:rPr>
            </w:pPr>
          </w:p>
        </w:tc>
        <w:tc>
          <w:tcPr>
            <w:tcW w:w="1960" w:type="dxa"/>
            <w:vAlign w:val="bottom"/>
            <w:gridSpan w:val="7"/>
          </w:tcPr>
          <w:p>
            <w:pPr>
              <w:ind w:left="540"/>
              <w:spacing w:after="0"/>
              <w:rPr>
                <w:sz w:val="20"/>
                <w:szCs w:val="20"/>
                <w:color w:val="auto"/>
              </w:rPr>
            </w:pPr>
            <w:r>
              <w:rPr>
                <w:rFonts w:ascii="Times New Roman" w:cs="Times New Roman" w:eastAsia="Times New Roman" w:hAnsi="Times New Roman"/>
                <w:sz w:val="16"/>
                <w:szCs w:val="16"/>
                <w:color w:val="0000FF"/>
              </w:rPr>
              <w:t>09/22/2025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9"/>
              </w:rPr>
              <w:t>1111 WEST HASTINGS STREET, 15TH FLOOR</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60" w:type="dxa"/>
            <w:vAlign w:val="bottom"/>
            <w:tcBorders>
              <w:bottom w:val="single" w:sz="8" w:color="2C2C2C"/>
            </w:tcBorders>
            <w:gridSpan w:val="4"/>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gridSpan w:val="3"/>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spacing w:after="0"/>
              <w:rPr>
                <w:sz w:val="15"/>
                <w:szCs w:val="15"/>
                <w:color w:val="auto"/>
              </w:rPr>
            </w:pPr>
          </w:p>
        </w:tc>
        <w:tc>
          <w:tcPr>
            <w:tcW w:w="2800" w:type="dxa"/>
            <w:vAlign w:val="bottom"/>
            <w:tcBorders>
              <w:bottom w:val="single" w:sz="8" w:color="2C2C2C"/>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VANCOUVER</w:t>
            </w: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A1</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V6E 2J3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gridSpan w:val="7"/>
          </w:tcPr>
          <w:p>
            <w:pPr>
              <w:ind w:left="80"/>
              <w:spacing w:after="0" w:line="135"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4"/>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920" w:type="dxa"/>
            <w:vAlign w:val="bottom"/>
            <w:tcBorders>
              <w:bottom w:val="single" w:sz="8" w:color="2C2C2C"/>
            </w:tcBorders>
            <w:gridSpan w:val="5"/>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20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8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1"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w w:val="95"/>
              </w:rPr>
              <w:t>09/22/2025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2"/>
                <w:szCs w:val="12"/>
                <w:color w:val="0000FF"/>
                <w:w w:val="89"/>
              </w:rPr>
              <w:t>S</w:t>
            </w:r>
          </w:p>
        </w:tc>
        <w:tc>
          <w:tcPr>
            <w:tcW w:w="112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6"/>
              </w:rPr>
              <w:t>1,591,485</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5.77</w:t>
            </w:r>
            <w:r>
              <w:rPr>
                <w:rFonts w:ascii="Times New Roman" w:cs="Times New Roman" w:eastAsia="Times New Roman" w:hAnsi="Times New Roman"/>
                <w:sz w:val="20"/>
                <w:szCs w:val="20"/>
                <w:color w:val="008000"/>
                <w:w w:val="91"/>
                <w:vertAlign w:val="superscript"/>
              </w:rPr>
              <w:t>(1)</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1,145,792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w w:val="95"/>
              </w:rPr>
              <w:t>09/23/2025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(2)</w:t>
            </w:r>
          </w:p>
        </w:tc>
        <w:tc>
          <w:tcPr>
            <w:tcW w:w="112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6"/>
              </w:rPr>
              <w:t>2,000,000</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3,145,792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w w:val="95"/>
              </w:rPr>
              <w:t>09/24/2025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(3)</w:t>
            </w:r>
          </w:p>
        </w:tc>
        <w:tc>
          <w:tcPr>
            <w:tcW w:w="112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6"/>
              </w:rPr>
              <w:t>1,099,968</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0.65</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4,245,760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w w:val="95"/>
              </w:rPr>
              <w:t>09/24/2025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(4)</w:t>
            </w:r>
          </w:p>
        </w:tc>
        <w:tc>
          <w:tcPr>
            <w:tcW w:w="1120" w:type="dxa"/>
            <w:vAlign w:val="bottom"/>
            <w:tcBorders>
              <w:bottom w:val="single" w:sz="8" w:color="2C2C2C"/>
            </w:tcBorders>
            <w:gridSpan w:val="2"/>
          </w:tcPr>
          <w:p>
            <w:pPr>
              <w:jc w:val="center"/>
              <w:ind w:right="62"/>
              <w:spacing w:after="0"/>
              <w:rPr>
                <w:sz w:val="20"/>
                <w:szCs w:val="20"/>
                <w:color w:val="auto"/>
              </w:rPr>
            </w:pPr>
            <w:r>
              <w:rPr>
                <w:rFonts w:ascii="Times New Roman" w:cs="Times New Roman" w:eastAsia="Times New Roman" w:hAnsi="Times New Roman"/>
                <w:sz w:val="16"/>
                <w:szCs w:val="16"/>
                <w:color w:val="0000FF"/>
                <w:w w:val="99"/>
              </w:rPr>
              <w:t>262,109</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0.65</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4,507,869</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w w:val="95"/>
              </w:rPr>
              <w:t>09/24/2025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(5)</w:t>
            </w:r>
          </w:p>
        </w:tc>
        <w:tc>
          <w:tcPr>
            <w:tcW w:w="1120" w:type="dxa"/>
            <w:vAlign w:val="bottom"/>
            <w:tcBorders>
              <w:bottom w:val="single" w:sz="8" w:color="2C2C2C"/>
            </w:tcBorders>
            <w:gridSpan w:val="2"/>
          </w:tcPr>
          <w:p>
            <w:pPr>
              <w:jc w:val="center"/>
              <w:ind w:right="62"/>
              <w:spacing w:after="0"/>
              <w:rPr>
                <w:sz w:val="20"/>
                <w:szCs w:val="20"/>
                <w:color w:val="auto"/>
              </w:rPr>
            </w:pPr>
            <w:r>
              <w:rPr>
                <w:rFonts w:ascii="Times New Roman" w:cs="Times New Roman" w:eastAsia="Times New Roman" w:hAnsi="Times New Roman"/>
                <w:sz w:val="16"/>
                <w:szCs w:val="16"/>
                <w:color w:val="0000FF"/>
                <w:w w:val="99"/>
              </w:rPr>
              <w:t>252,815</w:t>
            </w: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0.65</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4,760,684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30,682</w:t>
            </w:r>
          </w:p>
        </w:tc>
        <w:tc>
          <w:tcPr>
            <w:tcW w:w="320" w:type="dxa"/>
            <w:vAlign w:val="bottom"/>
          </w:tcPr>
          <w:p>
            <w:pPr>
              <w:spacing w:after="0"/>
              <w:rPr>
                <w:sz w:val="19"/>
                <w:szCs w:val="19"/>
                <w:color w:val="auto"/>
              </w:rPr>
            </w:pPr>
          </w:p>
        </w:tc>
        <w:tc>
          <w:tcPr>
            <w:tcW w:w="620" w:type="dxa"/>
            <w:vAlign w:val="bottom"/>
            <w:vMerge w:val="restart"/>
          </w:tcPr>
          <w:p>
            <w:pPr>
              <w:jc w:val="center"/>
              <w:ind w:right="357"/>
              <w:spacing w:after="0"/>
              <w:rPr>
                <w:sz w:val="20"/>
                <w:szCs w:val="20"/>
                <w:color w:val="auto"/>
              </w:rPr>
            </w:pPr>
            <w:r>
              <w:rPr>
                <w:rFonts w:ascii="Times New Roman" w:cs="Times New Roman" w:eastAsia="Times New Roman" w:hAnsi="Times New Roman"/>
                <w:sz w:val="16"/>
                <w:szCs w:val="16"/>
                <w:color w:val="0000FF"/>
                <w:w w:val="74"/>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07"/>
        </w:trPr>
        <w:tc>
          <w:tcPr>
            <w:tcW w:w="132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children</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7"/>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60" w:type="dxa"/>
            <w:vAlign w:val="bottom"/>
            <w:gridSpan w:val="18"/>
          </w:tcPr>
          <w:p>
            <w:pPr>
              <w:jc w:val="center"/>
              <w:ind w:right="162"/>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gridSpan w:val="15"/>
          </w:tcPr>
          <w:p>
            <w:pPr>
              <w:jc w:val="center"/>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10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3 and 4)</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2"/>
              </w:rPr>
              <w:t>or Indirect</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vMerge w:val="restart"/>
          </w:tcPr>
          <w:p>
            <w:pPr>
              <w:ind w:left="100"/>
              <w:spacing w:after="0" w:line="265"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(3)</w:t>
            </w:r>
          </w:p>
        </w:tc>
        <w:tc>
          <w:tcPr>
            <w:tcW w:w="180" w:type="dxa"/>
            <w:vAlign w:val="bottom"/>
          </w:tcPr>
          <w:p>
            <w:pPr>
              <w:spacing w:after="0"/>
              <w:rPr>
                <w:sz w:val="10"/>
                <w:szCs w:val="10"/>
                <w:color w:val="auto"/>
              </w:rPr>
            </w:pPr>
          </w:p>
        </w:tc>
        <w:tc>
          <w:tcPr>
            <w:tcW w:w="920" w:type="dxa"/>
            <w:vAlign w:val="bottom"/>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w w:val="99"/>
              </w:rPr>
              <w:t>1,099,968</w:t>
            </w:r>
          </w:p>
        </w:tc>
        <w:tc>
          <w:tcPr>
            <w:tcW w:w="440" w:type="dxa"/>
            <w:vAlign w:val="bottom"/>
            <w:gridSpan w:val="2"/>
            <w:vMerge w:val="restart"/>
          </w:tcPr>
          <w:p>
            <w:pPr>
              <w:jc w:val="center"/>
              <w:ind w:left="188"/>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06/01/2028</w:t>
            </w:r>
          </w:p>
        </w:tc>
        <w:tc>
          <w:tcPr>
            <w:tcW w:w="660" w:type="dxa"/>
            <w:vAlign w:val="bottom"/>
            <w:gridSpan w:val="2"/>
            <w:vMerge w:val="continue"/>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1,099,968</w:t>
            </w:r>
            <w:r>
              <w:rPr>
                <w:rFonts w:ascii="Times New Roman" w:cs="Times New Roman" w:eastAsia="Times New Roman" w:hAnsi="Times New Roman"/>
                <w:sz w:val="20"/>
                <w:szCs w:val="20"/>
                <w:color w:val="008000"/>
                <w:w w:val="92"/>
                <w:vertAlign w:val="superscript"/>
              </w:rPr>
              <w:t>(7)</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460" w:type="dxa"/>
            <w:vAlign w:val="bottom"/>
            <w:vMerge w:val="restart"/>
          </w:tcPr>
          <w:p>
            <w:pPr>
              <w:jc w:val="center"/>
              <w:ind w:left="26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0"/>
                <w:szCs w:val="10"/>
                <w:color w:val="0000FF"/>
              </w:rPr>
              <w:t>Shares</w:t>
            </w:r>
            <w:r>
              <w:rPr>
                <w:rFonts w:ascii="Times New Roman" w:cs="Times New Roman" w:eastAsia="Times New Roman" w:hAnsi="Times New Roman"/>
                <w:sz w:val="16"/>
                <w:szCs w:val="16"/>
                <w:color w:val="008000"/>
                <w:vertAlign w:val="superscript"/>
              </w:rPr>
              <w:t>(7)</w:t>
            </w: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vMerge w:val="restart"/>
          </w:tcPr>
          <w:p>
            <w:pPr>
              <w:ind w:left="100"/>
              <w:spacing w:after="0" w:line="265"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(4)</w:t>
            </w:r>
          </w:p>
        </w:tc>
        <w:tc>
          <w:tcPr>
            <w:tcW w:w="180" w:type="dxa"/>
            <w:vAlign w:val="bottom"/>
          </w:tcPr>
          <w:p>
            <w:pPr>
              <w:spacing w:after="0"/>
              <w:rPr>
                <w:sz w:val="10"/>
                <w:szCs w:val="10"/>
                <w:color w:val="auto"/>
              </w:rPr>
            </w:pPr>
          </w:p>
        </w:tc>
        <w:tc>
          <w:tcPr>
            <w:tcW w:w="920" w:type="dxa"/>
            <w:vAlign w:val="bottom"/>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rPr>
              <w:t>262,109</w:t>
            </w:r>
          </w:p>
        </w:tc>
        <w:tc>
          <w:tcPr>
            <w:tcW w:w="440" w:type="dxa"/>
            <w:vAlign w:val="bottom"/>
            <w:gridSpan w:val="2"/>
            <w:vMerge w:val="restart"/>
          </w:tcPr>
          <w:p>
            <w:pPr>
              <w:jc w:val="center"/>
              <w:ind w:left="188"/>
              <w:spacing w:after="0"/>
              <w:rPr>
                <w:sz w:val="20"/>
                <w:szCs w:val="20"/>
                <w:color w:val="auto"/>
              </w:rPr>
            </w:pPr>
            <w:r>
              <w:rPr>
                <w:rFonts w:ascii="Times New Roman" w:cs="Times New Roman" w:eastAsia="Times New Roman" w:hAnsi="Times New Roman"/>
                <w:sz w:val="10"/>
                <w:szCs w:val="10"/>
                <w:color w:val="008000"/>
              </w:rPr>
              <w:t>(9)</w:t>
            </w:r>
          </w:p>
        </w:tc>
        <w:tc>
          <w:tcPr>
            <w:tcW w:w="3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06/01/2028</w:t>
            </w:r>
          </w:p>
        </w:tc>
        <w:tc>
          <w:tcPr>
            <w:tcW w:w="660" w:type="dxa"/>
            <w:vAlign w:val="bottom"/>
            <w:gridSpan w:val="2"/>
            <w:vMerge w:val="continue"/>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1"/>
              </w:rPr>
              <w:t>262,109</w:t>
            </w:r>
            <w:r>
              <w:rPr>
                <w:rFonts w:ascii="Times New Roman" w:cs="Times New Roman" w:eastAsia="Times New Roman" w:hAnsi="Times New Roman"/>
                <w:sz w:val="20"/>
                <w:szCs w:val="20"/>
                <w:color w:val="008000"/>
                <w:w w:val="91"/>
                <w:vertAlign w:val="superscript"/>
              </w:rPr>
              <w:t>(10)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460" w:type="dxa"/>
            <w:vAlign w:val="bottom"/>
            <w:vMerge w:val="restart"/>
          </w:tcPr>
          <w:p>
            <w:pPr>
              <w:jc w:val="center"/>
              <w:ind w:left="26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0"/>
                <w:szCs w:val="10"/>
                <w:color w:val="0000FF"/>
              </w:rPr>
              <w:t>Shares</w:t>
            </w:r>
            <w:r>
              <w:rPr>
                <w:rFonts w:ascii="Times New Roman" w:cs="Times New Roman" w:eastAsia="Times New Roman" w:hAnsi="Times New Roman"/>
                <w:sz w:val="16"/>
                <w:szCs w:val="16"/>
                <w:color w:val="008000"/>
                <w:vertAlign w:val="superscript"/>
              </w:rPr>
              <w:t>(10)</w:t>
            </w: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2"/>
                <w:szCs w:val="12"/>
                <w:color w:val="0000FF"/>
              </w:rPr>
              <w:t>Option</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vMerge w:val="restart"/>
          </w:tcPr>
          <w:p>
            <w:pPr>
              <w:ind w:left="100"/>
              <w:spacing w:after="0" w:line="265"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(5)</w:t>
            </w:r>
          </w:p>
        </w:tc>
        <w:tc>
          <w:tcPr>
            <w:tcW w:w="180" w:type="dxa"/>
            <w:vAlign w:val="bottom"/>
          </w:tcPr>
          <w:p>
            <w:pPr>
              <w:spacing w:after="0"/>
              <w:rPr>
                <w:sz w:val="10"/>
                <w:szCs w:val="10"/>
                <w:color w:val="auto"/>
              </w:rPr>
            </w:pPr>
          </w:p>
        </w:tc>
        <w:tc>
          <w:tcPr>
            <w:tcW w:w="920" w:type="dxa"/>
            <w:vAlign w:val="bottom"/>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rPr>
              <w:t>252,815</w:t>
            </w:r>
          </w:p>
        </w:tc>
        <w:tc>
          <w:tcPr>
            <w:tcW w:w="440" w:type="dxa"/>
            <w:vAlign w:val="bottom"/>
            <w:gridSpan w:val="2"/>
            <w:vMerge w:val="restart"/>
          </w:tcPr>
          <w:p>
            <w:pPr>
              <w:jc w:val="center"/>
              <w:ind w:left="188"/>
              <w:spacing w:after="0"/>
              <w:rPr>
                <w:sz w:val="20"/>
                <w:szCs w:val="20"/>
                <w:color w:val="auto"/>
              </w:rPr>
            </w:pPr>
            <w:r>
              <w:rPr>
                <w:rFonts w:ascii="Times New Roman" w:cs="Times New Roman" w:eastAsia="Times New Roman" w:hAnsi="Times New Roman"/>
                <w:sz w:val="10"/>
                <w:szCs w:val="10"/>
                <w:color w:val="008000"/>
                <w:w w:val="95"/>
              </w:rPr>
              <w:t>(11)</w:t>
            </w:r>
          </w:p>
        </w:tc>
        <w:tc>
          <w:tcPr>
            <w:tcW w:w="3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06/01/2028</w:t>
            </w:r>
          </w:p>
        </w:tc>
        <w:tc>
          <w:tcPr>
            <w:tcW w:w="660" w:type="dxa"/>
            <w:vAlign w:val="bottom"/>
            <w:gridSpan w:val="2"/>
            <w:vMerge w:val="continue"/>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1"/>
              </w:rPr>
              <w:t>252,815</w:t>
            </w:r>
            <w:r>
              <w:rPr>
                <w:rFonts w:ascii="Times New Roman" w:cs="Times New Roman" w:eastAsia="Times New Roman" w:hAnsi="Times New Roman"/>
                <w:sz w:val="20"/>
                <w:szCs w:val="20"/>
                <w:color w:val="008000"/>
                <w:w w:val="91"/>
                <w:vertAlign w:val="superscript"/>
              </w:rPr>
              <w:t>(12)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758,444</w:t>
            </w:r>
            <w:r>
              <w:rPr>
                <w:rFonts w:ascii="Times New Roman" w:cs="Times New Roman" w:eastAsia="Times New Roman" w:hAnsi="Times New Roman"/>
                <w:sz w:val="20"/>
                <w:szCs w:val="20"/>
                <w:color w:val="008000"/>
                <w:w w:val="91"/>
                <w:vertAlign w:val="superscript"/>
              </w:rPr>
              <w:t>(13)</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0"/>
                <w:szCs w:val="10"/>
                <w:color w:val="0000FF"/>
              </w:rPr>
              <w:t>Shares</w:t>
            </w:r>
            <w:r>
              <w:rPr>
                <w:rFonts w:ascii="Times New Roman" w:cs="Times New Roman" w:eastAsia="Times New Roman" w:hAnsi="Times New Roman"/>
                <w:sz w:val="16"/>
                <w:szCs w:val="16"/>
                <w:color w:val="008000"/>
                <w:vertAlign w:val="superscript"/>
              </w:rPr>
              <w:t>(12)</w:t>
            </w: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35,233</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w w:val="96"/>
              </w:rPr>
              <w:t>35,233</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39,970</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70,468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w w:val="96"/>
              </w:rPr>
              <w:t>70,468</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79,941</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70,468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w w:val="96"/>
              </w:rPr>
              <w:t>70,468</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79,941</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140,937</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rPr>
              <w:t>140,937</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159,884</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E</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140,937</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rPr>
              <w:t>140,937</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159,884</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F</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140,937</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rPr>
              <w:t>140,937</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159,884</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G</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176,172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rPr>
              <w:t>176,172</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199,855</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H</w:t>
            </w:r>
          </w:p>
        </w:tc>
        <w:tc>
          <w:tcPr>
            <w:tcW w:w="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color w:val="008000"/>
                <w:w w:val="95"/>
              </w:rPr>
              <w:t>(14)</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0"/>
                <w:szCs w:val="10"/>
                <w:color w:val="008000"/>
              </w:rPr>
              <w:t>(14)</w:t>
            </w: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176,172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Special</w:t>
            </w:r>
          </w:p>
        </w:tc>
        <w:tc>
          <w:tcPr>
            <w:tcW w:w="660" w:type="dxa"/>
            <w:vAlign w:val="bottom"/>
            <w:gridSpan w:val="2"/>
            <w:vMerge w:val="continue"/>
          </w:tcPr>
          <w:p>
            <w:pPr>
              <w:spacing w:after="0"/>
              <w:rPr>
                <w:sz w:val="5"/>
                <w:szCs w:val="5"/>
                <w:color w:val="auto"/>
              </w:rPr>
            </w:pPr>
          </w:p>
        </w:tc>
        <w:tc>
          <w:tcPr>
            <w:tcW w:w="11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09/24/2025</w:t>
            </w: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100" w:type="dxa"/>
            <w:vAlign w:val="bottom"/>
            <w:gridSpan w:val="2"/>
            <w:vMerge w:val="restart"/>
          </w:tcPr>
          <w:p>
            <w:pPr>
              <w:jc w:val="center"/>
              <w:ind w:right="644"/>
              <w:spacing w:after="0" w:line="133" w:lineRule="exact"/>
              <w:rPr>
                <w:sz w:val="20"/>
                <w:szCs w:val="20"/>
                <w:color w:val="auto"/>
              </w:rPr>
            </w:pPr>
            <w:r>
              <w:rPr>
                <w:rFonts w:ascii="Times New Roman" w:cs="Times New Roman" w:eastAsia="Times New Roman" w:hAnsi="Times New Roman"/>
                <w:sz w:val="12"/>
                <w:szCs w:val="12"/>
                <w:color w:val="0000FF"/>
              </w:rPr>
              <w:t>176,172</w:t>
            </w: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199,855</w:t>
            </w:r>
          </w:p>
        </w:tc>
        <w:tc>
          <w:tcPr>
            <w:tcW w:w="62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restart"/>
          </w:tcPr>
          <w:p>
            <w:pPr>
              <w:jc w:val="center"/>
              <w:ind w:left="62"/>
              <w:spacing w:after="0"/>
              <w:rPr>
                <w:sz w:val="20"/>
                <w:szCs w:val="20"/>
                <w:color w:val="auto"/>
              </w:rPr>
            </w:pPr>
            <w:r>
              <w:rPr>
                <w:rFonts w:ascii="Times New Roman" w:cs="Times New Roman" w:eastAsia="Times New Roman" w:hAnsi="Times New Roman"/>
                <w:sz w:val="12"/>
                <w:szCs w:val="12"/>
                <w:color w:val="0000FF"/>
                <w:w w:val="99"/>
              </w:rPr>
              <w:t>Shares</w:t>
            </w: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-5038090</wp:posOffset>
            </wp:positionV>
            <wp:extent cx="27940" cy="5043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5043805"/>
                    </a:xfrm>
                    <a:prstGeom prst="rect">
                      <a:avLst/>
                    </a:prstGeom>
                    <a:noFill/>
                  </pic:spPr>
                </pic:pic>
              </a:graphicData>
            </a:graphic>
          </wp:anchor>
        </w:drawing>
      </w:r>
    </w:p>
    <w:p>
      <w:pPr>
        <w:sectPr>
          <w:pgSz w:w="11900" w:h="16838" w:orient="portrait"/>
          <w:cols w:equalWidth="0" w:num="1">
            <w:col w:w="11080"/>
          </w:cols>
          <w:pgMar w:left="460" w:top="211" w:right="359" w:bottom="0" w:gutter="0" w:footer="0" w:header="0"/>
          <w:type w:val="continuous"/>
        </w:sectPr>
      </w:pPr>
    </w:p>
    <w:bookmarkStart w:id="1" w:name="page2"/>
    <w:bookmarkEnd w:id="1"/>
    <w:p>
      <w:pPr>
        <w:ind w:left="7"/>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7" w:right="80" w:hanging="7"/>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reflects the average selling price of the common shares sold. These common shares were sold in multiple transactions at prices ranging from $5.68 to $5.91 per common share. The Reporting Person undertakes to provide, upon request by the SEC staff, the Issuer or a security holder of the Issuer, full information regarding the number of common shares sold at each price.</w:t>
      </w:r>
    </w:p>
    <w:p>
      <w:pPr>
        <w:spacing w:after="0" w:line="14" w:lineRule="exact"/>
        <w:rPr>
          <w:rFonts w:ascii="Times New Roman" w:cs="Times New Roman" w:eastAsia="Times New Roman" w:hAnsi="Times New Roman"/>
          <w:sz w:val="12"/>
          <w:szCs w:val="12"/>
          <w:color w:val="008000"/>
        </w:rPr>
      </w:pPr>
    </w:p>
    <w:p>
      <w:pPr>
        <w:ind w:left="7" w:hanging="7"/>
        <w:spacing w:after="0"/>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restricted stock units ("RSUs"). Each RSU represents the right to receive one common share ("Share") upon vesting. The RSUs were granted pursuant to the Issuer's long-term retention plan and vest, subject to the Reporting Person's continued employment through September 1, 2029 (the "Retention Date"), as follows: (i) 50% upon the trailing 30-day average closing price of the Shares (the "Average Share Price") reaching $10.00 on or before April 16, 2029, and (ii) 50% upon the Average Share Price reaching $12.50 on or before April 16, 2029. Shares received upon settlement of the RSUs may not be sold or otherwise transferred prior to the Retention Date.</w:t>
      </w:r>
    </w:p>
    <w:p>
      <w:pPr>
        <w:spacing w:after="0" w:line="26" w:lineRule="exact"/>
        <w:rPr>
          <w:rFonts w:ascii="Times New Roman" w:cs="Times New Roman" w:eastAsia="Times New Roman" w:hAnsi="Times New Roman"/>
          <w:sz w:val="12"/>
          <w:szCs w:val="12"/>
          <w:color w:val="008000"/>
        </w:rPr>
      </w:pPr>
    </w:p>
    <w:p>
      <w:pPr>
        <w:ind w:left="7" w:right="20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1,099,968 common shares for cash at an exercise price of $0.65 per common share. In accordance with the terms of the stock options, the Reporting Person was also issued 23,999 Class A Special Shares, 47,999 Class B Special Shares, 47,999 Class C Special Shares, 95,998 Class D Special Shares, 95,998 Class E Special Shares, 95,998 Class F Special Shares, 119,998 Class G Special Shares and 119,998 Class H Special Shares for no additional consideration.</w:t>
      </w:r>
    </w:p>
    <w:p>
      <w:pPr>
        <w:spacing w:after="0" w:line="23" w:lineRule="exact"/>
        <w:rPr>
          <w:rFonts w:ascii="Times New Roman" w:cs="Times New Roman" w:eastAsia="Times New Roman" w:hAnsi="Times New Roman"/>
          <w:sz w:val="12"/>
          <w:szCs w:val="12"/>
          <w:color w:val="008000"/>
        </w:rPr>
      </w:pPr>
    </w:p>
    <w:p>
      <w:pPr>
        <w:ind w:left="7" w:right="4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262,109 common shares for cash at an exercise price of $0.65 per common share. In accordance with the terms of the stock options, the Reporting Person was also issued 5,718 Class A Special Shares, 11,437 Class B Special Shares, 11,437 Class C Special Shares, 22,875 Class D Special Shares, 22,875 Class E Special Shares, 22,875 Class F Special Shares, 28,594 Class G Special Shares and 28,594 Class H Special Shares for no additional consideration.</w:t>
      </w:r>
    </w:p>
    <w:p>
      <w:pPr>
        <w:spacing w:after="0" w:line="23" w:lineRule="exact"/>
        <w:rPr>
          <w:rFonts w:ascii="Times New Roman" w:cs="Times New Roman" w:eastAsia="Times New Roman" w:hAnsi="Times New Roman"/>
          <w:sz w:val="12"/>
          <w:szCs w:val="12"/>
          <w:color w:val="008000"/>
        </w:rPr>
      </w:pPr>
    </w:p>
    <w:p>
      <w:pPr>
        <w:ind w:left="7" w:right="4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252,815 common shares for cash at an exercise price of $0.65 per common share. In accordance with the terms of the stock options, the Reporting Person was also issued 5,516 Class A Special Shares, 11,032 Class B Special Shares, 11,032 Class C Special Shares, 22,064 Class D Special Shares, 22,064 Class E Special Shares, 22,064 Class F Special Shares, 27,580 Class G Special Shares and 27,580 Class H Special Shares for no additional consideration.</w:t>
      </w:r>
    </w:p>
    <w:p>
      <w:pPr>
        <w:spacing w:after="0" w:line="23"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Was fully vested as of September 1, 2020.</w:t>
      </w:r>
    </w:p>
    <w:p>
      <w:pPr>
        <w:spacing w:after="0" w:line="42" w:lineRule="exact"/>
        <w:rPr>
          <w:rFonts w:ascii="Times New Roman" w:cs="Times New Roman" w:eastAsia="Times New Roman" w:hAnsi="Times New Roman"/>
          <w:sz w:val="12"/>
          <w:szCs w:val="12"/>
          <w:color w:val="008000"/>
        </w:rPr>
      </w:pPr>
    </w:p>
    <w:p>
      <w:pPr>
        <w:ind w:left="7" w:right="40" w:hanging="7"/>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to purchase the Class A Special Shares, the Class B Special Shares, the Class C Special Shares, the Class D Special Shares, the Class E Special Shares, the Class F Special Shares, the Class G Special Shares and the Class H Special Shares (collectively, the "Special Shares") set forth in Footnote 3 above.</w:t>
      </w:r>
    </w:p>
    <w:p>
      <w:pPr>
        <w:spacing w:after="0" w:line="14"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by the Reporting Person in connection with the September 9, 2021 business combination transaction as described in the Form 4 submitted by the Reporting Person on September 13, 2021.</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Was fully vested as of March 6, 2021.</w:t>
      </w:r>
    </w:p>
    <w:p>
      <w:pPr>
        <w:spacing w:after="0" w:line="42" w:lineRule="exact"/>
        <w:rPr>
          <w:rFonts w:ascii="Times New Roman" w:cs="Times New Roman" w:eastAsia="Times New Roman" w:hAnsi="Times New Roman"/>
          <w:sz w:val="12"/>
          <w:szCs w:val="12"/>
          <w:color w:val="008000"/>
        </w:rPr>
      </w:pPr>
    </w:p>
    <w:p>
      <w:pPr>
        <w:ind w:left="187" w:hanging="187"/>
        <w:spacing w:after="0"/>
        <w:tabs>
          <w:tab w:leader="none" w:pos="18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to purchase the Special Shares set forth in Footnote 4 above.</w:t>
      </w:r>
    </w:p>
    <w:p>
      <w:pPr>
        <w:spacing w:after="0" w:line="42" w:lineRule="exact"/>
        <w:rPr>
          <w:rFonts w:ascii="Times New Roman" w:cs="Times New Roman" w:eastAsia="Times New Roman" w:hAnsi="Times New Roman"/>
          <w:sz w:val="12"/>
          <w:szCs w:val="12"/>
          <w:color w:val="008000"/>
        </w:rPr>
      </w:pPr>
    </w:p>
    <w:p>
      <w:pPr>
        <w:ind w:left="7" w:hanging="7"/>
        <w:spacing w:after="0" w:line="260" w:lineRule="auto"/>
        <w:tabs>
          <w:tab w:leader="none" w:pos="18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stock options vest in increments upon the occurrence of certain milestones, subject to continued service through each milestone, as previously disclosed in the Form 4 submitted by the Reporting Person on September 13, 2021.</w:t>
      </w:r>
    </w:p>
    <w:p>
      <w:pPr>
        <w:spacing w:after="0" w:line="14" w:lineRule="exact"/>
        <w:rPr>
          <w:rFonts w:ascii="Times New Roman" w:cs="Times New Roman" w:eastAsia="Times New Roman" w:hAnsi="Times New Roman"/>
          <w:sz w:val="12"/>
          <w:szCs w:val="12"/>
          <w:color w:val="008000"/>
        </w:rPr>
      </w:pPr>
    </w:p>
    <w:p>
      <w:pPr>
        <w:ind w:left="187" w:hanging="187"/>
        <w:spacing w:after="0"/>
        <w:tabs>
          <w:tab w:leader="none" w:pos="18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to purchase the Special Shares set forth in Footnote 5 above.</w:t>
      </w:r>
    </w:p>
    <w:p>
      <w:pPr>
        <w:spacing w:after="0" w:line="42" w:lineRule="exact"/>
        <w:rPr>
          <w:rFonts w:ascii="Times New Roman" w:cs="Times New Roman" w:eastAsia="Times New Roman" w:hAnsi="Times New Roman"/>
          <w:sz w:val="12"/>
          <w:szCs w:val="12"/>
          <w:color w:val="008000"/>
        </w:rPr>
      </w:pPr>
    </w:p>
    <w:p>
      <w:pPr>
        <w:ind w:left="7" w:right="240"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includes the right to purchase 16,548 Class A Special Shares, 33,096 Class B Special Shares, 33,096 Class C Special Shares, 66,192 Class D Special Shares, 66,192 Class E Special Shares, 66,192 Class F Special Shares, 82,741 Class G Special Shares and 82,741 Class H Special Shares.</w:t>
      </w:r>
    </w:p>
    <w:p>
      <w:pPr>
        <w:spacing w:after="0" w:line="14" w:lineRule="exact"/>
        <w:rPr>
          <w:rFonts w:ascii="Times New Roman" w:cs="Times New Roman" w:eastAsia="Times New Roman" w:hAnsi="Times New Roman"/>
          <w:sz w:val="12"/>
          <w:szCs w:val="12"/>
          <w:color w:val="008000"/>
        </w:rPr>
      </w:pPr>
    </w:p>
    <w:p>
      <w:pPr>
        <w:ind w:left="7" w:right="100" w:hanging="7"/>
        <w:spacing w:after="0" w:line="238"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Class A Special Shares, the Class B Special Shares, the Class C Special Shares, the Class D Special Shares, the Class E Special Shares, the Class F Special Shares, the Class G Special Shares and the Class H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26" w:lineRule="exact"/>
        <w:rPr>
          <w:rFonts w:ascii="Times New Roman" w:cs="Times New Roman" w:eastAsia="Times New Roman" w:hAnsi="Times New Roman"/>
          <w:sz w:val="12"/>
          <w:szCs w:val="12"/>
          <w:color w:val="008000"/>
        </w:rPr>
      </w:pPr>
    </w:p>
    <w:p>
      <w:pPr>
        <w:ind w:left="187" w:hanging="187"/>
        <w:spacing w:after="0"/>
        <w:tabs>
          <w:tab w:leader="none" w:pos="18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aggregate amount of the specified class of Special Shares acquired upon the exercise of stock options referenced in Footnotes 3, 4 and 5 above.</w:t>
      </w:r>
    </w:p>
    <w:p>
      <w:pPr>
        <w:spacing w:after="0" w:line="50" w:lineRule="exact"/>
        <w:rPr>
          <w:sz w:val="20"/>
          <w:szCs w:val="20"/>
          <w:color w:val="auto"/>
        </w:rPr>
      </w:pPr>
    </w:p>
    <w:tbl>
      <w:tblPr>
        <w:tblLayout w:type="fixed"/>
        <w:tblInd w:w="6567"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Michelle Ancosky. Attorney-</w:t>
            </w:r>
          </w:p>
        </w:tc>
        <w:tc>
          <w:tcPr>
            <w:tcW w:w="80" w:type="dxa"/>
            <w:vAlign w:val="bottom"/>
          </w:tcPr>
          <w:p>
            <w:pPr>
              <w:spacing w:after="0"/>
              <w:rPr>
                <w:sz w:val="16"/>
                <w:szCs w:val="16"/>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09/24/2025</w:t>
            </w:r>
          </w:p>
        </w:tc>
        <w:tc>
          <w:tcPr>
            <w:tcW w:w="0" w:type="dxa"/>
            <w:vAlign w:val="bottom"/>
          </w:tcPr>
          <w:p>
            <w:pPr>
              <w:spacing w:after="0"/>
              <w:rPr>
                <w:sz w:val="1"/>
                <w:szCs w:val="1"/>
                <w:color w:val="auto"/>
              </w:rPr>
            </w:pPr>
          </w:p>
        </w:tc>
      </w:tr>
      <w:tr>
        <w:trPr>
          <w:trHeight w:val="76"/>
        </w:trPr>
        <w:tc>
          <w:tcPr>
            <w:tcW w:w="460" w:type="dxa"/>
            <w:vAlign w:val="bottom"/>
            <w:vMerge w:val="restart"/>
          </w:tcPr>
          <w:p>
            <w:pPr>
              <w:spacing w:after="0" w:line="173" w:lineRule="exact"/>
              <w:rPr>
                <w:sz w:val="20"/>
                <w:szCs w:val="20"/>
                <w:color w:val="auto"/>
              </w:rPr>
            </w:pPr>
            <w:r>
              <w:rPr>
                <w:rFonts w:ascii="Times New Roman" w:cs="Times New Roman" w:eastAsia="Times New Roman" w:hAnsi="Times New Roman"/>
                <w:sz w:val="16"/>
                <w:szCs w:val="16"/>
                <w:color w:val="0000FF"/>
                <w:w w:val="95"/>
              </w:rPr>
              <w:t>In-Fact</w:t>
            </w:r>
          </w:p>
        </w:tc>
        <w:tc>
          <w:tcPr>
            <w:tcW w:w="16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60" w:type="dxa"/>
            <w:vAlign w:val="bottom"/>
            <w:tcBorders>
              <w:bottom w:val="single" w:sz="8" w:color="auto"/>
            </w:tcBorders>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940" w:hanging="7"/>
        <w:spacing w:after="0" w:line="31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7"/>
      </w:cols>
      <w:pgMar w:left="493" w:top="12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77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2025-09-24T20:11:46Z</dcterms:created>
  <dcterms:modified xsi:type="dcterms:W3CDTF">2025-09-24T20:11:46Z</dcterms:modified>
</cp:coreProperties>
</file>