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8720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8720455"/>
                    </a:xfrm>
                    <a:prstGeom prst="rect">
                      <a:avLst/>
                    </a:prstGeom>
                    <a:noFill/>
                  </pic:spPr>
                </pic:pic>
              </a:graphicData>
            </a:graphic>
          </wp:anchor>
        </w:drawing>
      </w:r>
    </w:p>
    <w:p>
      <w:pPr>
        <w:spacing w:after="0" w:line="1158"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Karkar Andrei</w:t>
              </w:r>
            </w:hyperlink>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gridSpan w:val="8"/>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TMC the metals Co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11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02/03/2026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7"/>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1111 WEST HASTINGS STREET, 15TH FLOOR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7"/>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6"/>
                <w:szCs w:val="6"/>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10"/>
            <w:vMerge w:val="continue"/>
          </w:tcPr>
          <w:p>
            <w:pPr>
              <w:spacing w:after="0"/>
              <w:rPr>
                <w:sz w:val="8"/>
                <w:szCs w:val="8"/>
                <w:color w:val="auto"/>
              </w:rPr>
            </w:pPr>
          </w:p>
        </w:tc>
        <w:tc>
          <w:tcPr>
            <w:tcW w:w="30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360" w:type="dxa"/>
            <w:vAlign w:val="bottom"/>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ind w:left="20"/>
              <w:spacing w:after="0" w:line="177" w:lineRule="exact"/>
              <w:rPr>
                <w:sz w:val="20"/>
                <w:szCs w:val="20"/>
                <w:color w:val="auto"/>
              </w:rPr>
            </w:pPr>
            <w:r>
              <w:rPr>
                <w:rFonts w:ascii="Times New Roman" w:cs="Times New Roman" w:eastAsia="Times New Roman" w:hAnsi="Times New Roman"/>
                <w:sz w:val="16"/>
                <w:szCs w:val="16"/>
                <w:color w:val="0000FF"/>
              </w:rPr>
              <w:t>VANCOUVER   A1</w:t>
            </w:r>
          </w:p>
        </w:tc>
        <w:tc>
          <w:tcPr>
            <w:tcW w:w="110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6"/>
                <w:szCs w:val="16"/>
                <w:color w:val="0000FF"/>
              </w:rPr>
              <w:t>V6E 2J3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20"/>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4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40" w:type="dxa"/>
            <w:vAlign w:val="bottom"/>
            <w:gridSpan w:val="7"/>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7"/>
          </w:tcPr>
          <w:p>
            <w:pPr>
              <w:ind w:left="8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8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6"/>
          </w:tcPr>
          <w:p>
            <w:pPr>
              <w:ind w:left="920"/>
              <w:spacing w:after="0"/>
              <w:rPr>
                <w:sz w:val="20"/>
                <w:szCs w:val="20"/>
                <w:color w:val="auto"/>
              </w:rPr>
            </w:pPr>
            <w:r>
              <w:rPr>
                <w:rFonts w:ascii="Times New Roman" w:cs="Times New Roman" w:eastAsia="Times New Roman" w:hAnsi="Times New Roman"/>
                <w:sz w:val="16"/>
                <w:szCs w:val="16"/>
                <w:color w:val="0000FF"/>
              </w:rPr>
              <w:t>02/03/2026</w:t>
            </w:r>
          </w:p>
        </w:tc>
        <w:tc>
          <w:tcPr>
            <w:tcW w:w="1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25"/>
                <w:szCs w:val="25"/>
                <w:color w:val="0000FF"/>
                <w:w w:val="90"/>
                <w:vertAlign w:val="subscript"/>
              </w:rPr>
              <w:t>M</w:t>
            </w:r>
            <w:r>
              <w:rPr>
                <w:rFonts w:ascii="Times New Roman" w:cs="Times New Roman" w:eastAsia="Times New Roman" w:hAnsi="Times New Roman"/>
                <w:sz w:val="10"/>
                <w:szCs w:val="10"/>
                <w:color w:val="008000"/>
                <w:w w:val="90"/>
              </w:rPr>
              <w:t>(1)</w:t>
            </w:r>
          </w:p>
        </w:tc>
        <w:tc>
          <w:tcPr>
            <w:tcW w:w="7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w w:val="99"/>
              </w:rPr>
              <w:t>63,682</w:t>
            </w:r>
          </w:p>
        </w:tc>
        <w:tc>
          <w:tcPr>
            <w:tcW w:w="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0.52</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394,009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ERAS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60,953,495</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40" w:type="dxa"/>
            <w:vAlign w:val="bottom"/>
            <w:gridSpan w:val="19"/>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7"/>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 3,</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4 and 5)</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  V</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00" w:type="dxa"/>
            <w:vAlign w:val="bottom"/>
            <w:vMerge w:val="restart"/>
          </w:tcPr>
          <w:p>
            <w:pPr>
              <w:jc w:val="center"/>
              <w:ind w:left="1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0.52</w:t>
            </w:r>
          </w:p>
        </w:tc>
        <w:tc>
          <w:tcPr>
            <w:tcW w:w="160" w:type="dxa"/>
            <w:vAlign w:val="bottom"/>
          </w:tcPr>
          <w:p>
            <w:pPr>
              <w:spacing w:after="0"/>
              <w:rPr>
                <w:sz w:val="10"/>
                <w:szCs w:val="10"/>
                <w:color w:val="auto"/>
              </w:rPr>
            </w:pPr>
          </w:p>
        </w:tc>
        <w:tc>
          <w:tcPr>
            <w:tcW w:w="108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40"/>
              <w:spacing w:after="0" w:line="277"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0"/>
                <w:szCs w:val="10"/>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63,682</w:t>
            </w: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(3)</w:t>
            </w:r>
          </w:p>
        </w:tc>
        <w:tc>
          <w:tcPr>
            <w:tcW w:w="18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02/17/2026</w:t>
            </w:r>
          </w:p>
        </w:tc>
        <w:tc>
          <w:tcPr>
            <w:tcW w:w="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63,682</w:t>
            </w:r>
            <w:r>
              <w:rPr>
                <w:rFonts w:ascii="Times New Roman" w:cs="Times New Roman" w:eastAsia="Times New Roman" w:hAnsi="Times New Roman"/>
                <w:sz w:val="20"/>
                <w:szCs w:val="20"/>
                <w:color w:val="008000"/>
                <w:w w:val="97"/>
                <w:vertAlign w:val="superscript"/>
              </w:rPr>
              <w:t>(4)</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0"/>
                <w:szCs w:val="10"/>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line="151"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(4)</w:t>
            </w:r>
          </w:p>
        </w:tc>
        <w:tc>
          <w:tcPr>
            <w:tcW w:w="6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vMerge w:val="restart"/>
          </w:tcPr>
          <w:p>
            <w:pPr>
              <w:jc w:val="center"/>
              <w:ind w:left="146"/>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1,389</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1,389</w:t>
            </w:r>
            <w:r>
              <w:rPr>
                <w:rFonts w:ascii="Times New Roman" w:cs="Times New Roman" w:eastAsia="Times New Roman" w:hAnsi="Times New Roman"/>
                <w:sz w:val="20"/>
                <w:szCs w:val="20"/>
                <w:color w:val="008000"/>
                <w:w w:val="89"/>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Special</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1,389</w:t>
            </w:r>
          </w:p>
        </w:tc>
        <w:tc>
          <w:tcPr>
            <w:tcW w:w="5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00" w:type="dxa"/>
            <w:vAlign w:val="bottom"/>
            <w:vMerge w:val="restart"/>
          </w:tcPr>
          <w:p>
            <w:pPr>
              <w:jc w:val="center"/>
              <w:ind w:left="146"/>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2,778</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2,778</w:t>
            </w:r>
            <w:r>
              <w:rPr>
                <w:rFonts w:ascii="Times New Roman" w:cs="Times New Roman" w:eastAsia="Times New Roman" w:hAnsi="Times New Roman"/>
                <w:sz w:val="20"/>
                <w:szCs w:val="20"/>
                <w:color w:val="008000"/>
                <w:w w:val="89"/>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Special</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2,778</w:t>
            </w:r>
          </w:p>
        </w:tc>
        <w:tc>
          <w:tcPr>
            <w:tcW w:w="5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600" w:type="dxa"/>
            <w:vAlign w:val="bottom"/>
            <w:vMerge w:val="restart"/>
          </w:tcPr>
          <w:p>
            <w:pPr>
              <w:jc w:val="center"/>
              <w:ind w:left="146"/>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2,778</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2,778</w:t>
            </w:r>
            <w:r>
              <w:rPr>
                <w:rFonts w:ascii="Times New Roman" w:cs="Times New Roman" w:eastAsia="Times New Roman" w:hAnsi="Times New Roman"/>
                <w:sz w:val="20"/>
                <w:szCs w:val="20"/>
                <w:color w:val="008000"/>
                <w:w w:val="89"/>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Special</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2,778</w:t>
            </w:r>
          </w:p>
        </w:tc>
        <w:tc>
          <w:tcPr>
            <w:tcW w:w="5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D</w:t>
            </w:r>
          </w:p>
        </w:tc>
        <w:tc>
          <w:tcPr>
            <w:tcW w:w="600" w:type="dxa"/>
            <w:vAlign w:val="bottom"/>
            <w:vMerge w:val="restart"/>
          </w:tcPr>
          <w:p>
            <w:pPr>
              <w:jc w:val="center"/>
              <w:ind w:left="146"/>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5,557</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5,557</w:t>
            </w:r>
            <w:r>
              <w:rPr>
                <w:rFonts w:ascii="Times New Roman" w:cs="Times New Roman" w:eastAsia="Times New Roman" w:hAnsi="Times New Roman"/>
                <w:sz w:val="20"/>
                <w:szCs w:val="20"/>
                <w:color w:val="008000"/>
                <w:w w:val="89"/>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Special</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5,557</w:t>
            </w:r>
          </w:p>
        </w:tc>
        <w:tc>
          <w:tcPr>
            <w:tcW w:w="5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E</w:t>
            </w:r>
          </w:p>
        </w:tc>
        <w:tc>
          <w:tcPr>
            <w:tcW w:w="600" w:type="dxa"/>
            <w:vAlign w:val="bottom"/>
            <w:vMerge w:val="restart"/>
          </w:tcPr>
          <w:p>
            <w:pPr>
              <w:jc w:val="center"/>
              <w:ind w:left="146"/>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5,557</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5,557</w:t>
            </w:r>
            <w:r>
              <w:rPr>
                <w:rFonts w:ascii="Times New Roman" w:cs="Times New Roman" w:eastAsia="Times New Roman" w:hAnsi="Times New Roman"/>
                <w:sz w:val="20"/>
                <w:szCs w:val="20"/>
                <w:color w:val="008000"/>
                <w:w w:val="89"/>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Special</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5,557</w:t>
            </w:r>
          </w:p>
        </w:tc>
        <w:tc>
          <w:tcPr>
            <w:tcW w:w="5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F</w:t>
            </w:r>
          </w:p>
        </w:tc>
        <w:tc>
          <w:tcPr>
            <w:tcW w:w="600" w:type="dxa"/>
            <w:vAlign w:val="bottom"/>
            <w:vMerge w:val="restart"/>
          </w:tcPr>
          <w:p>
            <w:pPr>
              <w:jc w:val="center"/>
              <w:ind w:left="146"/>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5,557</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5,557</w:t>
            </w:r>
            <w:r>
              <w:rPr>
                <w:rFonts w:ascii="Times New Roman" w:cs="Times New Roman" w:eastAsia="Times New Roman" w:hAnsi="Times New Roman"/>
                <w:sz w:val="20"/>
                <w:szCs w:val="20"/>
                <w:color w:val="008000"/>
                <w:w w:val="89"/>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Special</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5,557</w:t>
            </w:r>
          </w:p>
        </w:tc>
        <w:tc>
          <w:tcPr>
            <w:tcW w:w="5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G</w:t>
            </w:r>
          </w:p>
        </w:tc>
        <w:tc>
          <w:tcPr>
            <w:tcW w:w="600" w:type="dxa"/>
            <w:vAlign w:val="bottom"/>
            <w:vMerge w:val="restart"/>
          </w:tcPr>
          <w:p>
            <w:pPr>
              <w:jc w:val="center"/>
              <w:ind w:left="146"/>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6,947</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6,947</w:t>
            </w:r>
            <w:r>
              <w:rPr>
                <w:rFonts w:ascii="Times New Roman" w:cs="Times New Roman" w:eastAsia="Times New Roman" w:hAnsi="Times New Roman"/>
                <w:sz w:val="20"/>
                <w:szCs w:val="20"/>
                <w:color w:val="008000"/>
                <w:w w:val="89"/>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Special</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6,947</w:t>
            </w:r>
          </w:p>
        </w:tc>
        <w:tc>
          <w:tcPr>
            <w:tcW w:w="5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H</w:t>
            </w:r>
          </w:p>
        </w:tc>
        <w:tc>
          <w:tcPr>
            <w:tcW w:w="600" w:type="dxa"/>
            <w:vAlign w:val="bottom"/>
            <w:vMerge w:val="restart"/>
          </w:tcPr>
          <w:p>
            <w:pPr>
              <w:jc w:val="center"/>
              <w:ind w:left="146"/>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(7)</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6,947</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6,947</w:t>
            </w:r>
            <w:r>
              <w:rPr>
                <w:rFonts w:ascii="Times New Roman" w:cs="Times New Roman" w:eastAsia="Times New Roman" w:hAnsi="Times New Roman"/>
                <w:sz w:val="20"/>
                <w:szCs w:val="20"/>
                <w:color w:val="008000"/>
                <w:w w:val="89"/>
                <w:vertAlign w:val="superscript"/>
              </w:rPr>
              <w:t>(8)</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Special</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97"/>
              <w:spacing w:after="0" w:line="139" w:lineRule="exact"/>
              <w:rPr>
                <w:sz w:val="20"/>
                <w:szCs w:val="20"/>
                <w:color w:val="auto"/>
              </w:rPr>
            </w:pPr>
            <w:r>
              <w:rPr>
                <w:rFonts w:ascii="Times New Roman" w:cs="Times New Roman" w:eastAsia="Times New Roman" w:hAnsi="Times New Roman"/>
                <w:sz w:val="13"/>
                <w:szCs w:val="13"/>
                <w:color w:val="0000FF"/>
              </w:rPr>
              <w:t>02/03/2026</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6,947</w:t>
            </w:r>
          </w:p>
        </w:tc>
        <w:tc>
          <w:tcPr>
            <w:tcW w:w="5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5"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ind w:left="20"/>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Karkar Andrei</w:t>
              </w:r>
            </w:hyperlink>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-5104130</wp:posOffset>
            </wp:positionV>
            <wp:extent cx="28575" cy="4491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49135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TMC THE METALS COMPANY INC.,</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1111 WEST HASTINGS STREET, 15TH FLOOR</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VANCOUVER</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A1</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V6E 2J3</w:t>
            </w: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600" w:type="dxa"/>
            <w:vAlign w:val="bottom"/>
            <w:gridSpan w:val="4"/>
          </w:tcPr>
          <w:p>
            <w:pPr>
              <w:ind w:left="20"/>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ERAS Capital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0510" cy="2373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0510" cy="237363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6"/>
          <w:szCs w:val="16"/>
          <w:color w:val="0000FF"/>
        </w:rPr>
        <w:t>C/O TMC THE METALS COMPANY INC.,</w:t>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1111 WEST HASTINGS STREET, 15TH FLOOR</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VANCOUVER</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A1</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V6E 2J3</w:t>
            </w:r>
          </w:p>
        </w:tc>
      </w:tr>
      <w:tr>
        <w:trPr>
          <w:trHeight w:val="144"/>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0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right="12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exercise of stock options to purchase 63,682 common shares for cash at an exercise price of $0.52 per common share. In accordance with the terms of the stock options, the Reporting Person was also issued 1,389 Class A Special Shares, 2,778 Class B Special Shares, 2,778 Class C Special Shares, 5,557 Class D Special Shares, 5,557 Class E Special Shares, 5,557 Class F Special Shares, 6,947 Class G Special Shares and 6,947 Class H Special Shares for no additional consideration.</w:t>
      </w:r>
    </w:p>
    <w:p>
      <w:pPr>
        <w:spacing w:after="0" w:line="25" w:lineRule="exact"/>
        <w:rPr>
          <w:rFonts w:ascii="Times New Roman" w:cs="Times New Roman" w:eastAsia="Times New Roman" w:hAnsi="Times New Roman"/>
          <w:sz w:val="13"/>
          <w:szCs w:val="13"/>
          <w:color w:val="008000"/>
        </w:rPr>
      </w:pPr>
    </w:p>
    <w:p>
      <w:pPr>
        <w:ind w:left="20" w:right="260" w:hanging="1"/>
        <w:spacing w:after="0" w:line="24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ERAS Capital LLC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p>
      <w:pPr>
        <w:spacing w:after="0" w:line="21"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Was fully vested as of February 17, 2021.</w:t>
      </w:r>
    </w:p>
    <w:p>
      <w:pPr>
        <w:spacing w:after="0" w:line="39" w:lineRule="exact"/>
        <w:rPr>
          <w:rFonts w:ascii="Times New Roman" w:cs="Times New Roman" w:eastAsia="Times New Roman" w:hAnsi="Times New Roman"/>
          <w:sz w:val="13"/>
          <w:szCs w:val="13"/>
          <w:color w:val="008000"/>
        </w:rPr>
      </w:pPr>
    </w:p>
    <w:p>
      <w:pPr>
        <w:ind w:left="20" w:hanging="1"/>
        <w:spacing w:after="0" w:line="24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Also included the right to purchase the Class A Special Shares, the Class B Special Shares, the Class C Special Shares, the Class D Special Shares, the Class E Special Shares, the Class F Special Shares, the Class G Special Shares and the Class H Special Shares (collectively, the "Special Shares") set forth in Footnote 1 above.</w:t>
      </w:r>
    </w:p>
    <w:p>
      <w:pPr>
        <w:spacing w:after="0" w:line="21"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by the Reporting Person as described in the Form 4 submitted by the Reporting Person on September 13, 2021.</w:t>
      </w:r>
    </w:p>
    <w:p>
      <w:pPr>
        <w:spacing w:after="0" w:line="39" w:lineRule="exact"/>
        <w:rPr>
          <w:rFonts w:ascii="Times New Roman" w:cs="Times New Roman" w:eastAsia="Times New Roman" w:hAnsi="Times New Roman"/>
          <w:sz w:val="13"/>
          <w:szCs w:val="13"/>
          <w:color w:val="008000"/>
        </w:rPr>
      </w:pPr>
    </w:p>
    <w:p>
      <w:pPr>
        <w:ind w:left="20" w:right="80" w:hanging="1"/>
        <w:spacing w:after="0" w:line="230"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27"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amount of the specified class of Special Shares acquired upon the exercise of stock options referenced in Footnote 1 above.</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Does not include the Special Shares held by ERAS Capital LLC that were previously reported in the Form 4 submitted by the Reporting Person on September 13, 2021.</w:t>
      </w:r>
    </w:p>
    <w:p>
      <w:pPr>
        <w:ind w:left="6580"/>
        <w:spacing w:after="0" w:line="185" w:lineRule="auto"/>
        <w:rPr>
          <w:sz w:val="20"/>
          <w:szCs w:val="20"/>
          <w:color w:val="auto"/>
        </w:rPr>
      </w:pPr>
      <w:r>
        <w:rPr>
          <w:rFonts w:ascii="Times New Roman" w:cs="Times New Roman" w:eastAsia="Times New Roman" w:hAnsi="Times New Roman"/>
          <w:sz w:val="16"/>
          <w:szCs w:val="16"/>
          <w:color w:val="0000FF"/>
        </w:rPr>
        <w:t xml:space="preserve">/s/ Michelle Ancosky, Attorney- </w:t>
      </w:r>
      <w:r>
        <w:rPr>
          <w:rFonts w:ascii="Times New Roman" w:cs="Times New Roman" w:eastAsia="Times New Roman" w:hAnsi="Times New Roman"/>
          <w:sz w:val="32"/>
          <w:szCs w:val="32"/>
          <w:color w:val="0000FF"/>
          <w:vertAlign w:val="subscript"/>
        </w:rPr>
        <w:t>02/05/2026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-26035</wp:posOffset>
            </wp:positionV>
            <wp:extent cx="1339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300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-79375</wp:posOffset>
            </wp:positionV>
            <wp:extent cx="473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540" w:hanging="1"/>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25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3" Type="http://schemas.openxmlformats.org/officeDocument/2006/relationships/hyperlink" Target="http://www.sec.gov/cgi-bin/browse-edgar?action=getcompany&amp;CIK=0001874431" TargetMode="External"/><Relationship Id="rId14" Type="http://schemas.openxmlformats.org/officeDocument/2006/relationships/hyperlink" Target="http://www.sec.gov/cgi-bin/browse-edgar?action=getcompany&amp;CIK=0001798562" TargetMode="External"/><Relationship Id="rId16"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2026-02-05T18:50:00Z</dcterms:created>
  <dcterms:modified xsi:type="dcterms:W3CDTF">2026-02-05T18:50:00Z</dcterms:modified>
</cp:coreProperties>
</file>