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6998335" cy="7828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7828915"/>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20" w:space="36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Madsbjerg Christian</w:t>
              </w:r>
            </w:hyperlink>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8"/>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TMC the metals Co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82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96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jc w:val="center"/>
              <w:ind w:left="98"/>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TMC THE METALS COMPANY INC.,</w:t>
            </w:r>
          </w:p>
        </w:tc>
        <w:tc>
          <w:tcPr>
            <w:tcW w:w="130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02/06/2026</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1111 WEST HASTINGS STREET, 15TH FLOOR</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96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2"/>
                <w:szCs w:val="2"/>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gridSpan w:val="9"/>
            <w:vMerge w:val="continue"/>
          </w:tcPr>
          <w:p>
            <w:pPr>
              <w:spacing w:after="0"/>
              <w:rPr>
                <w:sz w:val="13"/>
                <w:szCs w:val="13"/>
                <w:color w:val="auto"/>
              </w:rPr>
            </w:pPr>
          </w:p>
        </w:tc>
        <w:tc>
          <w:tcPr>
            <w:tcW w:w="26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VANCOUVER   A1</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V6E 2J3</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gridSpan w:val="2"/>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2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60" w:type="dxa"/>
            <w:vAlign w:val="bottom"/>
          </w:tcPr>
          <w:p>
            <w:pPr>
              <w:ind w:left="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5"/>
          </w:tcPr>
          <w:p>
            <w:pPr>
              <w:spacing w:after="0"/>
              <w:rPr>
                <w:sz w:val="10"/>
                <w:szCs w:val="10"/>
                <w:color w:val="auto"/>
              </w:rPr>
            </w:pPr>
          </w:p>
        </w:tc>
        <w:tc>
          <w:tcPr>
            <w:tcW w:w="182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8"/>
          </w:tcPr>
          <w:p>
            <w:pPr>
              <w:ind w:left="6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88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21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gridSpan w:val="6"/>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2720" w:type="dxa"/>
            <w:vAlign w:val="bottom"/>
            <w:gridSpan w:val="7"/>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gridSpan w:val="6"/>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jc w:val="right"/>
              <w:ind w:right="140"/>
              <w:spacing w:after="0"/>
              <w:rPr>
                <w:sz w:val="20"/>
                <w:szCs w:val="20"/>
                <w:color w:val="auto"/>
              </w:rPr>
            </w:pPr>
            <w:r>
              <w:rPr>
                <w:rFonts w:ascii="Times New Roman" w:cs="Times New Roman" w:eastAsia="Times New Roman" w:hAnsi="Times New Roman"/>
                <w:sz w:val="16"/>
                <w:szCs w:val="16"/>
                <w:color w:val="0000FF"/>
                <w:w w:val="98"/>
              </w:rPr>
              <w:t>02/06/2026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8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11,578</w:t>
            </w: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gridSpan w:val="2"/>
          </w:tcPr>
          <w:p>
            <w:pPr>
              <w:jc w:val="right"/>
              <w:ind w:right="3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343,198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jc w:val="right"/>
              <w:ind w:right="140"/>
              <w:spacing w:after="0"/>
              <w:rPr>
                <w:sz w:val="20"/>
                <w:szCs w:val="20"/>
                <w:color w:val="auto"/>
              </w:rPr>
            </w:pPr>
            <w:r>
              <w:rPr>
                <w:rFonts w:ascii="Times New Roman" w:cs="Times New Roman" w:eastAsia="Times New Roman" w:hAnsi="Times New Roman"/>
                <w:sz w:val="16"/>
                <w:szCs w:val="16"/>
                <w:color w:val="0000FF"/>
                <w:w w:val="98"/>
              </w:rPr>
              <w:t>02/06/2026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(2)</w:t>
            </w:r>
          </w:p>
        </w:tc>
        <w:tc>
          <w:tcPr>
            <w:tcW w:w="8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31,602</w:t>
            </w: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gridSpan w:val="2"/>
          </w:tcPr>
          <w:p>
            <w:pPr>
              <w:jc w:val="right"/>
              <w:ind w:right="3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0.65</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374,800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7"/>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20" w:type="dxa"/>
            <w:vAlign w:val="bottom"/>
            <w:gridSpan w:val="16"/>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6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6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43"/>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6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4)</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 3,</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4 and 5)</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0.52</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vMerge w:val="restart"/>
          </w:tcPr>
          <w:p>
            <w:pPr>
              <w:ind w:left="100"/>
              <w:spacing w:after="0" w:line="274"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11,578</w:t>
            </w:r>
          </w:p>
        </w:tc>
        <w:tc>
          <w:tcPr>
            <w:tcW w:w="200" w:type="dxa"/>
            <w:vAlign w:val="bottom"/>
          </w:tcPr>
          <w:p>
            <w:pPr>
              <w:spacing w:after="0"/>
              <w:rPr>
                <w:sz w:val="10"/>
                <w:szCs w:val="10"/>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(3)</w:t>
            </w:r>
          </w:p>
        </w:tc>
        <w:tc>
          <w:tcPr>
            <w:tcW w:w="160" w:type="dxa"/>
            <w:vAlign w:val="bottom"/>
          </w:tcPr>
          <w:p>
            <w:pPr>
              <w:spacing w:after="0"/>
              <w:rPr>
                <w:sz w:val="10"/>
                <w:szCs w:val="10"/>
                <w:color w:val="auto"/>
              </w:rPr>
            </w:pPr>
          </w:p>
        </w:tc>
        <w:tc>
          <w:tcPr>
            <w:tcW w:w="82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color w:val="0000FF"/>
              </w:rPr>
              <w:t>02/17/2026</w:t>
            </w:r>
          </w:p>
        </w:tc>
        <w:tc>
          <w:tcPr>
            <w:tcW w:w="580" w:type="dxa"/>
            <w:vAlign w:val="bottom"/>
            <w:vMerge w:val="continue"/>
          </w:tcPr>
          <w:p>
            <w:pPr>
              <w:spacing w:after="0"/>
              <w:rPr>
                <w:sz w:val="10"/>
                <w:szCs w:val="10"/>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11,578</w:t>
            </w:r>
            <w:r>
              <w:rPr>
                <w:rFonts w:ascii="Times New Roman" w:cs="Times New Roman" w:eastAsia="Times New Roman" w:hAnsi="Times New Roman"/>
                <w:sz w:val="20"/>
                <w:szCs w:val="20"/>
                <w:color w:val="008000"/>
                <w:w w:val="93"/>
                <w:vertAlign w:val="superscript"/>
              </w:rPr>
              <w:t>(4)</w:t>
            </w:r>
          </w:p>
        </w:tc>
        <w:tc>
          <w:tcPr>
            <w:tcW w:w="40" w:type="dxa"/>
            <w:vAlign w:val="bottom"/>
          </w:tcPr>
          <w:p>
            <w:pPr>
              <w:spacing w:after="0"/>
              <w:rPr>
                <w:sz w:val="10"/>
                <w:szCs w:val="10"/>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vMerge w:val="restart"/>
          </w:tcPr>
          <w:p>
            <w:pPr>
              <w:jc w:val="center"/>
              <w:ind w:left="201"/>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0"/>
                <w:szCs w:val="10"/>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80" w:type="dxa"/>
            <w:vAlign w:val="bottom"/>
          </w:tcPr>
          <w:p>
            <w:pPr>
              <w:ind w:left="40"/>
              <w:spacing w:after="0" w:line="150"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(4)</w:t>
            </w:r>
          </w:p>
        </w:tc>
        <w:tc>
          <w:tcPr>
            <w:tcW w:w="6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0.65</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vMerge w:val="restart"/>
          </w:tcPr>
          <w:p>
            <w:pPr>
              <w:ind w:left="100"/>
              <w:spacing w:after="0" w:line="274"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(2)</w:t>
            </w:r>
          </w:p>
        </w:tc>
        <w:tc>
          <w:tcPr>
            <w:tcW w:w="420" w:type="dxa"/>
            <w:vAlign w:val="bottom"/>
          </w:tcPr>
          <w:p>
            <w:pPr>
              <w:spacing w:after="0"/>
              <w:rPr>
                <w:sz w:val="10"/>
                <w:szCs w:val="10"/>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31,602</w:t>
            </w:r>
          </w:p>
        </w:tc>
        <w:tc>
          <w:tcPr>
            <w:tcW w:w="200" w:type="dxa"/>
            <w:vAlign w:val="bottom"/>
          </w:tcPr>
          <w:p>
            <w:pPr>
              <w:spacing w:after="0"/>
              <w:rPr>
                <w:sz w:val="10"/>
                <w:szCs w:val="10"/>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0"/>
                <w:szCs w:val="10"/>
                <w:color w:val="auto"/>
              </w:rPr>
            </w:pPr>
          </w:p>
        </w:tc>
        <w:tc>
          <w:tcPr>
            <w:tcW w:w="82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color w:val="0000FF"/>
                <w:w w:val="99"/>
              </w:rPr>
              <w:t>06/01/2028</w:t>
            </w:r>
            <w:r>
              <w:rPr>
                <w:rFonts w:ascii="Times New Roman" w:cs="Times New Roman" w:eastAsia="Times New Roman" w:hAnsi="Times New Roman"/>
                <w:sz w:val="20"/>
                <w:szCs w:val="20"/>
                <w:color w:val="008000"/>
                <w:w w:val="99"/>
                <w:vertAlign w:val="superscript"/>
              </w:rPr>
              <w:t>(6)</w:t>
            </w:r>
          </w:p>
        </w:tc>
        <w:tc>
          <w:tcPr>
            <w:tcW w:w="580" w:type="dxa"/>
            <w:vAlign w:val="bottom"/>
            <w:vMerge w:val="continue"/>
          </w:tcPr>
          <w:p>
            <w:pPr>
              <w:spacing w:after="0"/>
              <w:rPr>
                <w:sz w:val="10"/>
                <w:szCs w:val="10"/>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31,602</w:t>
            </w:r>
            <w:r>
              <w:rPr>
                <w:rFonts w:ascii="Times New Roman" w:cs="Times New Roman" w:eastAsia="Times New Roman" w:hAnsi="Times New Roman"/>
                <w:sz w:val="20"/>
                <w:szCs w:val="20"/>
                <w:color w:val="008000"/>
                <w:w w:val="97"/>
                <w:vertAlign w:val="superscript"/>
              </w:rPr>
              <w:t>(7)</w:t>
            </w:r>
          </w:p>
        </w:tc>
        <w:tc>
          <w:tcPr>
            <w:tcW w:w="40" w:type="dxa"/>
            <w:vAlign w:val="bottom"/>
          </w:tcPr>
          <w:p>
            <w:pPr>
              <w:spacing w:after="0"/>
              <w:rPr>
                <w:sz w:val="10"/>
                <w:szCs w:val="10"/>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94,805</w:t>
            </w:r>
            <w:r>
              <w:rPr>
                <w:rFonts w:ascii="Times New Roman" w:cs="Times New Roman" w:eastAsia="Times New Roman" w:hAnsi="Times New Roman"/>
                <w:sz w:val="20"/>
                <w:szCs w:val="20"/>
                <w:color w:val="008000"/>
                <w:w w:val="94"/>
                <w:vertAlign w:val="superscript"/>
              </w:rPr>
              <w:t>(10)</w:t>
            </w: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80" w:type="dxa"/>
            <w:vAlign w:val="bottom"/>
          </w:tcPr>
          <w:p>
            <w:pPr>
              <w:ind w:left="40"/>
              <w:spacing w:after="0" w:line="150"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(7)</w:t>
            </w:r>
          </w:p>
        </w:tc>
        <w:tc>
          <w:tcPr>
            <w:tcW w:w="6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(9)</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(8)</w:t>
            </w:r>
          </w:p>
        </w:tc>
        <w:tc>
          <w:tcPr>
            <w:tcW w:w="160" w:type="dxa"/>
            <w:vAlign w:val="bottom"/>
          </w:tcPr>
          <w:p>
            <w:pPr>
              <w:spacing w:after="0"/>
              <w:rPr>
                <w:sz w:val="15"/>
                <w:szCs w:val="15"/>
                <w:color w:val="auto"/>
              </w:rPr>
            </w:pPr>
          </w:p>
        </w:tc>
        <w:tc>
          <w:tcPr>
            <w:tcW w:w="82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941</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(8)</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760" w:type="dxa"/>
            <w:vAlign w:val="bottom"/>
            <w:vMerge w:val="continue"/>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941</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ind w:left="221"/>
              <w:spacing w:after="0"/>
              <w:rPr>
                <w:sz w:val="20"/>
                <w:szCs w:val="20"/>
                <w:color w:val="auto"/>
              </w:rPr>
            </w:pPr>
            <w:r>
              <w:rPr>
                <w:rFonts w:ascii="Times New Roman" w:cs="Times New Roman" w:eastAsia="Times New Roman" w:hAnsi="Times New Roman"/>
                <w:sz w:val="12"/>
                <w:szCs w:val="12"/>
                <w:color w:val="0000FF"/>
              </w:rPr>
              <w:t>941</w:t>
            </w:r>
          </w:p>
        </w:tc>
        <w:tc>
          <w:tcPr>
            <w:tcW w:w="300" w:type="dxa"/>
            <w:vAlign w:val="bottom"/>
          </w:tcPr>
          <w:p>
            <w:pPr>
              <w:spacing w:after="0"/>
              <w:rPr>
                <w:sz w:val="5"/>
                <w:szCs w:val="5"/>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(9)</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(8)</w:t>
            </w:r>
          </w:p>
        </w:tc>
        <w:tc>
          <w:tcPr>
            <w:tcW w:w="160" w:type="dxa"/>
            <w:vAlign w:val="bottom"/>
          </w:tcPr>
          <w:p>
            <w:pPr>
              <w:spacing w:after="0"/>
              <w:rPr>
                <w:sz w:val="15"/>
                <w:szCs w:val="15"/>
                <w:color w:val="auto"/>
              </w:rPr>
            </w:pPr>
          </w:p>
        </w:tc>
        <w:tc>
          <w:tcPr>
            <w:tcW w:w="82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1,884</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(8)</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760" w:type="dxa"/>
            <w:vAlign w:val="bottom"/>
            <w:vMerge w:val="continue"/>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1,884</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1,884</w:t>
            </w: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(9)</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(8)</w:t>
            </w:r>
          </w:p>
        </w:tc>
        <w:tc>
          <w:tcPr>
            <w:tcW w:w="160" w:type="dxa"/>
            <w:vAlign w:val="bottom"/>
          </w:tcPr>
          <w:p>
            <w:pPr>
              <w:spacing w:after="0"/>
              <w:rPr>
                <w:sz w:val="15"/>
                <w:szCs w:val="15"/>
                <w:color w:val="auto"/>
              </w:rPr>
            </w:pPr>
          </w:p>
        </w:tc>
        <w:tc>
          <w:tcPr>
            <w:tcW w:w="82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1,884</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(8)</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760" w:type="dxa"/>
            <w:vAlign w:val="bottom"/>
            <w:vMerge w:val="continue"/>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1,884</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1,884</w:t>
            </w: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(9)</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(8)</w:t>
            </w:r>
          </w:p>
        </w:tc>
        <w:tc>
          <w:tcPr>
            <w:tcW w:w="160" w:type="dxa"/>
            <w:vAlign w:val="bottom"/>
          </w:tcPr>
          <w:p>
            <w:pPr>
              <w:spacing w:after="0"/>
              <w:rPr>
                <w:sz w:val="15"/>
                <w:szCs w:val="15"/>
                <w:color w:val="auto"/>
              </w:rPr>
            </w:pPr>
          </w:p>
        </w:tc>
        <w:tc>
          <w:tcPr>
            <w:tcW w:w="82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3,768</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(8)</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760" w:type="dxa"/>
            <w:vAlign w:val="bottom"/>
            <w:vMerge w:val="continue"/>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3,768</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3,768</w:t>
            </w: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(9)</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(8)</w:t>
            </w:r>
          </w:p>
        </w:tc>
        <w:tc>
          <w:tcPr>
            <w:tcW w:w="160" w:type="dxa"/>
            <w:vAlign w:val="bottom"/>
          </w:tcPr>
          <w:p>
            <w:pPr>
              <w:spacing w:after="0"/>
              <w:rPr>
                <w:sz w:val="15"/>
                <w:szCs w:val="15"/>
                <w:color w:val="auto"/>
              </w:rPr>
            </w:pPr>
          </w:p>
        </w:tc>
        <w:tc>
          <w:tcPr>
            <w:tcW w:w="82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3,768</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(8)</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760" w:type="dxa"/>
            <w:vAlign w:val="bottom"/>
            <w:vMerge w:val="continue"/>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3,768</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3,768</w:t>
            </w: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F</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(9)</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(8)</w:t>
            </w:r>
          </w:p>
        </w:tc>
        <w:tc>
          <w:tcPr>
            <w:tcW w:w="160" w:type="dxa"/>
            <w:vAlign w:val="bottom"/>
          </w:tcPr>
          <w:p>
            <w:pPr>
              <w:spacing w:after="0"/>
              <w:rPr>
                <w:sz w:val="15"/>
                <w:szCs w:val="15"/>
                <w:color w:val="auto"/>
              </w:rPr>
            </w:pPr>
          </w:p>
        </w:tc>
        <w:tc>
          <w:tcPr>
            <w:tcW w:w="82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3,768</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(8)</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760" w:type="dxa"/>
            <w:vAlign w:val="bottom"/>
            <w:vMerge w:val="continue"/>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3,768</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3,768</w:t>
            </w: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(9)</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(8)</w:t>
            </w:r>
          </w:p>
        </w:tc>
        <w:tc>
          <w:tcPr>
            <w:tcW w:w="160" w:type="dxa"/>
            <w:vAlign w:val="bottom"/>
          </w:tcPr>
          <w:p>
            <w:pPr>
              <w:spacing w:after="0"/>
              <w:rPr>
                <w:sz w:val="15"/>
                <w:szCs w:val="15"/>
                <w:color w:val="auto"/>
              </w:rPr>
            </w:pPr>
          </w:p>
        </w:tc>
        <w:tc>
          <w:tcPr>
            <w:tcW w:w="82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4,710</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(8)</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760" w:type="dxa"/>
            <w:vAlign w:val="bottom"/>
            <w:vMerge w:val="continue"/>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4,710</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4,710</w:t>
            </w: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H</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(9)</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(8)</w:t>
            </w:r>
          </w:p>
        </w:tc>
        <w:tc>
          <w:tcPr>
            <w:tcW w:w="160" w:type="dxa"/>
            <w:vAlign w:val="bottom"/>
          </w:tcPr>
          <w:p>
            <w:pPr>
              <w:spacing w:after="0"/>
              <w:rPr>
                <w:sz w:val="15"/>
                <w:szCs w:val="15"/>
                <w:color w:val="auto"/>
              </w:rPr>
            </w:pPr>
          </w:p>
        </w:tc>
        <w:tc>
          <w:tcPr>
            <w:tcW w:w="82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4,710</w:t>
            </w:r>
          </w:p>
        </w:tc>
        <w:tc>
          <w:tcPr>
            <w:tcW w:w="40" w:type="dxa"/>
            <w:vAlign w:val="bottom"/>
          </w:tcPr>
          <w:p>
            <w:pPr>
              <w:spacing w:after="0"/>
              <w:rPr>
                <w:sz w:val="15"/>
                <w:szCs w:val="15"/>
                <w:color w:val="auto"/>
              </w:rPr>
            </w:pPr>
          </w:p>
        </w:tc>
        <w:tc>
          <w:tcPr>
            <w:tcW w:w="680" w:type="dxa"/>
            <w:vAlign w:val="bottom"/>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(8)</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Special</w:t>
            </w:r>
          </w:p>
        </w:tc>
        <w:tc>
          <w:tcPr>
            <w:tcW w:w="760" w:type="dxa"/>
            <w:vAlign w:val="bottom"/>
            <w:vMerge w:val="continue"/>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02/06/2026</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2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4,710</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4,710</w:t>
            </w: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Shares</w:t>
            </w: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-4863465</wp:posOffset>
            </wp:positionV>
            <wp:extent cx="28575" cy="4869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86918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20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exercise of stock options to purchase 11,578 common shares for cash at an exercise price of $0.52 per common share. In accordance with the terms of the stock options, the Reporting Person was also issued 252 Class A Special Shares, 505 Class B Special Shares, 505 Class C Special Shares, 1,010 Class D Special Shares, 1,010 Class E Special Shares, 1,010 Class F Special Shares, 1,263 Class G Special Shares and 1,263 Class H Special Shares for no additional consideration.</w:t>
      </w:r>
    </w:p>
    <w:p>
      <w:pPr>
        <w:spacing w:after="0" w:line="12" w:lineRule="exact"/>
        <w:rPr>
          <w:rFonts w:ascii="Times New Roman" w:cs="Times New Roman" w:eastAsia="Times New Roman" w:hAnsi="Times New Roman"/>
          <w:sz w:val="12"/>
          <w:szCs w:val="12"/>
          <w:color w:val="008000"/>
        </w:rPr>
      </w:pPr>
    </w:p>
    <w:p>
      <w:pPr>
        <w:ind w:left="40" w:right="30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exercise of stock options to purchase 31,602 common shares for cash at an exercise price of $0.65 per common share. The deadline to exercise these stock options with respect to the vested common shares underlying them is March 5, 2026. In accordance with the terms of the stock options, the Reporting Person was also issued 689 Class A Special Shares, 1,379 Class B Special Shares, 1,379 Class C Special Shares, 2,758 Class D Special Shares, 2,758 Class E Special Shares, 2,758 Class F Special Shares, 3,447 Class G Special Shares and 3,447 Class H Special Shares for no additional consideration.</w:t>
      </w:r>
    </w:p>
    <w:p>
      <w:pPr>
        <w:spacing w:after="0" w:line="12"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Was fully vested as of February 26, 2021.</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included the right to purchase the Class A Special Shares, the Class B Special Shares, the Class C Special Shares, the Class D Special Shares, the Class E Special Shares, the Class F Special Shares, the Class G</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Times New Roman" w:cs="Times New Roman" w:eastAsia="Times New Roman" w:hAnsi="Times New Roman"/>
          <w:sz w:val="12"/>
          <w:szCs w:val="12"/>
          <w:color w:val="008000"/>
        </w:rPr>
        <w:t>Special Shares and the Class H Special Shares (collectively, the "Special Shares") set forth in Footnote 1 above.</w:t>
      </w:r>
    </w:p>
    <w:p>
      <w:pPr>
        <w:spacing w:after="0" w:line="49" w:lineRule="exact"/>
        <w:rPr>
          <w:sz w:val="20"/>
          <w:szCs w:val="20"/>
          <w:color w:val="auto"/>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by the Reporting Person as described in the Form 4 submitted by the Reporting Person on September 13, 2021.</w:t>
      </w:r>
    </w:p>
    <w:p>
      <w:pPr>
        <w:spacing w:after="0" w:line="48" w:lineRule="exact"/>
        <w:rPr>
          <w:rFonts w:ascii="Times New Roman" w:cs="Times New Roman" w:eastAsia="Times New Roman" w:hAnsi="Times New Roman"/>
          <w:sz w:val="12"/>
          <w:szCs w:val="12"/>
          <w:color w:val="008000"/>
        </w:rPr>
      </w:pPr>
    </w:p>
    <w:p>
      <w:pPr>
        <w:ind w:left="3" w:right="360" w:hanging="3"/>
        <w:spacing w:after="0" w:line="281"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stock options vest in increments upon the occurrence of certain milestones, subject to continued service through each milestone. These stock options are exercisable at any time until March 5 of the year following vesting of such stock option (any such date, the "Exercise Date"). These stock options expire on the day after the Exercise Date.</w:t>
      </w: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included the right Special Shares set forth in Footnote 2 above.</w:t>
      </w:r>
    </w:p>
    <w:p>
      <w:pPr>
        <w:spacing w:after="0" w:line="48" w:lineRule="exact"/>
        <w:rPr>
          <w:rFonts w:ascii="Times New Roman" w:cs="Times New Roman" w:eastAsia="Times New Roman" w:hAnsi="Times New Roman"/>
          <w:sz w:val="12"/>
          <w:szCs w:val="12"/>
          <w:color w:val="008000"/>
        </w:rPr>
      </w:pPr>
    </w:p>
    <w:p>
      <w:pPr>
        <w:ind w:left="3" w:hanging="3"/>
        <w:spacing w:after="0" w:line="252"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18"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aggregate amount of the specified class of Special Shares acquired upon the exercise of stock options referenced in Footnotes 1 and 2 above.</w:t>
      </w:r>
    </w:p>
    <w:p>
      <w:pPr>
        <w:spacing w:after="0" w:line="48" w:lineRule="exact"/>
        <w:rPr>
          <w:rFonts w:ascii="Times New Roman" w:cs="Times New Roman" w:eastAsia="Times New Roman" w:hAnsi="Times New Roman"/>
          <w:sz w:val="12"/>
          <w:szCs w:val="12"/>
          <w:color w:val="008000"/>
        </w:rPr>
      </w:pPr>
    </w:p>
    <w:p>
      <w:pPr>
        <w:ind w:left="3" w:right="220" w:hanging="3"/>
        <w:spacing w:after="0" w:line="261"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Also includes the right to purchase 2,069 Class A Special Shares, 4,137 Class B Special Shares, 4,137 Class C Special Shares, 8,274 Class D Special Shares, 8,274 Class E Special Shares, 8,274 Class F Special Shares, 10,343 Class G Special Shares and 10,343 Class H Special Shares.</w:t>
      </w:r>
    </w:p>
    <w:p>
      <w:pPr>
        <w:ind w:left="6563"/>
        <w:spacing w:after="0" w:line="185" w:lineRule="auto"/>
        <w:rPr>
          <w:sz w:val="20"/>
          <w:szCs w:val="20"/>
          <w:color w:val="auto"/>
        </w:rPr>
      </w:pPr>
      <w:r>
        <w:rPr>
          <w:rFonts w:ascii="Times New Roman" w:cs="Times New Roman" w:eastAsia="Times New Roman" w:hAnsi="Times New Roman"/>
          <w:sz w:val="16"/>
          <w:szCs w:val="16"/>
          <w:color w:val="0000FF"/>
        </w:rPr>
        <w:t xml:space="preserve">/s/ Michelle Ancosky, Attorney-  </w:t>
      </w:r>
      <w:r>
        <w:rPr>
          <w:rFonts w:ascii="Times New Roman" w:cs="Times New Roman" w:eastAsia="Times New Roman" w:hAnsi="Times New Roman"/>
          <w:sz w:val="30"/>
          <w:szCs w:val="30"/>
          <w:color w:val="0000FF"/>
          <w:vertAlign w:val="subscript"/>
        </w:rPr>
        <w:t>02/10/2026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-26035</wp:posOffset>
            </wp:positionV>
            <wp:extent cx="13246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-16510</wp:posOffset>
            </wp:positionV>
            <wp:extent cx="2971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7620"/>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-80010</wp:posOffset>
            </wp:positionV>
            <wp:extent cx="4686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7" w:lineRule="exact"/>
        <w:rPr>
          <w:sz w:val="20"/>
          <w:szCs w:val="20"/>
          <w:color w:val="auto"/>
        </w:rPr>
      </w:pPr>
    </w:p>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60" w:hanging="3"/>
        <w:spacing w:after="0" w:line="325"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3"/>
      </w:cols>
      <w:pgMar w:left="497"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443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2026-02-10T19:00:49Z</dcterms:created>
  <dcterms:modified xsi:type="dcterms:W3CDTF">2026-02-10T19:00:49Z</dcterms:modified>
</cp:coreProperties>
</file>