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7195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195820"/>
                    </a:xfrm>
                    <a:prstGeom prst="rect">
                      <a:avLst/>
                    </a:prstGeom>
                    <a:noFill/>
                  </pic:spPr>
                </pic:pic>
              </a:graphicData>
            </a:graphic>
          </wp:anchor>
        </w:drawing>
      </w:r>
    </w:p>
    <w:p>
      <w:pPr>
        <w:spacing w:after="0" w:line="1027" w:lineRule="exact"/>
        <w:rPr>
          <w:sz w:val="24"/>
          <w:szCs w:val="24"/>
          <w:color w:val="auto"/>
        </w:rPr>
      </w:pPr>
    </w:p>
    <w:p>
      <w:pPr>
        <w:sectPr>
          <w:pgSz w:w="11900" w:h="16954"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vMerge w:val="restart"/>
          </w:tcPr>
          <w:p>
            <w:pPr>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Shesky Craig</w:t>
              </w:r>
            </w:hyperlink>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TMC the metals Co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TMC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60" w:type="dxa"/>
            <w:vAlign w:val="bottom"/>
            <w:tcBorders>
              <w:bottom w:val="single" w:sz="8" w:color="0000EE"/>
            </w:tcBorders>
            <w:gridSpan w:val="2"/>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060" w:type="dxa"/>
            <w:vAlign w:val="bottom"/>
            <w:gridSpan w:val="2"/>
          </w:tcPr>
          <w:p>
            <w:pPr>
              <w:spacing w:after="0"/>
              <w:rPr>
                <w:sz w:val="5"/>
                <w:szCs w:val="5"/>
                <w:color w:val="auto"/>
              </w:rPr>
            </w:pPr>
          </w:p>
        </w:tc>
        <w:tc>
          <w:tcPr>
            <w:tcW w:w="2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60" w:type="dxa"/>
            <w:vAlign w:val="bottom"/>
            <w:gridSpan w:val="4"/>
          </w:tcPr>
          <w:p>
            <w:pPr>
              <w:ind w:left="22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00" w:type="dxa"/>
            <w:vAlign w:val="bottom"/>
            <w:tcBorders>
              <w:top w:val="single" w:sz="8" w:color="EEEEEE"/>
            </w:tcBorders>
          </w:tcPr>
          <w:p>
            <w:pPr>
              <w:spacing w:after="0"/>
              <w:rPr>
                <w:sz w:val="12"/>
                <w:szCs w:val="12"/>
                <w:color w:val="auto"/>
              </w:rPr>
            </w:pPr>
          </w:p>
        </w:tc>
        <w:tc>
          <w:tcPr>
            <w:tcW w:w="1320" w:type="dxa"/>
            <w:vAlign w:val="bottom"/>
            <w:tcBorders>
              <w:top w:val="single" w:sz="8" w:color="EEEEEE"/>
              <w:bottom w:val="single" w:sz="8" w:color="EEEEEE"/>
            </w:tcBorders>
            <w:gridSpan w:val="2"/>
            <w:vMerge w:val="restart"/>
          </w:tcPr>
          <w:p>
            <w:pPr>
              <w:ind w:left="16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2"/>
                <w:szCs w:val="12"/>
                <w:color w:val="auto"/>
              </w:rPr>
            </w:pPr>
          </w:p>
        </w:tc>
        <w:tc>
          <w:tcPr>
            <w:tcW w:w="24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ind w:left="99"/>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6"/>
            <w:vMerge w:val="continue"/>
          </w:tcPr>
          <w:p>
            <w:pPr>
              <w:spacing w:after="0"/>
              <w:rPr>
                <w:sz w:val="18"/>
                <w:szCs w:val="18"/>
                <w:color w:val="auto"/>
              </w:rPr>
            </w:pPr>
          </w:p>
        </w:tc>
        <w:tc>
          <w:tcPr>
            <w:tcW w:w="130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02/10/2026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gridSpan w:val="5"/>
          </w:tcPr>
          <w:p>
            <w:pPr>
              <w:spacing w:after="0"/>
              <w:rPr>
                <w:sz w:val="17"/>
                <w:szCs w:val="17"/>
                <w:color w:val="auto"/>
              </w:rPr>
            </w:pPr>
          </w:p>
        </w:tc>
        <w:tc>
          <w:tcPr>
            <w:tcW w:w="1560" w:type="dxa"/>
            <w:vAlign w:val="bottom"/>
            <w:tcBorders>
              <w:bottom w:val="single" w:sz="8" w:color="808080"/>
            </w:tcBorders>
            <w:gridSpan w:val="3"/>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Borders>
              <w:top w:val="single" w:sz="8" w:color="2C2C2C"/>
            </w:tcBorders>
          </w:tcPr>
          <w:p>
            <w:pPr>
              <w:spacing w:after="0"/>
              <w:rPr>
                <w:sz w:val="17"/>
                <w:szCs w:val="17"/>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VANCOUVER   A1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V6E 2J3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96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5"/>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6"/>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72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6"/>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right"/>
              <w:ind w:right="140"/>
              <w:spacing w:after="0"/>
              <w:rPr>
                <w:sz w:val="20"/>
                <w:szCs w:val="20"/>
                <w:color w:val="auto"/>
              </w:rPr>
            </w:pPr>
            <w:r>
              <w:rPr>
                <w:rFonts w:ascii="Times New Roman" w:cs="Times New Roman" w:eastAsia="Times New Roman" w:hAnsi="Times New Roman"/>
                <w:sz w:val="16"/>
                <w:szCs w:val="16"/>
                <w:color w:val="0000FF"/>
                <w:w w:val="98"/>
              </w:rPr>
              <w:t>02/10/2026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8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w w:val="99"/>
              </w:rPr>
              <w:t>63,204</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1,208,921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7"/>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2"/>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63,204</w:t>
            </w:r>
          </w:p>
        </w:tc>
        <w:tc>
          <w:tcPr>
            <w:tcW w:w="20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0"/>
                <w:szCs w:val="10"/>
                <w:color w:val="auto"/>
              </w:rPr>
            </w:pPr>
          </w:p>
        </w:tc>
        <w:tc>
          <w:tcPr>
            <w:tcW w:w="820" w:type="dxa"/>
            <w:vAlign w:val="bottom"/>
            <w:vMerge w:val="restart"/>
          </w:tcPr>
          <w:p>
            <w:pPr>
              <w:jc w:val="center"/>
              <w:ind w:right="24"/>
              <w:spacing w:after="0"/>
              <w:rPr>
                <w:sz w:val="20"/>
                <w:szCs w:val="20"/>
                <w:color w:val="auto"/>
              </w:rPr>
            </w:pPr>
            <w:r>
              <w:rPr>
                <w:rFonts w:ascii="Times New Roman" w:cs="Times New Roman" w:eastAsia="Times New Roman" w:hAnsi="Times New Roman"/>
                <w:sz w:val="12"/>
                <w:szCs w:val="12"/>
                <w:color w:val="0000FF"/>
                <w:w w:val="99"/>
              </w:rPr>
              <w:t>06/01/2028</w:t>
            </w:r>
            <w:r>
              <w:rPr>
                <w:rFonts w:ascii="Times New Roman" w:cs="Times New Roman" w:eastAsia="Times New Roman" w:hAnsi="Times New Roman"/>
                <w:sz w:val="20"/>
                <w:szCs w:val="20"/>
                <w:color w:val="008000"/>
                <w:w w:val="99"/>
                <w:vertAlign w:val="superscript"/>
              </w:rPr>
              <w:t>(2)</w:t>
            </w:r>
          </w:p>
        </w:tc>
        <w:tc>
          <w:tcPr>
            <w:tcW w:w="580" w:type="dxa"/>
            <w:vAlign w:val="bottom"/>
            <w:vMerge w:val="continue"/>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63,204</w:t>
            </w:r>
            <w:r>
              <w:rPr>
                <w:rFonts w:ascii="Times New Roman" w:cs="Times New Roman" w:eastAsia="Times New Roman" w:hAnsi="Times New Roman"/>
                <w:sz w:val="20"/>
                <w:szCs w:val="20"/>
                <w:color w:val="008000"/>
                <w:w w:val="97"/>
                <w:vertAlign w:val="superscript"/>
              </w:rPr>
              <w:t>(3)</w:t>
            </w:r>
          </w:p>
        </w:tc>
        <w:tc>
          <w:tcPr>
            <w:tcW w:w="40" w:type="dxa"/>
            <w:vAlign w:val="bottom"/>
          </w:tcPr>
          <w:p>
            <w:pPr>
              <w:spacing w:after="0"/>
              <w:rPr>
                <w:sz w:val="10"/>
                <w:szCs w:val="10"/>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189,610</w:t>
            </w:r>
            <w:r>
              <w:rPr>
                <w:rFonts w:ascii="Times New Roman" w:cs="Times New Roman" w:eastAsia="Times New Roman" w:hAnsi="Times New Roman"/>
                <w:sz w:val="20"/>
                <w:szCs w:val="20"/>
                <w:color w:val="008000"/>
                <w:w w:val="95"/>
                <w:vertAlign w:val="superscript"/>
              </w:rPr>
              <w:t>(7)</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tcPr>
          <w:p>
            <w:pPr>
              <w:ind w:left="40"/>
              <w:spacing w:after="0" w:line="150"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(3)</w:t>
            </w: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1,379</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1,379</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8,116</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2,758</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2,758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16,231</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2,758</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2,758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16,231</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5,516</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5,516</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32,462</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E</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5,516</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5,516</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32,462</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F</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5,516</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5,516</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32,462</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G</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6,895</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6,895</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40,578</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H</w:t>
            </w:r>
          </w:p>
        </w:tc>
        <w:tc>
          <w:tcPr>
            <w:tcW w:w="500" w:type="dxa"/>
            <w:vAlign w:val="bottom"/>
            <w:vMerge w:val="restart"/>
          </w:tcPr>
          <w:p>
            <w:pPr>
              <w:jc w:val="center"/>
              <w:ind w:left="206"/>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82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6,895</w:t>
            </w:r>
          </w:p>
        </w:tc>
        <w:tc>
          <w:tcPr>
            <w:tcW w:w="4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02/10/2026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6,895</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40,578</w:t>
            </w:r>
          </w:p>
        </w:tc>
        <w:tc>
          <w:tcPr>
            <w:tcW w:w="640" w:type="dxa"/>
            <w:vAlign w:val="bottom"/>
            <w:vMerge w:val="restart"/>
          </w:tcPr>
          <w:p>
            <w:pPr>
              <w:jc w:val="center"/>
              <w:ind w:left="59"/>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-4436110</wp:posOffset>
            </wp:positionV>
            <wp:extent cx="28575" cy="444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44182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0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63,204 common shares for cash at an exercise price of $0.65 per common share. The deadline to exercise these stock options with respect to the vested common shares underlying them is March 5, 2026. In accordance with the terms of the stock options, the Reporting Person was also issued 1,379 Class A Special Shares, 2,758 Class B Special Shares, 2,758 Class C Special Shares, 5,516 Class D Special Shares, 5,516 Class E Special Shares, 5,516 Class F Special Shares, 6,895 Class G Special Shares and 6,895 Class H Special Shares for no additional consideration.</w:t>
      </w:r>
    </w:p>
    <w:p>
      <w:pPr>
        <w:spacing w:after="0" w:line="12" w:lineRule="exact"/>
        <w:rPr>
          <w:rFonts w:ascii="Times New Roman" w:cs="Times New Roman" w:eastAsia="Times New Roman" w:hAnsi="Times New Roman"/>
          <w:sz w:val="12"/>
          <w:szCs w:val="12"/>
          <w:color w:val="008000"/>
        </w:rPr>
      </w:pP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options vest in increments upon the occurrence of certain milestones, subject to continued service through each milestone. These stock options are exercisable at any time until March 5 of the year following vesting of such stock option (any such date, the "Exercise Date"). These stock options expire on the day after the Exercise Date.</w:t>
      </w:r>
    </w:p>
    <w:p>
      <w:pPr>
        <w:ind w:left="40" w:right="2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Class A Special Shares, the Class B Special Shares, the Class C Special Shares, the Class D Special Shares, the Class E Special Shares, the Class F Special Shares, the Class G Special Shares and the Class H Special Shares (collectively, the "Special Shares") set forth in Footnote 1 above.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the Reporting Person as described in the Form 4 submitted by the Reporting Person on September 13, 2021.</w:t>
      </w:r>
    </w:p>
    <w:p>
      <w:pPr>
        <w:spacing w:after="0" w:line="48" w:lineRule="exact"/>
        <w:rPr>
          <w:rFonts w:ascii="Times New Roman" w:cs="Times New Roman" w:eastAsia="Times New Roman" w:hAnsi="Times New Roman"/>
          <w:sz w:val="12"/>
          <w:szCs w:val="12"/>
          <w:color w:val="008000"/>
        </w:rPr>
      </w:pPr>
    </w:p>
    <w:p>
      <w:pPr>
        <w:ind w:left="40" w:right="180" w:hanging="3"/>
        <w:spacing w:after="0" w:line="25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1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amount of the specified class of Special Shares acquired upon the exercise of stock options referenced in Footnote 1 above.</w:t>
      </w:r>
    </w:p>
    <w:p>
      <w:pPr>
        <w:spacing w:after="0" w:line="48" w:lineRule="exact"/>
        <w:rPr>
          <w:rFonts w:ascii="Times New Roman" w:cs="Times New Roman" w:eastAsia="Times New Roman" w:hAnsi="Times New Roman"/>
          <w:sz w:val="12"/>
          <w:szCs w:val="12"/>
          <w:color w:val="008000"/>
        </w:rPr>
      </w:pPr>
    </w:p>
    <w:p>
      <w:pPr>
        <w:ind w:left="40" w:right="2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includes the right to purchase 4,137 Class A Special Shares, 8,274 Class B Special Shares, 8,274 Class C Special Shares, 16,548 Class D Special Shares, 16,548 Class E Special Shares, 16,548 Class F Special Shares, 20,685 Class G Special Shares and 20,685 Class H Special Shares.</w:t>
      </w:r>
    </w:p>
    <w:p>
      <w:pPr>
        <w:sectPr>
          <w:pgSz w:w="11900" w:h="16954" w:orient="portrait"/>
          <w:cols w:equalWidth="0" w:num="1">
            <w:col w:w="11080"/>
          </w:cols>
          <w:pgMar w:left="460" w:top="214" w:right="359" w:bottom="0" w:gutter="0" w:footer="0" w:header="0"/>
          <w:type w:val="continuous"/>
        </w:sectPr>
      </w:pPr>
    </w:p>
    <w:bookmarkStart w:id="1" w:name="page2"/>
    <w:bookmarkEnd w:id="1"/>
    <w:p>
      <w:pPr>
        <w:ind w:left="6563"/>
        <w:spacing w:after="0"/>
        <w:rPr>
          <w:sz w:val="20"/>
          <w:szCs w:val="20"/>
          <w:color w:val="auto"/>
        </w:rPr>
      </w:pPr>
      <w:r>
        <w:rPr>
          <w:rFonts w:ascii="Times New Roman" w:cs="Times New Roman" w:eastAsia="Times New Roman" w:hAnsi="Times New Roman"/>
          <w:sz w:val="15"/>
          <w:szCs w:val="15"/>
          <w:color w:val="0000FF"/>
        </w:rPr>
        <w:t xml:space="preserve">/s/ Michelle Ancosky, Attorney-  </w:t>
      </w:r>
      <w:r>
        <w:rPr>
          <w:rFonts w:ascii="Times New Roman" w:cs="Times New Roman" w:eastAsia="Times New Roman" w:hAnsi="Times New Roman"/>
          <w:sz w:val="29"/>
          <w:szCs w:val="29"/>
          <w:color w:val="0000FF"/>
          <w:vertAlign w:val="subscript"/>
        </w:rPr>
        <w:t>02/10/2026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-26670</wp:posOffset>
            </wp:positionV>
            <wp:extent cx="13246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-16510</wp:posOffset>
            </wp:positionV>
            <wp:extent cx="2971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7620"/>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-80010</wp:posOffset>
            </wp:positionV>
            <wp:extent cx="468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430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2026-02-10T19:01:27Z</dcterms:created>
  <dcterms:modified xsi:type="dcterms:W3CDTF">2026-02-10T19:01:27Z</dcterms:modified>
</cp:coreProperties>
</file>