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Shesky Craig</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TMC the metals Co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820" w:type="dxa"/>
            <w:vAlign w:val="bottom"/>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03/24/2026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1111 WEST HASTINGS STREET, 15TH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VANCOUVER  A1</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V6E 2J3</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jc w:val="center"/>
              <w:ind w:left="5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03/24/2026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51,941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1,719,519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03/25/2026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78,186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4.582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1,641,333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03/26/2026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215,492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4.533</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1,425,841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to cover tax withholding obligations in connection with the vesting of restricted stock units that were granted to the Reporting Person under the Issuer's long-term incentive plan on March 20, 2023, March 20, 2024 and March 20, 2025 and previously reported by the Reporting Person on the Statement of Changes in Beneficial Ownership of Securities on Form 4 filed on March 24, 2026 pursuant to an automatic "sell to cover" transaction and do not represent a discretionary transaction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$4.67 to $4.88 per common share. The Reporting Person undertakes to provide, upon request by the SEC staff, the Issuer or a security holder of the Issuer, full information regarding the number of common shares sold at each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$4.47 to $4.85 per common share. The Reporting Person undertakes to provide, upon request by the SEC staff, the Issuer or a security holder of the Issuer, full information regarding the number of common shares sold at each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$4.40 to $4.61 per common share. The Reporting Person undertakes to provide, upon request by the SEC staff, the Issuer or a security holder of the Issuer, full information regarding the number of common shares sold at each price.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03/26/2026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430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2026-03-26T18:20:14Z</dcterms:created>
  <dcterms:modified xsi:type="dcterms:W3CDTF">2026-03-26T18:20:14Z</dcterms:modified>
</cp:coreProperties>
</file>