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27, 2026, TMC the metals company Inc. (the “Company”) issued a press release announcing its results for the fourth quarter and full year ended December 31, 2025 and providing a business update. A copy of the press release is furnished as Exhibit 99.1 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Except for historical information contained in the press release attached as an exhibit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spacing w:after="0" w:line="17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0" w:type="dxa"/>
            <w:vAlign w:val="bottom"/>
          </w:tcPr>
          <w:p>
            <w:pPr>
              <w:spacing w:after="0"/>
              <w:rPr>
                <w:sz w:val="20"/>
                <w:szCs w:val="20"/>
                <w:color w:val="auto"/>
              </w:rPr>
            </w:pPr>
          </w:p>
        </w:tc>
        <w:tc>
          <w:tcPr>
            <w:tcW w:w="7280" w:type="dxa"/>
            <w:vAlign w:val="bottom"/>
          </w:tcPr>
          <w:p>
            <w:pPr>
              <w:spacing w:after="0"/>
              <w:rPr>
                <w:sz w:val="20"/>
                <w:szCs w:val="20"/>
                <w:color w:val="auto"/>
              </w:rPr>
            </w:pPr>
          </w:p>
        </w:tc>
      </w:tr>
      <w:tr>
        <w:trPr>
          <w:trHeight w:val="466"/>
        </w:trPr>
        <w:tc>
          <w:tcPr>
            <w:tcW w:w="13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3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27, 2026</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Announces Fourth Quarter and Full Year 2025 Results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NEW YORK, March. 27, 2026 — TMC the metals company Inc. (Nasdaq: TMC) (“TMC” or “the Company”), a leading developer of the world’s largest resource of critical metals essential to energy, defense, manufacturing and infrastructure, today provided a corporate update and fourth quarter and full year financial results for the period ending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Financial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of approximately $117.6 million at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million cash used in operations for the quarter ended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$44.7 million, net loss of $40.4 million and net loss per share of $0.08 for the quarter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Negotiations Underway for Nodule Processing &amp; Refining Hub in Brownsville, Texas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negotiations for 1,466 acres with the Port of Brownsville</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land use is to develop an integrated nodule processing and refining facility for American nodule industry with optionality to process other feedstocks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Master Plan for a 12 Mtpa facility developed and prefeasibility study under way</w:t>
      </w:r>
    </w:p>
    <w:p>
      <w:pPr>
        <w:spacing w:after="0" w:line="225"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only American nodule developer to have designed and tested nodule processing and refining technology at scale, TMC USA is spearheading this potential development along with its consortium partners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capital commitments made by TMC USA, and investment decision is conditional on U.S. government support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capital-light tolling option still being fully explored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Strategic Partnership with Mariana Minerals</w:t>
      </w:r>
    </w:p>
    <w:p>
      <w:pPr>
        <w:spacing w:after="0" w:line="229" w:lineRule="exact"/>
        <w:rPr>
          <w:sz w:val="20"/>
          <w:szCs w:val="20"/>
          <w:color w:val="auto"/>
        </w:rPr>
      </w:pPr>
    </w:p>
    <w:p>
      <w:pPr>
        <w:ind w:left="660" w:right="5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non-binding MOU signed in April 2025, TMC USA signed a Strategic Partnership Agreement earlier this month with Mariana Minerals, a software-first mineral developer with operations in San Francisco, Texas and Utah</w:t>
      </w:r>
    </w:p>
    <w:p>
      <w:pPr>
        <w:spacing w:after="0" w:line="16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focus of the partnership is to conduct a feasibility study for a staged development of a nodule processing and refining facility in Brownsville, Texas, and develop AI-enabled process controls for such a facility</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Gerard Barron, Chairman &amp; CEO, commented: “In my time leading TMC, I’ve never felt better about our pathway to production because of our financial, strategic, and permitting position. 2025 was a transformative year for our business — we pivoted to a clear U.S. permitting pathway, saw strong policy support for our industry through the Administration’s Executive Order and new consolidated application regulations from NOAA, welcomed several strategic partners and investors including Korea Zinc and the Hess family, and delivered the world’s first Pre-Feasibility Study for an integrated polymetallic nodule project demonstrating commercial viability. We ended the year with $162 million in liquidity including undrawn, unsecured credit facilities and expect to report around $154 million of liquidity at March 31, 2026.</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2025, we established a new roadmap for our company and our industry. In 2026, we are focusing on accelerated execution. We believe our new consolidated application can deliver a commercial recovery permit faster than had we followed a sequential process. NOAA’s determination of substantial compliance was a significant milestone. Our next key milestones are expected to be full compliance and certification, as well as an Environmental Impact Statement for our consolidated application.</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confidence in our ability to secure the permit within a year is high, so we are not waiting to move forward toward production and expect to complete our updated commercial agreement with Allseas in the coming days.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unleash offshore minerals, we must also solve for domestic processing and refining—with last year’s Executive Order tasking several government agencies to explore and support domestic processing. While we are not committing to domestic onshore capital expenditures at this time, we are exploring all available options which will include our capital-light, tolled processing options, along with progressing the prerequisites required to unlock U.S. government support for a domestic processing and refining hub for our industry, including site-specific planning and feasibility work.</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that end, last year we secured an exclusive right over a potential land lease option in the Port of Brownsville, Texas, near where plans have recently been announced supported by this Administration for the first new U.S. oil refinery in decades — underscoring the broader momentum behind strengthening American industrial capacity. We’ve developed a preliminary master plan and a Pre-Feasibility Study is already under way for a 12 Mtpa industry park, with the ultimate decision likely to be conditional on financial support from this Administration. We have also partnered with Mariana Minerals to support feasibility studies and planning in Brownsville as part of our owner’s team. Founded by a team with decades of experience from Tesla, Exxon and BASF, Mariana brings a software-driven, AI-enabled approach to project development and metallurgical processing — reflecting the more tech-driven, capital-efficient model we believe is required to reindustrialize processing capacity in the United States. We believe TMC is well positioned to play a leading role as this industry moves into commercial production, both offshore and onshore.”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Exclusivity on Lease Option for Site in Brownsville, Texas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TMC USA currently holds an exclusive right of negotiation with the Port of Brownsville on a lease and / or lease option for land sufficient to develop a domestic nodule processing and refining ecosystem for TMC USA and other American nodule developers, with the ultimate decision conditional on U.S. government support. The option on a 50-year lease covers a total of 1,466 acres of land at the Port of Brownsville, in two separate land parcels (735 acres on the Brownsville Shipping Channel and an adjacent 731 acres). There is currently no financial commitment required of TMC USA.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Partnership with Mariana Minerals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On March 19, 2026, TMC signed a Strategic Partnership Agreement with Mariana Minerals (“Mariana”) focusing on the potential development of the nodule processing and refining facility in the Port of Brownsville as part of TMC’s owner’s team. Mariana brings an AI, software-first approach to the permitting, construction and operation of critical mineral projects: fast-tracked capital project execution, which enabled Tesla to build its Lithium plant in Texas in </w:t>
      </w:r>
      <w:r>
        <w:rPr>
          <w:rFonts w:ascii="Times New Roman" w:cs="Times New Roman" w:eastAsia="Times New Roman" w:hAnsi="Times New Roman"/>
          <w:sz w:val="18"/>
          <w:szCs w:val="18"/>
          <w:u w:val="single" w:color="auto"/>
          <w:color w:val="auto"/>
        </w:rPr>
        <w:t>&lt;</w:t>
      </w:r>
      <w:r>
        <w:rPr>
          <w:rFonts w:ascii="Times New Roman" w:cs="Times New Roman" w:eastAsia="Times New Roman" w:hAnsi="Times New Roman"/>
          <w:sz w:val="18"/>
          <w:szCs w:val="18"/>
          <w:color w:val="auto"/>
        </w:rPr>
        <w:t>20 months and is core to how SpaceX and other cutting-edge businesses operate, can be even further accelerated via a software-first approach and offers a faster, more modern pathway to re-industrialization.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Upcoming Trading of The Metals Royalty Co. (TMCR) on the Nasdaq</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April 2026, The Metals Royalty Co. is expected to begin public trading (Nasdaq: TMCR). TMCR has a 2.0% Gross Overriding Royalty (GORR) on the NORI area from a 2023 transaction which was previously announced. As part of the agreement, TMC was granted an equity stake currently representing ~25% ownership in TMCR. TMC retains the right to repurchase up to 75% of the NORI Royalty at an agreed capped return, exercisable in two transactions, between the second and the tenth anniversary of the agreement. If both repurchase transactions are executed, TMCR’s remaining gross overriding royalty on the NORI project revenue will be 0.5%. TMCR is anchored by Michael Hess (TMC board member) and Brian Paes-Braga (former DeepGreen board member) and is related to Low Carbon Royalties (LCR) which signed an agreement with TMC in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NOAA Determines TMC USA’s Consolidated Deep-Seabed Mining Application is in Substantial Compliance</w:t>
      </w:r>
    </w:p>
    <w:p>
      <w:pPr>
        <w:spacing w:after="0" w:line="229"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On March 9, 2026, the National Oceanic and Atmospheric Administration (NOAA) determined that the consolidated application by our subsidiary, TMC USA, for an exploration license and commercial recovery permit under the Deep Seabed Hard Mineral Resources Act (DSHMRA) is in substantial compliance with the requirements of the Act and its implementing regulations, marking a key step in the U.S. regulatory and permitting process.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USA Files First Consolidated Deep-Seabed Mining Application, Increasing Expected Commercial Recovery Permit Area to 65,000 km2</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22, 2026, we announced that TMC USA had submitted a consolidated application to NOAA for an exploration license and a commercial recovery permit for polymetallic nodules in international waters of the Clarion Clipperton Zone (CCZ) in the Pacific Ocean. The application represents the first consolidated exploration license and commercial recovery permit application submitted under NOAA’s new consolidated application and review process and increases the commercial recovery area from ~25,000 to ~65,000 km2, with an estimated resource of 619 million tonnes (Mt) of wet nodules and a potential exploration upside of an additional 200 Mt. TMC USA was able to apply under NOAA’s new consolidated process because it can demonstrate the scientific, technical and financial capability to pursue commercial recovery activities expeditiously.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Welcomes NOAA Rule Modernizing Deep-Seabed Mining Permits for U.S. Companies in the High Seas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January 21, 2026, we welcomed the new rule issued by NOAA updating regulations governing deep-seabed mineral exploration and commercial recovery. Final rule establishes a consolidated application and review process under DSHMRA, allowing companies that have completed the necessary exploration, environmental, and technological development work to rely on exploration-phase data in commercial recovery applications, reducing duplication and improving regulatory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U.S. and Japan to Accelerate ‘Commercially Viable Deep-Sea Mining’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March 19, 2026, the United States and Japan agreed upon a new critical minerals action plan aimed at strengthening supply chain resilience, a core component of which is the acceleration of research and development into ‘commercially viable’ deep-sea mining. TMC remains the only company to have demonstrated commercial viability through SEC-compliant mineral reserves.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Overview</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At December 31, 2025, we held cash of approximately $117.6 million. We believe that our total liquidity including cash and borrowing availability under our credit facility with ERAS Capital LLC and Mr. Barron, will be sufficient to meet our working capital and capital expenditure commitments for at least the next twelve months from today.</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reported a net loss of approximately $40.4 million, or $0.08 per share for the quarter ended December 31, 2025, compared to net loss of $16.1 million, or $0.04 per share, for the quarter ended December 31, 2024. Exploration and evaluation expenses during the quarter ended December 31, 2025 were $10.6 million compared to $8.3 million for the quarter ended December 31, 2024. The increase in the exploration and evaluation expenses in the fourth quarter of 2025 of $2.3 million was primarily due to an increase in share-based compensation due to the accelerated amortization of awards granted in the third quarter of 2025, partially offset by a decrease in mining, technological and process development expenses resulting from decreased engineering work.</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$34.1 million for the quarter ended December 31, 2025 compared to $8.1 million for the quarter ended December 31, 2024, reflecting an increase in share-based compensation due to the accelerated amortization of awards granted to directors and officers in the third quarter of 2025, and an increase in legal, consulting and personnel costs.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reported a net loss for the year ended December 31, 2025 of $319.8 million, or $0.83 per share, compared to net loss of $81.9 million, or $0.25 per share, for the year ended December 31, 2024. The 2025 results include an increase in the value of NORI’s royalty liability of $131 million following the release of two economic studies in August 2025 which increased the value of the project, as well as a non-recurring charge of $38 million for the fair value of warrants issued under revised sponsorship agreements with Nauru and Tonga signed in 2025. Exploration and evaluation expenses during the year ended December 31, 2025 were $40.3 million compared to $50.6 million for the year ended December 31, 2024. General and administrative expenses in 2025 were $99.8 million compared to $30.6 million in 2024. The increase in 2025 reflects additional share-based compensation attributable to the accelerated amortization of awards granted to directors and officers in the third quarter of 2025, due to the early vesting of the awards reflecting an increase in the Company’s share price. The higher share price resulted with an increase in fair value of the warrants liability of $12.4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will hold a conference call today at 8:00 a.m. EDT to provide an update on recent corporate developments, fourth quarter and full year 2025 financial results and upcoming milestones.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Conference Call Details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Friday, March 27, 2026</w:t>
            </w:r>
          </w:p>
        </w:tc>
      </w:tr>
      <w:tr>
        <w:trPr>
          <w:trHeight w:val="24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8:00 am EDT</w:t>
            </w:r>
          </w:p>
        </w:tc>
      </w:tr>
      <w:tr>
        <w:trPr>
          <w:trHeight w:val="202"/>
        </w:trPr>
        <w:tc>
          <w:tcPr>
            <w:tcW w:w="3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Audio-only Dial-in:</w:t>
            </w:r>
          </w:p>
        </w:tc>
        <w:tc>
          <w:tcPr>
            <w:tcW w:w="100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w w:val="98"/>
              </w:rPr>
              <w:t>Register Here</w:t>
            </w:r>
          </w:p>
        </w:tc>
        <w:tc>
          <w:tcPr>
            <w:tcW w:w="680" w:type="dxa"/>
            <w:vAlign w:val="bottom"/>
          </w:tcPr>
          <w:p>
            <w:pPr>
              <w:spacing w:after="0"/>
              <w:rPr>
                <w:sz w:val="17"/>
                <w:szCs w:val="17"/>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Virtual webcast w/ slides:</w:t>
            </w: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Register Here</w:t>
            </w:r>
          </w:p>
        </w:tc>
        <w:tc>
          <w:tcPr>
            <w:tcW w:w="680" w:type="dxa"/>
            <w:vAlign w:val="bottom"/>
          </w:tcPr>
          <w:p>
            <w:pPr>
              <w:spacing w:after="0"/>
              <w:rPr>
                <w:sz w:val="19"/>
                <w:szCs w:val="19"/>
                <w:color w:val="auto"/>
              </w:rPr>
            </w:pPr>
          </w:p>
        </w:tc>
      </w:tr>
    </w:tbl>
    <w:p>
      <w:pPr>
        <w:spacing w:after="0" w:line="23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Please register with the links above at least ten minutes prior to the conference call. The virtual webcast will be available for replay in the ‘Investors’ tab of the Company’s website under ‘Investors’ &gt; ‘Media’ &gt; ‘Events and Presentations’, approximately two hours after the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 xml:space="preserve">The Metals Company is a developer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t>
      </w:r>
      <w:r>
        <w:rPr>
          <w:rFonts w:ascii="Times New Roman" w:cs="Times New Roman" w:eastAsia="Times New Roman" w:hAnsi="Times New Roman"/>
          <w:sz w:val="17"/>
          <w:szCs w:val="17"/>
          <w:u w:val="single" w:color="auto"/>
          <w:color w:val="auto"/>
        </w:rPr>
        <w:t>www.metals.co</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 </w:t>
      </w:r>
      <w:r>
        <w:rPr>
          <w:rFonts w:ascii="Times New Roman" w:cs="Times New Roman" w:eastAsia="Times New Roman" w:hAnsi="Times New Roman"/>
          <w:sz w:val="18"/>
          <w:szCs w:val="18"/>
          <w:u w:val="single" w:color="auto"/>
          <w:color w:val="auto"/>
        </w:rPr>
        <w:t>media@metals.co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 </w:t>
      </w:r>
      <w:r>
        <w:rPr>
          <w:rFonts w:ascii="Times New Roman" w:cs="Times New Roman" w:eastAsia="Times New Roman" w:hAnsi="Times New Roman"/>
          <w:sz w:val="18"/>
          <w:szCs w:val="18"/>
          <w:u w:val="single" w:color="auto"/>
          <w:color w:val="auto"/>
        </w:rPr>
        <w:t>investors@metals.co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and information within the meaning of the Private Securities Litigation Reform Act of 1995. These statements may be identified by words such as “believes,” “could,” “expects,” “may,” “plans,” “possible,” “potential,” “will” and variations of these words or similar expressions, although not all forward-looking statements contain these words. Forward-looking statements in this press release include, but are not limited to, statements with respect to the Company’s strategy to pursue commercial recovery of seafloor polymetallic nodules under the U.S. regulatory regime; the outcome and timing of regulatory reviews of its applications submitted pursuant to the Deep Seabed Hard Mineral Resources Act of 1980 (DSHMRA); the progression of the Company’s applications through NOAA’s certification process and expected review timelines; the expected use of proceeds from the Company’s 2025 financings and other capital sources; the timing and success of environmental assessments, feasibility studies, technical and processing trials; the potential economic outcomes described in the Company’s Pre-Feasibility Study and Initial Assessment;; the belief that our cash balance will be sufficient to meet our working capital and capital expenditure commitments for at least the next twelve months from the date of this press release; the Company’s operational and financial plans, including the potential development of a commercial-scale offshore nodule collection system and related onshore processing facilities; and the Company’s plans relating to downstream logistics, processing and refining, including site selection and development activities in Brownsville, Texas, and engagement with third-party partners.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outcome and timing of regulatory reviews by NOAA under DSHMRA; the ability to obtain an exploitation contract from the ISA or permits from the U.S. government; risks related to the Company’s dual-path permitting strategy; changes in environmental, mining and other applicable laws and regulations; the timing and results of environmental assessments and technical studies; the development, testing and scaling of offshore collection systems; risks related to strategic partnerships and technology sharing; uncertainties relating to processing nodules at commercial scale; metals price volatility; the sufficiency of the Company’s cash and ability to secure additional financing on acceptable terms or at all; dependence on third parties, including Allseas Group S.A. and PAMCO, including the ability to successfully finalize, execute and perform under definitive agreements with such parties on expected terms or at all; the outcome of any pending or future litigation; and other risks and uncertainties described in greater detail in the section entitled “Risk Factors” in the Company’s Annual Report on Form 10-K for the year ended December 31, 2024, filed with the U.S. Securities and Exchange Commission (SEC) on March 27, 2025, and in subsequent Quarterly Reports on Form 10-Q and Current Reports on Form 8-K filed with the SEC, including the Company’s Quarterly Reports on Form 10-Q for the quarter ended March 31, 2025 filed on May 14, 2025, and for the quarter ended June 30, 2025 filed on August 14, 2025.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22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2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(in thousands of US Dollars, except share amounts)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22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As at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As at</w:t>
            </w:r>
          </w:p>
        </w:tc>
      </w:tr>
      <w:tr>
        <w:trPr>
          <w:trHeight w:val="216"/>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117,633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3,480</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1,851</w:t>
            </w:r>
          </w:p>
        </w:tc>
      </w:tr>
      <w:tr>
        <w:trPr>
          <w:trHeight w:val="209"/>
        </w:trPr>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Exploration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42,951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42,951</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3,814</w:t>
            </w: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771</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1,928</w:t>
            </w:r>
          </w:p>
        </w:tc>
      </w:tr>
      <w:tr>
        <w:trPr>
          <w:trHeight w:val="23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13,447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8,203</w:t>
            </w:r>
          </w:p>
        </w:tc>
      </w:tr>
      <w:tr>
        <w:trPr>
          <w:trHeight w:val="223"/>
        </w:trPr>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60,949</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100" w:type="dxa"/>
            <w:vAlign w:val="bottom"/>
            <w:tcBorders>
              <w:bottom w:val="single" w:sz="8" w:color="CCEEFF"/>
            </w:tcBorders>
          </w:tcPr>
          <w:p>
            <w:pPr>
              <w:spacing w:after="0"/>
              <w:rPr>
                <w:sz w:val="19"/>
                <w:szCs w:val="19"/>
                <w:color w:val="auto"/>
              </w:rPr>
            </w:pPr>
          </w:p>
        </w:tc>
      </w:tr>
      <w:tr>
        <w:trPr>
          <w:trHeight w:val="223"/>
        </w:trPr>
        <w:tc>
          <w:tcPr>
            <w:tcW w:w="8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181,631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62,998</w:t>
            </w:r>
          </w:p>
        </w:tc>
        <w:tc>
          <w:tcPr>
            <w:tcW w:w="100" w:type="dxa"/>
            <w:vAlign w:val="bottom"/>
            <w:tcBorders>
              <w:bottom w:val="single" w:sz="8" w:color="CCEEFF"/>
            </w:tcBorders>
          </w:tcPr>
          <w:p>
            <w:pPr>
              <w:spacing w:after="0"/>
              <w:rPr>
                <w:sz w:val="18"/>
                <w:szCs w:val="18"/>
                <w:color w:val="auto"/>
              </w:rPr>
            </w:pPr>
          </w:p>
        </w:tc>
      </w:tr>
      <w:tr>
        <w:trPr>
          <w:trHeight w:val="210"/>
        </w:trPr>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46,048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42,754</w:t>
            </w: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11,775</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liability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10,675</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liability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14,000</w:t>
            </w:r>
          </w:p>
        </w:tc>
      </w:tr>
      <w:tr>
        <w:trPr>
          <w:trHeight w:val="23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liability</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912</w:t>
            </w:r>
          </w:p>
        </w:tc>
      </w:tr>
      <w:tr>
        <w:trPr>
          <w:trHeight w:val="210"/>
        </w:trPr>
        <w:tc>
          <w:tcPr>
            <w:tcW w:w="8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25,587</w:t>
            </w:r>
          </w:p>
        </w:tc>
        <w:tc>
          <w:tcPr>
            <w:tcW w:w="100" w:type="dxa"/>
            <w:vAlign w:val="bottom"/>
          </w:tcPr>
          <w:p>
            <w:pPr>
              <w:spacing w:after="0"/>
              <w:rPr>
                <w:sz w:val="18"/>
                <w:szCs w:val="18"/>
                <w:color w:val="auto"/>
              </w:rPr>
            </w:pPr>
          </w:p>
        </w:tc>
      </w:tr>
      <w:tr>
        <w:trPr>
          <w:trHeight w:val="230"/>
        </w:trPr>
        <w:tc>
          <w:tcPr>
            <w:tcW w:w="8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80,116</w:t>
            </w:r>
          </w:p>
        </w:tc>
        <w:tc>
          <w:tcPr>
            <w:tcW w:w="100" w:type="dxa"/>
            <w:vAlign w:val="bottom"/>
            <w:tcBorders>
              <w:bottom w:val="single" w:sz="8" w:color="CCEEFF"/>
            </w:tcBorders>
          </w:tcPr>
          <w:p>
            <w:pPr>
              <w:spacing w:after="0"/>
              <w:rPr>
                <w:sz w:val="18"/>
                <w:szCs w:val="18"/>
                <w:color w:val="auto"/>
              </w:rPr>
            </w:pPr>
          </w:p>
        </w:tc>
      </w:tr>
      <w:tr>
        <w:trPr>
          <w:trHeight w:val="210"/>
        </w:trPr>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Common shares </w:t>
            </w:r>
            <w:r>
              <w:rPr>
                <w:rFonts w:ascii="Times New Roman" w:cs="Times New Roman" w:eastAsia="Times New Roman" w:hAnsi="Times New Roman"/>
                <w:sz w:val="18"/>
                <w:szCs w:val="18"/>
                <w:i w:val="1"/>
                <w:iCs w:val="1"/>
                <w:color w:val="auto"/>
              </w:rPr>
              <w:t>(unlimited shares, no par value – issued: 422,966,333 (December 31, 2024 – 340,708,460))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681,343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477,217</w:t>
            </w: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237,696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138,303</w:t>
            </w:r>
          </w:p>
        </w:tc>
      </w:tr>
      <w:tr>
        <w:trPr>
          <w:trHeight w:val="21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Deficit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(951,279)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(631,435)</w:t>
            </w:r>
          </w:p>
        </w:tc>
      </w:tr>
      <w:tr>
        <w:trPr>
          <w:trHeight w:val="210"/>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181,631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62,998</w:t>
            </w:r>
          </w:p>
        </w:tc>
        <w:tc>
          <w:tcPr>
            <w:tcW w:w="100" w:type="dxa"/>
            <w:vAlign w:val="bottom"/>
            <w:shd w:val="clear" w:color="auto" w:fill="CCEEFF"/>
          </w:tcPr>
          <w:p>
            <w:pPr>
              <w:spacing w:after="0"/>
              <w:rPr>
                <w:sz w:val="18"/>
                <w:szCs w:val="18"/>
                <w:color w:val="auto"/>
              </w:rPr>
            </w:pPr>
          </w:p>
        </w:tc>
      </w:tr>
      <w:tr>
        <w:trPr>
          <w:trHeight w:val="668"/>
        </w:trPr>
        <w:tc>
          <w:tcPr>
            <w:tcW w:w="8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For the year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6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6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44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50,643</w:t>
            </w:r>
          </w:p>
        </w:tc>
      </w:tr>
      <w:tr>
        <w:trPr>
          <w:trHeight w:val="230"/>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99,772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30,644</w:t>
            </w:r>
          </w:p>
        </w:tc>
      </w:tr>
      <w:tr>
        <w:trPr>
          <w:trHeight w:val="209"/>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140,054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81,287</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Nauru and Tonga warrant costs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royalty liability</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Equity-accounted investment loss (gain)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on dilutions of investment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termination of contract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w:t>
            </w:r>
          </w:p>
        </w:tc>
      </w:tr>
      <w:tr>
        <w:trPr>
          <w:trHeight w:val="216"/>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(1,186)</w:t>
            </w: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Fees and interest on borrowings and credit facilities</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2,602</w:t>
            </w:r>
          </w:p>
        </w:tc>
      </w:tr>
      <w:tr>
        <w:trPr>
          <w:trHeight w:val="210"/>
        </w:trPr>
        <w:tc>
          <w:tcPr>
            <w:tcW w:w="6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 before tax</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319,700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81,895</w:t>
            </w:r>
          </w:p>
        </w:tc>
      </w:tr>
      <w:tr>
        <w:trPr>
          <w:trHeight w:val="216"/>
        </w:trPr>
        <w:tc>
          <w:tcPr>
            <w:tcW w:w="6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29"/>
        </w:trPr>
        <w:tc>
          <w:tcPr>
            <w:tcW w:w="644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comprehensive loss for the year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319,844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81,943</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0.25</w:t>
            </w:r>
          </w:p>
        </w:tc>
      </w:tr>
      <w:tr>
        <w:trPr>
          <w:trHeight w:val="209"/>
        </w:trPr>
        <w:tc>
          <w:tcPr>
            <w:tcW w:w="64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basic and diluted</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384,512,470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321,875,050</w:t>
            </w:r>
          </w:p>
        </w:tc>
      </w:tr>
      <w:tr>
        <w:trPr>
          <w:trHeight w:val="668"/>
        </w:trPr>
        <w:tc>
          <w:tcPr>
            <w:tcW w:w="6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ind w:left="44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40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3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00" w:type="dxa"/>
            <w:vAlign w:val="bottom"/>
          </w:tcPr>
          <w:p>
            <w:pPr>
              <w:spacing w:after="0"/>
              <w:rPr>
                <w:sz w:val="19"/>
                <w:szCs w:val="19"/>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9"/>
                <w:szCs w:val="19"/>
                <w:color w:val="auto"/>
              </w:rPr>
            </w:pP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2025</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340,708,460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477,217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138,303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(631,435)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(17,118)</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and warrants to Korea</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Zinc</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19,623,376</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71,686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13,432</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85,118</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and warrants under</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Registered Direct Offering, net of</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12,333,333</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24,149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12,548</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36,697</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and warrants under</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2024 Registered Direct Offering, net of</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5,000,000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2,763</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from At-the-Market Equity</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Agreement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7,542,996</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14,784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14,784</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Class A warrants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1,913,270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(1,712)</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3,827</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Class B warrants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8,433,096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(7,224)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9,800</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Class C warrants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(2,353)</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10,485</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restricted share units, net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shares withheld for taxes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20,296,128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41,355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(41,355)</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4,746,546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14,423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(11,410)</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3,013</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purchase under Employee Stock</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39,128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Nauru and Tonga warrant cost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38,056</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38,056</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and expenses</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settled with equity</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96,672</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96,672</w:t>
            </w:r>
          </w:p>
        </w:tc>
      </w:t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(319,844)</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(319,844)</w:t>
            </w:r>
          </w:p>
        </w:tc>
      </w:tr>
      <w:tr>
        <w:trPr>
          <w:trHeight w:val="210"/>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422,966,333</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681,343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237,696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(951,279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(33,443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403"/>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0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40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3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00" w:type="dxa"/>
            <w:vAlign w:val="bottom"/>
          </w:tcPr>
          <w:p>
            <w:pPr>
              <w:spacing w:after="0"/>
              <w:rPr>
                <w:sz w:val="19"/>
                <w:szCs w:val="19"/>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9"/>
                <w:szCs w:val="19"/>
                <w:color w:val="auto"/>
              </w:rPr>
            </w:pPr>
          </w:p>
        </w:tc>
        <w:tc>
          <w:tcPr>
            <w:tcW w:w="10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306,558,710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438,239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122,797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(548,902)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10,918</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and warrants issued under 2024</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Registered Direct Offering, net of</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19,400,000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17,190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6,023</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23,213</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Class A warrant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Conversion of restricted share units, net</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shares withheld for taxes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10,734,581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14,954</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(14,954)</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as per At-the-Market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Distribution Agreement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3,251,588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4,866</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715,772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463</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purchase under Employee Stock</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47,809</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and expenses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settled with equity</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25,313</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25,313</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(81,943)</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(81,943)</w:t>
            </w:r>
          </w:p>
        </w:tc>
      </w:tr>
      <w:tr>
        <w:trPr>
          <w:trHeight w:val="209"/>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340,708,460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477,217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138,303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(631,435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(17,118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695"/>
        </w:trPr>
        <w:tc>
          <w:tcPr>
            <w:tcW w:w="3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0" w:type="dxa"/>
            <w:vAlign w:val="bottom"/>
            <w:gridSpan w:val="7"/>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7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(319,844)</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(81,943)</w:t>
            </w: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Items not affecting cash:</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Nauru and Tonga warrant costs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38,056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expense</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1,907</w:t>
            </w: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interest on credit facilities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and expenses settled with equity</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96,672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25,313</w:t>
            </w: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Equity-accounted investment loss (gain)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dilution of investment</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royalty liability</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131,000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termination of contract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16"/>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paid on amounts drawn from credit facilities and short-term debt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income taxes paid during the year</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12,311</w:t>
            </w: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(42,851</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(43,468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7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investee distribution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 and software</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10"/>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7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Korea Zinc Private Placement</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85,118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Registered Direct Offerings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23,900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paid for Registered Direct Offerings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Shares issued from At-the-Market Equity Distribution Agreement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14,784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4,866</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Class A warrants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Class B warrants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9,800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Class C warrants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10,485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drawdown of Credit Facilities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4,275</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drawn amount on credit facilities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Drawdown of Allseas Short-Term Debt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Allseas Short-Term Debt</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drawdown of Allseas Working Capital Loan Agreement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Allseas Working Capital Loan</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463</w:t>
            </w:r>
          </w:p>
        </w:tc>
      </w:tr>
      <w:tr>
        <w:trPr>
          <w:trHeight w:val="209"/>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156,585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40,686</w:t>
            </w:r>
          </w:p>
        </w:tc>
        <w:tc>
          <w:tcPr>
            <w:tcW w:w="100" w:type="dxa"/>
            <w:vAlign w:val="bottom"/>
            <w:tcBorders>
              <w:bottom w:val="single" w:sz="8" w:color="CCEEFF"/>
            </w:tcBorders>
          </w:tcPr>
          <w:p>
            <w:pPr>
              <w:spacing w:after="0"/>
              <w:rPr>
                <w:sz w:val="18"/>
                <w:szCs w:val="18"/>
                <w:color w:val="auto"/>
              </w:rPr>
            </w:pPr>
          </w:p>
        </w:tc>
      </w:tr>
      <w:tr>
        <w:trPr>
          <w:trHeight w:val="210"/>
        </w:trPr>
        <w:tc>
          <w:tcPr>
            <w:tcW w:w="7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Increase/(Decrease) in cash</w:t>
            </w:r>
          </w:p>
        </w:tc>
        <w:tc>
          <w:tcPr>
            <w:tcW w:w="1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114,181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(3,297)</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beginning of year</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3,480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6,842</w:t>
            </w:r>
          </w:p>
        </w:tc>
      </w:tr>
      <w:tr>
        <w:trPr>
          <w:trHeight w:val="209"/>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year</w:t>
            </w:r>
          </w:p>
        </w:tc>
        <w:tc>
          <w:tcPr>
            <w:tcW w:w="1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117,633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3,480</w:t>
            </w:r>
          </w:p>
        </w:tc>
        <w:tc>
          <w:tcPr>
            <w:tcW w:w="100" w:type="dxa"/>
            <w:vAlign w:val="bottom"/>
            <w:tcBorders>
              <w:top w:val="single" w:sz="8" w:color="CCEEFF"/>
            </w:tcBorders>
            <w:shd w:val="clear" w:color="auto" w:fill="CCEEFF"/>
          </w:tcPr>
          <w:p>
            <w:pPr>
              <w:spacing w:after="0"/>
              <w:rPr>
                <w:sz w:val="18"/>
                <w:szCs w:val="18"/>
                <w:color w:val="auto"/>
              </w:rPr>
            </w:pPr>
          </w:p>
        </w:tc>
      </w:tr>
      <w:tr>
        <w:trPr>
          <w:trHeight w:val="669"/>
        </w:trPr>
        <w:tc>
          <w:tcPr>
            <w:tcW w:w="7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2026-03-27T07:59:41Z</dcterms:created>
  <dcterms:modified xsi:type="dcterms:W3CDTF">2026-03-27T07:59:41Z</dcterms:modified>
</cp:coreProperties>
</file>