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304165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Sustainable Opportunities Acquisition Corp</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Ordinary Share, $0.0001 par value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G8598Y109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December 31, 2020</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rFonts w:ascii="MS PGothic" w:cs="MS PGothic" w:eastAsia="MS PGothic" w:hAnsi="MS PGothic"/>
          <w:sz w:val="18"/>
          <w:szCs w:val="18"/>
          <w:color w:val="auto"/>
        </w:rPr>
      </w:pPr>
    </w:p>
    <w:p>
      <w:pPr>
        <w:ind w:left="440"/>
        <w:spacing w:after="0"/>
        <w:rPr>
          <w:rFonts w:ascii="MS PGothic" w:cs="MS PGothic" w:eastAsia="MS PGothic" w:hAnsi="MS PGothic"/>
          <w:sz w:val="18"/>
          <w:szCs w:val="18"/>
          <w:color w:val="auto"/>
        </w:rPr>
      </w:pPr>
      <w:r>
        <w:rPr>
          <w:rFonts w:ascii="Arial" w:cs="Arial" w:eastAsia="Arial" w:hAnsi="Arial"/>
          <w:sz w:val="17"/>
          <w:szCs w:val="17"/>
          <w:color w:val="auto"/>
        </w:rPr>
        <w:t>The information required in the remainder of this cover page shall not be deemed to be “filed” for the purpose of Section 18 of the Securities</w:t>
      </w:r>
    </w:p>
    <w:p>
      <w:pPr>
        <w:spacing w:after="0" w:line="35" w:lineRule="exact"/>
        <w:rPr>
          <w:sz w:val="24"/>
          <w:szCs w:val="24"/>
          <w:color w:val="auto"/>
        </w:rPr>
      </w:pPr>
    </w:p>
    <w:p>
      <w:pPr>
        <w:ind w:right="440"/>
        <w:spacing w:after="0" w:line="260" w:lineRule="auto"/>
        <w:rPr>
          <w:sz w:val="20"/>
          <w:szCs w:val="20"/>
          <w:color w:val="auto"/>
        </w:rPr>
      </w:pPr>
      <w:r>
        <w:rPr>
          <w:rFonts w:ascii="Arial" w:cs="Arial" w:eastAsia="Arial" w:hAnsi="Arial"/>
          <w:sz w:val="18"/>
          <w:szCs w:val="18"/>
          <w:color w:val="auto"/>
        </w:rPr>
        <w:t>Exchange Act of 1934 (“</w:t>
      </w:r>
      <w:r>
        <w:rPr>
          <w:rFonts w:ascii="Arial" w:cs="Arial" w:eastAsia="Arial" w:hAnsi="Arial"/>
          <w:sz w:val="18"/>
          <w:szCs w:val="18"/>
          <w:b w:val="1"/>
          <w:bCs w:val="1"/>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195580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7"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600" w:type="dxa"/>
            <w:vAlign w:val="bottom"/>
          </w:tcPr>
          <w:p>
            <w:pPr>
              <w:ind w:left="342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324"/>
        </w:trPr>
        <w:tc>
          <w:tcPr>
            <w:tcW w:w="11040" w:type="dxa"/>
            <w:vAlign w:val="bottom"/>
            <w:gridSpan w:val="7"/>
          </w:tcPr>
          <w:p>
            <w:pPr>
              <w:spacing w:after="0"/>
              <w:rPr>
                <w:sz w:val="20"/>
                <w:szCs w:val="20"/>
                <w:color w:val="auto"/>
              </w:rPr>
            </w:pPr>
            <w:r>
              <w:rPr>
                <w:rFonts w:ascii="Arial" w:cs="Arial" w:eastAsia="Arial" w:hAnsi="Arial"/>
                <w:sz w:val="18"/>
                <w:szCs w:val="18"/>
                <w:color w:val="auto"/>
              </w:rPr>
              <w:t>CUSIP No. G8598Y109</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gridSpan w:val="2"/>
          </w:tcPr>
          <w:p>
            <w:pPr>
              <w:spacing w:after="0"/>
              <w:rPr>
                <w:sz w:val="12"/>
                <w:szCs w:val="12"/>
                <w:color w:val="auto"/>
              </w:rPr>
            </w:pPr>
          </w:p>
        </w:tc>
        <w:tc>
          <w:tcPr>
            <w:tcW w:w="9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600" w:type="dxa"/>
            <w:vAlign w:val="bottom"/>
            <w:tcBorders>
              <w:bottom w:val="single" w:sz="8" w:color="auto"/>
              <w:right w:val="single" w:sz="8" w:color="auto"/>
            </w:tcBorders>
            <w:gridSpan w:val="5"/>
          </w:tcPr>
          <w:p>
            <w:pPr>
              <w:ind w:left="180"/>
              <w:spacing w:after="0"/>
              <w:rPr>
                <w:sz w:val="20"/>
                <w:szCs w:val="20"/>
                <w:color w:val="auto"/>
              </w:rPr>
            </w:pPr>
            <w:r>
              <w:rPr>
                <w:rFonts w:ascii="Arial" w:cs="Arial" w:eastAsia="Arial" w:hAnsi="Arial"/>
                <w:sz w:val="18"/>
                <w:szCs w:val="18"/>
                <w:color w:val="auto"/>
              </w:rPr>
              <w:t>Periscope Capital Inc.</w:t>
            </w:r>
          </w:p>
        </w:tc>
        <w:tc>
          <w:tcPr>
            <w:tcW w:w="0" w:type="dxa"/>
            <w:vAlign w:val="bottom"/>
          </w:tcPr>
          <w:p>
            <w:pPr>
              <w:spacing w:after="0"/>
              <w:rPr>
                <w:sz w:val="1"/>
                <w:szCs w:val="1"/>
                <w:color w:val="auto"/>
              </w:rPr>
            </w:pPr>
          </w:p>
        </w:tc>
      </w:tr>
      <w:tr>
        <w:trPr>
          <w:trHeight w:val="169"/>
        </w:trPr>
        <w:tc>
          <w:tcPr>
            <w:tcW w:w="360" w:type="dxa"/>
            <w:vAlign w:val="bottom"/>
            <w:tcBorders>
              <w:left w:val="single" w:sz="8" w:color="auto"/>
            </w:tcBorders>
          </w:tcPr>
          <w:p>
            <w:pPr>
              <w:jc w:val="right"/>
              <w:spacing w:after="0" w:line="169"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600" w:type="dxa"/>
            <w:vAlign w:val="bottom"/>
            <w:tcBorders>
              <w:right w:val="single" w:sz="8" w:color="auto"/>
            </w:tcBorders>
            <w:gridSpan w:val="5"/>
          </w:tcPr>
          <w:p>
            <w:pPr>
              <w:ind w:left="180"/>
              <w:spacing w:after="0" w:line="169"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77"/>
              </w:rPr>
              <w:t>☐</w:t>
            </w:r>
          </w:p>
        </w:tc>
        <w:tc>
          <w:tcPr>
            <w:tcW w:w="966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00" w:type="dxa"/>
            <w:vAlign w:val="bottom"/>
            <w:tcBorders>
              <w:bottom w:val="single" w:sz="8" w:color="auto"/>
            </w:tcBorders>
            <w:gridSpan w:val="2"/>
          </w:tcPr>
          <w:p>
            <w:pPr>
              <w:spacing w:after="0"/>
              <w:rPr>
                <w:sz w:val="20"/>
                <w:szCs w:val="20"/>
                <w:color w:val="auto"/>
              </w:rPr>
            </w:pPr>
          </w:p>
        </w:tc>
        <w:tc>
          <w:tcPr>
            <w:tcW w:w="96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00" w:type="dxa"/>
            <w:vAlign w:val="bottom"/>
            <w:tcBorders>
              <w:bottom w:val="single" w:sz="8" w:color="auto"/>
            </w:tcBorders>
            <w:gridSpan w:val="2"/>
          </w:tcPr>
          <w:p>
            <w:pPr>
              <w:spacing w:after="0"/>
              <w:rPr>
                <w:sz w:val="21"/>
                <w:szCs w:val="21"/>
                <w:color w:val="auto"/>
              </w:rPr>
            </w:pPr>
          </w:p>
        </w:tc>
        <w:tc>
          <w:tcPr>
            <w:tcW w:w="9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Canada</w:t>
            </w:r>
          </w:p>
        </w:tc>
        <w:tc>
          <w:tcPr>
            <w:tcW w:w="6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42"/>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2"/>
              </w:rPr>
              <w:t>Number of</w:t>
            </w:r>
          </w:p>
        </w:tc>
        <w:tc>
          <w:tcPr>
            <w:tcW w:w="240" w:type="dxa"/>
            <w:vAlign w:val="bottom"/>
            <w:tcBorders>
              <w:bottom w:val="single" w:sz="8" w:color="auto"/>
            </w:tcBorders>
          </w:tcPr>
          <w:p>
            <w:pPr>
              <w:spacing w:after="0"/>
              <w:rPr>
                <w:sz w:val="21"/>
                <w:szCs w:val="21"/>
                <w:color w:val="auto"/>
              </w:rPr>
            </w:pPr>
          </w:p>
        </w:tc>
        <w:tc>
          <w:tcPr>
            <w:tcW w:w="60" w:type="dxa"/>
            <w:vAlign w:val="bottom"/>
            <w:tcBorders>
              <w:bottom w:val="single" w:sz="8" w:color="auto"/>
              <w:right w:val="single" w:sz="8" w:color="auto"/>
            </w:tcBorders>
          </w:tcPr>
          <w:p>
            <w:pPr>
              <w:spacing w:after="0"/>
              <w:rPr>
                <w:sz w:val="21"/>
                <w:szCs w:val="21"/>
                <w:color w:val="auto"/>
              </w:rPr>
            </w:pPr>
          </w:p>
        </w:tc>
        <w:tc>
          <w:tcPr>
            <w:tcW w:w="96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right w:val="single" w:sz="8" w:color="auto"/>
            </w:tcBorders>
          </w:tcPr>
          <w:p>
            <w:pPr>
              <w:spacing w:after="0"/>
              <w:rPr>
                <w:sz w:val="20"/>
                <w:szCs w:val="20"/>
                <w:color w:val="auto"/>
              </w:rPr>
            </w:pPr>
          </w:p>
        </w:tc>
        <w:tc>
          <w:tcPr>
            <w:tcW w:w="96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1,746,609</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Arial" w:cs="Arial" w:eastAsia="Arial" w:hAnsi="Arial"/>
                <w:sz w:val="18"/>
                <w:szCs w:val="18"/>
                <w:color w:val="auto"/>
                <w:w w:val="91"/>
              </w:rPr>
              <w:t>Owned by</w:t>
            </w: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right w:val="single" w:sz="8" w:color="auto"/>
            </w:tcBorders>
          </w:tcPr>
          <w:p>
            <w:pPr>
              <w:spacing w:after="0"/>
              <w:rPr>
                <w:sz w:val="20"/>
                <w:szCs w:val="20"/>
                <w:color w:val="auto"/>
              </w:rPr>
            </w:pPr>
          </w:p>
        </w:tc>
        <w:tc>
          <w:tcPr>
            <w:tcW w:w="960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60" w:type="dxa"/>
            <w:vAlign w:val="bottom"/>
            <w:tcBorders>
              <w:right w:val="single" w:sz="8" w:color="auto"/>
            </w:tcBorders>
          </w:tcPr>
          <w:p>
            <w:pPr>
              <w:spacing w:after="0"/>
              <w:rPr>
                <w:sz w:val="15"/>
                <w:szCs w:val="15"/>
                <w:color w:val="auto"/>
              </w:rPr>
            </w:pPr>
          </w:p>
        </w:tc>
        <w:tc>
          <w:tcPr>
            <w:tcW w:w="960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9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Borders>
              <w:bottom w:val="single" w:sz="8" w:color="auto"/>
              <w:right w:val="single" w:sz="8" w:color="auto"/>
            </w:tcBorders>
          </w:tcPr>
          <w:p>
            <w:pPr>
              <w:spacing w:after="0"/>
              <w:rPr>
                <w:sz w:val="5"/>
                <w:szCs w:val="5"/>
                <w:color w:val="auto"/>
              </w:rPr>
            </w:pPr>
          </w:p>
        </w:tc>
        <w:tc>
          <w:tcPr>
            <w:tcW w:w="96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360" w:type="dxa"/>
            <w:vAlign w:val="bottom"/>
            <w:tcBorders>
              <w:left w:val="single" w:sz="8" w:color="auto"/>
            </w:tcBorders>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right w:val="single" w:sz="8" w:color="auto"/>
            </w:tcBorders>
          </w:tcPr>
          <w:p>
            <w:pPr>
              <w:spacing w:after="0"/>
              <w:rPr>
                <w:sz w:val="11"/>
                <w:szCs w:val="11"/>
                <w:color w:val="auto"/>
              </w:rPr>
            </w:pPr>
          </w:p>
        </w:tc>
        <w:tc>
          <w:tcPr>
            <w:tcW w:w="96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6"/>
        </w:trPr>
        <w:tc>
          <w:tcPr>
            <w:tcW w:w="360" w:type="dxa"/>
            <w:vAlign w:val="bottom"/>
            <w:tcBorders>
              <w:lef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96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60" w:type="dxa"/>
            <w:vAlign w:val="bottom"/>
            <w:tcBorders>
              <w:lef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96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1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right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1,746,609</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color w:val="auto"/>
                <w:w w:val="96"/>
              </w:rPr>
              <w:t>Aggregate</w:t>
            </w:r>
          </w:p>
        </w:tc>
        <w:tc>
          <w:tcPr>
            <w:tcW w:w="96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w w:val="92"/>
              </w:rPr>
              <w:t>1,746,609</w:t>
            </w:r>
          </w:p>
        </w:tc>
        <w:tc>
          <w:tcPr>
            <w:tcW w:w="6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0" w:type="dxa"/>
            <w:vAlign w:val="bottom"/>
            <w:tcBorders>
              <w:left w:val="single" w:sz="8" w:color="auto"/>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11</w:t>
            </w:r>
          </w:p>
        </w:tc>
        <w:tc>
          <w:tcPr>
            <w:tcW w:w="10600" w:type="dxa"/>
            <w:vAlign w:val="bottom"/>
            <w:tcBorders>
              <w:right w:val="single" w:sz="8" w:color="auto"/>
            </w:tcBorders>
            <w:gridSpan w:val="5"/>
          </w:tcPr>
          <w:p>
            <w:pPr>
              <w:ind w:left="18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color w:val="auto"/>
              </w:rPr>
              <w:t xml:space="preserve">5.8% </w:t>
            </w:r>
            <w:r>
              <w:rPr>
                <w:rFonts w:ascii="Arial" w:cs="Arial" w:eastAsia="Arial" w:hAnsi="Arial"/>
                <w:sz w:val="15"/>
                <w:szCs w:val="15"/>
                <w:color w:val="auto"/>
              </w:rPr>
              <w:t>(1)</w:t>
            </w:r>
          </w:p>
        </w:tc>
        <w:tc>
          <w:tcPr>
            <w:tcW w:w="6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20"/>
                <w:szCs w:val="20"/>
                <w:color w:val="auto"/>
              </w:rPr>
            </w:pPr>
          </w:p>
        </w:tc>
        <w:tc>
          <w:tcPr>
            <w:tcW w:w="10600" w:type="dxa"/>
            <w:vAlign w:val="bottom"/>
            <w:tcBorders>
              <w:right w:val="single" w:sz="8" w:color="auto"/>
            </w:tcBorders>
            <w:gridSpan w:val="5"/>
          </w:tcPr>
          <w:p>
            <w:pPr>
              <w:ind w:left="16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FI</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140" w:hanging="424"/>
        <w:spacing w:after="0" w:line="263"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percentage set forth in Row 11 of this Cover Page is based on the 30,000,000 shares of Ordinary Shares (as defined herein) outstanding as of November 13, 2020, as reported on the Form 10-Q of the Issuer (as defined herein) filed with the Securities and Exchange Commission on November 13, 2020.</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2 of 5</w:t>
      </w:r>
    </w:p>
    <w:p>
      <w:pPr>
        <w:sectPr>
          <w:pgSz w:w="11900" w:h="16838" w:orient="portrait"/>
          <w:cols w:equalWidth="0" w:num="1">
            <w:col w:w="11024"/>
          </w:cols>
          <w:pgMar w:left="436" w:top="274" w:right="439" w:bottom="1440" w:gutter="0" w:footer="0" w:header="0"/>
        </w:sectPr>
      </w:pPr>
    </w:p>
    <w:bookmarkStart w:id="2" w:name="page3"/>
    <w:bookmarkEnd w:id="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Sustainable Opportunities Acquisition Corp</w:t>
      </w:r>
    </w:p>
    <w:p>
      <w:pPr>
        <w:spacing w:after="0" w:line="126" w:lineRule="exact"/>
        <w:rPr>
          <w:rFonts w:ascii="Arial" w:cs="Arial" w:eastAsia="Arial" w:hAnsi="Arial"/>
          <w:sz w:val="18"/>
          <w:szCs w:val="18"/>
          <w:b w:val="1"/>
          <w:bCs w:val="1"/>
          <w:color w:val="auto"/>
        </w:rPr>
      </w:pPr>
    </w:p>
    <w:p>
      <w:pPr>
        <w:ind w:left="444" w:right="6800" w:hanging="444"/>
        <w:spacing w:after="0" w:line="488" w:lineRule="auto"/>
        <w:tabs>
          <w:tab w:leader="none" w:pos="436"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Issuer’s Principal Executive Offices: </w:t>
      </w:r>
      <w:r>
        <w:rPr>
          <w:rFonts w:ascii="Arial" w:cs="Arial" w:eastAsia="Arial" w:hAnsi="Arial"/>
          <w:sz w:val="16"/>
          <w:szCs w:val="16"/>
          <w:color w:val="auto"/>
        </w:rPr>
        <w:t>1601 Bryan Street, Suite 4141, Dallas, Texas</w:t>
      </w:r>
    </w:p>
    <w:p>
      <w:pPr>
        <w:spacing w:after="0" w:line="15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17" w:lineRule="exact"/>
        <w:rPr>
          <w:rFonts w:ascii="Arial" w:cs="Arial" w:eastAsia="Arial" w:hAnsi="Arial"/>
          <w:sz w:val="18"/>
          <w:szCs w:val="18"/>
          <w:b w:val="1"/>
          <w:bCs w:val="1"/>
          <w:color w:val="auto"/>
        </w:rPr>
      </w:pPr>
    </w:p>
    <w:p>
      <w:pPr>
        <w:ind w:left="44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This Schedule 13G is being filed on behalf of Periscope Capital Inc. (“</w:t>
      </w:r>
      <w:r>
        <w:rPr>
          <w:rFonts w:ascii="Arial" w:cs="Arial" w:eastAsia="Arial" w:hAnsi="Arial"/>
          <w:sz w:val="18"/>
          <w:szCs w:val="18"/>
          <w:b w:val="1"/>
          <w:bCs w:val="1"/>
          <w:color w:val="auto"/>
        </w:rPr>
        <w:t>Periscope</w:t>
      </w:r>
      <w:r>
        <w:rPr>
          <w:rFonts w:ascii="Arial" w:cs="Arial" w:eastAsia="Arial" w:hAnsi="Arial"/>
          <w:sz w:val="18"/>
          <w:szCs w:val="18"/>
          <w:color w:val="auto"/>
        </w:rPr>
        <w:t>”) with respect to the shares of Class A Ordinary Share, $0.0001 par value per share (the “</w:t>
      </w:r>
      <w:r>
        <w:rPr>
          <w:rFonts w:ascii="Arial" w:cs="Arial" w:eastAsia="Arial" w:hAnsi="Arial"/>
          <w:sz w:val="18"/>
          <w:szCs w:val="18"/>
          <w:b w:val="1"/>
          <w:bCs w:val="1"/>
          <w:color w:val="auto"/>
        </w:rPr>
        <w:t>Ordinary Shares</w:t>
      </w:r>
      <w:r>
        <w:rPr>
          <w:rFonts w:ascii="Arial" w:cs="Arial" w:eastAsia="Arial" w:hAnsi="Arial"/>
          <w:sz w:val="18"/>
          <w:szCs w:val="18"/>
          <w:color w:val="auto"/>
        </w:rPr>
        <w:t>”), of Sustainable Opportunities Acquisition Corp, a Cayman Islands exempted company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71" w:lineRule="exact"/>
        <w:rPr>
          <w:rFonts w:ascii="Arial" w:cs="Arial" w:eastAsia="Arial" w:hAnsi="Arial"/>
          <w:sz w:val="18"/>
          <w:szCs w:val="18"/>
          <w:b w:val="1"/>
          <w:bCs w:val="1"/>
          <w:color w:val="auto"/>
        </w:rPr>
      </w:pPr>
    </w:p>
    <w:p>
      <w:pPr>
        <w:ind w:left="4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Periscope, which is the beneficial owner of 1,282,132 shares of Ordinary Shares, acts as investment manager of, and exercises investment discretion with respect to, certain private investment funds (each, a “</w:t>
      </w:r>
      <w:r>
        <w:rPr>
          <w:rFonts w:ascii="Arial" w:cs="Arial" w:eastAsia="Arial" w:hAnsi="Arial"/>
          <w:sz w:val="18"/>
          <w:szCs w:val="18"/>
          <w:b w:val="1"/>
          <w:bCs w:val="1"/>
          <w:color w:val="auto"/>
        </w:rPr>
        <w:t>Periscope Fund</w:t>
      </w:r>
      <w:r>
        <w:rPr>
          <w:rFonts w:ascii="Arial" w:cs="Arial" w:eastAsia="Arial" w:hAnsi="Arial"/>
          <w:sz w:val="18"/>
          <w:szCs w:val="18"/>
          <w:color w:val="auto"/>
        </w:rPr>
        <w:t>”) that collectively directly own 464,477 shares of Ordinary Shares.</w:t>
      </w:r>
    </w:p>
    <w:p>
      <w:pPr>
        <w:spacing w:after="0" w:line="75"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filing of this statement should not be construed as an admission that Periscope is, for the purpose of Section 13 of the Act, the beneficial owner of the Ordinary Shares owned by the Periscope Funds.</w:t>
      </w:r>
    </w:p>
    <w:p>
      <w:pPr>
        <w:spacing w:after="0" w:line="71" w:lineRule="exact"/>
        <w:rPr>
          <w:rFonts w:ascii="Arial" w:cs="Arial" w:eastAsia="Arial" w:hAnsi="Arial"/>
          <w:sz w:val="18"/>
          <w:szCs w:val="18"/>
          <w:b w:val="1"/>
          <w:bCs w:val="1"/>
          <w:color w:val="auto"/>
        </w:rPr>
      </w:pPr>
    </w:p>
    <w:p>
      <w:pPr>
        <w:ind w:left="444" w:right="5820" w:hanging="444"/>
        <w:spacing w:after="0" w:line="431"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Address of Principal Business Office or, if None, Residence: </w:t>
      </w:r>
      <w:r>
        <w:rPr>
          <w:rFonts w:ascii="Arial" w:cs="Arial" w:eastAsia="Arial" w:hAnsi="Arial"/>
          <w:sz w:val="16"/>
          <w:szCs w:val="16"/>
          <w:color w:val="auto"/>
        </w:rPr>
        <w:t>333 Bay Street, Suite 1240, Toronto, Ontario, Canada M5H 2R2</w:t>
      </w: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Row 4 of the Cover Page.</w:t>
      </w:r>
    </w:p>
    <w:p>
      <w:pPr>
        <w:spacing w:after="0" w:line="126" w:lineRule="exact"/>
        <w:rPr>
          <w:rFonts w:ascii="Arial" w:cs="Arial" w:eastAsia="Arial" w:hAnsi="Arial"/>
          <w:sz w:val="18"/>
          <w:szCs w:val="18"/>
          <w:b w:val="1"/>
          <w:bCs w:val="1"/>
          <w:color w:val="auto"/>
        </w:rPr>
      </w:pPr>
    </w:p>
    <w:p>
      <w:pPr>
        <w:ind w:left="424" w:hanging="424"/>
        <w:spacing w:after="0"/>
        <w:tabs>
          <w:tab w:leader="none" w:pos="42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Title and Class of Securities: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Class A Ordinary Share, $0.0001 par value per share</w:t>
      </w:r>
    </w:p>
    <w:p>
      <w:pPr>
        <w:spacing w:after="0" w:line="126" w:lineRule="exact"/>
        <w:rPr>
          <w:rFonts w:ascii="Arial" w:cs="Arial" w:eastAsia="Arial" w:hAnsi="Arial"/>
          <w:sz w:val="18"/>
          <w:szCs w:val="18"/>
          <w:b w:val="1"/>
          <w:bCs w:val="1"/>
          <w:color w:val="auto"/>
        </w:rPr>
      </w:pPr>
    </w:p>
    <w:p>
      <w:pPr>
        <w:jc w:val="both"/>
        <w:ind w:left="444" w:right="9540" w:hanging="444"/>
        <w:spacing w:after="0" w:line="488" w:lineRule="auto"/>
        <w:tabs>
          <w:tab w:leader="none" w:pos="436"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CUSIP No.: </w:t>
      </w:r>
      <w:r>
        <w:rPr>
          <w:rFonts w:ascii="Arial" w:cs="Arial" w:eastAsia="Arial" w:hAnsi="Arial"/>
          <w:sz w:val="16"/>
          <w:szCs w:val="16"/>
          <w:color w:val="auto"/>
        </w:rPr>
        <w:t>G8598Y109</w:t>
      </w:r>
    </w:p>
    <w:p>
      <w:pPr>
        <w:spacing w:after="0" w:line="156" w:lineRule="exact"/>
        <w:rPr>
          <w:sz w:val="20"/>
          <w:szCs w:val="20"/>
          <w:color w:val="auto"/>
        </w:rPr>
      </w:pPr>
    </w:p>
    <w:p>
      <w:pPr>
        <w:ind w:left="4"/>
        <w:spacing w:after="0"/>
        <w:tabs>
          <w:tab w:leader="none" w:pos="96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23" w:lineRule="exact"/>
        <w:rPr>
          <w:sz w:val="20"/>
          <w:szCs w:val="20"/>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304" w:right="40" w:hanging="859"/>
        <w:spacing w:after="0" w:line="239" w:lineRule="exact"/>
        <w:tabs>
          <w:tab w:leader="none" w:pos="885"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884" w:hanging="439"/>
        <w:spacing w:after="0" w:line="207" w:lineRule="exact"/>
        <w:tabs>
          <w:tab w:leader="none" w:pos="884"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w:t>
      </w:r>
    </w:p>
    <w:p>
      <w:pPr>
        <w:spacing w:after="0" w:line="190"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Page 3 of 5</w:t>
      </w:r>
    </w:p>
    <w:p>
      <w:pPr>
        <w:sectPr>
          <w:pgSz w:w="11900" w:h="16838" w:orient="portrait"/>
          <w:cols w:equalWidth="0" w:num="1">
            <w:col w:w="10884"/>
          </w:cols>
          <w:pgMar w:left="436" w:top="270" w:right="579" w:bottom="1440" w:gutter="0" w:footer="0" w:header="0"/>
        </w:sectPr>
      </w:pPr>
    </w:p>
    <w:bookmarkStart w:id="3" w:name="page4"/>
    <w:bookmarkEnd w:id="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filing as a non-U.S. institution in accordance with Rule 240.13d-1(b)(1)(ii)(J), please specify the type of institution: Non-U.S. investment adviser.</w:t>
      </w:r>
    </w:p>
    <w:p>
      <w:pPr>
        <w:spacing w:after="0" w:line="38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required by Items 4(a)-(c) is set forth in Rows 5-11 of the Cover Page and is incorporated herein by reference.</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Periscope expressly declares that this filing shall not be construed as an admission that it is, for the purposes of Sections 13(d) or 13(g) of the Act, the beneficial owner of the securities owned by the Periscope Funds.</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980" w:hanging="984"/>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4 of 5</w:t>
      </w:r>
    </w:p>
    <w:p>
      <w:pPr>
        <w:sectPr>
          <w:pgSz w:w="11900" w:h="16838" w:orient="portrait"/>
          <w:cols w:equalWidth="0" w:num="1">
            <w:col w:w="10940"/>
          </w:cols>
          <w:pgMar w:left="440" w:top="274" w:right="5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PERISCOPE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James 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Wise, Chief Executive Officer</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162"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Page 5 of 5</w:t>
      </w:r>
    </w:p>
    <w:sectPr>
      <w:pgSz w:w="11900" w:h="16838" w:orient="portrait"/>
      <w:cols w:equalWidth="0" w:num="1">
        <w:col w:w="10940"/>
      </w:cols>
      <w:pgMar w:left="440" w:top="27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2021-02-16T16:13:54Z</dcterms:created>
  <dcterms:modified xsi:type="dcterms:W3CDTF">2021-02-16T16:13:54Z</dcterms:modified>
</cp:coreProperties>
</file>