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TMC the metals Co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without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87261Y106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360" w:type="dxa"/>
            <w:vAlign w:val="bottom"/>
          </w:tcPr>
          <w:p>
            <w:pPr>
              <w:ind w:left="3140"/>
              <w:spacing w:after="0"/>
              <w:rPr>
                <w:sz w:val="20"/>
                <w:szCs w:val="20"/>
                <w:color w:val="auto"/>
              </w:rPr>
            </w:pPr>
            <w:r>
              <w:rPr>
                <w:rFonts w:ascii="Arial" w:cs="Arial" w:eastAsia="Arial" w:hAnsi="Arial"/>
                <w:sz w:val="18"/>
                <w:szCs w:val="18"/>
                <w:b w:val="1"/>
                <w:bCs w:val="1"/>
                <w:color w:val="auto"/>
              </w:rPr>
              <w:t>SCHEDULE 13G</w:t>
            </w:r>
          </w:p>
        </w:tc>
        <w:tc>
          <w:tcPr>
            <w:tcW w:w="0" w:type="dxa"/>
            <w:vAlign w:val="bottom"/>
          </w:tcPr>
          <w:p>
            <w:pPr>
              <w:spacing w:after="0"/>
              <w:rPr>
                <w:sz w:val="1"/>
                <w:szCs w:val="1"/>
                <w:color w:val="auto"/>
              </w:rPr>
            </w:pPr>
          </w:p>
        </w:tc>
      </w:tr>
      <w:tr>
        <w:trPr>
          <w:trHeight w:val="459"/>
        </w:trPr>
        <w:tc>
          <w:tcPr>
            <w:tcW w:w="1100" w:type="dxa"/>
            <w:vAlign w:val="bottom"/>
            <w:gridSpan w:val="2"/>
          </w:tcPr>
          <w:p>
            <w:pPr>
              <w:spacing w:after="0"/>
              <w:rPr>
                <w:sz w:val="20"/>
                <w:szCs w:val="20"/>
                <w:color w:val="auto"/>
              </w:rPr>
            </w:pPr>
            <w:r>
              <w:rPr>
                <w:rFonts w:ascii="Arial" w:cs="Arial" w:eastAsia="Arial" w:hAnsi="Arial"/>
                <w:sz w:val="18"/>
                <w:szCs w:val="18"/>
                <w:color w:val="auto"/>
              </w:rPr>
              <w:t>CUSIP No.</w:t>
            </w:r>
          </w:p>
        </w:tc>
        <w:tc>
          <w:tcPr>
            <w:tcW w:w="9940" w:type="dxa"/>
            <w:vAlign w:val="bottom"/>
            <w:gridSpan w:val="3"/>
          </w:tcPr>
          <w:p>
            <w:pPr>
              <w:jc w:val="center"/>
              <w:ind w:right="8990"/>
              <w:spacing w:after="0"/>
              <w:rPr>
                <w:sz w:val="20"/>
                <w:szCs w:val="20"/>
                <w:color w:val="auto"/>
              </w:rPr>
            </w:pPr>
            <w:r>
              <w:rPr>
                <w:rFonts w:ascii="Arial" w:cs="Arial" w:eastAsia="Arial" w:hAnsi="Arial"/>
                <w:sz w:val="18"/>
                <w:szCs w:val="18"/>
                <w:color w:val="auto"/>
                <w:w w:val="93"/>
              </w:rPr>
              <w:t>87261Y106</w:t>
            </w:r>
          </w:p>
        </w:tc>
        <w:tc>
          <w:tcPr>
            <w:tcW w:w="0" w:type="dxa"/>
            <w:vAlign w:val="bottom"/>
          </w:tcPr>
          <w:p>
            <w:pPr>
              <w:spacing w:after="0"/>
              <w:rPr>
                <w:sz w:val="1"/>
                <w:szCs w:val="1"/>
                <w:color w:val="auto"/>
              </w:rPr>
            </w:pPr>
          </w:p>
        </w:tc>
      </w:tr>
      <w:tr>
        <w:trPr>
          <w:trHeight w:val="243"/>
        </w:trPr>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Periscope Capital Inc.</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60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Pr>
          <w:p>
            <w:pPr>
              <w:spacing w:after="0"/>
              <w:rPr>
                <w:sz w:val="24"/>
                <w:szCs w:val="24"/>
                <w:color w:val="auto"/>
              </w:rPr>
            </w:pPr>
          </w:p>
        </w:tc>
        <w:tc>
          <w:tcPr>
            <w:tcW w:w="440" w:type="dxa"/>
            <w:vAlign w:val="bottom"/>
          </w:tcPr>
          <w:p>
            <w:pPr>
              <w:jc w:val="center"/>
              <w:ind w:left="50"/>
              <w:spacing w:after="0"/>
              <w:rPr>
                <w:sz w:val="20"/>
                <w:szCs w:val="20"/>
                <w:color w:val="auto"/>
              </w:rPr>
            </w:pPr>
            <w:r>
              <w:rPr>
                <w:rFonts w:ascii="Arial" w:cs="Arial" w:eastAsia="Arial" w:hAnsi="Arial"/>
                <w:sz w:val="18"/>
                <w:szCs w:val="18"/>
                <w:color w:val="auto"/>
                <w:w w:val="99"/>
              </w:rPr>
              <w:t>(b)</w:t>
            </w:r>
          </w:p>
        </w:tc>
        <w:tc>
          <w:tcPr>
            <w:tcW w:w="936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2"/>
              </w:rPr>
              <w:t>Sec Use Only</w:t>
            </w:r>
          </w:p>
        </w:tc>
        <w:tc>
          <w:tcPr>
            <w:tcW w:w="9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Canada</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79"/>
              </w:rPr>
              <w:t>5</w:t>
            </w:r>
          </w:p>
        </w:tc>
        <w:tc>
          <w:tcPr>
            <w:tcW w:w="93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1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2"/>
              </w:rPr>
              <w:t>Number of</w:t>
            </w:r>
          </w:p>
        </w:tc>
        <w:tc>
          <w:tcPr>
            <w:tcW w:w="140" w:type="dxa"/>
            <w:vAlign w:val="bottom"/>
            <w:tcBorders>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9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spacing w:after="0"/>
              <w:rPr>
                <w:sz w:val="20"/>
                <w:szCs w:val="20"/>
                <w:color w:val="auto"/>
              </w:rPr>
            </w:pPr>
          </w:p>
        </w:tc>
        <w:tc>
          <w:tcPr>
            <w:tcW w:w="660" w:type="dxa"/>
            <w:vAlign w:val="bottom"/>
          </w:tcPr>
          <w:p>
            <w:pPr>
              <w:jc w:val="center"/>
              <w:ind w:right="90"/>
              <w:spacing w:after="0"/>
              <w:rPr>
                <w:sz w:val="20"/>
                <w:szCs w:val="20"/>
                <w:color w:val="auto"/>
              </w:rPr>
            </w:pPr>
            <w:r>
              <w:rPr>
                <w:rFonts w:ascii="Arial" w:cs="Arial" w:eastAsia="Arial" w:hAnsi="Arial"/>
                <w:sz w:val="18"/>
                <w:szCs w:val="18"/>
                <w:color w:val="auto"/>
                <w:w w:val="84"/>
              </w:rPr>
              <w:t>Shares</w:t>
            </w:r>
          </w:p>
        </w:tc>
        <w:tc>
          <w:tcPr>
            <w:tcW w:w="14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79"/>
              </w:rPr>
              <w:t>6</w:t>
            </w:r>
          </w:p>
        </w:tc>
        <w:tc>
          <w:tcPr>
            <w:tcW w:w="93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1"/>
              </w:rPr>
              <w:t>Owned by</w:t>
            </w:r>
          </w:p>
        </w:tc>
        <w:tc>
          <w:tcPr>
            <w:tcW w:w="140" w:type="dxa"/>
            <w:vAlign w:val="bottom"/>
            <w:tcBorders>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3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spacing w:after="0"/>
              <w:rPr>
                <w:sz w:val="15"/>
                <w:szCs w:val="15"/>
                <w:color w:val="auto"/>
              </w:rPr>
            </w:pPr>
          </w:p>
        </w:tc>
        <w:tc>
          <w:tcPr>
            <w:tcW w:w="66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87"/>
              </w:rPr>
              <w:t>Each</w:t>
            </w:r>
          </w:p>
        </w:tc>
        <w:tc>
          <w:tcPr>
            <w:tcW w:w="14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jc w:val="center"/>
              <w:ind w:left="30"/>
              <w:spacing w:after="0" w:line="182" w:lineRule="exact"/>
              <w:rPr>
                <w:sz w:val="20"/>
                <w:szCs w:val="20"/>
                <w:color w:val="auto"/>
              </w:rPr>
            </w:pPr>
            <w:r>
              <w:rPr>
                <w:rFonts w:ascii="Arial" w:cs="Arial" w:eastAsia="Arial" w:hAnsi="Arial"/>
                <w:sz w:val="18"/>
                <w:szCs w:val="18"/>
                <w:color w:val="auto"/>
                <w:w w:val="79"/>
              </w:rPr>
              <w:t>7</w:t>
            </w:r>
          </w:p>
        </w:tc>
        <w:tc>
          <w:tcPr>
            <w:tcW w:w="93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2"/>
              </w:rPr>
              <w:t>Reporting</w:t>
            </w:r>
          </w:p>
        </w:tc>
        <w:tc>
          <w:tcPr>
            <w:tcW w:w="1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660" w:type="dxa"/>
            <w:vAlign w:val="bottom"/>
            <w:vMerge w:val="restart"/>
          </w:tcPr>
          <w:p>
            <w:pPr>
              <w:jc w:val="center"/>
              <w:ind w:right="70"/>
              <w:spacing w:after="0"/>
              <w:rPr>
                <w:sz w:val="20"/>
                <w:szCs w:val="20"/>
                <w:color w:val="auto"/>
              </w:rPr>
            </w:pPr>
            <w:r>
              <w:rPr>
                <w:rFonts w:ascii="Arial" w:cs="Arial" w:eastAsia="Arial" w:hAnsi="Arial"/>
                <w:sz w:val="18"/>
                <w:szCs w:val="18"/>
                <w:color w:val="auto"/>
                <w:w w:val="87"/>
              </w:rPr>
              <w:t>Person</w:t>
            </w:r>
          </w:p>
        </w:tc>
        <w:tc>
          <w:tcPr>
            <w:tcW w:w="140" w:type="dxa"/>
            <w:vAlign w:val="bottom"/>
            <w:tcBorders>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40" w:type="dxa"/>
            <w:vAlign w:val="bottom"/>
            <w:tcBorders>
              <w:left w:val="single" w:sz="8" w:color="auto"/>
            </w:tcBorders>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vMerge w:val="restart"/>
          </w:tcPr>
          <w:p>
            <w:pPr>
              <w:jc w:val="center"/>
              <w:ind w:left="30"/>
              <w:spacing w:after="0"/>
              <w:rPr>
                <w:sz w:val="20"/>
                <w:szCs w:val="20"/>
                <w:color w:val="auto"/>
              </w:rPr>
            </w:pPr>
            <w:r>
              <w:rPr>
                <w:rFonts w:ascii="Arial" w:cs="Arial" w:eastAsia="Arial" w:hAnsi="Arial"/>
                <w:sz w:val="18"/>
                <w:szCs w:val="18"/>
                <w:color w:val="auto"/>
                <w:w w:val="79"/>
              </w:rPr>
              <w:t>8</w:t>
            </w:r>
          </w:p>
        </w:tc>
        <w:tc>
          <w:tcPr>
            <w:tcW w:w="93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440" w:type="dxa"/>
            <w:vAlign w:val="bottom"/>
            <w:tcBorders>
              <w:left w:val="single" w:sz="8" w:color="auto"/>
            </w:tcBorders>
          </w:tcPr>
          <w:p>
            <w:pPr>
              <w:spacing w:after="0"/>
              <w:rPr>
                <w:sz w:val="8"/>
                <w:szCs w:val="8"/>
                <w:color w:val="auto"/>
              </w:rPr>
            </w:pPr>
          </w:p>
        </w:tc>
        <w:tc>
          <w:tcPr>
            <w:tcW w:w="660" w:type="dxa"/>
            <w:vAlign w:val="bottom"/>
            <w:vMerge w:val="restart"/>
          </w:tcPr>
          <w:p>
            <w:pPr>
              <w:jc w:val="center"/>
              <w:ind w:right="7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vMerge w:val="continue"/>
          </w:tcPr>
          <w:p>
            <w:pPr>
              <w:spacing w:after="0"/>
              <w:rPr>
                <w:sz w:val="8"/>
                <w:szCs w:val="8"/>
                <w:color w:val="auto"/>
              </w:rPr>
            </w:pPr>
          </w:p>
        </w:tc>
        <w:tc>
          <w:tcPr>
            <w:tcW w:w="9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40" w:type="dxa"/>
            <w:vAlign w:val="bottom"/>
            <w:tcBorders>
              <w:left w:val="single" w:sz="8" w:color="auto"/>
            </w:tcBorders>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9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44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6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5"/>
                <w:szCs w:val="15"/>
                <w:color w:val="auto"/>
              </w:rPr>
              <w:t>(1)</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6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0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percentage set forth in Row 11 of this Cover Page is based on the 225,259,277 shares of Common Stock (as defined herein) outstanding as of November 12, 2021, as reported on the Form 10-Q of the Issuer (as defined herein) filed with the Securities and Exchange Commission on November 15, 2021.</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 of 5</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TMC the metals Co Inc</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595 Howe Street, 10th Floor, Vancouver, British Columbia</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17" w:lineRule="exact"/>
        <w:rPr>
          <w:rFonts w:ascii="Arial" w:cs="Arial" w:eastAsia="Arial" w:hAnsi="Arial"/>
          <w:sz w:val="18"/>
          <w:szCs w:val="18"/>
          <w:b w:val="1"/>
          <w:bCs w:val="1"/>
          <w:color w:val="auto"/>
        </w:rPr>
      </w:pPr>
    </w:p>
    <w:p>
      <w:pPr>
        <w:ind w:left="444"/>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This Schedule 13G is being filed on behalf of Periscope Capital Inc. (“</w:t>
      </w:r>
      <w:r>
        <w:rPr>
          <w:rFonts w:ascii="Arial" w:cs="Arial" w:eastAsia="Arial" w:hAnsi="Arial"/>
          <w:sz w:val="18"/>
          <w:szCs w:val="18"/>
          <w:b w:val="1"/>
          <w:bCs w:val="1"/>
          <w:color w:val="auto"/>
        </w:rPr>
        <w:t>Periscope</w:t>
      </w:r>
      <w:r>
        <w:rPr>
          <w:rFonts w:ascii="Arial" w:cs="Arial" w:eastAsia="Arial" w:hAnsi="Arial"/>
          <w:sz w:val="18"/>
          <w:szCs w:val="18"/>
          <w:color w:val="auto"/>
        </w:rPr>
        <w:t>”) with respect to the shares of Common Shares without par value (the “</w:t>
      </w:r>
      <w:r>
        <w:rPr>
          <w:rFonts w:ascii="Arial" w:cs="Arial" w:eastAsia="Arial" w:hAnsi="Arial"/>
          <w:sz w:val="18"/>
          <w:szCs w:val="18"/>
          <w:b w:val="1"/>
          <w:bCs w:val="1"/>
          <w:color w:val="auto"/>
        </w:rPr>
        <w:t>Common Shares</w:t>
      </w:r>
      <w:r>
        <w:rPr>
          <w:rFonts w:ascii="Arial" w:cs="Arial" w:eastAsia="Arial" w:hAnsi="Arial"/>
          <w:sz w:val="18"/>
          <w:szCs w:val="18"/>
          <w:color w:val="auto"/>
        </w:rPr>
        <w:t>”), of TMC the metals Co Inc, a British Columbia corporation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57" w:lineRule="exact"/>
        <w:rPr>
          <w:rFonts w:ascii="Arial" w:cs="Arial" w:eastAsia="Arial" w:hAnsi="Arial"/>
          <w:sz w:val="18"/>
          <w:szCs w:val="18"/>
          <w:b w:val="1"/>
          <w:bCs w:val="1"/>
          <w:color w:val="auto"/>
        </w:rPr>
      </w:pPr>
    </w:p>
    <w:p>
      <w:pPr>
        <w:ind w:left="444"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Periscope, which is the beneficial owner of 0 shares of Common Stock, acts as investment manager of, and exercises investment discretion with respect to, certain private investment funds (each, a “</w:t>
      </w:r>
      <w:r>
        <w:rPr>
          <w:rFonts w:ascii="Arial" w:cs="Arial" w:eastAsia="Arial" w:hAnsi="Arial"/>
          <w:sz w:val="16"/>
          <w:szCs w:val="16"/>
          <w:b w:val="1"/>
          <w:bCs w:val="1"/>
          <w:color w:val="auto"/>
        </w:rPr>
        <w:t>Periscope Fund</w:t>
      </w:r>
      <w:r>
        <w:rPr>
          <w:rFonts w:ascii="Arial" w:cs="Arial" w:eastAsia="Arial" w:hAnsi="Arial"/>
          <w:sz w:val="16"/>
          <w:szCs w:val="16"/>
          <w:color w:val="auto"/>
        </w:rPr>
        <w:t>”) that collectively directly own 0 shares of Common Stock.</w:t>
      </w:r>
    </w:p>
    <w:p>
      <w:pPr>
        <w:spacing w:after="0" w:line="15" w:lineRule="exact"/>
        <w:rPr>
          <w:rFonts w:ascii="Arial" w:cs="Arial" w:eastAsia="Arial" w:hAnsi="Arial"/>
          <w:sz w:val="18"/>
          <w:szCs w:val="18"/>
          <w:b w:val="1"/>
          <w:bCs w:val="1"/>
          <w:color w:val="auto"/>
        </w:rPr>
      </w:pPr>
    </w:p>
    <w:p>
      <w:pPr>
        <w:ind w:left="444"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filing of this statement should not be construed as an admission that Periscope is, for the purpose of Section 13 of the Act, the beneficial owner of the Common Stock owned by the Periscope Funds.</w:t>
      </w:r>
    </w:p>
    <w:p>
      <w:pPr>
        <w:spacing w:after="0" w:line="71" w:lineRule="exact"/>
        <w:rPr>
          <w:rFonts w:ascii="Arial" w:cs="Arial" w:eastAsia="Arial" w:hAnsi="Arial"/>
          <w:sz w:val="18"/>
          <w:szCs w:val="18"/>
          <w:b w:val="1"/>
          <w:bCs w:val="1"/>
          <w:color w:val="auto"/>
        </w:rPr>
      </w:pPr>
    </w:p>
    <w:p>
      <w:pPr>
        <w:ind w:left="444" w:right="5940" w:hanging="444"/>
        <w:spacing w:after="0" w:line="431" w:lineRule="auto"/>
        <w:tabs>
          <w:tab w:leader="none" w:pos="43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Principal Business Office or, if None, Residence: </w:t>
      </w:r>
      <w:r>
        <w:rPr>
          <w:rFonts w:ascii="Arial" w:cs="Arial" w:eastAsia="Arial" w:hAnsi="Arial"/>
          <w:sz w:val="16"/>
          <w:szCs w:val="16"/>
          <w:color w:val="auto"/>
        </w:rPr>
        <w:t>333 Bay Street, Suite 1240, Toronto, Ontario, Canada M5H 2R2</w:t>
      </w: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See Row 4 of the Cover Page.</w:t>
      </w:r>
    </w:p>
    <w:p>
      <w:pPr>
        <w:spacing w:after="0" w:line="126" w:lineRule="exact"/>
        <w:rPr>
          <w:rFonts w:ascii="Arial" w:cs="Arial" w:eastAsia="Arial" w:hAnsi="Arial"/>
          <w:sz w:val="18"/>
          <w:szCs w:val="18"/>
          <w:b w:val="1"/>
          <w:bCs w:val="1"/>
          <w:color w:val="auto"/>
        </w:rPr>
      </w:pPr>
    </w:p>
    <w:p>
      <w:pPr>
        <w:ind w:left="444" w:right="8060" w:hanging="444"/>
        <w:spacing w:after="0" w:line="431" w:lineRule="auto"/>
        <w:tabs>
          <w:tab w:leader="none" w:pos="43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and Class of Securities: </w:t>
      </w:r>
      <w:r>
        <w:rPr>
          <w:rFonts w:ascii="Arial" w:cs="Arial" w:eastAsia="Arial" w:hAnsi="Arial"/>
          <w:sz w:val="16"/>
          <w:szCs w:val="16"/>
          <w:color w:val="auto"/>
        </w:rPr>
        <w:t>Common Shares without par value</w:t>
      </w:r>
    </w:p>
    <w:p>
      <w:pPr>
        <w:jc w:val="both"/>
        <w:ind w:left="444" w:right="9660" w:hanging="444"/>
        <w:spacing w:after="0" w:line="445" w:lineRule="auto"/>
        <w:tabs>
          <w:tab w:leader="none" w:pos="436"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87261Y106</w:t>
      </w:r>
    </w:p>
    <w:p>
      <w:pPr>
        <w:spacing w:after="0" w:line="18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984" w:hanging="539"/>
        <w:spacing w:after="0" w:line="207" w:lineRule="exact"/>
        <w:tabs>
          <w:tab w:leader="none" w:pos="9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117" w:lineRule="exact"/>
        <w:rPr>
          <w:rFonts w:ascii="Arial" w:cs="Arial" w:eastAsia="Arial" w:hAnsi="Arial"/>
          <w:sz w:val="18"/>
          <w:szCs w:val="18"/>
          <w:color w:val="auto"/>
        </w:rPr>
      </w:pPr>
    </w:p>
    <w:p>
      <w:pPr>
        <w:ind w:left="984" w:hanging="539"/>
        <w:spacing w:after="0" w:line="207" w:lineRule="exact"/>
        <w:tabs>
          <w:tab w:leader="none" w:pos="9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117" w:lineRule="exact"/>
        <w:rPr>
          <w:rFonts w:ascii="Arial" w:cs="Arial" w:eastAsia="Arial" w:hAnsi="Arial"/>
          <w:sz w:val="18"/>
          <w:szCs w:val="18"/>
          <w:color w:val="auto"/>
        </w:rPr>
      </w:pPr>
    </w:p>
    <w:p>
      <w:pPr>
        <w:ind w:left="984" w:hanging="539"/>
        <w:spacing w:after="0" w:line="207" w:lineRule="exact"/>
        <w:tabs>
          <w:tab w:leader="none" w:pos="9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117" w:lineRule="exact"/>
        <w:rPr>
          <w:rFonts w:ascii="Arial" w:cs="Arial" w:eastAsia="Arial" w:hAnsi="Arial"/>
          <w:sz w:val="18"/>
          <w:szCs w:val="18"/>
          <w:color w:val="auto"/>
        </w:rPr>
      </w:pPr>
    </w:p>
    <w:p>
      <w:pPr>
        <w:ind w:left="984" w:hanging="539"/>
        <w:spacing w:after="0" w:line="207" w:lineRule="exact"/>
        <w:tabs>
          <w:tab w:leader="none" w:pos="9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117" w:lineRule="exact"/>
        <w:rPr>
          <w:rFonts w:ascii="Arial" w:cs="Arial" w:eastAsia="Arial" w:hAnsi="Arial"/>
          <w:sz w:val="18"/>
          <w:szCs w:val="18"/>
          <w:color w:val="auto"/>
        </w:rPr>
      </w:pPr>
    </w:p>
    <w:p>
      <w:pPr>
        <w:ind w:left="984" w:hanging="539"/>
        <w:spacing w:after="0" w:line="207" w:lineRule="exact"/>
        <w:tabs>
          <w:tab w:leader="none" w:pos="9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117" w:lineRule="exact"/>
        <w:rPr>
          <w:rFonts w:ascii="Arial" w:cs="Arial" w:eastAsia="Arial" w:hAnsi="Arial"/>
          <w:sz w:val="18"/>
          <w:szCs w:val="18"/>
          <w:color w:val="auto"/>
        </w:rPr>
      </w:pPr>
    </w:p>
    <w:p>
      <w:pPr>
        <w:ind w:left="984" w:hanging="539"/>
        <w:spacing w:after="0" w:line="207" w:lineRule="exact"/>
        <w:tabs>
          <w:tab w:leader="none" w:pos="9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117" w:lineRule="exact"/>
        <w:rPr>
          <w:rFonts w:ascii="Arial" w:cs="Arial" w:eastAsia="Arial" w:hAnsi="Arial"/>
          <w:sz w:val="18"/>
          <w:szCs w:val="18"/>
          <w:color w:val="auto"/>
        </w:rPr>
      </w:pPr>
    </w:p>
    <w:p>
      <w:pPr>
        <w:ind w:left="984" w:hanging="539"/>
        <w:spacing w:after="0" w:line="207" w:lineRule="exact"/>
        <w:tabs>
          <w:tab w:leader="none" w:pos="9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117" w:lineRule="exact"/>
        <w:rPr>
          <w:rFonts w:ascii="Arial" w:cs="Arial" w:eastAsia="Arial" w:hAnsi="Arial"/>
          <w:sz w:val="18"/>
          <w:szCs w:val="18"/>
          <w:color w:val="auto"/>
        </w:rPr>
      </w:pPr>
    </w:p>
    <w:p>
      <w:pPr>
        <w:ind w:left="984" w:hanging="539"/>
        <w:spacing w:after="0" w:line="207" w:lineRule="exact"/>
        <w:tabs>
          <w:tab w:leader="none" w:pos="9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504" w:right="260" w:hanging="1059"/>
        <w:spacing w:after="0" w:line="223" w:lineRule="exact"/>
        <w:tabs>
          <w:tab w:leader="none" w:pos="977"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94" w:lineRule="exact"/>
        <w:rPr>
          <w:rFonts w:ascii="Arial" w:cs="Arial" w:eastAsia="Arial" w:hAnsi="Arial"/>
          <w:sz w:val="18"/>
          <w:szCs w:val="18"/>
          <w:color w:val="auto"/>
        </w:rPr>
      </w:pPr>
    </w:p>
    <w:p>
      <w:pPr>
        <w:ind w:left="984" w:hanging="539"/>
        <w:spacing w:after="0" w:line="207" w:lineRule="exact"/>
        <w:tabs>
          <w:tab w:leader="none" w:pos="9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240.13d-1(b)(1)(ii)(J);</w:t>
      </w:r>
    </w:p>
    <w:p>
      <w:pPr>
        <w:spacing w:after="0" w:line="117" w:lineRule="exact"/>
        <w:rPr>
          <w:rFonts w:ascii="Arial" w:cs="Arial" w:eastAsia="Arial" w:hAnsi="Arial"/>
          <w:sz w:val="18"/>
          <w:szCs w:val="18"/>
          <w:color w:val="auto"/>
        </w:rPr>
      </w:pPr>
    </w:p>
    <w:p>
      <w:pPr>
        <w:ind w:left="984" w:hanging="539"/>
        <w:spacing w:after="0" w:line="207" w:lineRule="exact"/>
        <w:tabs>
          <w:tab w:leader="none" w:pos="9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240.13d-1(b)(1)(ii)(K).</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1004"/>
          </w:cols>
          <w:pgMar w:left="436" w:top="270" w:right="45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filing as a non-U.S. institution in accordance with Rule 240.13d-1(b)(1)(ii)(J), please specify the type of institution: Non-U.S. investment adviser.</w:t>
      </w:r>
    </w:p>
    <w:p>
      <w:pPr>
        <w:spacing w:after="0" w:line="3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Items 4(a)-(c) is set forth in Rows 5-11 of the Cover Page and is incorporated herein by reference.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Periscope expressly declares that this filing shall not be construed as an admission that it is, for the purposes of Sections 13(d) or 13(g) of the Act, the beneficial owner of the securities owned by the Periscope Funds.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0940"/>
          </w:cols>
          <w:pgMar w:left="440" w:top="274"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PERISCOPE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Lisa Shostack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Lisa Shostack, General Counsel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5 of 5</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2022-02-14T15:30:48Z</dcterms:created>
  <dcterms:modified xsi:type="dcterms:W3CDTF">2022-02-14T15:30:48Z</dcterms:modified>
</cp:coreProperties>
</file>