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right="459"/>
        <w:spacing w:after="0" w:line="282" w:lineRule="auto"/>
        <w:rPr>
          <w:sz w:val="20"/>
          <w:szCs w:val="20"/>
          <w:color w:val="auto"/>
        </w:rPr>
      </w:pPr>
      <w:r>
        <w:rPr>
          <w:rFonts w:ascii="Arial" w:cs="Arial" w:eastAsia="Arial" w:hAnsi="Arial"/>
          <w:sz w:val="18"/>
          <w:szCs w:val="18"/>
          <w:b w:val="1"/>
          <w:bCs w:val="1"/>
          <w:color w:val="auto"/>
        </w:rPr>
        <w:t>This is a confidential draft submission to the United States Securities and Exchange Commission on February 18, 2020 under the Securities Act of 1933, as amended.</w:t>
      </w:r>
    </w:p>
    <w:p>
      <w:pPr>
        <w:spacing w:after="0" w:line="81"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5540" w:type="dxa"/>
            <w:vAlign w:val="bottom"/>
            <w:gridSpan w:val="2"/>
          </w:tcPr>
          <w:p>
            <w:pPr>
              <w:ind w:left="3320"/>
              <w:spacing w:after="0"/>
              <w:rPr>
                <w:sz w:val="20"/>
                <w:szCs w:val="20"/>
                <w:color w:val="auto"/>
              </w:rPr>
            </w:pPr>
            <w:r>
              <w:rPr>
                <w:rFonts w:ascii="Arial" w:cs="Arial" w:eastAsia="Arial" w:hAnsi="Arial"/>
                <w:sz w:val="18"/>
                <w:szCs w:val="18"/>
                <w:b w:val="1"/>
                <w:bCs w:val="1"/>
                <w:color w:val="auto"/>
              </w:rPr>
              <w:t>No. 333-</w:t>
            </w:r>
          </w:p>
        </w:tc>
      </w:tr>
      <w:tr>
        <w:trPr>
          <w:trHeight w:val="102"/>
        </w:trPr>
        <w:tc>
          <w:tcPr>
            <w:tcW w:w="256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r>
      <w:tr>
        <w:trPr>
          <w:trHeight w:val="48"/>
        </w:trPr>
        <w:tc>
          <w:tcPr>
            <w:tcW w:w="256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r>
      <w:tr>
        <w:trPr>
          <w:trHeight w:val="373"/>
        </w:trPr>
        <w:tc>
          <w:tcPr>
            <w:tcW w:w="2560" w:type="dxa"/>
            <w:vAlign w:val="bottom"/>
          </w:tcPr>
          <w:p>
            <w:pPr>
              <w:spacing w:after="0"/>
              <w:rPr>
                <w:sz w:val="24"/>
                <w:szCs w:val="24"/>
                <w:color w:val="auto"/>
              </w:rPr>
            </w:pPr>
          </w:p>
        </w:tc>
        <w:tc>
          <w:tcPr>
            <w:tcW w:w="3460" w:type="dxa"/>
            <w:vAlign w:val="bottom"/>
          </w:tcPr>
          <w:p>
            <w:pPr>
              <w:jc w:val="center"/>
              <w:ind w:right="420"/>
              <w:spacing w:after="0"/>
              <w:rPr>
                <w:sz w:val="20"/>
                <w:szCs w:val="20"/>
                <w:color w:val="auto"/>
              </w:rPr>
            </w:pPr>
            <w:r>
              <w:rPr>
                <w:rFonts w:ascii="Arial" w:cs="Arial" w:eastAsia="Arial" w:hAnsi="Arial"/>
                <w:sz w:val="18"/>
                <w:szCs w:val="18"/>
                <w:b w:val="1"/>
                <w:bCs w:val="1"/>
                <w:color w:val="auto"/>
                <w:w w:val="97"/>
              </w:rPr>
              <w:t>UNITED STATES</w:t>
            </w:r>
          </w:p>
        </w:tc>
        <w:tc>
          <w:tcPr>
            <w:tcW w:w="2080" w:type="dxa"/>
            <w:vAlign w:val="bottom"/>
          </w:tcPr>
          <w:p>
            <w:pPr>
              <w:spacing w:after="0"/>
              <w:rPr>
                <w:sz w:val="24"/>
                <w:szCs w:val="24"/>
                <w:color w:val="auto"/>
              </w:rPr>
            </w:pPr>
          </w:p>
        </w:tc>
      </w:tr>
      <w:tr>
        <w:trPr>
          <w:trHeight w:val="216"/>
        </w:trPr>
        <w:tc>
          <w:tcPr>
            <w:tcW w:w="6020" w:type="dxa"/>
            <w:vAlign w:val="bottom"/>
            <w:gridSpan w:val="2"/>
          </w:tcPr>
          <w:p>
            <w:pPr>
              <w:ind w:left="2100"/>
              <w:spacing w:after="0"/>
              <w:rPr>
                <w:sz w:val="20"/>
                <w:szCs w:val="20"/>
                <w:color w:val="auto"/>
              </w:rPr>
            </w:pPr>
            <w:r>
              <w:rPr>
                <w:rFonts w:ascii="Arial" w:cs="Arial" w:eastAsia="Arial" w:hAnsi="Arial"/>
                <w:sz w:val="18"/>
                <w:szCs w:val="18"/>
                <w:b w:val="1"/>
                <w:bCs w:val="1"/>
                <w:color w:val="auto"/>
              </w:rPr>
              <w:t>SECURITIES AND EXCHANGE COMMISSION</w:t>
            </w:r>
          </w:p>
        </w:tc>
        <w:tc>
          <w:tcPr>
            <w:tcW w:w="208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3460" w:type="dxa"/>
            <w:vAlign w:val="bottom"/>
          </w:tcPr>
          <w:p>
            <w:pPr>
              <w:jc w:val="center"/>
              <w:ind w:right="400"/>
              <w:spacing w:after="0"/>
              <w:rPr>
                <w:sz w:val="20"/>
                <w:szCs w:val="20"/>
                <w:color w:val="auto"/>
              </w:rPr>
            </w:pPr>
            <w:r>
              <w:rPr>
                <w:rFonts w:ascii="Arial" w:cs="Arial" w:eastAsia="Arial" w:hAnsi="Arial"/>
                <w:sz w:val="18"/>
                <w:szCs w:val="18"/>
                <w:b w:val="1"/>
                <w:bCs w:val="1"/>
                <w:color w:val="auto"/>
                <w:w w:val="91"/>
              </w:rPr>
              <w:t>Washington, D.C. 20549</w:t>
            </w:r>
          </w:p>
        </w:tc>
        <w:tc>
          <w:tcPr>
            <w:tcW w:w="2080" w:type="dxa"/>
            <w:vAlign w:val="bottom"/>
          </w:tcPr>
          <w:p>
            <w:pPr>
              <w:spacing w:after="0"/>
              <w:rPr>
                <w:sz w:val="20"/>
                <w:szCs w:val="20"/>
                <w:color w:val="auto"/>
              </w:rPr>
            </w:pPr>
          </w:p>
        </w:tc>
      </w:tr>
      <w:tr>
        <w:trPr>
          <w:trHeight w:val="180"/>
        </w:trPr>
        <w:tc>
          <w:tcPr>
            <w:tcW w:w="2560" w:type="dxa"/>
            <w:vAlign w:val="bottom"/>
          </w:tcPr>
          <w:p>
            <w:pPr>
              <w:spacing w:after="0"/>
              <w:rPr>
                <w:sz w:val="15"/>
                <w:szCs w:val="15"/>
                <w:color w:val="auto"/>
              </w:rPr>
            </w:pPr>
          </w:p>
        </w:tc>
        <w:tc>
          <w:tcPr>
            <w:tcW w:w="3460" w:type="dxa"/>
            <w:vAlign w:val="bottom"/>
          </w:tcPr>
          <w:p>
            <w:pPr>
              <w:jc w:val="center"/>
              <w:ind w:right="400"/>
              <w:spacing w:after="0"/>
              <w:rPr>
                <w:sz w:val="20"/>
                <w:szCs w:val="20"/>
                <w:color w:val="auto"/>
              </w:rPr>
            </w:pPr>
            <w:r>
              <w:rPr>
                <w:rFonts w:ascii="Arial" w:cs="Arial" w:eastAsia="Arial" w:hAnsi="Arial"/>
                <w:sz w:val="11"/>
                <w:szCs w:val="11"/>
                <w:b w:val="1"/>
                <w:bCs w:val="1"/>
                <w:color w:val="auto"/>
                <w:w w:val="87"/>
              </w:rPr>
              <w:t>__________________________________________</w:t>
            </w:r>
          </w:p>
        </w:tc>
        <w:tc>
          <w:tcPr>
            <w:tcW w:w="2080" w:type="dxa"/>
            <w:vAlign w:val="bottom"/>
          </w:tcPr>
          <w:p>
            <w:pPr>
              <w:spacing w:after="0"/>
              <w:rPr>
                <w:sz w:val="15"/>
                <w:szCs w:val="15"/>
                <w:color w:val="auto"/>
              </w:rPr>
            </w:pPr>
          </w:p>
        </w:tc>
      </w:tr>
      <w:tr>
        <w:trPr>
          <w:trHeight w:val="264"/>
        </w:trPr>
        <w:tc>
          <w:tcPr>
            <w:tcW w:w="6020" w:type="dxa"/>
            <w:vAlign w:val="bottom"/>
            <w:gridSpan w:val="2"/>
          </w:tcPr>
          <w:p>
            <w:pPr>
              <w:jc w:val="center"/>
              <w:ind w:left="1922"/>
              <w:spacing w:after="0"/>
              <w:rPr>
                <w:sz w:val="20"/>
                <w:szCs w:val="20"/>
                <w:color w:val="auto"/>
              </w:rPr>
            </w:pPr>
            <w:r>
              <w:rPr>
                <w:rFonts w:ascii="Arial" w:cs="Arial" w:eastAsia="Arial" w:hAnsi="Arial"/>
                <w:sz w:val="18"/>
                <w:szCs w:val="18"/>
                <w:b w:val="1"/>
                <w:bCs w:val="1"/>
                <w:color w:val="auto"/>
              </w:rPr>
              <w:t>FORM S-1 REGISTRATION STATEMENT</w:t>
            </w:r>
          </w:p>
        </w:tc>
        <w:tc>
          <w:tcPr>
            <w:tcW w:w="2080" w:type="dxa"/>
            <w:vAlign w:val="bottom"/>
          </w:tcPr>
          <w:p>
            <w:pPr>
              <w:spacing w:after="0"/>
              <w:rPr>
                <w:sz w:val="22"/>
                <w:szCs w:val="22"/>
                <w:color w:val="auto"/>
              </w:rPr>
            </w:pPr>
          </w:p>
        </w:tc>
      </w:tr>
      <w:tr>
        <w:trPr>
          <w:trHeight w:val="216"/>
        </w:trPr>
        <w:tc>
          <w:tcPr>
            <w:tcW w:w="2560" w:type="dxa"/>
            <w:vAlign w:val="bottom"/>
          </w:tcPr>
          <w:p>
            <w:pPr>
              <w:spacing w:after="0"/>
              <w:rPr>
                <w:sz w:val="18"/>
                <w:szCs w:val="18"/>
                <w:color w:val="auto"/>
              </w:rPr>
            </w:pPr>
          </w:p>
        </w:tc>
        <w:tc>
          <w:tcPr>
            <w:tcW w:w="3460" w:type="dxa"/>
            <w:vAlign w:val="bottom"/>
          </w:tcPr>
          <w:p>
            <w:pPr>
              <w:jc w:val="center"/>
              <w:ind w:right="420"/>
              <w:spacing w:after="0"/>
              <w:rPr>
                <w:sz w:val="20"/>
                <w:szCs w:val="20"/>
                <w:color w:val="auto"/>
              </w:rPr>
            </w:pPr>
            <w:r>
              <w:rPr>
                <w:rFonts w:ascii="Arial" w:cs="Arial" w:eastAsia="Arial" w:hAnsi="Arial"/>
                <w:sz w:val="18"/>
                <w:szCs w:val="18"/>
                <w:b w:val="1"/>
                <w:bCs w:val="1"/>
                <w:i w:val="1"/>
                <w:iCs w:val="1"/>
                <w:color w:val="auto"/>
                <w:w w:val="99"/>
              </w:rPr>
              <w:t>UNDER</w:t>
            </w:r>
          </w:p>
        </w:tc>
        <w:tc>
          <w:tcPr>
            <w:tcW w:w="20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460" w:type="dxa"/>
            <w:vAlign w:val="bottom"/>
          </w:tcPr>
          <w:p>
            <w:pPr>
              <w:jc w:val="center"/>
              <w:ind w:right="420"/>
              <w:spacing w:after="0"/>
              <w:rPr>
                <w:sz w:val="20"/>
                <w:szCs w:val="20"/>
                <w:color w:val="auto"/>
              </w:rPr>
            </w:pPr>
            <w:r>
              <w:rPr>
                <w:rFonts w:ascii="Arial" w:cs="Arial" w:eastAsia="Arial" w:hAnsi="Arial"/>
                <w:sz w:val="18"/>
                <w:szCs w:val="18"/>
                <w:b w:val="1"/>
                <w:bCs w:val="1"/>
                <w:i w:val="1"/>
                <w:iCs w:val="1"/>
                <w:color w:val="auto"/>
                <w:w w:val="96"/>
              </w:rPr>
              <w:t>THE SECURITIES ACT OF 1933</w:t>
            </w:r>
          </w:p>
        </w:tc>
        <w:tc>
          <w:tcPr>
            <w:tcW w:w="2080" w:type="dxa"/>
            <w:vAlign w:val="bottom"/>
          </w:tcPr>
          <w:p>
            <w:pPr>
              <w:spacing w:after="0"/>
              <w:rPr>
                <w:sz w:val="20"/>
                <w:szCs w:val="20"/>
                <w:color w:val="auto"/>
              </w:rPr>
            </w:pPr>
          </w:p>
        </w:tc>
      </w:tr>
      <w:tr>
        <w:trPr>
          <w:trHeight w:val="180"/>
        </w:trPr>
        <w:tc>
          <w:tcPr>
            <w:tcW w:w="2560" w:type="dxa"/>
            <w:vAlign w:val="bottom"/>
          </w:tcPr>
          <w:p>
            <w:pPr>
              <w:spacing w:after="0"/>
              <w:rPr>
                <w:sz w:val="15"/>
                <w:szCs w:val="15"/>
                <w:color w:val="auto"/>
              </w:rPr>
            </w:pPr>
          </w:p>
        </w:tc>
        <w:tc>
          <w:tcPr>
            <w:tcW w:w="3460" w:type="dxa"/>
            <w:vAlign w:val="bottom"/>
          </w:tcPr>
          <w:p>
            <w:pPr>
              <w:jc w:val="center"/>
              <w:ind w:right="400"/>
              <w:spacing w:after="0"/>
              <w:rPr>
                <w:sz w:val="20"/>
                <w:szCs w:val="20"/>
                <w:color w:val="auto"/>
              </w:rPr>
            </w:pPr>
            <w:r>
              <w:rPr>
                <w:rFonts w:ascii="Arial" w:cs="Arial" w:eastAsia="Arial" w:hAnsi="Arial"/>
                <w:sz w:val="11"/>
                <w:szCs w:val="11"/>
                <w:b w:val="1"/>
                <w:bCs w:val="1"/>
                <w:color w:val="auto"/>
                <w:w w:val="87"/>
              </w:rPr>
              <w:t>__________________________________________</w:t>
            </w:r>
          </w:p>
        </w:tc>
        <w:tc>
          <w:tcPr>
            <w:tcW w:w="2080" w:type="dxa"/>
            <w:vAlign w:val="bottom"/>
          </w:tcPr>
          <w:p>
            <w:pPr>
              <w:spacing w:after="0"/>
              <w:rPr>
                <w:sz w:val="15"/>
                <w:szCs w:val="15"/>
                <w:color w:val="auto"/>
              </w:rPr>
            </w:pPr>
          </w:p>
        </w:tc>
      </w:tr>
      <w:tr>
        <w:trPr>
          <w:trHeight w:val="399"/>
        </w:trPr>
        <w:tc>
          <w:tcPr>
            <w:tcW w:w="8100" w:type="dxa"/>
            <w:vAlign w:val="bottom"/>
            <w:gridSpan w:val="3"/>
          </w:tcPr>
          <w:p>
            <w:pPr>
              <w:jc w:val="center"/>
              <w:spacing w:after="0"/>
              <w:rPr>
                <w:sz w:val="20"/>
                <w:szCs w:val="20"/>
                <w:color w:val="auto"/>
              </w:rPr>
            </w:pPr>
            <w:r>
              <w:rPr>
                <w:rFonts w:ascii="Arial" w:cs="Arial" w:eastAsia="Arial" w:hAnsi="Arial"/>
                <w:sz w:val="29"/>
                <w:szCs w:val="29"/>
                <w:b w:val="1"/>
                <w:bCs w:val="1"/>
                <w:color w:val="auto"/>
                <w:w w:val="89"/>
              </w:rPr>
              <w:t>Sustainable Opportunities Acquisition Corp.</w:t>
            </w:r>
          </w:p>
        </w:tc>
      </w:tr>
      <w:tr>
        <w:trPr>
          <w:trHeight w:val="217"/>
        </w:trPr>
        <w:tc>
          <w:tcPr>
            <w:tcW w:w="6020" w:type="dxa"/>
            <w:vAlign w:val="bottom"/>
            <w:gridSpan w:val="2"/>
          </w:tcPr>
          <w:p>
            <w:pPr>
              <w:jc w:val="center"/>
              <w:ind w:left="1962"/>
              <w:spacing w:after="0"/>
              <w:rPr>
                <w:sz w:val="20"/>
                <w:szCs w:val="20"/>
                <w:color w:val="auto"/>
              </w:rPr>
            </w:pPr>
            <w:r>
              <w:rPr>
                <w:rFonts w:ascii="Arial" w:cs="Arial" w:eastAsia="Arial" w:hAnsi="Arial"/>
                <w:sz w:val="18"/>
                <w:szCs w:val="18"/>
                <w:color w:val="auto"/>
                <w:w w:val="90"/>
              </w:rPr>
              <w:t>(Exact name of registrant as specified in its charter)</w:t>
            </w:r>
          </w:p>
        </w:tc>
        <w:tc>
          <w:tcPr>
            <w:tcW w:w="2080" w:type="dxa"/>
            <w:vAlign w:val="bottom"/>
          </w:tcPr>
          <w:p>
            <w:pPr>
              <w:spacing w:after="0"/>
              <w:rPr>
                <w:sz w:val="18"/>
                <w:szCs w:val="18"/>
                <w:color w:val="auto"/>
              </w:rPr>
            </w:pPr>
          </w:p>
        </w:tc>
      </w:tr>
      <w:tr>
        <w:trPr>
          <w:trHeight w:val="140"/>
        </w:trPr>
        <w:tc>
          <w:tcPr>
            <w:tcW w:w="2560" w:type="dxa"/>
            <w:vAlign w:val="bottom"/>
          </w:tcPr>
          <w:p>
            <w:pPr>
              <w:spacing w:after="0"/>
              <w:rPr>
                <w:sz w:val="12"/>
                <w:szCs w:val="12"/>
                <w:color w:val="auto"/>
              </w:rPr>
            </w:pPr>
          </w:p>
        </w:tc>
        <w:tc>
          <w:tcPr>
            <w:tcW w:w="3460" w:type="dxa"/>
            <w:vAlign w:val="bottom"/>
          </w:tcPr>
          <w:p>
            <w:pPr>
              <w:jc w:val="center"/>
              <w:ind w:right="400"/>
              <w:spacing w:after="0"/>
              <w:rPr>
                <w:sz w:val="20"/>
                <w:szCs w:val="20"/>
                <w:color w:val="auto"/>
              </w:rPr>
            </w:pPr>
            <w:r>
              <w:rPr>
                <w:rFonts w:ascii="Arial" w:cs="Arial" w:eastAsia="Arial" w:hAnsi="Arial"/>
                <w:sz w:val="11"/>
                <w:szCs w:val="11"/>
                <w:b w:val="1"/>
                <w:bCs w:val="1"/>
                <w:color w:val="auto"/>
                <w:w w:val="87"/>
              </w:rPr>
              <w:t>__________________________________________</w:t>
            </w:r>
          </w:p>
        </w:tc>
        <w:tc>
          <w:tcPr>
            <w:tcW w:w="2080" w:type="dxa"/>
            <w:vAlign w:val="bottom"/>
          </w:tcPr>
          <w:p>
            <w:pPr>
              <w:spacing w:after="0"/>
              <w:rPr>
                <w:sz w:val="12"/>
                <w:szCs w:val="12"/>
                <w:color w:val="auto"/>
              </w:rPr>
            </w:pPr>
          </w:p>
        </w:tc>
      </w:tr>
      <w:tr>
        <w:trPr>
          <w:trHeight w:val="414"/>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1"/>
              </w:rPr>
              <w:t>Cayman Islands</w:t>
            </w:r>
          </w:p>
        </w:tc>
        <w:tc>
          <w:tcPr>
            <w:tcW w:w="3460" w:type="dxa"/>
            <w:vAlign w:val="bottom"/>
          </w:tcPr>
          <w:p>
            <w:pPr>
              <w:jc w:val="center"/>
              <w:ind w:right="500"/>
              <w:spacing w:after="0"/>
              <w:rPr>
                <w:sz w:val="20"/>
                <w:szCs w:val="20"/>
                <w:color w:val="auto"/>
              </w:rPr>
            </w:pPr>
            <w:r>
              <w:rPr>
                <w:rFonts w:ascii="Arial" w:cs="Arial" w:eastAsia="Arial" w:hAnsi="Arial"/>
                <w:sz w:val="18"/>
                <w:szCs w:val="18"/>
                <w:b w:val="1"/>
                <w:bCs w:val="1"/>
                <w:color w:val="auto"/>
                <w:w w:val="89"/>
              </w:rPr>
              <w:t>6770</w:t>
            </w:r>
          </w:p>
        </w:tc>
        <w:tc>
          <w:tcPr>
            <w:tcW w:w="20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98-1523768</w:t>
            </w:r>
          </w:p>
        </w:tc>
      </w:tr>
      <w:tr>
        <w:trPr>
          <w:trHeight w:val="242"/>
        </w:trPr>
        <w:tc>
          <w:tcPr>
            <w:tcW w:w="25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3460" w:type="dxa"/>
            <w:vAlign w:val="bottom"/>
          </w:tcPr>
          <w:p>
            <w:pPr>
              <w:ind w:left="400"/>
              <w:spacing w:after="0"/>
              <w:rPr>
                <w:sz w:val="20"/>
                <w:szCs w:val="20"/>
                <w:color w:val="auto"/>
              </w:rPr>
            </w:pPr>
            <w:r>
              <w:rPr>
                <w:rFonts w:ascii="Arial" w:cs="Arial" w:eastAsia="Arial" w:hAnsi="Arial"/>
                <w:sz w:val="18"/>
                <w:szCs w:val="18"/>
                <w:color w:val="auto"/>
              </w:rPr>
              <w:t>Primary Standard Industrial</w:t>
            </w:r>
          </w:p>
        </w:tc>
        <w:tc>
          <w:tcPr>
            <w:tcW w:w="2080" w:type="dxa"/>
            <w:vAlign w:val="bottom"/>
          </w:tcPr>
          <w:p>
            <w:pPr>
              <w:jc w:val="center"/>
              <w:ind w:right="610"/>
              <w:spacing w:after="0"/>
              <w:rPr>
                <w:sz w:val="20"/>
                <w:szCs w:val="20"/>
                <w:color w:val="auto"/>
              </w:rPr>
            </w:pPr>
            <w:r>
              <w:rPr>
                <w:rFonts w:ascii="Arial" w:cs="Arial" w:eastAsia="Arial" w:hAnsi="Arial"/>
                <w:sz w:val="18"/>
                <w:szCs w:val="18"/>
                <w:color w:val="auto"/>
                <w:w w:val="92"/>
              </w:rPr>
              <w:t>(I.R.S. Employer</w:t>
            </w:r>
          </w:p>
        </w:tc>
      </w:tr>
      <w:tr>
        <w:trPr>
          <w:trHeight w:val="230"/>
        </w:trPr>
        <w:tc>
          <w:tcPr>
            <w:tcW w:w="25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right="520"/>
              <w:spacing w:after="0"/>
              <w:rPr>
                <w:sz w:val="20"/>
                <w:szCs w:val="20"/>
                <w:color w:val="auto"/>
              </w:rPr>
            </w:pPr>
            <w:r>
              <w:rPr>
                <w:rFonts w:ascii="Arial" w:cs="Arial" w:eastAsia="Arial" w:hAnsi="Arial"/>
                <w:sz w:val="18"/>
                <w:szCs w:val="18"/>
                <w:color w:val="auto"/>
                <w:w w:val="91"/>
              </w:rPr>
              <w:t>Classification Code Number)</w:t>
            </w:r>
          </w:p>
        </w:tc>
        <w:tc>
          <w:tcPr>
            <w:tcW w:w="2080" w:type="dxa"/>
            <w:vAlign w:val="bottom"/>
          </w:tcPr>
          <w:p>
            <w:pPr>
              <w:jc w:val="center"/>
              <w:ind w:right="570"/>
              <w:spacing w:after="0"/>
              <w:rPr>
                <w:sz w:val="20"/>
                <w:szCs w:val="20"/>
                <w:color w:val="auto"/>
              </w:rPr>
            </w:pPr>
            <w:r>
              <w:rPr>
                <w:rFonts w:ascii="Arial" w:cs="Arial" w:eastAsia="Arial" w:hAnsi="Arial"/>
                <w:sz w:val="18"/>
                <w:szCs w:val="18"/>
                <w:color w:val="auto"/>
                <w:w w:val="95"/>
              </w:rPr>
              <w:t>Identification No.)</w:t>
            </w:r>
          </w:p>
        </w:tc>
      </w:tr>
    </w:tbl>
    <w:p>
      <w:pPr>
        <w:spacing w:after="0" w:line="3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1601 Bryan Street, Suite 4141</w:t>
      </w:r>
    </w:p>
    <w:p>
      <w:pPr>
        <w:spacing w:after="0" w:line="27"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(952) 456-5304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executive offices)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Scott Leonard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1601 Bryan Street, Suite 4141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w:t>
      </w:r>
    </w:p>
    <w:p>
      <w:pPr>
        <w:spacing w:after="0" w:line="181"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Christian O. Nagler</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Derek J. Dostal</w:t>
            </w:r>
          </w:p>
        </w:tc>
      </w:tr>
      <w:tr>
        <w:trPr>
          <w:trHeight w:val="216"/>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87"/>
              </w:rPr>
              <w:t>Peter S. Seligson</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6"/>
              </w:rPr>
              <w:t>Deanna L. Kirkpatrick</w:t>
            </w:r>
          </w:p>
        </w:tc>
      </w:tr>
      <w:tr>
        <w:trPr>
          <w:trHeight w:val="216"/>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98"/>
              </w:rPr>
              <w:t>Kirkland &amp; Ellis LLP</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5"/>
              </w:rPr>
              <w:t>Davis Polk &amp; Wardwell LLP</w:t>
            </w:r>
          </w:p>
        </w:tc>
      </w:tr>
      <w:tr>
        <w:trPr>
          <w:trHeight w:val="216"/>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90"/>
              </w:rPr>
              <w:t>601 Lexington Avenue</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450 Lexington Avenue</w:t>
            </w:r>
          </w:p>
        </w:tc>
      </w:tr>
      <w:tr>
        <w:trPr>
          <w:trHeight w:val="216"/>
        </w:trPr>
        <w:tc>
          <w:tcPr>
            <w:tcW w:w="308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New York, New York 10022</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New York, New York 10017</w:t>
            </w:r>
          </w:p>
        </w:tc>
      </w:tr>
      <w:tr>
        <w:trPr>
          <w:trHeight w:val="216"/>
        </w:trPr>
        <w:tc>
          <w:tcPr>
            <w:tcW w:w="308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Tel: (212) 446-4800</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Tel: (212) 450-4000</w:t>
            </w:r>
          </w:p>
        </w:tc>
      </w:tr>
      <w:tr>
        <w:trPr>
          <w:trHeight w:val="234"/>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92"/>
              </w:rPr>
              <w:t>Fax: (212) 446-4900</w:t>
            </w:r>
          </w:p>
        </w:tc>
        <w:tc>
          <w:tcPr>
            <w:tcW w:w="3180" w:type="dxa"/>
            <w:vAlign w:val="bottom"/>
          </w:tcPr>
          <w:p>
            <w:pPr>
              <w:jc w:val="center"/>
              <w:ind w:left="850"/>
              <w:spacing w:after="0"/>
              <w:rPr>
                <w:sz w:val="20"/>
                <w:szCs w:val="20"/>
                <w:color w:val="auto"/>
              </w:rPr>
            </w:pPr>
            <w:r>
              <w:rPr>
                <w:rFonts w:ascii="Arial" w:cs="Arial" w:eastAsia="Arial" w:hAnsi="Arial"/>
                <w:sz w:val="18"/>
                <w:szCs w:val="18"/>
                <w:b w:val="1"/>
                <w:bCs w:val="1"/>
                <w:color w:val="auto"/>
                <w:w w:val="92"/>
              </w:rPr>
              <w:t>Fax: (212) 701-5800</w:t>
            </w:r>
          </w:p>
        </w:tc>
      </w:tr>
    </w:tbl>
    <w:p>
      <w:pPr>
        <w:spacing w:after="0" w:line="216"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58" w:lineRule="exact"/>
        <w:rPr>
          <w:sz w:val="24"/>
          <w:szCs w:val="24"/>
          <w:color w:val="auto"/>
        </w:rPr>
      </w:pPr>
    </w:p>
    <w:p>
      <w:pPr>
        <w:jc w:val="center"/>
        <w:ind w:left="460" w:right="459"/>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 As soon as practicable after the effective date of this registration statement.</w:t>
      </w:r>
    </w:p>
    <w:p>
      <w:pPr>
        <w:spacing w:after="0" w:line="44" w:lineRule="exact"/>
        <w:rPr>
          <w:sz w:val="24"/>
          <w:szCs w:val="24"/>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as amended (the “Securities Act”), check the following box. £</w:t>
      </w:r>
    </w:p>
    <w:p>
      <w:pPr>
        <w:spacing w:after="0" w:line="49" w:lineRule="exact"/>
        <w:rPr>
          <w:sz w:val="24"/>
          <w:szCs w:val="24"/>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62" w:lineRule="exact"/>
        <w:rPr>
          <w:sz w:val="24"/>
          <w:szCs w:val="24"/>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62" w:lineRule="exact"/>
        <w:rPr>
          <w:sz w:val="24"/>
          <w:szCs w:val="24"/>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49" w:lineRule="exact"/>
        <w:rPr>
          <w:sz w:val="24"/>
          <w:szCs w:val="24"/>
          <w:color w:val="auto"/>
        </w:rPr>
      </w:pPr>
    </w:p>
    <w:p>
      <w:pPr>
        <w:ind w:left="460" w:right="779" w:firstLine="432"/>
        <w:spacing w:after="0" w:line="27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(the “Exchange Act”).</w:t>
      </w:r>
    </w:p>
    <w:p>
      <w:pPr>
        <w:spacing w:after="0" w:line="171" w:lineRule="exact"/>
        <w:rPr>
          <w:sz w:val="24"/>
          <w:szCs w:val="24"/>
          <w:color w:val="auto"/>
        </w:rPr>
      </w:pPr>
    </w:p>
    <w:tbl>
      <w:tblPr>
        <w:tblLayout w:type="fixed"/>
        <w:tblInd w:w="820" w:type="dxa"/>
        <w:tblCellMar>
          <w:top w:w="0" w:type="dxa"/>
          <w:left w:w="0" w:type="dxa"/>
          <w:bottom w:w="0" w:type="dxa"/>
          <w:right w:w="0" w:type="dxa"/>
        </w:tblCellMar>
      </w:tblPr>
      <w:tr>
        <w:trPr>
          <w:trHeight w:val="244"/>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40" w:type="dxa"/>
            <w:vAlign w:val="bottom"/>
          </w:tcPr>
          <w:p>
            <w:pPr>
              <w:ind w:left="280"/>
              <w:spacing w:after="0"/>
              <w:rPr>
                <w:sz w:val="20"/>
                <w:szCs w:val="20"/>
                <w:color w:val="auto"/>
              </w:rPr>
            </w:pPr>
            <w:r>
              <w:rPr>
                <w:rFonts w:ascii="Arial" w:cs="Arial" w:eastAsia="Arial" w:hAnsi="Arial"/>
                <w:sz w:val="18"/>
                <w:szCs w:val="18"/>
                <w:color w:val="auto"/>
              </w:rPr>
              <w:t>£</w:t>
            </w:r>
          </w:p>
        </w:tc>
        <w:tc>
          <w:tcPr>
            <w:tcW w:w="300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80"/>
              <w:spacing w:after="0"/>
              <w:rPr>
                <w:sz w:val="20"/>
                <w:szCs w:val="20"/>
                <w:color w:val="auto"/>
              </w:rPr>
            </w:pPr>
            <w:r>
              <w:rPr>
                <w:rFonts w:ascii="Arial" w:cs="Arial" w:eastAsia="Arial" w:hAnsi="Arial"/>
                <w:sz w:val="18"/>
                <w:szCs w:val="18"/>
                <w:color w:val="auto"/>
                <w:w w:val="99"/>
              </w:rPr>
              <w:t>£</w:t>
            </w:r>
          </w:p>
        </w:tc>
      </w:t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1040" w:type="dxa"/>
            <w:vAlign w:val="bottom"/>
          </w:tcPr>
          <w:p>
            <w:pPr>
              <w:ind w:left="280"/>
              <w:spacing w:after="0"/>
              <w:rPr>
                <w:sz w:val="20"/>
                <w:szCs w:val="20"/>
                <w:color w:val="auto"/>
              </w:rPr>
            </w:pPr>
            <w:r>
              <w:rPr>
                <w:rFonts w:ascii="Arial" w:cs="Arial" w:eastAsia="Arial" w:hAnsi="Arial"/>
                <w:sz w:val="18"/>
                <w:szCs w:val="18"/>
                <w:color w:val="auto"/>
              </w:rPr>
              <w:t>S</w:t>
            </w:r>
          </w:p>
        </w:tc>
        <w:tc>
          <w:tcPr>
            <w:tcW w:w="3000" w:type="dxa"/>
            <w:vAlign w:val="bottom"/>
          </w:tcPr>
          <w:p>
            <w:pPr>
              <w:ind w:left="64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80"/>
              <w:spacing w:after="0"/>
              <w:rPr>
                <w:sz w:val="20"/>
                <w:szCs w:val="20"/>
                <w:color w:val="auto"/>
              </w:rPr>
            </w:pPr>
            <w:r>
              <w:rPr>
                <w:rFonts w:ascii="Arial" w:cs="Arial" w:eastAsia="Arial" w:hAnsi="Arial"/>
                <w:sz w:val="18"/>
                <w:szCs w:val="18"/>
                <w:color w:val="auto"/>
                <w:w w:val="82"/>
              </w:rPr>
              <w:t>S</w:t>
            </w:r>
          </w:p>
        </w:tc>
      </w:tr>
      <w:tr>
        <w:trPr>
          <w:trHeight w:val="283"/>
        </w:trPr>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0" w:type="dxa"/>
            <w:vAlign w:val="bottom"/>
          </w:tcPr>
          <w:p>
            <w:pPr>
              <w:ind w:left="64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80"/>
              <w:spacing w:after="0"/>
              <w:rPr>
                <w:sz w:val="20"/>
                <w:szCs w:val="20"/>
                <w:color w:val="auto"/>
              </w:rPr>
            </w:pPr>
            <w:r>
              <w:rPr>
                <w:rFonts w:ascii="Arial" w:cs="Arial" w:eastAsia="Arial" w:hAnsi="Arial"/>
                <w:sz w:val="18"/>
                <w:szCs w:val="18"/>
                <w:color w:val="auto"/>
                <w:w w:val="82"/>
              </w:rPr>
              <w:t>S</w:t>
            </w:r>
          </w:p>
        </w:tc>
      </w:tr>
    </w:tbl>
    <w:p>
      <w:pPr>
        <w:spacing w:after="0" w:line="188" w:lineRule="exact"/>
        <w:rPr>
          <w:sz w:val="24"/>
          <w:szCs w:val="24"/>
          <w:color w:val="auto"/>
        </w:rPr>
      </w:pPr>
    </w:p>
    <w:p>
      <w:pPr>
        <w:ind w:left="460" w:right="919" w:firstLine="432"/>
        <w:spacing w:after="0" w:line="26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236855</wp:posOffset>
            </wp:positionV>
            <wp:extent cx="5143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294"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i w:val="1"/>
          <w:iCs w:val="1"/>
          <w:color w:val="auto"/>
        </w:rPr>
        <w:t>CALCULATION OF REGISTRATION FEE</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Proposed</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Proposed</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Maximum</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Maximum</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Offering</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Aggregate</w:t>
            </w:r>
          </w:p>
        </w:tc>
        <w:tc>
          <w:tcPr>
            <w:tcW w:w="10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Amount of</w:t>
            </w: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Amount Being</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Price Per</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Offering</w:t>
            </w:r>
          </w:p>
        </w:tc>
        <w:tc>
          <w:tcPr>
            <w:tcW w:w="1020" w:type="dxa"/>
            <w:vAlign w:val="bottom"/>
            <w:gridSpan w:val="3"/>
          </w:tcPr>
          <w:p>
            <w:pPr>
              <w:ind w:left="60"/>
              <w:spacing w:after="0"/>
              <w:rPr>
                <w:sz w:val="20"/>
                <w:szCs w:val="20"/>
                <w:color w:val="auto"/>
              </w:rPr>
            </w:pPr>
            <w:r>
              <w:rPr>
                <w:rFonts w:ascii="Arial" w:cs="Arial" w:eastAsia="Arial" w:hAnsi="Arial"/>
                <w:sz w:val="16"/>
                <w:szCs w:val="16"/>
                <w:b w:val="1"/>
                <w:bCs w:val="1"/>
                <w:color w:val="auto"/>
              </w:rPr>
              <w:t>Registration</w:t>
            </w:r>
          </w:p>
        </w:tc>
        <w:tc>
          <w:tcPr>
            <w:tcW w:w="0" w:type="dxa"/>
            <w:vAlign w:val="bottom"/>
          </w:tcPr>
          <w:p>
            <w:pPr>
              <w:spacing w:after="0"/>
              <w:rPr>
                <w:sz w:val="1"/>
                <w:szCs w:val="1"/>
                <w:color w:val="auto"/>
              </w:rPr>
            </w:pPr>
          </w:p>
        </w:tc>
      </w:tr>
      <w:tr>
        <w:trPr>
          <w:trHeight w:val="253"/>
        </w:trPr>
        <w:tc>
          <w:tcPr>
            <w:tcW w:w="3580" w:type="dxa"/>
            <w:vAlign w:val="bottom"/>
            <w:gridSpan w:val="2"/>
          </w:tcPr>
          <w:p>
            <w:pPr>
              <w:spacing w:after="0"/>
              <w:rPr>
                <w:sz w:val="20"/>
                <w:szCs w:val="20"/>
                <w:color w:val="auto"/>
              </w:rPr>
            </w:pPr>
            <w:r>
              <w:rPr>
                <w:rFonts w:ascii="Arial" w:cs="Arial" w:eastAsia="Arial" w:hAnsi="Arial"/>
                <w:sz w:val="16"/>
                <w:szCs w:val="16"/>
                <w:b w:val="1"/>
                <w:bCs w:val="1"/>
                <w:color w:val="auto"/>
                <w:w w:val="97"/>
              </w:rPr>
              <w:t>Title of Each Class of Security Being Registered</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Registered</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Security</w:t>
            </w:r>
            <w:r>
              <w:rPr>
                <w:rFonts w:ascii="Arial" w:cs="Arial" w:eastAsia="Arial" w:hAnsi="Arial"/>
                <w:sz w:val="18"/>
                <w:szCs w:val="18"/>
                <w:b w:val="1"/>
                <w:bCs w:val="1"/>
                <w:color w:val="auto"/>
                <w:w w:val="87"/>
                <w:vertAlign w:val="superscript"/>
              </w:rPr>
              <w:t>(1)</w:t>
            </w: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Price</w:t>
            </w:r>
            <w:r>
              <w:rPr>
                <w:rFonts w:ascii="Arial" w:cs="Arial" w:eastAsia="Arial" w:hAnsi="Arial"/>
                <w:sz w:val="18"/>
                <w:szCs w:val="18"/>
                <w:b w:val="1"/>
                <w:bCs w:val="1"/>
                <w:color w:val="auto"/>
                <w:w w:val="85"/>
                <w:vertAlign w:val="superscript"/>
              </w:rPr>
              <w:t>(1)</w:t>
            </w:r>
          </w:p>
        </w:tc>
        <w:tc>
          <w:tcPr>
            <w:tcW w:w="260" w:type="dxa"/>
            <w:vAlign w:val="bottom"/>
          </w:tcPr>
          <w:p>
            <w:pPr>
              <w:spacing w:after="0"/>
              <w:rPr>
                <w:sz w:val="21"/>
                <w:szCs w:val="21"/>
                <w:color w:val="auto"/>
              </w:rPr>
            </w:pPr>
          </w:p>
        </w:tc>
        <w:tc>
          <w:tcPr>
            <w:tcW w:w="760" w:type="dxa"/>
            <w:vAlign w:val="bottom"/>
            <w:gridSpan w:val="2"/>
          </w:tcPr>
          <w:p>
            <w:pPr>
              <w:ind w:left="120"/>
              <w:spacing w:after="0"/>
              <w:rPr>
                <w:sz w:val="20"/>
                <w:szCs w:val="20"/>
                <w:color w:val="auto"/>
              </w:rPr>
            </w:pPr>
            <w:r>
              <w:rPr>
                <w:rFonts w:ascii="Arial" w:cs="Arial" w:eastAsia="Arial" w:hAnsi="Arial"/>
                <w:sz w:val="16"/>
                <w:szCs w:val="16"/>
                <w:b w:val="1"/>
                <w:bCs w:val="1"/>
                <w:color w:val="auto"/>
              </w:rPr>
              <w:t>Fee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4"/>
              </w:rPr>
              <w:t>Units, each consisting of one Class A ordinary</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$0.0001 par value, and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one-half of one redeemable warrant</w:t>
            </w:r>
            <w:r>
              <w:rPr>
                <w:rFonts w:ascii="Arial" w:cs="Arial" w:eastAsia="Arial" w:hAnsi="Arial"/>
                <w:sz w:val="20"/>
                <w:szCs w:val="20"/>
                <w:color w:val="auto"/>
                <w:vertAlign w:val="superscript"/>
              </w:rPr>
              <w:t>(2)</w:t>
            </w: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34,500,000 Units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10.00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$345,000,000</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44,781</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580" w:type="dxa"/>
            <w:vAlign w:val="bottom"/>
            <w:gridSpan w:val="2"/>
          </w:tcPr>
          <w:p>
            <w:pPr>
              <w:spacing w:after="0" w:line="201" w:lineRule="exact"/>
              <w:rPr>
                <w:sz w:val="20"/>
                <w:szCs w:val="20"/>
                <w:color w:val="auto"/>
              </w:rPr>
            </w:pPr>
            <w:r>
              <w:rPr>
                <w:rFonts w:ascii="Arial" w:cs="Arial" w:eastAsia="Arial" w:hAnsi="Arial"/>
                <w:sz w:val="18"/>
                <w:szCs w:val="18"/>
                <w:color w:val="auto"/>
                <w:w w:val="95"/>
              </w:rPr>
              <w:t>Class A ordinary shares included as part of the</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units</w:t>
            </w:r>
            <w:r>
              <w:rPr>
                <w:rFonts w:ascii="Arial" w:cs="Arial" w:eastAsia="Arial" w:hAnsi="Arial"/>
                <w:sz w:val="20"/>
                <w:szCs w:val="20"/>
                <w:color w:val="auto"/>
                <w:vertAlign w:val="superscript"/>
              </w:rPr>
              <w:t>(3)</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34,500,000 Shares</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gridSpan w:val="2"/>
          </w:tcPr>
          <w:p>
            <w:pPr>
              <w:ind w:left="420"/>
              <w:spacing w:after="0" w:line="271" w:lineRule="exact"/>
              <w:rPr>
                <w:sz w:val="20"/>
                <w:szCs w:val="20"/>
                <w:color w:val="auto"/>
              </w:rPr>
            </w:pPr>
            <w:r>
              <w:rPr>
                <w:rFonts w:ascii="Arial" w:cs="Arial" w:eastAsia="Arial" w:hAnsi="Arial"/>
                <w:sz w:val="31"/>
                <w:szCs w:val="31"/>
                <w:color w:val="auto"/>
                <w:w w:val="97"/>
                <w:vertAlign w:val="subscript"/>
              </w:rPr>
              <w:t>—</w:t>
            </w:r>
            <w:r>
              <w:rPr>
                <w:rFonts w:ascii="Arial" w:cs="Arial" w:eastAsia="Arial" w:hAnsi="Arial"/>
                <w:sz w:val="10"/>
                <w:szCs w:val="10"/>
                <w:color w:val="auto"/>
                <w:w w:val="97"/>
              </w:rPr>
              <w:t>(4)</w:t>
            </w:r>
          </w:p>
        </w:tc>
        <w:tc>
          <w:tcPr>
            <w:tcW w:w="0" w:type="dxa"/>
            <w:vAlign w:val="bottom"/>
          </w:tcPr>
          <w:p>
            <w:pPr>
              <w:spacing w:after="0"/>
              <w:rPr>
                <w:sz w:val="1"/>
                <w:szCs w:val="1"/>
                <w:color w:val="auto"/>
              </w:rPr>
            </w:pPr>
          </w:p>
        </w:tc>
      </w:tr>
      <w:tr>
        <w:trPr>
          <w:trHeight w:val="202"/>
        </w:trPr>
        <w:tc>
          <w:tcPr>
            <w:tcW w:w="3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Redeemable warrants included as part of the</w:t>
            </w:r>
          </w:p>
        </w:tc>
        <w:tc>
          <w:tcPr>
            <w:tcW w:w="1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17,250,000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units</w:t>
            </w:r>
            <w:r>
              <w:rPr>
                <w:rFonts w:ascii="Arial" w:cs="Arial" w:eastAsia="Arial" w:hAnsi="Arial"/>
                <w:sz w:val="20"/>
                <w:szCs w:val="20"/>
                <w:color w:val="auto"/>
                <w:vertAlign w:val="superscript"/>
              </w:rPr>
              <w:t>(3)</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Warrants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ind w:left="420"/>
              <w:spacing w:after="0" w:line="271" w:lineRule="exact"/>
              <w:rPr>
                <w:sz w:val="20"/>
                <w:szCs w:val="20"/>
                <w:color w:val="auto"/>
              </w:rPr>
            </w:pPr>
            <w:r>
              <w:rPr>
                <w:rFonts w:ascii="Arial" w:cs="Arial" w:eastAsia="Arial" w:hAnsi="Arial"/>
                <w:sz w:val="31"/>
                <w:szCs w:val="31"/>
                <w:color w:val="auto"/>
                <w:w w:val="97"/>
                <w:vertAlign w:val="subscript"/>
              </w:rPr>
              <w:t>—</w:t>
            </w:r>
            <w:r>
              <w:rPr>
                <w:rFonts w:ascii="Arial" w:cs="Arial" w:eastAsia="Arial" w:hAnsi="Arial"/>
                <w:sz w:val="10"/>
                <w:szCs w:val="10"/>
                <w:color w:val="auto"/>
                <w:w w:val="97"/>
              </w:rPr>
              <w:t>(4)</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gridSpan w:val="2"/>
            <w:vMerge w:val="continue"/>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$345,000,000</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44,781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hanging="426"/>
        <w:spacing w:after="0"/>
        <w:tabs>
          <w:tab w:leader="none" w:pos="88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 457(a) under the Securities Act.</w:t>
      </w:r>
    </w:p>
    <w:p>
      <w:pPr>
        <w:spacing w:after="0" w:line="33" w:lineRule="exact"/>
        <w:rPr>
          <w:rFonts w:ascii="Arial" w:cs="Arial" w:eastAsia="Arial" w:hAnsi="Arial"/>
          <w:sz w:val="15"/>
          <w:szCs w:val="15"/>
          <w:color w:val="auto"/>
        </w:rPr>
      </w:pPr>
    </w:p>
    <w:p>
      <w:pPr>
        <w:ind w:left="880" w:right="539" w:hanging="426"/>
        <w:spacing w:after="0" w:line="281" w:lineRule="auto"/>
        <w:tabs>
          <w:tab w:leader="none" w:pos="88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4,500,000 units, consisting of 4,500,000 Class A ordinary shares and 2,250,000 redeemable warrants, which may be issued upon exercise of a 45-day option granted to the underwriter to cover over-allotments, if any.</w:t>
      </w:r>
    </w:p>
    <w:p>
      <w:pPr>
        <w:spacing w:after="0" w:line="1" w:lineRule="exact"/>
        <w:rPr>
          <w:rFonts w:ascii="Arial" w:cs="Arial" w:eastAsia="Arial" w:hAnsi="Arial"/>
          <w:sz w:val="15"/>
          <w:szCs w:val="15"/>
          <w:color w:val="auto"/>
        </w:rPr>
      </w:pPr>
    </w:p>
    <w:p>
      <w:pPr>
        <w:ind w:left="880" w:right="619" w:hanging="426"/>
        <w:spacing w:after="0" w:line="281" w:lineRule="auto"/>
        <w:tabs>
          <w:tab w:leader="none" w:pos="8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Pursuant to Rule 416(a), there are also being registered an indeterminable number of additional securities as may be offered or issued to prevent dilution resulting from stock splits, stock dividends, or similar transactions.</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w:t>
      </w:r>
    </w:p>
    <w:p>
      <w:pPr>
        <w:spacing w:after="0" w:line="141" w:lineRule="exact"/>
        <w:rPr>
          <w:sz w:val="20"/>
          <w:szCs w:val="20"/>
          <w:color w:val="auto"/>
        </w:rPr>
      </w:pPr>
    </w:p>
    <w:p>
      <w:pPr>
        <w:ind w:left="460" w:right="479" w:firstLine="432"/>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246380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572135</wp:posOffset>
            </wp:positionV>
            <wp:extent cx="5143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 w:name="page3"/>
    <w:bookmarkEnd w:id="2"/>
    <w:p>
      <w:pPr>
        <w:spacing w:after="0" w:line="9" w:lineRule="exact"/>
        <w:rPr>
          <w:sz w:val="20"/>
          <w:szCs w:val="20"/>
          <w:color w:val="auto"/>
        </w:rPr>
      </w:pPr>
    </w:p>
    <w:p>
      <w:pPr>
        <w:ind w:left="460" w:right="479"/>
        <w:spacing w:after="0" w:line="273" w:lineRule="auto"/>
        <w:rPr>
          <w:sz w:val="20"/>
          <w:szCs w:val="20"/>
          <w:color w:val="auto"/>
        </w:rPr>
      </w:pPr>
      <w:r>
        <w:rPr>
          <w:rFonts w:ascii="Arial" w:cs="Arial" w:eastAsia="Arial" w:hAnsi="Arial"/>
          <w:sz w:val="16"/>
          <w:szCs w:val="16"/>
          <w:color w:val="ED1C24"/>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84" w:lineRule="exact"/>
        <w:rPr>
          <w:sz w:val="20"/>
          <w:szCs w:val="20"/>
          <w:color w:val="auto"/>
        </w:rPr>
      </w:pPr>
    </w:p>
    <w:p>
      <w:pPr>
        <w:ind w:left="2200"/>
        <w:spacing w:after="0"/>
        <w:rPr>
          <w:sz w:val="20"/>
          <w:szCs w:val="20"/>
          <w:color w:val="auto"/>
        </w:rPr>
      </w:pPr>
      <w:r>
        <w:rPr>
          <w:rFonts w:ascii="Arial" w:cs="Arial" w:eastAsia="Arial" w:hAnsi="Arial"/>
          <w:sz w:val="18"/>
          <w:szCs w:val="18"/>
          <w:color w:val="D2232A"/>
        </w:rPr>
        <w:t>SUBJECT TO COMPLETION, DATED FEBRUARY 18, 2020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PRELIMINARY PROSPECTUS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Sustainable Opportunities Acquisition Corp.</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$300,000,000</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 Units</w:t>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______________</w:t>
      </w:r>
    </w:p>
    <w:p>
      <w:pPr>
        <w:spacing w:after="0" w:line="106" w:lineRule="exact"/>
        <w:rPr>
          <w:sz w:val="20"/>
          <w:szCs w:val="20"/>
          <w:color w:val="auto"/>
        </w:rPr>
      </w:pPr>
    </w:p>
    <w:p>
      <w:pPr>
        <w:ind w:left="460" w:right="519" w:firstLine="432"/>
        <w:spacing w:after="0" w:line="313" w:lineRule="auto"/>
        <w:rPr>
          <w:sz w:val="20"/>
          <w:szCs w:val="20"/>
          <w:color w:val="auto"/>
        </w:rPr>
      </w:pPr>
      <w:r>
        <w:rPr>
          <w:rFonts w:ascii="Arial" w:cs="Arial" w:eastAsia="Arial" w:hAnsi="Arial"/>
          <w:sz w:val="14"/>
          <w:szCs w:val="14"/>
          <w:color w:val="auto"/>
        </w:rPr>
        <w:t>Sustainable Opportunities Acquisition Corp. is a newly incorporated blank check company incorporated as a Cayman Islands exempted company and incorporated for the purpose of effecting a merger, share exchange, asset acquisition, share purchase, reorganization or similar business combination with one or more businesses or entities, which we refer to as our initial business combination. We have not selected any business combination target and we have not, nor has anyone on our behalf, initiated any substantive discussions, directly or indirectly, with any business combination target. While we will not be limited to a particular industry or geographic region, given the experience of our management team, our acquisition and value creation strategy will be to identify, acquire, and build a company in the sustainable sector.</w:t>
      </w:r>
    </w:p>
    <w:p>
      <w:pPr>
        <w:spacing w:after="0" w:line="15"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6"/>
          <w:szCs w:val="16"/>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terms and limitations as described herein. The underwriter has a 45-day option from the date of this prospectus to purchase up to 4,500,000 additional units to cover over-allotments, if any.</w:t>
      </w:r>
    </w:p>
    <w:p>
      <w:pPr>
        <w:spacing w:after="0" w:line="41" w:lineRule="exact"/>
        <w:rPr>
          <w:sz w:val="20"/>
          <w:szCs w:val="20"/>
          <w:color w:val="auto"/>
        </w:rPr>
      </w:pPr>
    </w:p>
    <w:p>
      <w:pPr>
        <w:ind w:left="460" w:right="659" w:firstLine="432"/>
        <w:spacing w:after="0" w:line="297" w:lineRule="auto"/>
        <w:rPr>
          <w:sz w:val="20"/>
          <w:szCs w:val="20"/>
          <w:color w:val="auto"/>
        </w:rPr>
      </w:pPr>
      <w:r>
        <w:rPr>
          <w:rFonts w:ascii="Arial" w:cs="Arial" w:eastAsia="Arial" w:hAnsi="Arial"/>
          <w:sz w:val="15"/>
          <w:szCs w:val="15"/>
          <w:color w:val="auto"/>
        </w:rPr>
        <w:t>We will provide our public shareholders with the opportunity to redeem all or a portion of their Class A ordinary shares upon the completion of our initial business combination, subject to the limitations described herein. If we have not consummated an initial business combination within 24 months from the closing of this offering, we will redeem 100% of the public shares for cash, subject to applicable law and certain conditions as described herein.</w:t>
      </w:r>
    </w:p>
    <w:p>
      <w:pPr>
        <w:spacing w:after="0" w:line="37"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6"/>
          <w:szCs w:val="16"/>
          <w:color w:val="auto"/>
        </w:rPr>
        <w:t>Our sponsor, Sustainable Opportunities Holdings LLC, has agreed to purchase 10,000,000 warrants, each exercisable to purchase one Class A ordinary share at $11.50 per share, at a price of $1.00 per warrant, in a private placement to occur concurrently with the closing of this offering. Our sponsor currently owns 8,625,000 Class B ordinary shares which will automatically convert into Class A ordinary shares at the time of our initial business combination as described herein. Prior to our initial business combination, only holders of our Class B ordinary shares will be entitled to vote on the election of directors.</w:t>
      </w:r>
    </w:p>
    <w:p>
      <w:pPr>
        <w:spacing w:after="0" w:line="45" w:lineRule="exact"/>
        <w:rPr>
          <w:sz w:val="20"/>
          <w:szCs w:val="20"/>
          <w:color w:val="auto"/>
        </w:rPr>
      </w:pPr>
    </w:p>
    <w:p>
      <w:pPr>
        <w:ind w:left="460" w:right="659" w:firstLine="432"/>
        <w:spacing w:after="0" w:line="290" w:lineRule="auto"/>
        <w:rPr>
          <w:sz w:val="20"/>
          <w:szCs w:val="20"/>
          <w:color w:val="auto"/>
        </w:rPr>
      </w:pPr>
      <w:r>
        <w:rPr>
          <w:rFonts w:ascii="Arial" w:cs="Arial" w:eastAsia="Arial" w:hAnsi="Arial"/>
          <w:sz w:val="14"/>
          <w:szCs w:val="14"/>
          <w:color w:val="auto"/>
        </w:rPr>
        <w:t>Currently, there is no public market for our securities. We intend to apply to have our units listed on the New York Stock Exchange, or NYSE, under the symbol “SOAC.U.” We expect that the Class A ordinary shares and warrants comprising the units will begin separate trading on the NYSE under the symbols “SOAC” and “SOAC WS,” respectively, on the 52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day following the date of this prospectus (or if such day is not a business day, the immediately succeeding business day) unless the underwriter permits earlier separate trading and we have satisfied certain conditions.</w:t>
      </w:r>
    </w:p>
    <w:p>
      <w:pPr>
        <w:spacing w:after="0" w:line="2"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______________</w:t>
      </w:r>
    </w:p>
    <w:p>
      <w:pPr>
        <w:spacing w:after="0" w:line="87" w:lineRule="exact"/>
        <w:rPr>
          <w:sz w:val="20"/>
          <w:szCs w:val="20"/>
          <w:color w:val="auto"/>
        </w:rPr>
      </w:pPr>
    </w:p>
    <w:p>
      <w:pPr>
        <w:ind w:left="460" w:right="659" w:firstLine="432"/>
        <w:spacing w:after="0" w:line="245" w:lineRule="auto"/>
        <w:rPr>
          <w:sz w:val="20"/>
          <w:szCs w:val="20"/>
          <w:color w:val="auto"/>
        </w:rPr>
      </w:pPr>
      <w:r>
        <w:rPr>
          <w:rFonts w:ascii="Arial" w:cs="Arial" w:eastAsia="Arial" w:hAnsi="Arial"/>
          <w:sz w:val="20"/>
          <w:szCs w:val="20"/>
          <w:b w:val="1"/>
          <w:bCs w:val="1"/>
          <w:color w:val="auto"/>
        </w:rPr>
        <w:t>We are an “emerging growth company” under applicable federal securities laws and will be subject to reduced public company reporting requirements. Investing in our securities involves a high degree of risk. See “Risk Factors” beginning on page 27 for a discussion of information that should be considered in connection with an investment in our securities. Investors will not be entitled to protections normally afforded to investors in Rule 419 blank check offerings.</w:t>
      </w:r>
    </w:p>
    <w:p>
      <w:pPr>
        <w:spacing w:after="0" w:line="62" w:lineRule="exact"/>
        <w:rPr>
          <w:sz w:val="20"/>
          <w:szCs w:val="20"/>
          <w:color w:val="auto"/>
        </w:rPr>
      </w:pPr>
    </w:p>
    <w:p>
      <w:pPr>
        <w:ind w:left="460" w:right="539" w:firstLine="432"/>
        <w:spacing w:after="0" w:line="265"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______________</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Per Unit</w:t>
            </w:r>
          </w:p>
        </w:tc>
        <w:tc>
          <w:tcPr>
            <w:tcW w:w="22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47"/>
        </w:trPr>
        <w:tc>
          <w:tcPr>
            <w:tcW w:w="58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3"/>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300,000,000</w:t>
            </w:r>
          </w:p>
        </w:tc>
      </w:tr>
      <w:tr>
        <w:trPr>
          <w:trHeight w:val="284"/>
        </w:trPr>
        <w:tc>
          <w:tcPr>
            <w:tcW w:w="582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16,500,000</w:t>
            </w:r>
          </w:p>
        </w:tc>
      </w:tr>
      <w:tr>
        <w:trPr>
          <w:trHeight w:val="26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283,500,000</w:t>
            </w:r>
          </w:p>
        </w:tc>
      </w:tr>
      <w:tr>
        <w:trPr>
          <w:trHeight w:val="250"/>
        </w:trPr>
        <w:tc>
          <w:tcPr>
            <w:tcW w:w="5820" w:type="dxa"/>
            <w:vAlign w:val="bottom"/>
          </w:tcPr>
          <w:p>
            <w:pPr>
              <w:spacing w:after="0"/>
              <w:rPr>
                <w:sz w:val="20"/>
                <w:szCs w:val="20"/>
                <w:color w:val="auto"/>
              </w:rPr>
            </w:pPr>
            <w:r>
              <w:rPr>
                <w:rFonts w:ascii="Arial" w:cs="Arial" w:eastAsia="Arial" w:hAnsi="Arial"/>
                <w:sz w:val="16"/>
                <w:szCs w:val="16"/>
                <w:color w:val="auto"/>
              </w:rPr>
              <w:t>____________</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72" w:lineRule="exact"/>
        <w:rPr>
          <w:sz w:val="20"/>
          <w:szCs w:val="20"/>
          <w:color w:val="auto"/>
        </w:rPr>
      </w:pPr>
    </w:p>
    <w:p>
      <w:pPr>
        <w:ind w:left="880" w:right="599" w:hanging="426"/>
        <w:spacing w:after="0" w:line="271"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$0.35 per unit, or $10,500,000 in the aggregate (or $12,075,000 in the aggregate if the underwriter’s over-allotment option is exercised in full), payable to the underwriter for deferred underwriting commissions to be placed in a trust account located in the United States as described herein and released to the underwriter only upon the consummation of an initial business combination. See also “Underwriting” for a description of compensation and other items of value payable to the underwriter.</w:t>
      </w:r>
    </w:p>
    <w:p>
      <w:pPr>
        <w:spacing w:after="0" w:line="68" w:lineRule="exact"/>
        <w:rPr>
          <w:sz w:val="20"/>
          <w:szCs w:val="20"/>
          <w:color w:val="auto"/>
        </w:rPr>
      </w:pPr>
    </w:p>
    <w:p>
      <w:pPr>
        <w:ind w:left="460" w:right="539" w:firstLine="432"/>
        <w:spacing w:after="0" w:line="305" w:lineRule="auto"/>
        <w:rPr>
          <w:sz w:val="20"/>
          <w:szCs w:val="20"/>
          <w:color w:val="auto"/>
        </w:rPr>
      </w:pPr>
      <w:r>
        <w:rPr>
          <w:rFonts w:ascii="Arial" w:cs="Arial" w:eastAsia="Arial" w:hAnsi="Arial"/>
          <w:sz w:val="15"/>
          <w:szCs w:val="15"/>
          <w:color w:val="auto"/>
        </w:rPr>
        <w:t>Of the proceeds we receive from this offering and the sale of the private placement warrants described in this prospectus, $300,000,000, or $345,000,000 if the underwriter’s over-allotment option is exercised in full ($10.00 per unit in either case), will be deposited into a trust account with Continental Stock Transfer &amp; Trust Company acting as trustee.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The underwriter is offering the units for sale on a firm commitment basis. The underwriter expects to deliver the units</w:t>
      </w:r>
    </w:p>
    <w:p>
      <w:pPr>
        <w:spacing w:after="0" w:line="45" w:lineRule="exact"/>
        <w:rPr>
          <w:sz w:val="20"/>
          <w:szCs w:val="20"/>
          <w:color w:val="auto"/>
        </w:rPr>
      </w:pPr>
    </w:p>
    <w:p>
      <w:pPr>
        <w:ind w:left="460"/>
        <w:spacing w:after="0"/>
        <w:tabs>
          <w:tab w:leader="none" w:pos="2760" w:val="left"/>
        </w:tabs>
        <w:rPr>
          <w:sz w:val="20"/>
          <w:szCs w:val="20"/>
          <w:color w:val="auto"/>
        </w:rPr>
      </w:pPr>
      <w:r>
        <w:rPr>
          <w:rFonts w:ascii="Arial" w:cs="Arial" w:eastAsia="Arial" w:hAnsi="Arial"/>
          <w:sz w:val="16"/>
          <w:szCs w:val="16"/>
          <w:color w:val="auto"/>
        </w:rPr>
        <w:t>to the purchasers on or about</w:t>
      </w:r>
      <w:r>
        <w:rPr>
          <w:sz w:val="20"/>
          <w:szCs w:val="20"/>
          <w:color w:val="auto"/>
        </w:rPr>
        <w:tab/>
      </w:r>
      <w:r>
        <w:rPr>
          <w:rFonts w:ascii="Arial" w:cs="Arial" w:eastAsia="Arial" w:hAnsi="Arial"/>
          <w:sz w:val="14"/>
          <w:szCs w:val="14"/>
          <w:color w:val="auto"/>
        </w:rPr>
        <w:t>, 2020.</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______________</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Citigroup</w:t>
      </w:r>
    </w:p>
    <w:p>
      <w:pPr>
        <w:sectPr>
          <w:pgSz w:w="11900" w:h="16847" w:orient="portrait"/>
          <w:cols w:equalWidth="0" w:num="1">
            <w:col w:w="9019"/>
          </w:cols>
          <w:pgMar w:left="1440" w:top="278" w:right="1440" w:bottom="0" w:gutter="0" w:footer="0" w:header="0"/>
        </w:sectPr>
      </w:pPr>
    </w:p>
    <w:p>
      <w:pPr>
        <w:spacing w:after="0" w:line="3"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______________</w:t>
      </w:r>
    </w:p>
    <w:p>
      <w:pPr>
        <w:sectPr>
          <w:pgSz w:w="11900" w:h="16847" w:orient="portrait"/>
          <w:cols w:equalWidth="0" w:num="1">
            <w:col w:w="9019"/>
          </w:cols>
          <w:pgMar w:left="1440" w:top="278" w:right="1440" w:bottom="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183"/>
        </w:trPr>
        <w:tc>
          <w:tcPr>
            <w:tcW w:w="7380" w:type="dxa"/>
            <w:vAlign w:val="bottom"/>
            <w:gridSpan w:val="22"/>
            <w:shd w:val="clear" w:color="auto" w:fill="CCEEFF"/>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7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SUMMARY FINANCIAL DATA</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9"/>
              </w:rPr>
              <w:t>26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CAUTIONARY NOTE REGARDING FORWARD-LOOKING STATEMENTS</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9"/>
              </w:rPr>
              <w:t>59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USE OF PROCEEDS</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DIVIDEND POLICY</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9"/>
              </w:rPr>
              <w:t>63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DILUTION</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CAPITALIZATION</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9"/>
              </w:rPr>
              <w:t>66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5"/>
        </w:trPr>
        <w:tc>
          <w:tcPr>
            <w:tcW w:w="668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MANAGEMENT’S DISCUSSION AND ANALYSIS OF FINANCIAL CONDITION AND</w:t>
              </w:r>
            </w:hyperlink>
          </w:p>
        </w:tc>
        <w:tc>
          <w:tcPr>
            <w:tcW w:w="7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200" w:type="dxa"/>
            <w:vAlign w:val="bottom"/>
            <w:gridSpan w:val="21"/>
            <w:shd w:val="clear" w:color="auto" w:fill="CCEEFF"/>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RESULTS OF OPERATIONS</w:t>
              </w:r>
            </w:hyperlink>
          </w:p>
        </w:tc>
        <w:tc>
          <w:tcPr>
            <w:tcW w:w="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67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PROPOSED BUSINESS</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9"/>
              </w:rPr>
              <w:t>72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MANAGEMENT</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97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PRINCIPAL SHAREHOLDERS</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3"/>
              </w:rPr>
              <w:t>104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CERTAIN RELATIONSHIPS AND RELATED PARTY TRANSACTIONS</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106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113">
              <w:r>
                <w:rPr>
                  <w:rFonts w:ascii="Arial" w:cs="Arial" w:eastAsia="Arial" w:hAnsi="Arial"/>
                  <w:sz w:val="18"/>
                  <w:szCs w:val="18"/>
                  <w:color w:val="0000EE"/>
                </w:rPr>
                <w:t>DESCRIPTION OF SECURITIES</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3"/>
              </w:rPr>
              <w:t>108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132">
              <w:r>
                <w:rPr>
                  <w:rFonts w:ascii="Arial" w:cs="Arial" w:eastAsia="Arial" w:hAnsi="Arial"/>
                  <w:sz w:val="18"/>
                  <w:szCs w:val="18"/>
                  <w:color w:val="0000EE"/>
                </w:rPr>
                <w:t>TAXATION</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142">
              <w:r>
                <w:rPr>
                  <w:rFonts w:ascii="Arial" w:cs="Arial" w:eastAsia="Arial" w:hAnsi="Arial"/>
                  <w:sz w:val="18"/>
                  <w:szCs w:val="18"/>
                  <w:color w:val="0000EE"/>
                </w:rPr>
                <w:t>UNDERWRITING</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3"/>
              </w:rPr>
              <w:t>137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148">
              <w:r>
                <w:rPr>
                  <w:rFonts w:ascii="Arial" w:cs="Arial" w:eastAsia="Arial" w:hAnsi="Arial"/>
                  <w:sz w:val="18"/>
                  <w:szCs w:val="18"/>
                  <w:color w:val="0000EE"/>
                </w:rPr>
                <w:t>LEGAL MATTERS</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143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148">
              <w:r>
                <w:rPr>
                  <w:rFonts w:ascii="Arial" w:cs="Arial" w:eastAsia="Arial" w:hAnsi="Arial"/>
                  <w:sz w:val="18"/>
                  <w:szCs w:val="18"/>
                  <w:color w:val="0000EE"/>
                </w:rPr>
                <w:t>EXPERTS</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3"/>
              </w:rPr>
              <w:t>143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148">
              <w:r>
                <w:rPr>
                  <w:rFonts w:ascii="Arial" w:cs="Arial" w:eastAsia="Arial" w:hAnsi="Arial"/>
                  <w:sz w:val="18"/>
                  <w:szCs w:val="18"/>
                  <w:color w:val="0000EE"/>
                </w:rPr>
                <w:t>WHERE YOU CAN FIND ADDITIONAL INFORMATION</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143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3040" w:type="dxa"/>
            <w:vAlign w:val="bottom"/>
            <w:tcBorders>
              <w:bottom w:val="single" w:sz="8" w:color="0000EE"/>
            </w:tcBorders>
            <w:gridSpan w:val="17"/>
          </w:tcPr>
          <w:p>
            <w:pPr>
              <w:spacing w:after="0" w:line="202" w:lineRule="exact"/>
              <w:rPr>
                <w:rFonts w:ascii="Arial" w:cs="Arial" w:eastAsia="Arial" w:hAnsi="Arial"/>
                <w:sz w:val="18"/>
                <w:szCs w:val="18"/>
                <w:color w:val="0000EE"/>
                <w:w w:val="97"/>
              </w:rPr>
            </w:pPr>
            <w:hyperlink w:anchor="page149">
              <w:r>
                <w:rPr>
                  <w:rFonts w:ascii="Arial" w:cs="Arial" w:eastAsia="Arial" w:hAnsi="Arial"/>
                  <w:sz w:val="18"/>
                  <w:szCs w:val="18"/>
                  <w:color w:val="0000EE"/>
                  <w:w w:val="97"/>
                </w:rPr>
                <w:t>INDEX TO FINANCIAL STATEMENTS</w:t>
              </w:r>
            </w:hyperlink>
          </w:p>
        </w:tc>
        <w:tc>
          <w:tcPr>
            <w:tcW w:w="4340" w:type="dxa"/>
            <w:vAlign w:val="bottom"/>
            <w:gridSpan w:val="5"/>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8"/>
              </w:rPr>
              <w:t>F-1</w:t>
            </w:r>
          </w:p>
        </w:tc>
      </w:tr>
    </w:tbl>
    <w:p>
      <w:pPr>
        <w:spacing w:after="0" w:line="238" w:lineRule="exact"/>
        <w:rPr>
          <w:sz w:val="20"/>
          <w:szCs w:val="20"/>
          <w:color w:val="auto"/>
        </w:rPr>
      </w:pPr>
    </w:p>
    <w:p>
      <w:pPr>
        <w:ind w:left="460" w:right="519" w:firstLine="432"/>
        <w:spacing w:after="0" w:line="256" w:lineRule="auto"/>
        <w:rPr>
          <w:sz w:val="20"/>
          <w:szCs w:val="20"/>
          <w:color w:val="auto"/>
        </w:rPr>
      </w:pPr>
      <w:r>
        <w:rPr>
          <w:rFonts w:ascii="Arial" w:cs="Arial" w:eastAsia="Arial" w:hAnsi="Arial"/>
          <w:sz w:val="18"/>
          <w:szCs w:val="18"/>
          <w:b w:val="1"/>
          <w:bCs w:val="1"/>
          <w:color w:val="auto"/>
        </w:rPr>
        <w:t>We are responsible for the information contained in this prospectus. We have not authorized anyone to provide you with different information, and we take no responsibility for any other information others may give to you. We are not, and the underwriter is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971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7310" cy="6971665"/>
                    </a:xfrm>
                    <a:prstGeom prst="rect">
                      <a:avLst/>
                    </a:prstGeom>
                    <a:noFill/>
                  </pic:spPr>
                </pic:pic>
              </a:graphicData>
            </a:graphic>
          </wp:anchor>
        </w:drawing>
        <w:t>SUMMARY</w:t>
      </w:r>
    </w:p>
    <w:p>
      <w:pPr>
        <w:spacing w:after="0" w:line="148" w:lineRule="exact"/>
        <w:rPr>
          <w:sz w:val="20"/>
          <w:szCs w:val="20"/>
          <w:color w:val="auto"/>
        </w:rPr>
      </w:pPr>
    </w:p>
    <w:p>
      <w:pPr>
        <w:ind w:left="540" w:right="819" w:firstLine="432"/>
        <w:spacing w:after="0" w:line="311" w:lineRule="auto"/>
        <w:rPr>
          <w:sz w:val="20"/>
          <w:szCs w:val="20"/>
          <w:color w:val="auto"/>
        </w:rPr>
      </w:pPr>
      <w:r>
        <w:rPr>
          <w:rFonts w:ascii="Arial" w:cs="Arial" w:eastAsia="Arial" w:hAnsi="Arial"/>
          <w:sz w:val="16"/>
          <w:szCs w:val="16"/>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58" w:lineRule="exact"/>
        <w:rPr>
          <w:sz w:val="20"/>
          <w:szCs w:val="20"/>
          <w:color w:val="auto"/>
        </w:rPr>
      </w:pPr>
    </w:p>
    <w:p>
      <w:pPr>
        <w:jc w:val="both"/>
        <w:ind w:left="1400" w:right="699" w:hanging="424"/>
        <w:spacing w:after="0" w:line="263"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and restated memorandum and article of association” are to the amended and restated memorandum and articles of association that the company will adopt prior to the consummation of this offering;</w:t>
      </w:r>
    </w:p>
    <w:p>
      <w:pPr>
        <w:spacing w:after="0" w:line="102" w:lineRule="exact"/>
        <w:rPr>
          <w:rFonts w:ascii="Arial" w:cs="Arial" w:eastAsia="Arial" w:hAnsi="Arial"/>
          <w:sz w:val="18"/>
          <w:szCs w:val="18"/>
          <w:color w:val="auto"/>
        </w:rPr>
      </w:pPr>
    </w:p>
    <w:p>
      <w:pPr>
        <w:ind w:left="1400" w:right="619" w:hanging="424"/>
        <w:spacing w:after="0" w:line="27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“Companies Law” are to the Companies Law (2020 Revision) of the Cayman Islands as the same may be amended from time to time;</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“Founders” are to Scott Leonard and Scott Honour;</w:t>
      </w:r>
    </w:p>
    <w:p>
      <w:pPr>
        <w:spacing w:after="0" w:line="157" w:lineRule="exact"/>
        <w:rPr>
          <w:rFonts w:ascii="Arial" w:cs="Arial" w:eastAsia="Arial" w:hAnsi="Arial"/>
          <w:sz w:val="18"/>
          <w:szCs w:val="18"/>
          <w:color w:val="auto"/>
        </w:rPr>
      </w:pPr>
    </w:p>
    <w:p>
      <w:pPr>
        <w:ind w:left="1400" w:right="899" w:hanging="424"/>
        <w:spacing w:after="0" w:line="25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 shares” are to our Class B ordinary shares initially issued to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106"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or our “management team” are to our executive officers and directors;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shares” are to our Class A ordinary shares and our Class B ordinary shares;</w:t>
      </w:r>
    </w:p>
    <w:p>
      <w:pPr>
        <w:spacing w:after="0" w:line="157" w:lineRule="exact"/>
        <w:rPr>
          <w:rFonts w:ascii="Arial" w:cs="Arial" w:eastAsia="Arial" w:hAnsi="Arial"/>
          <w:sz w:val="18"/>
          <w:szCs w:val="18"/>
          <w:color w:val="auto"/>
        </w:rPr>
      </w:pPr>
    </w:p>
    <w:p>
      <w:pPr>
        <w:ind w:left="1400" w:right="1039" w:hanging="424"/>
        <w:spacing w:after="0" w:line="263"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warrants” are to the warrants to be issued to our sponsor in a private placement simultaneously with the closing of this offering and upon conversion of working capital loans, if any;</w:t>
      </w:r>
    </w:p>
    <w:p>
      <w:pPr>
        <w:spacing w:after="0" w:line="102" w:lineRule="exact"/>
        <w:rPr>
          <w:rFonts w:ascii="Arial" w:cs="Arial" w:eastAsia="Arial" w:hAnsi="Arial"/>
          <w:sz w:val="18"/>
          <w:szCs w:val="18"/>
          <w:color w:val="auto"/>
        </w:rPr>
      </w:pPr>
    </w:p>
    <w:p>
      <w:pPr>
        <w:ind w:left="1400" w:right="1199" w:hanging="424"/>
        <w:spacing w:after="0" w:line="308" w:lineRule="auto"/>
        <w:tabs>
          <w:tab w:leader="none" w:pos="1391"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“public shares” are to our Class A ordinary shares sold as part of the units in this offering (whether they are purchased in this offering or thereafter in the open market);</w:t>
      </w:r>
    </w:p>
    <w:p>
      <w:pPr>
        <w:spacing w:after="0" w:line="78" w:lineRule="exact"/>
        <w:rPr>
          <w:rFonts w:ascii="Arial" w:cs="Arial" w:eastAsia="Arial" w:hAnsi="Arial"/>
          <w:sz w:val="17"/>
          <w:szCs w:val="17"/>
          <w:color w:val="auto"/>
        </w:rPr>
      </w:pPr>
    </w:p>
    <w:p>
      <w:pPr>
        <w:ind w:left="1400" w:right="559" w:hanging="424"/>
        <w:spacing w:after="0" w:line="279" w:lineRule="auto"/>
        <w:tabs>
          <w:tab w:leader="none" w:pos="1391"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“public shareholders” are to the holders of our public shares, including our sponsor and management team to the extent our sponsor and/or members of our management team purchase public shares, provided that our sponsor’s and each member of our management team’s status as a “public shareholder” will only exist with respect to such public shares;</w:t>
      </w:r>
    </w:p>
    <w:p>
      <w:pPr>
        <w:spacing w:after="0" w:line="103" w:lineRule="exact"/>
        <w:rPr>
          <w:rFonts w:ascii="Arial" w:cs="Arial" w:eastAsia="Arial" w:hAnsi="Arial"/>
          <w:sz w:val="17"/>
          <w:szCs w:val="17"/>
          <w:color w:val="auto"/>
        </w:rPr>
      </w:pPr>
    </w:p>
    <w:p>
      <w:pPr>
        <w:ind w:left="1400" w:right="639" w:hanging="424"/>
        <w:spacing w:after="0" w:line="27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are to Sustainable Opportunities Holdings LLC, a Delaware limited liability company; and</w:t>
      </w:r>
    </w:p>
    <w:p>
      <w:pPr>
        <w:spacing w:after="0" w:line="89" w:lineRule="exact"/>
        <w:rPr>
          <w:rFonts w:ascii="Arial" w:cs="Arial" w:eastAsia="Arial" w:hAnsi="Arial"/>
          <w:sz w:val="18"/>
          <w:szCs w:val="18"/>
          <w:color w:val="auto"/>
        </w:rPr>
      </w:pPr>
    </w:p>
    <w:p>
      <w:pPr>
        <w:ind w:left="1400" w:right="859" w:hanging="424"/>
        <w:spacing w:after="0" w:line="27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“company” or “our company” are to Sustainable Opportunities Acquisition Corp., a Cayman Islands exempted company.</w:t>
      </w:r>
    </w:p>
    <w:p>
      <w:pPr>
        <w:spacing w:after="0" w:line="103" w:lineRule="exact"/>
        <w:rPr>
          <w:sz w:val="20"/>
          <w:szCs w:val="20"/>
          <w:color w:val="auto"/>
        </w:rPr>
      </w:pPr>
    </w:p>
    <w:p>
      <w:pPr>
        <w:ind w:left="540" w:right="579" w:firstLine="432"/>
        <w:spacing w:after="0" w:line="296" w:lineRule="auto"/>
        <w:rPr>
          <w:sz w:val="20"/>
          <w:szCs w:val="20"/>
          <w:color w:val="auto"/>
        </w:rPr>
      </w:pPr>
      <w:r>
        <w:rPr>
          <w:rFonts w:ascii="Arial" w:cs="Arial" w:eastAsia="Arial" w:hAnsi="Arial"/>
          <w:sz w:val="16"/>
          <w:szCs w:val="16"/>
          <w:color w:val="auto"/>
        </w:rPr>
        <w:t>Any forfeiture of shares described in this prospectus will take effect as a surrender of shares for no consideration of such shares as a matter of Cayman Islands law. Any conversion of the Class B ordinary shares 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94" w:lineRule="exact"/>
        <w:rPr>
          <w:sz w:val="20"/>
          <w:szCs w:val="20"/>
          <w:color w:val="auto"/>
        </w:rPr>
      </w:pPr>
    </w:p>
    <w:p>
      <w:pPr>
        <w:ind w:left="540" w:right="739" w:firstLine="432"/>
        <w:spacing w:after="0" w:line="277" w:lineRule="auto"/>
        <w:rPr>
          <w:sz w:val="20"/>
          <w:szCs w:val="20"/>
          <w:color w:val="auto"/>
        </w:rPr>
      </w:pPr>
      <w:r>
        <w:rPr>
          <w:rFonts w:ascii="Arial" w:cs="Arial" w:eastAsia="Arial" w:hAnsi="Arial"/>
          <w:sz w:val="18"/>
          <w:szCs w:val="18"/>
          <w:color w:val="auto"/>
        </w:rPr>
        <w:t>Unless we tell you otherwise, the information in this prospectus assumes that the underwriter will not exercise its over-allotment option.</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9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669020"/>
                    </a:xfrm>
                    <a:prstGeom prst="rect">
                      <a:avLst/>
                    </a:prstGeom>
                    <a:noFill/>
                  </pic:spPr>
                </pic:pic>
              </a:graphicData>
            </a:graphic>
          </wp:anchor>
        </w:drawing>
        <w:t>Our Company</w:t>
      </w:r>
    </w:p>
    <w:p>
      <w:pPr>
        <w:spacing w:after="0" w:line="148" w:lineRule="exact"/>
        <w:rPr>
          <w:sz w:val="20"/>
          <w:szCs w:val="20"/>
          <w:color w:val="auto"/>
        </w:rPr>
      </w:pPr>
    </w:p>
    <w:p>
      <w:pPr>
        <w:ind w:left="540" w:right="579" w:firstLine="432"/>
        <w:spacing w:after="0" w:line="255" w:lineRule="auto"/>
        <w:rPr>
          <w:sz w:val="20"/>
          <w:szCs w:val="20"/>
          <w:color w:val="auto"/>
        </w:rPr>
      </w:pPr>
      <w:r>
        <w:rPr>
          <w:rFonts w:ascii="Arial" w:cs="Arial" w:eastAsia="Arial" w:hAnsi="Arial"/>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or entities, which we refer to throughout this prospectus as our initial business combination. We have not selected any business combination target and we have not, nor has anyone on our behalf, initiated any substantive discussions, directly or indirectly, with any business combination target.</w:t>
      </w:r>
    </w:p>
    <w:p>
      <w:pPr>
        <w:spacing w:after="0" w:line="125" w:lineRule="exact"/>
        <w:rPr>
          <w:sz w:val="20"/>
          <w:szCs w:val="20"/>
          <w:color w:val="auto"/>
        </w:rPr>
      </w:pPr>
    </w:p>
    <w:p>
      <w:pPr>
        <w:ind w:left="540" w:right="579" w:firstLine="432"/>
        <w:spacing w:after="0" w:line="268" w:lineRule="auto"/>
        <w:rPr>
          <w:sz w:val="20"/>
          <w:szCs w:val="20"/>
          <w:color w:val="auto"/>
        </w:rPr>
      </w:pPr>
      <w:r>
        <w:rPr>
          <w:rFonts w:ascii="Arial" w:cs="Arial" w:eastAsia="Arial" w:hAnsi="Arial"/>
          <w:sz w:val="17"/>
          <w:szCs w:val="17"/>
          <w:color w:val="auto"/>
        </w:rPr>
        <w:t>We believe that there are significant, attractive investment opportunities that exist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We believe our management team’s experience allows us to evaluate targets in industries such as manufacturing (including auto, building materials), chemicals, services (including waste, environmental, construction), logistics (including transportation, distribution), technology (hardware, software, devices), agriculture (including biofuels) and energy (with focus on renewable generation, utility services, energy efficiency/management), among others. Furthermore, our target universe could include companies undergoing a transition to increase their environmental sustainability profiles, reflecting an opportunity to bring environmentally sustainable practices to companies that may not have historically been focused on environmental sustainability. We believe there is a wide array of companies poised to undergo this “brown-to-green” transition in our target universe. Companies in our target universe tend to have stable growth rates and would greatly benefit from access to public market capital.</w:t>
      </w:r>
    </w:p>
    <w:p>
      <w:pPr>
        <w:spacing w:after="0" w:line="114" w:lineRule="exact"/>
        <w:rPr>
          <w:sz w:val="20"/>
          <w:szCs w:val="20"/>
          <w:color w:val="auto"/>
        </w:rPr>
      </w:pPr>
    </w:p>
    <w:p>
      <w:pPr>
        <w:ind w:left="540" w:right="599" w:firstLine="432"/>
        <w:spacing w:after="0" w:line="287" w:lineRule="auto"/>
        <w:rPr>
          <w:sz w:val="20"/>
          <w:szCs w:val="20"/>
          <w:color w:val="auto"/>
        </w:rPr>
      </w:pPr>
      <w:r>
        <w:rPr>
          <w:rFonts w:ascii="Arial" w:cs="Arial" w:eastAsia="Arial" w:hAnsi="Arial"/>
          <w:sz w:val="16"/>
          <w:szCs w:val="16"/>
          <w:color w:val="auto"/>
        </w:rPr>
        <w:t>We believe in the ability of our management team to add significant value to a target company from a commercial, operating, strategic and sustainability perspective. In particular, we intend to identify and acquire a business that could benefit from a hands-on owner with extensive operational experience and the public company expertise our management team possesses, or that relies on the target’s executive and operational expertise but presents potential for an attractive risk-adjusted return profile under our stewardship. Even fundamentally sound companies can often underperform their potential due to underinvestment, a temporary period of dislocation in the markets in which they operate, over-levered capital structures, excessive cost structures, incomplete management teams and/or inappropriate business strategies. Our management team has extensive experience in identifying and executing such strategies. In addition, our team has significant hands-on experience working with private companies in preparing for and executing an initial public offering and serving as active owners and directors by working closely with these companies to continue their transformations and help create value in the public markets.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48" w:lineRule="exact"/>
        <w:rPr>
          <w:sz w:val="20"/>
          <w:szCs w:val="20"/>
          <w:color w:val="auto"/>
        </w:rPr>
      </w:pPr>
    </w:p>
    <w:p>
      <w:pPr>
        <w:ind w:left="540" w:right="659" w:firstLine="432"/>
        <w:spacing w:after="0" w:line="283" w:lineRule="auto"/>
        <w:rPr>
          <w:sz w:val="20"/>
          <w:szCs w:val="20"/>
          <w:color w:val="auto"/>
        </w:rPr>
      </w:pPr>
      <w:r>
        <w:rPr>
          <w:rFonts w:ascii="Arial" w:cs="Arial" w:eastAsia="Arial" w:hAnsi="Arial"/>
          <w:sz w:val="16"/>
          <w:szCs w:val="16"/>
          <w:color w:val="auto"/>
        </w:rPr>
        <w:t>Scott Leonard serves as our Chief Executive Officer and on our board of directors. Mr. Leonard has over 15 years of experience leading highly successful business transformations and transitions. Mr. Leonard also has deep expertise over the past 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w:t>
      </w:r>
    </w:p>
    <w:p>
      <w:pPr>
        <w:spacing w:after="0" w:line="5" w:lineRule="exact"/>
        <w:rPr>
          <w:sz w:val="20"/>
          <w:szCs w:val="20"/>
          <w:color w:val="auto"/>
        </w:rPr>
      </w:pPr>
    </w:p>
    <w:p>
      <w:pPr>
        <w:ind w:left="540" w:right="559" w:firstLine="4"/>
        <w:spacing w:after="0" w:line="288" w:lineRule="auto"/>
        <w:tabs>
          <w:tab w:leader="none" w:pos="725" w:val="left"/>
        </w:tabs>
        <w:numPr>
          <w:ilvl w:val="0"/>
          <w:numId w:val="4"/>
        </w:numPr>
        <w:rPr>
          <w:rFonts w:ascii="Arial" w:cs="Arial" w:eastAsia="Arial" w:hAnsi="Arial"/>
          <w:sz w:val="16"/>
          <w:szCs w:val="16"/>
          <w:color w:val="auto"/>
        </w:rPr>
      </w:pPr>
      <w:r>
        <w:rPr>
          <w:rFonts w:ascii="Arial" w:cs="Arial" w:eastAsia="Arial" w:hAnsi="Arial"/>
          <w:sz w:val="16"/>
          <w:szCs w:val="16"/>
          <w:color w:val="auto"/>
        </w:rPr>
        <w:t>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w:t>
      </w:r>
    </w:p>
    <w:p>
      <w:pPr>
        <w:spacing w:after="0" w:line="101" w:lineRule="exact"/>
        <w:rPr>
          <w:sz w:val="20"/>
          <w:szCs w:val="20"/>
          <w:color w:val="auto"/>
        </w:rPr>
      </w:pPr>
    </w:p>
    <w:p>
      <w:pPr>
        <w:ind w:left="540" w:right="579" w:firstLine="432"/>
        <w:spacing w:after="0" w:line="259" w:lineRule="auto"/>
        <w:rPr>
          <w:sz w:val="20"/>
          <w:szCs w:val="20"/>
          <w:color w:val="auto"/>
        </w:rPr>
      </w:pPr>
      <w:r>
        <w:rPr>
          <w:rFonts w:ascii="Arial" w:cs="Arial" w:eastAsia="Arial" w:hAnsi="Arial"/>
          <w:sz w:val="18"/>
          <w:szCs w:val="18"/>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w:t>
      </w:r>
    </w:p>
    <w:p>
      <w:pPr>
        <w:sectPr>
          <w:pgSz w:w="11900" w:h="16838" w:orient="portrait"/>
          <w:cols w:equalWidth="0" w:num="1">
            <w:col w:w="9019"/>
          </w:cols>
          <w:pgMar w:left="1440" w:top="540"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7" w:name="page8"/>
    <w:bookmarkEnd w:id="7"/>
    <w:p>
      <w:pPr>
        <w:ind w:left="540" w:right="659"/>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846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7846060"/>
                    </a:xfrm>
                    <a:prstGeom prst="rect">
                      <a:avLst/>
                    </a:prstGeom>
                    <a:noFill/>
                  </pic:spPr>
                </pic:pic>
              </a:graphicData>
            </a:graphic>
          </wp:anchor>
        </w:drawing>
        <w:t>in 2012. Prior to that, Mr. Honour was at The Gores Group, a Los Angeles based private equity firm, for 10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Choice Delivery, LLC, United Language Group, Inc., Renters Warehouse LLC, Real Dolmen (REM:BB) and Westwood One, Inc. (formerly Nasdaq: WWON), and is a co-founder of Titan CNG LLC and YapStone Inc. Mr. Honour earned a B.S. and B.A., </w:t>
      </w:r>
      <w:r>
        <w:rPr>
          <w:rFonts w:ascii="Arial" w:cs="Arial" w:eastAsia="Arial" w:hAnsi="Arial"/>
          <w:sz w:val="17"/>
          <w:szCs w:val="17"/>
          <w:i w:val="1"/>
          <w:iCs w:val="1"/>
          <w:color w:val="auto"/>
        </w:rPr>
        <w:t>cum laude</w:t>
      </w:r>
      <w:r>
        <w:rPr>
          <w:rFonts w:ascii="Arial" w:cs="Arial" w:eastAsia="Arial" w:hAnsi="Arial"/>
          <w:sz w:val="17"/>
          <w:szCs w:val="17"/>
          <w:color w:val="auto"/>
        </w:rPr>
        <w:t>, in Business Administration and Economics from Pepperdine University and an M.B.A. in Finance and Marketing from the Wharton School of the University of Pennsylvania.</w:t>
      </w:r>
    </w:p>
    <w:p>
      <w:pPr>
        <w:spacing w:after="0" w:line="115" w:lineRule="exact"/>
        <w:rPr>
          <w:sz w:val="20"/>
          <w:szCs w:val="20"/>
          <w:color w:val="auto"/>
        </w:rPr>
      </w:pPr>
    </w:p>
    <w:p>
      <w:pPr>
        <w:ind w:left="540" w:right="559" w:firstLine="432"/>
        <w:spacing w:after="0" w:line="286" w:lineRule="auto"/>
        <w:rPr>
          <w:sz w:val="20"/>
          <w:szCs w:val="20"/>
          <w:color w:val="auto"/>
        </w:rPr>
      </w:pPr>
      <w:r>
        <w:rPr>
          <w:rFonts w:ascii="Arial" w:cs="Arial" w:eastAsia="Arial" w:hAnsi="Arial"/>
          <w:sz w:val="16"/>
          <w:szCs w:val="16"/>
          <w:color w:val="auto"/>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spacing w:after="0" w:line="100" w:lineRule="exact"/>
        <w:rPr>
          <w:sz w:val="20"/>
          <w:szCs w:val="20"/>
          <w:color w:val="auto"/>
        </w:rPr>
      </w:pPr>
    </w:p>
    <w:p>
      <w:pPr>
        <w:ind w:left="540" w:right="679" w:firstLine="432"/>
        <w:spacing w:after="0" w:line="257" w:lineRule="auto"/>
        <w:rPr>
          <w:sz w:val="20"/>
          <w:szCs w:val="20"/>
          <w:color w:val="auto"/>
        </w:rPr>
      </w:pPr>
      <w:r>
        <w:rPr>
          <w:rFonts w:ascii="Arial" w:cs="Arial" w:eastAsia="Arial" w:hAnsi="Arial"/>
          <w:sz w:val="18"/>
          <w:szCs w:val="18"/>
          <w:color w:val="auto"/>
        </w:rPr>
        <w:t>We will further be supported by our team of advisors comprised of former senior executives from leading global companies with experience in a wide range of sub-sectors and functional areas, who have previously worked together over the last decade or more. They will provide us with access to their expertise and extensive industry networks from which we intend to source and evaluate targets as well as devise plans to optimize any business that we acquire.</w:t>
      </w:r>
    </w:p>
    <w:p>
      <w:pPr>
        <w:spacing w:after="0" w:line="107" w:lineRule="exact"/>
        <w:rPr>
          <w:sz w:val="20"/>
          <w:szCs w:val="20"/>
          <w:color w:val="auto"/>
        </w:rPr>
      </w:pPr>
    </w:p>
    <w:p>
      <w:pPr>
        <w:ind w:left="540" w:right="619" w:firstLine="432"/>
        <w:spacing w:after="0" w:line="284" w:lineRule="auto"/>
        <w:rPr>
          <w:sz w:val="20"/>
          <w:szCs w:val="20"/>
          <w:color w:val="auto"/>
        </w:rPr>
      </w:pPr>
      <w:r>
        <w:rPr>
          <w:rFonts w:ascii="Arial" w:cs="Arial" w:eastAsia="Arial" w:hAnsi="Arial"/>
          <w:sz w:val="16"/>
          <w:szCs w:val="16"/>
          <w:color w:val="auto"/>
        </w:rPr>
        <w:t>Our management team will be supported by NPG, a technology and business services focused private equity firm based in Wayzata, Minnesota. NPG has considerable experience investing in ESG related portfolio companies with community impact, workplace diversity and integrity, and environmental resource management acting as cornerstones to key investment decisions. NPG has offset its carbon footprint to net zero, achieving CarbonNeutral</w:t>
      </w:r>
      <w:r>
        <w:rPr>
          <w:rFonts w:ascii="Arial" w:cs="Arial" w:eastAsia="Arial" w:hAnsi="Arial"/>
          <w:sz w:val="18"/>
          <w:szCs w:val="18"/>
          <w:color w:val="auto"/>
          <w:vertAlign w:val="superscript"/>
        </w:rPr>
        <w:t>®</w:t>
      </w:r>
      <w:r>
        <w:rPr>
          <w:rFonts w:ascii="Arial" w:cs="Arial" w:eastAsia="Arial" w:hAnsi="Arial"/>
          <w:sz w:val="16"/>
          <w:szCs w:val="16"/>
          <w:color w:val="auto"/>
        </w:rPr>
        <w:t xml:space="preserve"> status. The partners of NPG have been involved in acquisitions, financings and advisory transactions totaling over $20 billion in transaction value and have significant experience investing across a variety of economic cycles and a track record of identifying high-quality assets, businesses and management teams with significant resources, capital and optimization potential. NPG is strategically focused on sponsoring and supporting blank check companies either as a direct sponsor or under its portfolio companies. We believe that we will benefit from NPG’s prior experience.</w:t>
      </w:r>
    </w:p>
    <w:p>
      <w:pPr>
        <w:spacing w:after="0" w:line="104" w:lineRule="exact"/>
        <w:rPr>
          <w:sz w:val="20"/>
          <w:szCs w:val="20"/>
          <w:color w:val="auto"/>
        </w:rPr>
      </w:pPr>
    </w:p>
    <w:p>
      <w:pPr>
        <w:ind w:left="540" w:right="619" w:firstLine="432"/>
        <w:spacing w:after="0" w:line="270" w:lineRule="auto"/>
        <w:rPr>
          <w:sz w:val="20"/>
          <w:szCs w:val="20"/>
          <w:color w:val="auto"/>
        </w:rPr>
      </w:pPr>
      <w:r>
        <w:rPr>
          <w:rFonts w:ascii="Arial" w:cs="Arial" w:eastAsia="Arial" w:hAnsi="Arial"/>
          <w:sz w:val="17"/>
          <w:szCs w:val="17"/>
          <w:color w:val="auto"/>
        </w:rPr>
        <w:t>With respect to the above, past performance of our management team is not a guarantee of either (i) success with respect to a business combination that may be consummated or (ii) the ability to successfully identify and execute a transaction. You should not rely on the historical record of management or their respective affiliates as indicative of future performance. See “Risk Factors — 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may or does exist between such officers and the company, please refer to “Management — Conflicts of Interest.”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8" w:name="page9"/>
    <w:bookmarkEnd w:id="8"/>
    <w:p>
      <w:pPr>
        <w:ind w:lef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0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660130"/>
                    </a:xfrm>
                    <a:prstGeom prst="rect">
                      <a:avLst/>
                    </a:prstGeom>
                    <a:noFill/>
                  </pic:spPr>
                </pic:pic>
              </a:graphicData>
            </a:graphic>
          </wp:anchor>
        </w:drawing>
        <w:t>Business Strategy</w:t>
      </w:r>
    </w:p>
    <w:p>
      <w:pPr>
        <w:spacing w:after="0" w:line="148" w:lineRule="exact"/>
        <w:rPr>
          <w:sz w:val="20"/>
          <w:szCs w:val="20"/>
          <w:color w:val="auto"/>
        </w:rPr>
      </w:pPr>
    </w:p>
    <w:p>
      <w:pPr>
        <w:jc w:val="both"/>
        <w:ind w:left="540" w:right="579" w:firstLine="432"/>
        <w:spacing w:after="0" w:line="311" w:lineRule="auto"/>
        <w:rPr>
          <w:sz w:val="20"/>
          <w:szCs w:val="20"/>
          <w:color w:val="auto"/>
        </w:rPr>
      </w:pPr>
      <w:r>
        <w:rPr>
          <w:rFonts w:ascii="Arial" w:cs="Arial" w:eastAsia="Arial" w:hAnsi="Arial"/>
          <w:sz w:val="16"/>
          <w:szCs w:val="16"/>
          <w:color w:val="auto"/>
        </w:rPr>
        <w:t>Our acquisition and value creation strategy is to identify and complete our initial business combination with a company in an industry that complements the experience and expertise of our management team and is focused on, or could benefit from, environmentally sustainable business practices. We will seek to:</w:t>
      </w:r>
    </w:p>
    <w:p>
      <w:pPr>
        <w:spacing w:after="0" w:line="81" w:lineRule="exact"/>
        <w:rPr>
          <w:sz w:val="20"/>
          <w:szCs w:val="20"/>
          <w:color w:val="auto"/>
        </w:rPr>
      </w:pPr>
    </w:p>
    <w:p>
      <w:pPr>
        <w:ind w:left="1400" w:right="57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management team and sponsor to bring advice and attention to potential targets;</w:t>
      </w:r>
    </w:p>
    <w:p>
      <w:pPr>
        <w:spacing w:after="0" w:line="102" w:lineRule="exact"/>
        <w:rPr>
          <w:rFonts w:ascii="Arial" w:cs="Arial" w:eastAsia="Arial" w:hAnsi="Arial"/>
          <w:sz w:val="18"/>
          <w:szCs w:val="18"/>
          <w:color w:val="auto"/>
        </w:rPr>
      </w:pPr>
    </w:p>
    <w:p>
      <w:pPr>
        <w:ind w:left="1400" w:right="57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Drive value creation through support of a strong environmental sustainability profile or a “brown-to-green” transition;</w:t>
      </w:r>
    </w:p>
    <w:p>
      <w:pPr>
        <w:spacing w:after="0" w:line="89"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w:t>
      </w:r>
    </w:p>
    <w:p>
      <w:pPr>
        <w:spacing w:after="0" w:line="157" w:lineRule="exact"/>
        <w:rPr>
          <w:rFonts w:ascii="Arial" w:cs="Arial" w:eastAsia="Arial" w:hAnsi="Arial"/>
          <w:sz w:val="18"/>
          <w:szCs w:val="18"/>
          <w:color w:val="auto"/>
        </w:rPr>
      </w:pPr>
    </w:p>
    <w:p>
      <w:pPr>
        <w:ind w:left="1400" w:right="71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 including assistance with public company readiness; and</w:t>
      </w:r>
    </w:p>
    <w:p>
      <w:pPr>
        <w:spacing w:after="0" w:line="102" w:lineRule="exact"/>
        <w:rPr>
          <w:rFonts w:ascii="Arial" w:cs="Arial" w:eastAsia="Arial" w:hAnsi="Arial"/>
          <w:sz w:val="18"/>
          <w:szCs w:val="18"/>
          <w:color w:val="auto"/>
        </w:rPr>
      </w:pPr>
    </w:p>
    <w:p>
      <w:pPr>
        <w:ind w:left="1400" w:right="81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Remove economic or environmental waste through environmentally sustainable operational or commercial improvements.</w:t>
      </w:r>
    </w:p>
    <w:p>
      <w:pPr>
        <w:spacing w:after="0" w:line="89" w:lineRule="exact"/>
        <w:rPr>
          <w:sz w:val="20"/>
          <w:szCs w:val="20"/>
          <w:color w:val="auto"/>
        </w:rPr>
      </w:pPr>
    </w:p>
    <w:p>
      <w:pPr>
        <w:ind w:left="540" w:right="639" w:firstLine="432"/>
        <w:spacing w:after="0" w:line="287" w:lineRule="auto"/>
        <w:rPr>
          <w:sz w:val="20"/>
          <w:szCs w:val="20"/>
          <w:color w:val="auto"/>
        </w:rPr>
      </w:pPr>
      <w:r>
        <w:rPr>
          <w:rFonts w:ascii="Arial" w:cs="Arial" w:eastAsia="Arial" w:hAnsi="Arial"/>
          <w:sz w:val="16"/>
          <w:szCs w:val="16"/>
          <w:color w:val="auto"/>
        </w:rPr>
        <w:t>Our selection process in choosing an attractive investment opportunity will leverage our management team’s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a catalyst to transform a target company and can help accelerate the target’s growth, performance and sustainability profile. Upon completion of this offering, members of our management team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members of our management team have experience in:</w:t>
      </w:r>
    </w:p>
    <w:p>
      <w:pPr>
        <w:spacing w:after="0" w:line="158" w:lineRule="exact"/>
        <w:rPr>
          <w:sz w:val="20"/>
          <w:szCs w:val="20"/>
          <w:color w:val="auto"/>
        </w:rPr>
      </w:pPr>
    </w:p>
    <w:p>
      <w:pPr>
        <w:ind w:left="1400" w:right="101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and investing in companies with a focus on decarbonization and environmentally sustainable business practices;</w:t>
      </w:r>
    </w:p>
    <w:p>
      <w:pPr>
        <w:spacing w:after="0" w:line="89" w:lineRule="exact"/>
        <w:rPr>
          <w:rFonts w:ascii="Arial" w:cs="Arial" w:eastAsia="Arial" w:hAnsi="Arial"/>
          <w:sz w:val="18"/>
          <w:szCs w:val="18"/>
          <w:color w:val="auto"/>
        </w:rPr>
      </w:pPr>
    </w:p>
    <w:p>
      <w:pPr>
        <w:ind w:left="1400" w:right="71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companies, setting and enacting strategies, and identifying, monitoring and recruiting world-class talent;</w:t>
      </w:r>
    </w:p>
    <w:p>
      <w:pPr>
        <w:spacing w:after="0" w:line="102" w:lineRule="exact"/>
        <w:rPr>
          <w:rFonts w:ascii="Arial" w:cs="Arial" w:eastAsia="Arial" w:hAnsi="Arial"/>
          <w:sz w:val="18"/>
          <w:szCs w:val="18"/>
          <w:color w:val="auto"/>
        </w:rPr>
      </w:pPr>
    </w:p>
    <w:p>
      <w:pPr>
        <w:jc w:val="both"/>
        <w:ind w:left="1400" w:right="95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16"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Fostering relationships with sellers, capital providers and target management teams; and</w:t>
      </w:r>
    </w:p>
    <w:p>
      <w:pPr>
        <w:spacing w:after="0" w:line="169" w:lineRule="exact"/>
        <w:rPr>
          <w:rFonts w:ascii="Arial" w:cs="Arial" w:eastAsia="Arial" w:hAnsi="Arial"/>
          <w:sz w:val="17"/>
          <w:szCs w:val="17"/>
          <w:color w:val="auto"/>
        </w:rPr>
      </w:pPr>
    </w:p>
    <w:p>
      <w:pPr>
        <w:ind w:left="1400" w:right="129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Executing transactions and business plans under various economic and financial market conditions.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Strengths</w:t>
      </w:r>
    </w:p>
    <w:p>
      <w:pPr>
        <w:spacing w:after="0" w:line="148" w:lineRule="exact"/>
        <w:rPr>
          <w:sz w:val="20"/>
          <w:szCs w:val="20"/>
          <w:color w:val="auto"/>
        </w:rPr>
      </w:pPr>
    </w:p>
    <w:p>
      <w:pPr>
        <w:ind w:left="540" w:right="579" w:firstLine="432"/>
        <w:spacing w:after="0" w:line="263" w:lineRule="auto"/>
        <w:rPr>
          <w:sz w:val="20"/>
          <w:szCs w:val="20"/>
          <w:color w:val="auto"/>
        </w:rPr>
      </w:pPr>
      <w:r>
        <w:rPr>
          <w:rFonts w:ascii="Arial" w:cs="Arial" w:eastAsia="Arial" w:hAnsi="Arial"/>
          <w:sz w:val="18"/>
          <w:szCs w:val="18"/>
          <w:color w:val="auto"/>
        </w:rPr>
        <w:t>The sourcing, valuation, diligence and execution capabilities of our management team will provide us with a significant pipeline of opportunities from which to evaluate and select a business that will benefit from our expertise. Our competitive strengths include the following:</w:t>
      </w:r>
    </w:p>
    <w:p>
      <w:pPr>
        <w:spacing w:after="0" w:line="116" w:lineRule="exact"/>
        <w:rPr>
          <w:sz w:val="20"/>
          <w:szCs w:val="20"/>
          <w:color w:val="auto"/>
        </w:rPr>
      </w:pPr>
    </w:p>
    <w:p>
      <w:pPr>
        <w:ind w:left="1400" w:right="679" w:hanging="424"/>
        <w:spacing w:after="0" w:line="273" w:lineRule="auto"/>
        <w:tabs>
          <w:tab w:leader="none" w:pos="1391"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Strong Management Team and Sponsorship. </w:t>
      </w:r>
      <w:r>
        <w:rPr>
          <w:rFonts w:ascii="Arial" w:cs="Arial" w:eastAsia="Arial" w:hAnsi="Arial"/>
          <w:sz w:val="17"/>
          <w:szCs w:val="17"/>
          <w:color w:val="auto"/>
        </w:rPr>
        <w:t>We believe that our sponsor and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team, with its decade long proven ability to execute and simultaneously improve both financial metrics and sustainability, the strong track record of our management team focused on environmental sustainability will be viewed favorably by target businesses in need of professionalized management, ESG guidance, improved operating processes and controls, better access to industry relationships and strategic planning.</w:t>
      </w:r>
    </w:p>
    <w:p>
      <w:pPr>
        <w:sectPr>
          <w:pgSz w:w="11900" w:h="16838" w:orient="portrait"/>
          <w:cols w:equalWidth="0" w:num="1">
            <w:col w:w="9019"/>
          </w:cols>
          <w:pgMar w:left="1440" w:top="540"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9" w:name="page10"/>
    <w:bookmarkEnd w:id="9"/>
    <w:p>
      <w:pPr>
        <w:ind w:left="1400" w:right="899" w:hanging="424"/>
        <w:spacing w:after="0" w:line="257" w:lineRule="auto"/>
        <w:tabs>
          <w:tab w:leader="none" w:pos="1391"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804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480425"/>
                    </a:xfrm>
                    <a:prstGeom prst="rect">
                      <a:avLst/>
                    </a:prstGeom>
                    <a:noFill/>
                  </pic:spPr>
                </pic:pic>
              </a:graphicData>
            </a:graphic>
          </wp:anchor>
        </w:drawing>
        <w:t xml:space="preserve">Leading Experience in Decarbonization and Environmentally Sustainable Practices.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significant experience in decarbonization through the retirement and management of carbon intensive facilities as well as investment into new technologies. Our sponsor has an extensive track record of investment in companies with an environmental sustainability focus.</w:t>
      </w:r>
    </w:p>
    <w:p>
      <w:pPr>
        <w:spacing w:after="0" w:line="120" w:lineRule="exact"/>
        <w:rPr>
          <w:rFonts w:ascii="Arial" w:cs="Arial" w:eastAsia="Arial" w:hAnsi="Arial"/>
          <w:sz w:val="18"/>
          <w:szCs w:val="18"/>
          <w:b w:val="1"/>
          <w:bCs w:val="1"/>
          <w:i w:val="1"/>
          <w:iCs w:val="1"/>
          <w:color w:val="auto"/>
        </w:rPr>
      </w:pPr>
    </w:p>
    <w:p>
      <w:pPr>
        <w:ind w:left="1400" w:right="599" w:hanging="424"/>
        <w:spacing w:after="0" w:line="275" w:lineRule="auto"/>
        <w:tabs>
          <w:tab w:leader="none" w:pos="1391"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Sourcing Channels and Leading Industry Relationships. </w:t>
      </w:r>
      <w:r>
        <w:rPr>
          <w:rFonts w:ascii="Arial" w:cs="Arial" w:eastAsia="Arial" w:hAnsi="Arial"/>
          <w:sz w:val="17"/>
          <w:szCs w:val="17"/>
          <w:color w:val="auto"/>
        </w:rPr>
        <w:t>We believe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and connections associated with our management team and sponsor will provide us with a differentiated pipeline of merger opportunities that would be difficult for other participants in the market to replicate. We expect these sourcing capabilities will be further bolstered by our management team’s reputation and deep industry relationships.</w:t>
      </w:r>
    </w:p>
    <w:p>
      <w:pPr>
        <w:spacing w:after="0" w:line="108" w:lineRule="exact"/>
        <w:rPr>
          <w:rFonts w:ascii="Arial" w:cs="Arial" w:eastAsia="Arial" w:hAnsi="Arial"/>
          <w:sz w:val="17"/>
          <w:szCs w:val="17"/>
          <w:color w:val="auto"/>
        </w:rPr>
      </w:pPr>
    </w:p>
    <w:p>
      <w:pPr>
        <w:ind w:left="1400" w:right="839" w:hanging="424"/>
        <w:spacing w:after="0" w:line="311" w:lineRule="auto"/>
        <w:tabs>
          <w:tab w:leader="none" w:pos="1391"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Experience. </w:t>
      </w:r>
      <w:r>
        <w:rPr>
          <w:rFonts w:ascii="Arial" w:cs="Arial" w:eastAsia="Arial" w:hAnsi="Arial"/>
          <w:sz w:val="16"/>
          <w:szCs w:val="16"/>
          <w:color w:val="auto"/>
        </w:rPr>
        <w:t>We believe that our management and sponsor’s track record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identifying and sourcing transactions positions us well to evaluate potential investment targets and select one that will be well received by the public markets and our shareholders.</w:t>
      </w:r>
    </w:p>
    <w:p>
      <w:pPr>
        <w:spacing w:after="0" w:line="67" w:lineRule="exact"/>
        <w:rPr>
          <w:rFonts w:ascii="Arial" w:cs="Arial" w:eastAsia="Arial" w:hAnsi="Arial"/>
          <w:sz w:val="16"/>
          <w:szCs w:val="16"/>
          <w:color w:val="auto"/>
        </w:rPr>
      </w:pPr>
    </w:p>
    <w:p>
      <w:pPr>
        <w:ind w:left="1400" w:right="699" w:hanging="424"/>
        <w:spacing w:after="0" w:line="271" w:lineRule="auto"/>
        <w:tabs>
          <w:tab w:leader="none" w:pos="1391"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Execution and Structuring Capability. </w:t>
      </w:r>
      <w:r>
        <w:rPr>
          <w:rFonts w:ascii="Arial" w:cs="Arial" w:eastAsia="Arial" w:hAnsi="Arial"/>
          <w:sz w:val="17"/>
          <w:szCs w:val="17"/>
          <w:color w:val="auto"/>
        </w:rPr>
        <w:t>We believe that our management team’s and sponsor’s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 industry expertise and reputation will allow them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Investment Criteria</w:t>
      </w:r>
    </w:p>
    <w:p>
      <w:pPr>
        <w:spacing w:after="0" w:line="162" w:lineRule="exact"/>
        <w:rPr>
          <w:sz w:val="20"/>
          <w:szCs w:val="20"/>
          <w:color w:val="auto"/>
        </w:rPr>
      </w:pPr>
    </w:p>
    <w:p>
      <w:pPr>
        <w:jc w:val="both"/>
        <w:ind w:left="540" w:right="639" w:firstLine="432"/>
        <w:spacing w:after="0" w:line="257" w:lineRule="auto"/>
        <w:rPr>
          <w:sz w:val="20"/>
          <w:szCs w:val="20"/>
          <w:color w:val="auto"/>
        </w:rPr>
      </w:pPr>
      <w:r>
        <w:rPr>
          <w:rFonts w:ascii="Arial" w:cs="Arial" w:eastAsia="Arial" w:hAnsi="Arial"/>
          <w:sz w:val="18"/>
          <w:szCs w:val="18"/>
          <w:color w:val="auto"/>
        </w:rPr>
        <w:t>Consistent with our strategy, we have identified the following general criteria and guidelines which we believe are important in evaluating prospective target businesses. We will use these criteria and guidelines in evaluating acquisition opportunities, but we may decide to enter into our initial business combination with a target business that does not meet these criteria and guidelines. We intend to acquire one or more businesses or entities that we believe:</w:t>
      </w:r>
    </w:p>
    <w:p>
      <w:pPr>
        <w:spacing w:after="0" w:line="120" w:lineRule="exact"/>
        <w:rPr>
          <w:sz w:val="20"/>
          <w:szCs w:val="20"/>
          <w:color w:val="auto"/>
        </w:rPr>
      </w:pPr>
    </w:p>
    <w:p>
      <w:pPr>
        <w:ind w:left="1400" w:right="759" w:hanging="424"/>
        <w:spacing w:after="0" w:line="301" w:lineRule="auto"/>
        <w:tabs>
          <w:tab w:leader="none" w:pos="1391"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Benefits from Environmentally Sustainable Business Practices. </w:t>
      </w:r>
      <w:r>
        <w:rPr>
          <w:rFonts w:ascii="Arial" w:cs="Arial" w:eastAsia="Arial" w:hAnsi="Arial"/>
          <w:sz w:val="16"/>
          <w:szCs w:val="16"/>
          <w:color w:val="auto"/>
        </w:rPr>
        <w:t>We will seek to acquire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that (i) has existing operating practices that promote and profit from environmental sustainability or (ii) would benefit from implementing environmentally sustainable commercial and operating practices leveraging the expertise of our management team and sponsor.</w:t>
      </w:r>
    </w:p>
    <w:p>
      <w:pPr>
        <w:spacing w:after="0" w:line="76" w:lineRule="exact"/>
        <w:rPr>
          <w:rFonts w:ascii="Arial" w:cs="Arial" w:eastAsia="Arial" w:hAnsi="Arial"/>
          <w:sz w:val="16"/>
          <w:szCs w:val="16"/>
          <w:color w:val="auto"/>
        </w:rPr>
      </w:pPr>
    </w:p>
    <w:p>
      <w:pPr>
        <w:ind w:left="1400" w:right="639" w:hanging="424"/>
        <w:spacing w:after="0" w:line="263"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Defensible Market Position. </w:t>
      </w:r>
      <w:r>
        <w:rPr>
          <w:rFonts w:ascii="Arial" w:cs="Arial" w:eastAsia="Arial" w:hAnsi="Arial"/>
          <w:sz w:val="18"/>
          <w:szCs w:val="18"/>
          <w:color w:val="auto"/>
        </w:rPr>
        <w:t>We will seek to acquire a business that has a defensible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within a target market as a result of a differentiated technology, distribution capabilities, customer service or other competitive advantages.</w:t>
      </w:r>
    </w:p>
    <w:p>
      <w:pPr>
        <w:spacing w:after="0" w:line="116" w:lineRule="exact"/>
        <w:rPr>
          <w:rFonts w:ascii="Arial" w:cs="Arial" w:eastAsia="Arial" w:hAnsi="Arial"/>
          <w:sz w:val="18"/>
          <w:szCs w:val="18"/>
          <w:color w:val="auto"/>
        </w:rPr>
      </w:pPr>
    </w:p>
    <w:p>
      <w:pPr>
        <w:ind w:left="1400" w:right="1199" w:hanging="424"/>
        <w:spacing w:after="0" w:line="263"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an Attractive Financial Profile. </w:t>
      </w:r>
      <w:r>
        <w:rPr>
          <w:rFonts w:ascii="Arial" w:cs="Arial" w:eastAsia="Arial" w:hAnsi="Arial"/>
          <w:sz w:val="18"/>
          <w:szCs w:val="18"/>
          <w:color w:val="auto"/>
        </w:rPr>
        <w:t>We will seek to acquire a business that has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recurring, stable cash flows and operating leverage and may benefit from optimizing or delevering the capital structure.</w:t>
      </w:r>
    </w:p>
    <w:p>
      <w:pPr>
        <w:spacing w:after="0" w:line="116" w:lineRule="exact"/>
        <w:rPr>
          <w:rFonts w:ascii="Arial" w:cs="Arial" w:eastAsia="Arial" w:hAnsi="Arial"/>
          <w:sz w:val="18"/>
          <w:szCs w:val="18"/>
          <w:color w:val="auto"/>
        </w:rPr>
      </w:pPr>
    </w:p>
    <w:p>
      <w:pPr>
        <w:jc w:val="both"/>
        <w:ind w:left="1400" w:right="719" w:hanging="424"/>
        <w:spacing w:after="0" w:line="263"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102" w:lineRule="exact"/>
        <w:rPr>
          <w:rFonts w:ascii="Arial" w:cs="Arial" w:eastAsia="Arial" w:hAnsi="Arial"/>
          <w:sz w:val="18"/>
          <w:szCs w:val="18"/>
          <w:color w:val="auto"/>
        </w:rPr>
      </w:pPr>
    </w:p>
    <w:p>
      <w:pPr>
        <w:ind w:left="1400" w:right="579" w:hanging="424"/>
        <w:spacing w:after="0" w:line="263"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will aim to leverage our extensive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source our business combination and do not expect to rely on broadly marketed processes to find a business combination target.</w:t>
      </w:r>
    </w:p>
    <w:p>
      <w:pPr>
        <w:spacing w:after="0" w:line="116" w:lineRule="exact"/>
        <w:rPr>
          <w:rFonts w:ascii="Arial" w:cs="Arial" w:eastAsia="Arial" w:hAnsi="Arial"/>
          <w:sz w:val="18"/>
          <w:szCs w:val="18"/>
          <w:color w:val="auto"/>
        </w:rPr>
      </w:pPr>
    </w:p>
    <w:p>
      <w:pPr>
        <w:ind w:left="1400" w:right="699" w:hanging="424"/>
        <w:spacing w:after="0" w:line="296" w:lineRule="auto"/>
        <w:tabs>
          <w:tab w:leader="none" w:pos="1391"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Has a Committed and Capable Management Team. </w:t>
      </w:r>
      <w:r>
        <w:rPr>
          <w:rFonts w:ascii="Arial" w:cs="Arial" w:eastAsia="Arial" w:hAnsi="Arial"/>
          <w:sz w:val="16"/>
          <w:szCs w:val="16"/>
          <w:color w:val="auto"/>
        </w:rPr>
        <w:t>We will seek to acquire a business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management team whose interests are aligned with those of our investors and complement the expertise of our management team and sponsor. Where necessary, we may also look to complement and enhance the capabilities of the target business’s management team by recruiting additional talent through our network of contacts.</w:t>
      </w:r>
    </w:p>
    <w:p>
      <w:pPr>
        <w:spacing w:after="0" w:line="93" w:lineRule="exact"/>
        <w:rPr>
          <w:rFonts w:ascii="Arial" w:cs="Arial" w:eastAsia="Arial" w:hAnsi="Arial"/>
          <w:sz w:val="16"/>
          <w:szCs w:val="16"/>
          <w:color w:val="auto"/>
        </w:rPr>
      </w:pPr>
    </w:p>
    <w:p>
      <w:pPr>
        <w:ind w:left="1400" w:right="739" w:hanging="424"/>
        <w:spacing w:after="0" w:line="263" w:lineRule="auto"/>
        <w:tabs>
          <w:tab w:leader="none" w:pos="1391"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Has the Potential to Grow Organically or Through Additional Acquisitions. </w:t>
      </w:r>
      <w:r>
        <w:rPr>
          <w:rFonts w:ascii="Arial" w:cs="Arial" w:eastAsia="Arial" w:hAnsi="Arial"/>
          <w:sz w:val="18"/>
          <w:szCs w:val="18"/>
          <w:color w:val="auto"/>
        </w:rPr>
        <w:t>We will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a business that has the potential to grow both organically through market expansion or increased market share as well as through external acquisitions.</w:t>
      </w:r>
    </w:p>
    <w:p>
      <w:pPr>
        <w:sectPr>
          <w:pgSz w:w="11900" w:h="16838" w:orient="portrait"/>
          <w:cols w:equalWidth="0" w:num="1">
            <w:col w:w="9019"/>
          </w:cols>
          <w:pgMar w:left="1440" w:top="463" w:right="1440"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0" w:name="page11"/>
    <w:bookmarkEnd w:id="10"/>
    <w:p>
      <w:pPr>
        <w:ind w:left="540" w:right="619" w:firstLine="43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80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480425"/>
                    </a:xfrm>
                    <a:prstGeom prst="rect">
                      <a:avLst/>
                    </a:prstGeom>
                    <a:noFill/>
                  </pic:spPr>
                </pic:pic>
              </a:graphicData>
            </a:graphic>
          </wp:anchor>
        </w:drawing>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Acquisition Process</w:t>
      </w:r>
    </w:p>
    <w:p>
      <w:pPr>
        <w:spacing w:after="0" w:line="162" w:lineRule="exact"/>
        <w:rPr>
          <w:sz w:val="20"/>
          <w:szCs w:val="20"/>
          <w:color w:val="auto"/>
        </w:rPr>
      </w:pPr>
    </w:p>
    <w:p>
      <w:pPr>
        <w:ind w:left="540" w:right="599" w:firstLine="432"/>
        <w:spacing w:after="0" w:line="301" w:lineRule="auto"/>
        <w:rPr>
          <w:sz w:val="20"/>
          <w:szCs w:val="20"/>
          <w:color w:val="auto"/>
        </w:rPr>
      </w:pPr>
      <w:r>
        <w:rPr>
          <w:rFonts w:ascii="Arial" w:cs="Arial" w:eastAsia="Arial" w:hAnsi="Arial"/>
          <w:sz w:val="16"/>
          <w:szCs w:val="16"/>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will also utilize our operational and capital planning experience.</w:t>
      </w:r>
    </w:p>
    <w:p>
      <w:pPr>
        <w:spacing w:after="0" w:line="90" w:lineRule="exact"/>
        <w:rPr>
          <w:sz w:val="20"/>
          <w:szCs w:val="20"/>
          <w:color w:val="auto"/>
        </w:rPr>
      </w:pPr>
    </w:p>
    <w:p>
      <w:pPr>
        <w:ind w:left="540" w:right="599" w:firstLine="432"/>
        <w:spacing w:after="0" w:line="293"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that our initial business combination is fair to our company from a financial point of view from either an independent investment banking firm that is a member of the Financial Industry Regulatory Authority, Inc. (“FINRA”) or an independent accounting firm.</w:t>
      </w:r>
    </w:p>
    <w:p>
      <w:pPr>
        <w:spacing w:after="0" w:line="83" w:lineRule="exact"/>
        <w:rPr>
          <w:sz w:val="20"/>
          <w:szCs w:val="20"/>
          <w:color w:val="auto"/>
        </w:rPr>
      </w:pPr>
    </w:p>
    <w:p>
      <w:pPr>
        <w:ind w:left="540" w:right="679" w:firstLine="432"/>
        <w:spacing w:after="0" w:line="254" w:lineRule="auto"/>
        <w:rPr>
          <w:sz w:val="20"/>
          <w:szCs w:val="20"/>
          <w:color w:val="auto"/>
        </w:rPr>
      </w:pPr>
      <w:r>
        <w:rPr>
          <w:rFonts w:ascii="Arial" w:cs="Arial" w:eastAsia="Arial" w:hAnsi="Arial"/>
          <w:sz w:val="18"/>
          <w:szCs w:val="18"/>
          <w:color w:val="auto"/>
        </w:rPr>
        <w:t>Members of our management team may directly or indirectly own our ordinary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Business Combination</w:t>
      </w:r>
    </w:p>
    <w:p>
      <w:pPr>
        <w:spacing w:after="0" w:line="162"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with respect to the satisfaction of such criteria from an independent investment banking firm that is a member of FINRA or an independent valuation or accounting firm. We do not intend to purchase multiple businesses in unrelated industries in conjunction with our initial business combination. Subject to this requirement, our management will have virtually unrestricted flexibility in identifying and selecting one or more prospective businesses, although we will not be permitted to effectuate our initial business combination with another blank check company or a similar company with nominal operations.</w:t>
      </w:r>
    </w:p>
    <w:p>
      <w:pPr>
        <w:spacing w:after="0" w:line="111" w:lineRule="exact"/>
        <w:rPr>
          <w:sz w:val="20"/>
          <w:szCs w:val="20"/>
          <w:color w:val="auto"/>
        </w:rPr>
      </w:pPr>
    </w:p>
    <w:p>
      <w:pPr>
        <w:ind w:left="540" w:right="559" w:firstLine="432"/>
        <w:spacing w:after="0" w:line="268"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shareholders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w:t>
      </w:r>
    </w:p>
    <w:p>
      <w:pPr>
        <w:sectPr>
          <w:pgSz w:w="11900" w:h="16838" w:orient="portrait"/>
          <w:cols w:equalWidth="0" w:num="1">
            <w:col w:w="9019"/>
          </w:cols>
          <w:pgMar w:left="1440" w:top="463" w:right="1440"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1" w:name="page12"/>
    <w:bookmarkEnd w:id="11"/>
    <w:p>
      <w:pPr>
        <w:ind w:left="540" w:right="57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31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531860"/>
                    </a:xfrm>
                    <a:prstGeom prst="rect">
                      <a:avLst/>
                    </a:prstGeom>
                    <a:noFill/>
                  </pic:spPr>
                </pic:pic>
              </a:graphicData>
            </a:graphic>
          </wp:anchor>
        </w:drawing>
        <w:t>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124" w:lineRule="exact"/>
        <w:rPr>
          <w:sz w:val="20"/>
          <w:szCs w:val="20"/>
          <w:color w:val="auto"/>
        </w:rPr>
      </w:pPr>
    </w:p>
    <w:p>
      <w:pPr>
        <w:ind w:left="540" w:right="619" w:firstLine="432"/>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20" w:lineRule="exact"/>
        <w:rPr>
          <w:sz w:val="20"/>
          <w:szCs w:val="20"/>
          <w:color w:val="auto"/>
        </w:rPr>
      </w:pPr>
    </w:p>
    <w:p>
      <w:pPr>
        <w:ind w:left="540" w:right="599" w:firstLine="432"/>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06" w:lineRule="exact"/>
        <w:rPr>
          <w:sz w:val="20"/>
          <w:szCs w:val="20"/>
          <w:color w:val="auto"/>
        </w:rPr>
      </w:pPr>
    </w:p>
    <w:p>
      <w:pPr>
        <w:ind w:left="540" w:right="579" w:firstLine="432"/>
        <w:spacing w:after="0" w:line="296"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Other Considerations</w:t>
      </w:r>
    </w:p>
    <w:p>
      <w:pPr>
        <w:spacing w:after="0" w:line="162" w:lineRule="exact"/>
        <w:rPr>
          <w:sz w:val="20"/>
          <w:szCs w:val="20"/>
          <w:color w:val="auto"/>
        </w:rPr>
      </w:pPr>
    </w:p>
    <w:p>
      <w:pPr>
        <w:ind w:left="540" w:right="639" w:firstLine="432"/>
        <w:spacing w:after="0" w:line="272"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our sponsor, Founders, officers or directors. In the event we seek to complete our initial business combination or, subject to certain exceptions, subsequent material transactions with a company that is affiliated with our sponsor or any of our Founders, officers or directors, we, or a committee of independent directors, will obtain an opinion from an independent investment banking firm which is a member of FINRA or an independent accounting firm that such initial business combination or transaction is fair to our company from a financial point of view.</w:t>
      </w:r>
    </w:p>
    <w:p>
      <w:pPr>
        <w:spacing w:after="0" w:line="110" w:lineRule="exact"/>
        <w:rPr>
          <w:sz w:val="20"/>
          <w:szCs w:val="20"/>
          <w:color w:val="auto"/>
        </w:rPr>
      </w:pPr>
    </w:p>
    <w:p>
      <w:pPr>
        <w:ind w:left="540" w:right="619" w:firstLine="432"/>
        <w:spacing w:after="0" w:line="272" w:lineRule="auto"/>
        <w:rPr>
          <w:sz w:val="20"/>
          <w:szCs w:val="20"/>
          <w:color w:val="auto"/>
        </w:rPr>
      </w:pPr>
      <w:r>
        <w:rPr>
          <w:rFonts w:ascii="Arial" w:cs="Arial" w:eastAsia="Arial" w:hAnsi="Arial"/>
          <w:sz w:val="17"/>
          <w:szCs w:val="17"/>
          <w:color w:val="auto"/>
        </w:rPr>
        <w:t>We currently do not have any specific business combination under consideration. Our officers and directors have neither individually identified nor considered a target business nor have they had any substantive discussions regarding possible target businesses among themselves or with our underwriter or other advisors. Our management team is continuously made aware of potential business opportunities, one or more of which we may desire to pursue for a business combination, but we have not selected any business combination target and we have not, nor has anyone on our behalf, initiated any substantive discussions, directly or indirectly, with any business combination target.</w:t>
      </w:r>
    </w:p>
    <w:p>
      <w:pPr>
        <w:spacing w:after="0" w:line="96" w:lineRule="exact"/>
        <w:rPr>
          <w:sz w:val="20"/>
          <w:szCs w:val="20"/>
          <w:color w:val="auto"/>
        </w:rPr>
      </w:pPr>
    </w:p>
    <w:p>
      <w:pPr>
        <w:ind w:left="540" w:right="579" w:firstLine="432"/>
        <w:spacing w:after="0" w:line="287" w:lineRule="auto"/>
        <w:rPr>
          <w:sz w:val="20"/>
          <w:szCs w:val="20"/>
          <w:color w:val="auto"/>
        </w:rPr>
      </w:pPr>
      <w:r>
        <w:rPr>
          <w:rFonts w:ascii="Arial" w:cs="Arial" w:eastAsia="Arial" w:hAnsi="Arial"/>
          <w:sz w:val="16"/>
          <w:szCs w:val="16"/>
          <w:color w:val="auto"/>
        </w:rPr>
        <w:t>In addition, certain of our Founders, officers and directors presently have, and any of them in the future may have additional, fiduciary and contractual duties to other entities. As a result, if any of our Founders,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00" w:lineRule="exact"/>
        <w:rPr>
          <w:sz w:val="20"/>
          <w:szCs w:val="20"/>
          <w:color w:val="auto"/>
        </w:rPr>
      </w:pPr>
    </w:p>
    <w:p>
      <w:pPr>
        <w:ind w:left="540" w:right="759" w:firstLine="432"/>
        <w:spacing w:after="0" w:line="257" w:lineRule="auto"/>
        <w:rPr>
          <w:sz w:val="20"/>
          <w:szCs w:val="20"/>
          <w:color w:val="auto"/>
        </w:rPr>
      </w:pPr>
      <w:r>
        <w:rPr>
          <w:rFonts w:ascii="Arial" w:cs="Arial" w:eastAsia="Arial" w:hAnsi="Arial"/>
          <w:sz w:val="18"/>
          <w:szCs w:val="18"/>
          <w:color w:val="auto"/>
        </w:rPr>
        <w:t>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w:t>
      </w:r>
    </w:p>
    <w:p>
      <w:pPr>
        <w:sectPr>
          <w:pgSz w:w="11900" w:h="16838" w:orient="portrait"/>
          <w:cols w:equalWidth="0" w:num="1">
            <w:col w:w="9019"/>
          </w:cols>
          <w:pgMar w:left="1440" w:top="463" w:right="1440"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2" w:name="page13"/>
    <w:bookmarkEnd w:id="12"/>
    <w:p>
      <w:pPr>
        <w:ind w:left="540" w:right="719"/>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477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7477125"/>
                    </a:xfrm>
                    <a:prstGeom prst="rect">
                      <a:avLst/>
                    </a:prstGeom>
                    <a:noFill/>
                  </pic:spPr>
                </pic:pic>
              </a:graphicData>
            </a:graphic>
          </wp:anchor>
        </w:drawing>
        <w:t>materially affect our ability to complete our initial business combination. 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executive offices are located at 1601 Bryan Street, Suite 4141, Dallas, Texas 75201.</w:t>
      </w:r>
    </w:p>
    <w:p>
      <w:pPr>
        <w:spacing w:after="0" w:line="158" w:lineRule="exact"/>
        <w:rPr>
          <w:sz w:val="20"/>
          <w:szCs w:val="20"/>
          <w:color w:val="auto"/>
        </w:rPr>
      </w:pPr>
    </w:p>
    <w:p>
      <w:pPr>
        <w:ind w:left="540" w:right="579" w:firstLine="432"/>
        <w:spacing w:after="0" w:line="287" w:lineRule="auto"/>
        <w:rPr>
          <w:sz w:val="20"/>
          <w:szCs w:val="20"/>
          <w:color w:val="auto"/>
        </w:rPr>
      </w:pPr>
      <w:r>
        <w:rPr>
          <w:rFonts w:ascii="Arial" w:cs="Arial" w:eastAsia="Arial" w:hAnsi="Arial"/>
          <w:sz w:val="16"/>
          <w:szCs w:val="16"/>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(2020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87" w:lineRule="exact"/>
        <w:rPr>
          <w:sz w:val="20"/>
          <w:szCs w:val="20"/>
          <w:color w:val="auto"/>
        </w:rPr>
      </w:pPr>
    </w:p>
    <w:p>
      <w:pPr>
        <w:ind w:left="540" w:right="579" w:firstLine="432"/>
        <w:spacing w:after="0" w:line="288"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01" w:lineRule="exact"/>
        <w:rPr>
          <w:sz w:val="20"/>
          <w:szCs w:val="20"/>
          <w:color w:val="auto"/>
        </w:rPr>
      </w:pPr>
    </w:p>
    <w:p>
      <w:pPr>
        <w:ind w:left="540" w:right="779" w:firstLine="432"/>
        <w:spacing w:after="0" w:line="296"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94" w:lineRule="exact"/>
        <w:rPr>
          <w:sz w:val="20"/>
          <w:szCs w:val="20"/>
          <w:color w:val="auto"/>
        </w:rPr>
      </w:pPr>
    </w:p>
    <w:p>
      <w:pPr>
        <w:ind w:left="540" w:right="579" w:firstLine="432"/>
        <w:spacing w:after="0" w:line="254"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during the prior three-year period. References herein to “emerging growth company” have the meaning associated with it in the JOBS Act.</w:t>
      </w:r>
    </w:p>
    <w:p>
      <w:pPr>
        <w:spacing w:after="0" w:line="114" w:lineRule="exact"/>
        <w:rPr>
          <w:sz w:val="20"/>
          <w:szCs w:val="20"/>
          <w:color w:val="auto"/>
        </w:rPr>
      </w:pPr>
    </w:p>
    <w:p>
      <w:pPr>
        <w:ind w:left="540" w:right="579" w:firstLine="432"/>
        <w:spacing w:after="0" w:line="25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77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677275"/>
                    </a:xfrm>
                    <a:prstGeom prst="rect">
                      <a:avLst/>
                    </a:prstGeom>
                    <a:noFill/>
                  </pic:spPr>
                </pic:pic>
              </a:graphicData>
            </a:graphic>
          </wp:anchor>
        </w:drawing>
        <w:t>The Offering</w:t>
      </w:r>
    </w:p>
    <w:p>
      <w:pPr>
        <w:spacing w:after="0" w:line="148" w:lineRule="exact"/>
        <w:rPr>
          <w:sz w:val="20"/>
          <w:szCs w:val="20"/>
          <w:color w:val="auto"/>
        </w:rPr>
      </w:pPr>
    </w:p>
    <w:p>
      <w:pPr>
        <w:ind w:left="540" w:right="559" w:firstLine="432"/>
        <w:spacing w:after="0" w:line="255" w:lineRule="auto"/>
        <w:rPr>
          <w:sz w:val="20"/>
          <w:szCs w:val="20"/>
          <w:color w:val="auto"/>
        </w:rPr>
      </w:pPr>
      <w:r>
        <w:rPr>
          <w:rFonts w:ascii="Arial" w:cs="Arial" w:eastAsia="Arial" w:hAnsi="Arial"/>
          <w:sz w:val="18"/>
          <w:szCs w:val="18"/>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ectPr>
          <w:pgSz w:w="11900" w:h="16838" w:orient="portrait"/>
          <w:cols w:equalWidth="0" w:num="1">
            <w:col w:w="9019"/>
          </w:cols>
          <w:pgMar w:left="1440" w:top="540" w:right="1440" w:bottom="1440" w:gutter="0" w:footer="0" w:header="0"/>
        </w:sectPr>
      </w:pP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Proposed NYSE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20" w:right="40" w:hanging="179"/>
        <w:spacing w:after="0" w:line="263" w:lineRule="auto"/>
        <w:rPr>
          <w:sz w:val="20"/>
          <w:szCs w:val="20"/>
          <w:color w:val="auto"/>
        </w:rPr>
      </w:pPr>
      <w:r>
        <w:rPr>
          <w:rFonts w:ascii="Arial" w:cs="Arial" w:eastAsia="Arial" w:hAnsi="Arial"/>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20" w:hanging="179"/>
        <w:spacing w:after="0" w:line="259" w:lineRule="auto"/>
        <w:rPr>
          <w:sz w:val="20"/>
          <w:szCs w:val="20"/>
          <w:color w:val="auto"/>
        </w:rPr>
      </w:pPr>
      <w:r>
        <w:rPr>
          <w:rFonts w:ascii="Arial" w:cs="Arial" w:eastAsia="Arial" w:hAnsi="Arial"/>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579"/>
        <w:spacing w:after="0" w:line="263" w:lineRule="auto"/>
        <w:rPr>
          <w:sz w:val="20"/>
          <w:szCs w:val="20"/>
          <w:color w:val="auto"/>
        </w:rPr>
      </w:pPr>
      <w:r>
        <w:rPr>
          <w:rFonts w:ascii="Arial" w:cs="Arial" w:eastAsia="Arial" w:hAnsi="Arial"/>
          <w:sz w:val="18"/>
          <w:szCs w:val="18"/>
          <w:color w:val="auto"/>
        </w:rPr>
        <w:t>30,000,000 units (or 34,500,000 units if the underwriter’s over-allotment option is exercised in full), at $10.00 per unit, each unit consisting of:</w:t>
      </w:r>
    </w:p>
    <w:p>
      <w:pPr>
        <w:spacing w:after="0" w:line="103" w:lineRule="exact"/>
        <w:rPr>
          <w:sz w:val="20"/>
          <w:szCs w:val="20"/>
          <w:color w:val="auto"/>
        </w:rPr>
      </w:pPr>
    </w:p>
    <w:p>
      <w:pPr>
        <w:ind w:left="420" w:hanging="194"/>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Class A ordinary share; and</w:t>
      </w:r>
    </w:p>
    <w:p>
      <w:pPr>
        <w:spacing w:after="0" w:line="157" w:lineRule="exact"/>
        <w:rPr>
          <w:rFonts w:ascii="Arial" w:cs="Arial" w:eastAsia="Arial" w:hAnsi="Arial"/>
          <w:sz w:val="18"/>
          <w:szCs w:val="18"/>
          <w:color w:val="auto"/>
        </w:rPr>
      </w:pPr>
    </w:p>
    <w:p>
      <w:pPr>
        <w:ind w:right="2259" w:firstLine="226"/>
        <w:spacing w:after="0" w:line="438" w:lineRule="auto"/>
        <w:tabs>
          <w:tab w:leader="none" w:pos="4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one-half of one redeemable warrant. Units: “SOAC.U”</w:t>
      </w:r>
    </w:p>
    <w:p>
      <w:pPr>
        <w:spacing w:after="0"/>
        <w:rPr>
          <w:rFonts w:ascii="Arial" w:cs="Arial" w:eastAsia="Arial" w:hAnsi="Arial"/>
          <w:sz w:val="18"/>
          <w:szCs w:val="18"/>
          <w:color w:val="auto"/>
        </w:rPr>
      </w:pPr>
      <w:r>
        <w:rPr>
          <w:rFonts w:ascii="Arial" w:cs="Arial" w:eastAsia="Arial" w:hAnsi="Arial"/>
          <w:sz w:val="18"/>
          <w:szCs w:val="18"/>
          <w:color w:val="auto"/>
        </w:rPr>
        <w:t>Class A ordinary shares: “SOAC”</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Warrants: “SOAC 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79"/>
        <w:spacing w:after="0" w:line="283"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8"/>
          <w:szCs w:val="18"/>
          <w:color w:val="auto"/>
          <w:vertAlign w:val="superscript"/>
        </w:rPr>
        <w:t>nd</w:t>
      </w:r>
      <w:r>
        <w:rPr>
          <w:rFonts w:ascii="Arial" w:cs="Arial" w:eastAsia="Arial" w:hAnsi="Arial"/>
          <w:sz w:val="16"/>
          <w:szCs w:val="16"/>
          <w:color w:val="auto"/>
        </w:rPr>
        <w:t xml:space="preserve"> day following the date of this prospectus (or if such day is not a business day, the immediately succeeding business day) unless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04" w:lineRule="exact"/>
        <w:rPr>
          <w:sz w:val="20"/>
          <w:szCs w:val="20"/>
          <w:color w:val="auto"/>
        </w:rPr>
      </w:pPr>
    </w:p>
    <w:p>
      <w:pPr>
        <w:ind w:right="779"/>
        <w:spacing w:after="0" w:line="263"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99"/>
        <w:spacing w:after="0" w:line="269"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at the closing of this offering. We will file the Current Report on Form 8-K promptly after the closing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3460" w:space="260"/>
            <w:col w:w="5299"/>
          </w:cols>
          <w:pgMar w:left="1440" w:top="540" w:right="1440" w:bottom="1440" w:gutter="0" w:footer="0" w:header="0"/>
          <w:type w:val="continuous"/>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4" w:name="page15"/>
    <w:bookmarkEnd w:id="14"/>
    <w:tbl>
      <w:tblPr>
        <w:tblLayout w:type="fixed"/>
        <w:tblInd w:w="54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Units:</w:t>
            </w:r>
          </w:p>
        </w:tc>
        <w:tc>
          <w:tcPr>
            <w:tcW w:w="1080" w:type="dxa"/>
            <w:vAlign w:val="bottom"/>
          </w:tcPr>
          <w:p>
            <w:pPr>
              <w:spacing w:after="0"/>
              <w:rPr>
                <w:sz w:val="20"/>
                <w:szCs w:val="20"/>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w w:val="95"/>
              </w:rPr>
              <w:t>Number outstanding before this offering</w:t>
            </w:r>
          </w:p>
        </w:tc>
        <w:tc>
          <w:tcPr>
            <w:tcW w:w="108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453"/>
        </w:trPr>
        <w:tc>
          <w:tcPr>
            <w:tcW w:w="304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1080" w:type="dxa"/>
            <w:vAlign w:val="bottom"/>
          </w:tcPr>
          <w:p>
            <w:pPr>
              <w:ind w:left="140"/>
              <w:spacing w:after="0"/>
              <w:rPr>
                <w:sz w:val="20"/>
                <w:szCs w:val="20"/>
                <w:color w:val="auto"/>
              </w:rPr>
            </w:pPr>
            <w:r>
              <w:rPr>
                <w:rFonts w:ascii="Arial" w:cs="Arial" w:eastAsia="Arial" w:hAnsi="Arial"/>
                <w:sz w:val="18"/>
                <w:szCs w:val="18"/>
                <w:color w:val="auto"/>
                <w:w w:val="86"/>
              </w:rPr>
              <w:t>30,000,000</w:t>
            </w:r>
            <w:r>
              <w:rPr>
                <w:rFonts w:ascii="Arial" w:cs="Arial" w:eastAsia="Arial" w:hAnsi="Arial"/>
                <w:sz w:val="20"/>
                <w:szCs w:val="20"/>
                <w:color w:val="auto"/>
                <w:w w:val="86"/>
                <w:vertAlign w:val="superscript"/>
              </w:rPr>
              <w:t>(1)</w:t>
            </w:r>
          </w:p>
        </w:tc>
      </w:tr>
      <w:tr>
        <w:trPr>
          <w:trHeight w:val="357"/>
        </w:trPr>
        <w:tc>
          <w:tcPr>
            <w:tcW w:w="3040" w:type="dxa"/>
            <w:vAlign w:val="bottom"/>
          </w:tcPr>
          <w:p>
            <w:pPr>
              <w:spacing w:after="0"/>
              <w:rPr>
                <w:sz w:val="20"/>
                <w:szCs w:val="20"/>
                <w:color w:val="auto"/>
              </w:rPr>
            </w:pPr>
            <w:r>
              <w:rPr>
                <w:rFonts w:ascii="Arial" w:cs="Arial" w:eastAsia="Arial" w:hAnsi="Arial"/>
                <w:sz w:val="18"/>
                <w:szCs w:val="18"/>
                <w:b w:val="1"/>
                <w:bCs w:val="1"/>
                <w:color w:val="auto"/>
              </w:rPr>
              <w:t>Ordinary shares:</w:t>
            </w:r>
          </w:p>
        </w:tc>
        <w:tc>
          <w:tcPr>
            <w:tcW w:w="1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499" w:right="1440" w:bottom="1440" w:gutter="0" w:footer="0" w:header="0"/>
        </w:sect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200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6200140"/>
                    </a:xfrm>
                    <a:prstGeom prst="rect">
                      <a:avLst/>
                    </a:prstGeom>
                    <a:noFill/>
                  </pic:spPr>
                </pic:pic>
              </a:graphicData>
            </a:graphic>
          </wp:anchor>
        </w:drawing>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Number outstanding before this offering</w:t>
      </w: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Number outstanding after this offering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Warrants:</w:t>
      </w:r>
    </w:p>
    <w:p>
      <w:pPr>
        <w:spacing w:after="0" w:line="202" w:lineRule="exact"/>
        <w:rPr>
          <w:sz w:val="20"/>
          <w:szCs w:val="20"/>
          <w:color w:val="auto"/>
        </w:rPr>
      </w:pPr>
    </w:p>
    <w:p>
      <w:pPr>
        <w:ind w:left="720" w:right="120" w:hanging="179"/>
        <w:spacing w:after="0" w:line="286" w:lineRule="auto"/>
        <w:rPr>
          <w:sz w:val="20"/>
          <w:szCs w:val="20"/>
          <w:color w:val="auto"/>
        </w:rPr>
      </w:pPr>
      <w:r>
        <w:rPr>
          <w:rFonts w:ascii="Arial" w:cs="Arial" w:eastAsia="Arial" w:hAnsi="Arial"/>
          <w:sz w:val="17"/>
          <w:szCs w:val="17"/>
          <w:color w:val="auto"/>
        </w:rPr>
        <w:t>Number of private placement warrants to be sold in a private placement simultaneously with this offering</w:t>
      </w:r>
    </w:p>
    <w:p>
      <w:pPr>
        <w:spacing w:after="0" w:line="138" w:lineRule="exact"/>
        <w:rPr>
          <w:sz w:val="20"/>
          <w:szCs w:val="20"/>
          <w:color w:val="auto"/>
        </w:rPr>
      </w:pPr>
    </w:p>
    <w:p>
      <w:pPr>
        <w:ind w:left="720" w:hanging="179"/>
        <w:spacing w:after="0" w:line="263" w:lineRule="auto"/>
        <w:rPr>
          <w:sz w:val="20"/>
          <w:szCs w:val="20"/>
          <w:color w:val="auto"/>
        </w:rPr>
      </w:pPr>
      <w:r>
        <w:rPr>
          <w:rFonts w:ascii="Arial" w:cs="Arial" w:eastAsia="Arial" w:hAnsi="Arial"/>
          <w:sz w:val="18"/>
          <w:szCs w:val="18"/>
          <w:color w:val="auto"/>
        </w:rPr>
        <w:t>Number of warrants to be outstanding after this offering and the sale of private placement warrants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8,625,000</w:t>
      </w:r>
      <w:r>
        <w:rPr>
          <w:rFonts w:ascii="Arial" w:cs="Arial" w:eastAsia="Arial" w:hAnsi="Arial"/>
          <w:sz w:val="20"/>
          <w:szCs w:val="20"/>
          <w:color w:val="auto"/>
          <w:vertAlign w:val="superscript"/>
        </w:rPr>
        <w:t>(2)(3)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37,500,000</w:t>
      </w:r>
      <w:r>
        <w:rPr>
          <w:rFonts w:ascii="Arial" w:cs="Arial" w:eastAsia="Arial" w:hAnsi="Arial"/>
          <w:sz w:val="20"/>
          <w:szCs w:val="20"/>
          <w:color w:val="auto"/>
          <w:vertAlign w:val="superscript"/>
        </w:rPr>
        <w:t>(1)(2)(4)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10,000,000</w:t>
      </w:r>
      <w:r>
        <w:rPr>
          <w:rFonts w:ascii="Arial" w:cs="Arial" w:eastAsia="Arial" w:hAnsi="Arial"/>
          <w:sz w:val="20"/>
          <w:szCs w:val="20"/>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25,000,000</w:t>
      </w:r>
      <w:r>
        <w:rPr>
          <w:rFonts w:ascii="Arial" w:cs="Arial" w:eastAsia="Arial" w:hAnsi="Arial"/>
          <w:sz w:val="20"/>
          <w:szCs w:val="20"/>
          <w:color w:val="auto"/>
          <w:vertAlign w:val="superscript"/>
        </w:rPr>
        <w:t>(1)</w:t>
      </w:r>
    </w:p>
    <w:p>
      <w:pPr>
        <w:spacing w:after="0" w:line="175" w:lineRule="exact"/>
        <w:rPr>
          <w:sz w:val="20"/>
          <w:szCs w:val="20"/>
          <w:color w:val="auto"/>
        </w:rPr>
      </w:pPr>
    </w:p>
    <w:p>
      <w:pPr>
        <w:ind w:right="839"/>
        <w:spacing w:after="0" w:line="311" w:lineRule="auto"/>
        <w:rPr>
          <w:sz w:val="20"/>
          <w:szCs w:val="20"/>
          <w:color w:val="auto"/>
        </w:rPr>
      </w:pPr>
      <w:r>
        <w:rPr>
          <w:rFonts w:ascii="Arial" w:cs="Arial" w:eastAsia="Arial" w:hAnsi="Arial"/>
          <w:sz w:val="16"/>
          <w:szCs w:val="16"/>
          <w:color w:val="auto"/>
        </w:rPr>
        <w:t>Each whole warrant sold in this offering is exercisable to purchase one Class A ordinary share, subject to adjustment as described herein. Only whole warrants are exercisable.</w:t>
      </w:r>
    </w:p>
    <w:p>
      <w:pPr>
        <w:spacing w:after="0" w:line="68" w:lineRule="exact"/>
        <w:rPr>
          <w:sz w:val="20"/>
          <w:szCs w:val="20"/>
          <w:color w:val="auto"/>
        </w:rPr>
      </w:pPr>
    </w:p>
    <w:p>
      <w:pPr>
        <w:ind w:right="619"/>
        <w:spacing w:after="0" w:line="289" w:lineRule="auto"/>
        <w:rPr>
          <w:sz w:val="20"/>
          <w:szCs w:val="20"/>
          <w:color w:val="auto"/>
        </w:rPr>
      </w:pPr>
      <w:r>
        <w:rPr>
          <w:rFonts w:ascii="Arial" w:cs="Arial" w:eastAsia="Arial" w:hAnsi="Arial"/>
          <w:sz w:val="16"/>
          <w:szCs w:val="16"/>
          <w:color w:val="auto"/>
        </w:rPr>
        <w:t>We structured each unit to contain one-half of one warrant, with each whole warrant exercisable for one Class A ordinary share, as compared to units issued by some other similar blank check companies which contain whole warrants exercisable for one whole share, in order to reduce the dilutive effect of the warrants upon completion of a business combination as compared to units that each contain a warrant to purchase one whole share, thus making us, we believe, a more attractive business combination partner for target businesses.</w:t>
      </w:r>
    </w:p>
    <w:p>
      <w:pPr>
        <w:spacing w:after="0" w:line="255" w:lineRule="exact"/>
        <w:rPr>
          <w:sz w:val="20"/>
          <w:szCs w:val="20"/>
          <w:color w:val="auto"/>
        </w:rPr>
      </w:pPr>
    </w:p>
    <w:p>
      <w:pPr>
        <w:sectPr>
          <w:pgSz w:w="11900" w:h="16838" w:orient="portrait"/>
          <w:cols w:equalWidth="0" w:num="2">
            <w:col w:w="3620" w:space="100"/>
            <w:col w:w="5299"/>
          </w:cols>
          <w:pgMar w:left="1440" w:top="499" w:right="1440" w:bottom="1440" w:gutter="0" w:footer="0" w:header="0"/>
          <w:type w:val="continuous"/>
        </w:sectPr>
      </w:pPr>
    </w:p>
    <w:p>
      <w:pPr>
        <w:ind w:left="960" w:hanging="416"/>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w:t>
      </w:r>
    </w:p>
    <w:p>
      <w:pPr>
        <w:spacing w:after="0" w:line="18" w:lineRule="exact"/>
        <w:rPr>
          <w:rFonts w:ascii="Arial" w:cs="Arial" w:eastAsia="Arial" w:hAnsi="Arial"/>
          <w:sz w:val="16"/>
          <w:szCs w:val="16"/>
          <w:color w:val="auto"/>
        </w:rPr>
      </w:pPr>
    </w:p>
    <w:p>
      <w:pPr>
        <w:ind w:left="980" w:right="599" w:hanging="436"/>
        <w:spacing w:after="0" w:line="264"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Founder shares are currently classified as Class B ordinary shares, which shares will automatically convert into Class A ordinary shares at the time of our initial business combination as described below adjacent to the caption “Founder shares conversion and anti-dilution rights” and in our amended and restated memorandum and articles of association.</w:t>
      </w:r>
    </w:p>
    <w:p>
      <w:pPr>
        <w:ind w:left="980" w:hanging="436"/>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1,125,000 founder shares that are subject to forfeiture.</w:t>
      </w:r>
    </w:p>
    <w:p>
      <w:pPr>
        <w:spacing w:after="0" w:line="18" w:lineRule="exact"/>
        <w:rPr>
          <w:rFonts w:ascii="Arial" w:cs="Arial" w:eastAsia="Arial" w:hAnsi="Arial"/>
          <w:sz w:val="16"/>
          <w:szCs w:val="16"/>
          <w:color w:val="auto"/>
        </w:rPr>
      </w:pPr>
    </w:p>
    <w:p>
      <w:pPr>
        <w:ind w:left="980" w:right="819" w:hanging="436"/>
        <w:spacing w:after="0" w:line="288"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30,000,000 public shares and 7,500,000 founder shares, assuming 1,125,000 founder shares have been forfeited.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5" w:name="page16"/>
    <w:bookmarkEnd w:id="15"/>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9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8669020"/>
                    </a:xfrm>
                    <a:prstGeom prst="rect">
                      <a:avLst/>
                    </a:prstGeom>
                    <a:noFill/>
                  </pic:spPr>
                </pic:pic>
              </a:graphicData>
            </a:graphic>
          </wp:anchor>
        </w:drawing>
        <w:t>Exercise price</w:t>
      </w:r>
      <w:r>
        <w:rPr>
          <w:sz w:val="20"/>
          <w:szCs w:val="20"/>
          <w:color w:val="auto"/>
        </w:rPr>
        <w:tab/>
      </w:r>
      <w:r>
        <w:rPr>
          <w:rFonts w:ascii="Arial" w:cs="Arial" w:eastAsia="Arial" w:hAnsi="Arial"/>
          <w:sz w:val="15"/>
          <w:szCs w:val="15"/>
          <w:color w:val="auto"/>
        </w:rPr>
        <w:t>$11.50 per whole share, subject to adjustments as described</w:t>
      </w:r>
    </w:p>
    <w:p>
      <w:pPr>
        <w:spacing w:after="0" w:line="23" w:lineRule="exact"/>
        <w:rPr>
          <w:sz w:val="20"/>
          <w:szCs w:val="20"/>
          <w:color w:val="auto"/>
        </w:rPr>
      </w:pPr>
    </w:p>
    <w:p>
      <w:pPr>
        <w:ind w:left="3720" w:right="579"/>
        <w:spacing w:after="0" w:line="283" w:lineRule="auto"/>
        <w:rPr>
          <w:sz w:val="20"/>
          <w:szCs w:val="20"/>
          <w:color w:val="auto"/>
        </w:rPr>
      </w:pPr>
      <w:r>
        <w:rPr>
          <w:rFonts w:ascii="Arial" w:cs="Arial" w:eastAsia="Arial" w:hAnsi="Arial"/>
          <w:sz w:val="16"/>
          <w:szCs w:val="16"/>
          <w:color w:val="auto"/>
        </w:rPr>
        <w:t>herein. 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us and, (i) in the case of any such issuance to our sponsor or its affiliates, without taking into account any founder shares held by our sponsor or such affiliates, as applicable, prior to such issuance, and (ii) without taking into account the transfer of founder shares or private placement warrants (including if such transfer is effectuated as a surrender to us and subsequent reissuance by us) by our sponsor in connection with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adjacent to “Redemption of warrants” will be adjusted (to the nearest cent) to be equal to 180% of the higher of the Market Value and the Newly Issued Price.</w:t>
      </w:r>
    </w:p>
    <w:p>
      <w:pPr>
        <w:spacing w:after="0" w:line="148"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Exercise period</w:t>
      </w:r>
      <w:r>
        <w:rPr>
          <w:sz w:val="20"/>
          <w:szCs w:val="20"/>
          <w:color w:val="auto"/>
        </w:rPr>
        <w:tab/>
      </w:r>
      <w:r>
        <w:rPr>
          <w:rFonts w:ascii="Arial" w:cs="Arial" w:eastAsia="Arial" w:hAnsi="Arial"/>
          <w:sz w:val="16"/>
          <w:szCs w:val="16"/>
          <w:color w:val="auto"/>
        </w:rPr>
        <w:t>The warrants will become exercisable on the later of:</w:t>
      </w:r>
    </w:p>
    <w:p>
      <w:pPr>
        <w:spacing w:after="0" w:line="14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30 days after the completion of our initial business</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combination; and</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twelve months from the closing of this offering;</w:t>
      </w:r>
    </w:p>
    <w:p>
      <w:pPr>
        <w:spacing w:after="0" w:line="158" w:lineRule="exact"/>
        <w:rPr>
          <w:sz w:val="20"/>
          <w:szCs w:val="20"/>
          <w:color w:val="auto"/>
        </w:rPr>
      </w:pPr>
    </w:p>
    <w:p>
      <w:pPr>
        <w:ind w:left="3720" w:right="599"/>
        <w:spacing w:after="0" w:line="26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in each case that we have an effective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98" w:lineRule="exact"/>
        <w:rPr>
          <w:sz w:val="20"/>
          <w:szCs w:val="20"/>
          <w:color w:val="auto"/>
        </w:rPr>
      </w:pPr>
    </w:p>
    <w:p>
      <w:pPr>
        <w:ind w:left="3720" w:right="619"/>
        <w:spacing w:after="0" w:line="287" w:lineRule="auto"/>
        <w:rPr>
          <w:sz w:val="20"/>
          <w:szCs w:val="20"/>
          <w:color w:val="auto"/>
        </w:rPr>
      </w:pPr>
      <w:r>
        <w:rPr>
          <w:rFonts w:ascii="Arial" w:cs="Arial" w:eastAsia="Arial" w:hAnsi="Arial"/>
          <w:sz w:val="16"/>
          <w:szCs w:val="16"/>
          <w:color w:val="auto"/>
        </w:rPr>
        <w:t>We are not registering the Class A ordinary shares issuable upon exercise of the warrants at this time. However, we have agreed that as soon as practicable, but in no event later than 20 business days after the closing of our initial business combination, we will use our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6" w:name="page17"/>
    <w:bookmarkEnd w:id="16"/>
    <w:tbl>
      <w:tblPr>
        <w:tblLayout w:type="fixed"/>
        <w:tblInd w:w="470" w:type="dxa"/>
        <w:tblCellMar>
          <w:top w:w="0" w:type="dxa"/>
          <w:left w:w="0" w:type="dxa"/>
          <w:bottom w:w="0" w:type="dxa"/>
          <w:right w:w="0" w:type="dxa"/>
        </w:tblCellMar>
      </w:tblPr>
      <w:tr>
        <w:trPr>
          <w:trHeight w:val="688"/>
        </w:trPr>
        <w:tc>
          <w:tcPr>
            <w:tcW w:w="2540" w:type="dxa"/>
            <w:vAlign w:val="bottom"/>
            <w:tcBorders>
              <w:top w:val="single" w:sz="8" w:color="auto"/>
              <w:left w:val="single" w:sz="8" w:color="auto"/>
            </w:tcBorders>
          </w:tcPr>
          <w:p>
            <w:pPr>
              <w:spacing w:after="0"/>
              <w:rPr>
                <w:sz w:val="24"/>
                <w:szCs w:val="24"/>
                <w:color w:val="auto"/>
              </w:rPr>
            </w:pPr>
          </w:p>
        </w:tc>
        <w:tc>
          <w:tcPr>
            <w:tcW w:w="556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w w:val="94"/>
              </w:rPr>
              <w:t>shares issuable upon exercise of the warrants is not effective by</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line="216" w:lineRule="exact"/>
              <w:rPr>
                <w:sz w:val="20"/>
                <w:szCs w:val="20"/>
                <w:color w:val="auto"/>
              </w:rPr>
            </w:pPr>
            <w:r>
              <w:rPr>
                <w:rFonts w:ascii="Arial" w:cs="Arial" w:eastAsia="Arial" w:hAnsi="Arial"/>
                <w:sz w:val="18"/>
                <w:szCs w:val="18"/>
                <w:color w:val="auto"/>
                <w:w w:val="94"/>
              </w:rPr>
              <w:t>the 60</w:t>
            </w:r>
            <w:r>
              <w:rPr>
                <w:rFonts w:ascii="Arial" w:cs="Arial" w:eastAsia="Arial" w:hAnsi="Arial"/>
                <w:sz w:val="20"/>
                <w:szCs w:val="20"/>
                <w:color w:val="auto"/>
                <w:w w:val="94"/>
                <w:vertAlign w:val="superscript"/>
              </w:rPr>
              <w:t>th</w:t>
            </w:r>
            <w:r>
              <w:rPr>
                <w:rFonts w:ascii="Arial" w:cs="Arial" w:eastAsia="Arial" w:hAnsi="Arial"/>
                <w:sz w:val="18"/>
                <w:szCs w:val="18"/>
                <w:color w:val="auto"/>
                <w:w w:val="94"/>
              </w:rPr>
              <w:t xml:space="preserve"> day after the closing of the initial business combination,</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warrant holders may, until such time as there is an effective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registration statement and during any period when we will have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failed to maintain an effective registration statement, exercise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warrants on a “cashless basis” in accordance with Section 3(a)(9)</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of the Securities Act or another exemption.</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The warrants will expire at 5:00 p.m., New York City time, five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years after the completion of our initial business combination or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earlier upon redemption or liquidation. On the exercise of any</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warrant, the warrant exercise price will be paid directly to us and</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not placed in the trust account.</w:t>
            </w:r>
          </w:p>
        </w:tc>
      </w:tr>
      <w:tr>
        <w:trPr>
          <w:trHeight w:val="350"/>
        </w:trPr>
        <w:tc>
          <w:tcPr>
            <w:tcW w:w="25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Redemption of warrants</w:t>
            </w: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Once the warrants become exercisable, we may redeem the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outstanding warrants (except as described herein with respect to</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private placement warrants):</w:t>
            </w:r>
          </w:p>
        </w:tc>
      </w:tr>
      <w:tr>
        <w:trPr>
          <w:trHeight w:val="324"/>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in whole and not in part;</w:t>
            </w:r>
          </w:p>
        </w:tc>
      </w:tr>
      <w:tr>
        <w:trPr>
          <w:trHeight w:val="324"/>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at a price of $0.01 per warrant;</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upon a minimum of 30 days’ prior written notice of</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redemption, which we refer to as the “30-day redemption</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period”; and</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if, and only if, the closing price of our ordinary shares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equals or exceeds $18.00 per share (as adjusted for share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subdivisions, share capitalizations, reorganizations,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recapitalizations and the like) for any 20 trading days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within a 30-trading day period ending on the third trading</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day prior to the date on which we send the notice of</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redemption to the warrant holders.</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We will not redeem the warrants as described above unless an</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effective registration statement under the Securities Act covering</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Class A ordinary shares issuable upon exercise of the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warrants is effective and a current prospectus relating to those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Class A ordinary shares is available throughout the 30-day</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redemption period, except if the warrants may be exercised on a</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cashless basis and such cashless exercise is exempt from</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registration under the Securities Act.</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If we call the warrants for redemption as described above, our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management will have the option to require all holders that wish</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to exercise warrants to do so on a “cashless basis.” In</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determining whether to require all holders to exercise their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warrants on a “cashless basis,” our management will consider,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among other factors, our cash position, the number of warrants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that are outstanding and the dilutive effect on our shareholders of</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1"/>
              </w:rPr>
              <w:t>issuing the maximum number of Class A ordinary shares issuable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upon the exercise of our warrants. In such event, each holder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would pay the exercise price by surrendering the warrants for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that number of Class A ordinary shares equal to the quotient</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obtained by dividing (x) the product of the number of Class A</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ordinary shares underlying the warrants, multiplied by the excess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of the “fair market value” (defined below) over the exercise price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of the warrants by (y) the fair market value. The “fair market</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value” shall mean the average reported closing price of the Class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 ordinary shares for the 10 trading days ending on the third</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trading day prior to the date on which the notice of redemption is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sent to the holders of warrants. Please see “Description of</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Securities — Warrants — Public Shareholders’ Warrants” for</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additional information.</w:t>
            </w:r>
          </w:p>
        </w:tc>
      </w:tr>
      <w:tr>
        <w:trPr>
          <w:trHeight w:val="402"/>
        </w:trPr>
        <w:tc>
          <w:tcPr>
            <w:tcW w:w="2540" w:type="dxa"/>
            <w:vAlign w:val="bottom"/>
            <w:tcBorders>
              <w:left w:val="single" w:sz="8" w:color="auto"/>
              <w:bottom w:val="single" w:sz="8" w:color="auto"/>
            </w:tcBorders>
          </w:tcPr>
          <w:p>
            <w:pPr>
              <w:spacing w:after="0"/>
              <w:rPr>
                <w:sz w:val="24"/>
                <w:szCs w:val="24"/>
                <w:color w:val="auto"/>
              </w:rPr>
            </w:pPr>
          </w:p>
        </w:tc>
        <w:tc>
          <w:tcPr>
            <w:tcW w:w="5560" w:type="dxa"/>
            <w:vAlign w:val="bottom"/>
            <w:tcBorders>
              <w:bottom w:val="single" w:sz="8" w:color="auto"/>
              <w:right w:val="single" w:sz="8" w:color="auto"/>
            </w:tcBorders>
          </w:tcPr>
          <w:p>
            <w:pPr>
              <w:spacing w:after="0"/>
              <w:rPr>
                <w:sz w:val="24"/>
                <w:szCs w:val="24"/>
                <w:color w:val="auto"/>
              </w:rPr>
            </w:pPr>
          </w:p>
        </w:tc>
      </w:tr>
      <w:tr>
        <w:trPr>
          <w:trHeight w:val="388"/>
        </w:trPr>
        <w:tc>
          <w:tcPr>
            <w:tcW w:w="25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9019"/>
          </w:cols>
          <w:pgMar w:left="1440" w:top="120" w:right="1440" w:bottom="1440" w:gutter="0" w:footer="0" w:header="0"/>
        </w:sectPr>
      </w:pPr>
    </w:p>
    <w:bookmarkStart w:id="17" w:name="page18"/>
    <w:bookmarkEnd w:id="17"/>
    <w:p>
      <w:pPr>
        <w:ind w:left="3720" w:right="59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9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8669020"/>
                    </a:xfrm>
                    <a:prstGeom prst="rect">
                      <a:avLst/>
                    </a:prstGeom>
                    <a:noFill/>
                  </pic:spPr>
                </pic:pic>
              </a:graphicData>
            </a:graphic>
          </wp:anchor>
        </w:drawing>
        <w:t>None of the private placement warrants will be redeemable by us so long as they are held by our sponsor or its permitted transferees.</w:t>
      </w:r>
    </w:p>
    <w:p>
      <w:pPr>
        <w:spacing w:after="0" w:line="157"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Founder shares</w:t>
      </w:r>
      <w:r>
        <w:rPr>
          <w:sz w:val="20"/>
          <w:szCs w:val="20"/>
          <w:color w:val="auto"/>
        </w:rPr>
        <w:tab/>
      </w:r>
      <w:r>
        <w:rPr>
          <w:rFonts w:ascii="Arial" w:cs="Arial" w:eastAsia="Arial" w:hAnsi="Arial"/>
          <w:sz w:val="16"/>
          <w:szCs w:val="16"/>
          <w:color w:val="auto"/>
        </w:rPr>
        <w:t>On December 31, 2019, the sponsor paid $25,000, or</w:t>
      </w:r>
    </w:p>
    <w:p>
      <w:pPr>
        <w:spacing w:after="0" w:line="23" w:lineRule="exact"/>
        <w:rPr>
          <w:sz w:val="20"/>
          <w:szCs w:val="20"/>
          <w:color w:val="auto"/>
        </w:rPr>
      </w:pPr>
    </w:p>
    <w:p>
      <w:pPr>
        <w:ind w:left="3720" w:right="619"/>
        <w:spacing w:after="0" w:line="284" w:lineRule="auto"/>
        <w:rPr>
          <w:sz w:val="20"/>
          <w:szCs w:val="20"/>
          <w:color w:val="auto"/>
        </w:rPr>
      </w:pPr>
      <w:r>
        <w:rPr>
          <w:rFonts w:ascii="Arial" w:cs="Arial" w:eastAsia="Arial" w:hAnsi="Arial"/>
          <w:sz w:val="16"/>
          <w:szCs w:val="16"/>
          <w:color w:val="auto"/>
        </w:rPr>
        <w:t>approximately $0.003 per share, to cover certain of our offering costs in consideration of 8,625,000 Class B ordinary shares, par value $0.0001. Prior to the initial investment in the company of $25,000 by the sponsor, the company had no assets, tangible or intangible. The per share price of the founder shares was determined by dividing the amount contributed to the company by the number of founder shares issued.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ownership of our sponsor (and its permitted transferees), on an as-converted basis, at 20% of our issued and outstanding ordinary shares upon the consummation of this offering.</w:t>
      </w:r>
    </w:p>
    <w:p>
      <w:pPr>
        <w:spacing w:after="0" w:line="95" w:lineRule="exact"/>
        <w:rPr>
          <w:sz w:val="20"/>
          <w:szCs w:val="20"/>
          <w:color w:val="auto"/>
        </w:rPr>
      </w:pPr>
    </w:p>
    <w:p>
      <w:pPr>
        <w:ind w:left="3720" w:right="779"/>
        <w:spacing w:after="0" w:line="342" w:lineRule="auto"/>
        <w:rPr>
          <w:sz w:val="20"/>
          <w:szCs w:val="20"/>
          <w:color w:val="auto"/>
        </w:rPr>
      </w:pPr>
      <w:r>
        <w:rPr>
          <w:rFonts w:ascii="Arial" w:cs="Arial" w:eastAsia="Arial" w:hAnsi="Arial"/>
          <w:sz w:val="16"/>
          <w:szCs w:val="16"/>
          <w:color w:val="auto"/>
        </w:rPr>
        <w:t>The founder shares are identical to the Class A ordinary shares included in the units being sold in this offering, except that:</w:t>
      </w:r>
    </w:p>
    <w:p>
      <w:pPr>
        <w:spacing w:after="0" w:line="56"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  only holders of the founder shares have the right to vote on</w:t>
      </w:r>
    </w:p>
    <w:p>
      <w:pPr>
        <w:spacing w:after="0" w:line="4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the election of directors prior to our initial business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combination and holders of a majority of our founder</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shares may remove a member of the board of directors for</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any reason;</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the founder shares are subject to certain transfer</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restrictions, as described in more detail below;</w:t>
      </w:r>
    </w:p>
    <w:p>
      <w:pPr>
        <w:spacing w:after="0" w:line="13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our sponsor, our Founders and each member of our</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management team have entered into an agreement with us,</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pursuant to which they have agreed to (i) waive their</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redemption rights with respect to their founder shares,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(ii) waive their redemption rights with respect to their</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founder shares and public shares in connection with a</w:t>
      </w:r>
    </w:p>
    <w:p>
      <w:pPr>
        <w:spacing w:after="0" w:line="21"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shareholder vote to approve an amendment to our amended</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and restated memorandum and articles of association that</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would affect the substance or timing of our obligation to</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provide holders of our Class A ordinary shares the right to</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have their shares redeemed in connection with our initial</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business combination or to redeem 100% of our public</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shares if we do not consummate an initial business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combination within 24 months from the closing of this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offering and (iii) waive their rights to liquidating</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distributions from the trust account with respect to their</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founder shares if we fail to consummate an initial business</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combination within 24 months from the closing of this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offering (although they will be entitled to liquidating</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distributions from the trust account with respect to any</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public shares they hold if we fail to complete our initial</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business combination within the prescribed time frame). If</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we submit our initial business combination to our public</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shareholders for a vote, our sponsor, our Founders and</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5"/>
          <w:szCs w:val="15"/>
          <w:color w:val="auto"/>
        </w:rPr>
        <w:t>each member of our management team have agreed to vote</w:t>
      </w:r>
    </w:p>
    <w:p>
      <w:pPr>
        <w:spacing w:after="0" w:line="4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their founder shares and any public shares purchased</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during or after this offering in favor of our initial business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combination.</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Transfer restrictions on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0" w:right="160" w:hanging="179"/>
        <w:spacing w:after="0" w:line="277" w:lineRule="auto"/>
        <w:rPr>
          <w:sz w:val="20"/>
          <w:szCs w:val="20"/>
          <w:color w:val="auto"/>
        </w:rPr>
      </w:pPr>
      <w:r>
        <w:rPr>
          <w:rFonts w:ascii="Arial" w:cs="Arial" w:eastAsia="Arial" w:hAnsi="Arial"/>
          <w:sz w:val="18"/>
          <w:szCs w:val="18"/>
          <w:color w:val="auto"/>
        </w:rPr>
        <w:t>Founder shares conversion and anti-dilution rights</w:t>
      </w:r>
    </w:p>
    <w:p>
      <w:pPr>
        <w:spacing w:after="0" w:line="20" w:lineRule="exact"/>
        <w:rPr>
          <w:sz w:val="20"/>
          <w:szCs w:val="20"/>
          <w:color w:val="auto"/>
        </w:rPr>
      </w:pPr>
      <w:r>
        <w:rPr>
          <w:sz w:val="20"/>
          <w:szCs w:val="20"/>
          <w:color w:val="auto"/>
        </w:rPr>
        <w:br w:type="column"/>
      </w:r>
    </w:p>
    <w:p>
      <w:pPr>
        <w:ind w:left="440" w:right="619"/>
        <w:spacing w:after="0" w:line="269" w:lineRule="auto"/>
        <w:rPr>
          <w:sz w:val="20"/>
          <w:szCs w:val="20"/>
          <w:color w:val="auto"/>
        </w:rPr>
      </w:pPr>
      <w:r>
        <w:rPr>
          <w:rFonts w:ascii="Arial" w:cs="Arial" w:eastAsia="Arial" w:hAnsi="Arial"/>
          <w:sz w:val="17"/>
          <w:szCs w:val="17"/>
          <w:color w:val="auto"/>
        </w:rPr>
        <w:t>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-1715770</wp:posOffset>
            </wp:positionV>
            <wp:extent cx="5147310" cy="9269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269095"/>
                    </a:xfrm>
                    <a:prstGeom prst="rect">
                      <a:avLst/>
                    </a:prstGeom>
                    <a:noFill/>
                  </pic:spPr>
                </pic:pic>
              </a:graphicData>
            </a:graphic>
          </wp:anchor>
        </w:drawing>
      </w:r>
    </w:p>
    <w:p>
      <w:pPr>
        <w:spacing w:after="0" w:line="84" w:lineRule="exact"/>
        <w:rPr>
          <w:sz w:val="20"/>
          <w:szCs w:val="20"/>
          <w:color w:val="auto"/>
        </w:rPr>
      </w:pPr>
    </w:p>
    <w:p>
      <w:pPr>
        <w:ind w:left="440" w:right="579" w:hanging="214"/>
        <w:spacing w:after="0" w:line="255" w:lineRule="auto"/>
        <w:tabs>
          <w:tab w:leader="none" w:pos="4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will automatically convert into our Class A ordinary shares at the time of our initial business combination as described below adjacent to the caption “Founder shares conversion and anti-dilution rights” and in our amended and restated memorandum and articles of association; and</w:t>
      </w:r>
    </w:p>
    <w:p>
      <w:pPr>
        <w:spacing w:after="0" w:line="124" w:lineRule="exact"/>
        <w:rPr>
          <w:rFonts w:ascii="Arial" w:cs="Arial" w:eastAsia="Arial" w:hAnsi="Arial"/>
          <w:sz w:val="18"/>
          <w:szCs w:val="18"/>
          <w:color w:val="auto"/>
        </w:rPr>
      </w:pPr>
    </w:p>
    <w:p>
      <w:pPr>
        <w:ind w:left="420" w:hanging="194"/>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58" w:lineRule="exact"/>
        <w:rPr>
          <w:sz w:val="20"/>
          <w:szCs w:val="20"/>
          <w:color w:val="auto"/>
        </w:rPr>
      </w:pPr>
    </w:p>
    <w:p>
      <w:pPr>
        <w:ind w:right="619"/>
        <w:spacing w:after="0" w:line="283" w:lineRule="auto"/>
        <w:rPr>
          <w:sz w:val="20"/>
          <w:szCs w:val="20"/>
          <w:color w:val="auto"/>
        </w:rPr>
      </w:pPr>
      <w:r>
        <w:rPr>
          <w:rFonts w:ascii="Arial" w:cs="Arial" w:eastAsia="Arial" w:hAnsi="Arial"/>
          <w:sz w:val="16"/>
          <w:szCs w:val="16"/>
          <w:color w:val="auto"/>
        </w:rPr>
        <w:t>Except as described herein, our sponsor and our directors and executive officers have agreed not to transfer, assign or sell any of their founder shares until the earliest of (A) one year after the completion of our initial business combination or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w:t>
      </w:r>
    </w:p>
    <w:p>
      <w:pPr>
        <w:spacing w:after="0" w:line="6" w:lineRule="exact"/>
        <w:rPr>
          <w:sz w:val="20"/>
          <w:szCs w:val="20"/>
          <w:color w:val="auto"/>
        </w:rPr>
      </w:pPr>
    </w:p>
    <w:p>
      <w:pPr>
        <w:ind w:right="599"/>
        <w:spacing w:after="0" w:line="253" w:lineRule="auto"/>
        <w:rPr>
          <w:sz w:val="20"/>
          <w:szCs w:val="20"/>
          <w:color w:val="auto"/>
        </w:rPr>
      </w:pPr>
      <w:r>
        <w:rPr>
          <w:rFonts w:ascii="Arial" w:cs="Arial" w:eastAsia="Arial" w:hAnsi="Arial"/>
          <w:sz w:val="18"/>
          <w:szCs w:val="18"/>
          <w:color w:val="auto"/>
        </w:rPr>
        <w:t>150 days after our initial business combination, or (y) the date on which we complete a liquidation, merger, share exchange or other similar transaction that results in all of our shareholders having the right to exchange their ordinary shares for cash, securities or other property.</w:t>
      </w:r>
    </w:p>
    <w:p>
      <w:pPr>
        <w:spacing w:after="0" w:line="339"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The founder shares are designated as Class B ordinary shares and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(as defined herein)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Any conversion of Class B ordinary shares described herein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286" w:lineRule="exact"/>
        <w:rPr>
          <w:sz w:val="20"/>
          <w:szCs w:val="20"/>
          <w:color w:val="auto"/>
        </w:rPr>
      </w:pPr>
    </w:p>
    <w:p>
      <w:pPr>
        <w:jc w:val="both"/>
        <w:ind w:right="699"/>
        <w:spacing w:after="0" w:line="296" w:lineRule="auto"/>
        <w:rPr>
          <w:sz w:val="20"/>
          <w:szCs w:val="20"/>
          <w:color w:val="auto"/>
        </w:rPr>
      </w:pPr>
      <w:r>
        <w:rPr>
          <w:rFonts w:ascii="Arial" w:cs="Arial" w:eastAsia="Arial" w:hAnsi="Arial"/>
          <w:sz w:val="16"/>
          <w:szCs w:val="16"/>
          <w:color w:val="auto"/>
        </w:rPr>
        <w:t>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spacing w:after="0" w:line="200" w:lineRule="exact"/>
        <w:rPr>
          <w:sz w:val="20"/>
          <w:szCs w:val="20"/>
          <w:color w:val="auto"/>
        </w:rPr>
      </w:pPr>
    </w:p>
    <w:p>
      <w:pPr>
        <w:sectPr>
          <w:pgSz w:w="11900" w:h="16838" w:orient="portrait"/>
          <w:cols w:equalWidth="0" w:num="2">
            <w:col w:w="3320" w:space="400"/>
            <w:col w:w="5299"/>
          </w:cols>
          <w:pgMar w:left="1440" w:top="652" w:right="1440"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19" w:name="page20"/>
    <w:bookmarkEnd w:id="19"/>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37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137525"/>
                    </a:xfrm>
                    <a:prstGeom prst="rect">
                      <a:avLst/>
                    </a:prstGeom>
                    <a:noFill/>
                  </pic:spPr>
                </pic:pic>
              </a:graphicData>
            </a:graphic>
          </wp:anchor>
        </w:drawing>
        <w:t>Election of directors; voting rights</w:t>
      </w:r>
      <w:r>
        <w:rPr>
          <w:sz w:val="20"/>
          <w:szCs w:val="20"/>
          <w:color w:val="auto"/>
        </w:rPr>
        <w:tab/>
      </w:r>
      <w:r>
        <w:rPr>
          <w:rFonts w:ascii="Arial" w:cs="Arial" w:eastAsia="Arial" w:hAnsi="Arial"/>
          <w:sz w:val="16"/>
          <w:szCs w:val="16"/>
          <w:color w:val="auto"/>
        </w:rPr>
        <w:t>Prior to our initial business combination, only holders of our</w:t>
      </w:r>
    </w:p>
    <w:p>
      <w:pPr>
        <w:spacing w:after="0" w:line="23" w:lineRule="exact"/>
        <w:rPr>
          <w:sz w:val="20"/>
          <w:szCs w:val="20"/>
          <w:color w:val="auto"/>
        </w:rPr>
      </w:pPr>
    </w:p>
    <w:p>
      <w:pPr>
        <w:ind w:left="3720" w:right="599"/>
        <w:spacing w:after="0" w:line="284" w:lineRule="auto"/>
        <w:rPr>
          <w:sz w:val="20"/>
          <w:szCs w:val="20"/>
          <w:color w:val="auto"/>
        </w:rPr>
      </w:pPr>
      <w:r>
        <w:rPr>
          <w:rFonts w:ascii="Arial" w:cs="Arial" w:eastAsia="Arial" w:hAnsi="Arial"/>
          <w:sz w:val="16"/>
          <w:szCs w:val="16"/>
          <w:color w:val="auto"/>
        </w:rPr>
        <w:t>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shareholder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47"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Private placement warrants</w:t>
      </w:r>
      <w:r>
        <w:rPr>
          <w:sz w:val="20"/>
          <w:szCs w:val="20"/>
          <w:color w:val="auto"/>
        </w:rPr>
        <w:tab/>
      </w:r>
      <w:r>
        <w:rPr>
          <w:rFonts w:ascii="Arial" w:cs="Arial" w:eastAsia="Arial" w:hAnsi="Arial"/>
          <w:sz w:val="16"/>
          <w:szCs w:val="16"/>
          <w:color w:val="auto"/>
        </w:rPr>
        <w:t>Our sponsor has committed, pursuant to a written agreement, to</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purchase an aggregate of 10,000,000 private placement warrants,</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each exercisable to purchase one Class A ordinary share at</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$11.50 per share, at a price of $1.00 per warrant ($10,000,000 in</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the aggregate), in a private placement that will close</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simultaneously with the closing of this offering. If we do not</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consummate an initial business combination within 24 months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from the closing of this offering, the private placement warrants</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will expire worthless. The private placement warrants will be</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non-redeemable and exercisable on a cashless basis so long as</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they are held by our sponsor or its permitted transferees (see</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“Description of Securities — Warrants — Private Placement</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Warrants”). If the private placement warrants are held by holders</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other than our sponsor or its permitted transferees, the private</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placement warrants will be redeemable by us and exercisable by</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the holders on the same basis as the warrants included in the</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units being sold in this offering.</w:t>
      </w:r>
    </w:p>
    <w:p>
      <w:pPr>
        <w:sectPr>
          <w:pgSz w:w="11900" w:h="16838" w:orient="portrait"/>
          <w:cols w:equalWidth="0" w:num="1">
            <w:col w:w="9019"/>
          </w:cols>
          <w:pgMar w:left="1440" w:top="503" w:right="1440" w:bottom="1440" w:gutter="0" w:footer="0" w:header="0"/>
        </w:sectPr>
      </w:pPr>
    </w:p>
    <w:p>
      <w:pPr>
        <w:spacing w:after="0" w:line="184"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Transfer restrictions on private placement warrants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659"/>
        <w:spacing w:after="0" w:line="293" w:lineRule="auto"/>
        <w:rPr>
          <w:sz w:val="20"/>
          <w:szCs w:val="20"/>
          <w:color w:val="auto"/>
        </w:rPr>
      </w:pPr>
      <w:r>
        <w:rPr>
          <w:rFonts w:ascii="Arial" w:cs="Arial" w:eastAsia="Arial" w:hAnsi="Arial"/>
          <w:sz w:val="16"/>
          <w:szCs w:val="16"/>
          <w:color w:val="auto"/>
        </w:rPr>
        <w:t>The private placement warrants (including the Class A ordinary shares issuable upon exercise of the private placement warrants) will not be transferable, assignable or salable until 30 days after the completion of our initial business combination, except as described herein under “Principal Shareholders — Transfers of Founder Shares and Private Placement Warrants.”</w:t>
      </w:r>
    </w:p>
    <w:p>
      <w:pPr>
        <w:spacing w:after="0" w:line="137" w:lineRule="exact"/>
        <w:rPr>
          <w:sz w:val="20"/>
          <w:szCs w:val="20"/>
          <w:color w:val="auto"/>
        </w:rPr>
      </w:pPr>
    </w:p>
    <w:p>
      <w:pPr>
        <w:sectPr>
          <w:pgSz w:w="11900" w:h="16838" w:orient="portrait"/>
          <w:cols w:equalWidth="0" w:num="2">
            <w:col w:w="3540" w:space="180"/>
            <w:col w:w="5299"/>
          </w:cols>
          <w:pgMar w:left="1440" w:top="503"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960" w:type="dxa"/>
            <w:vAlign w:val="bottom"/>
          </w:tcPr>
          <w:p>
            <w:pPr>
              <w:ind w:left="80"/>
              <w:spacing w:after="0"/>
              <w:rPr>
                <w:sz w:val="20"/>
                <w:szCs w:val="20"/>
                <w:color w:val="auto"/>
              </w:rPr>
            </w:pPr>
            <w:r>
              <w:rPr>
                <w:rFonts w:ascii="Arial" w:cs="Arial" w:eastAsia="Arial" w:hAnsi="Arial"/>
                <w:sz w:val="18"/>
                <w:szCs w:val="18"/>
                <w:color w:val="auto"/>
                <w:w w:val="99"/>
              </w:rPr>
              <w:t>Proceeds to be held in trust account</w:t>
            </w: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Of the proceeds we will receive from this offering and the sale of</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the private placement warrants described in this prospectus,</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$300,000,000, or $345,000,000 if the underwriter’s over-</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allotment option is exercised in full ($10.00 per unit in either</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2"/>
              </w:rPr>
              <w:t>case), will be deposited into a segregated trust account located in</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the United States at J.P. Morgan Chase Bank, N.A. with</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7"/>
              </w:rPr>
              <w:t>Continental Stock Transfer &amp; Trust Company acting as trustee</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and $4,000,000 will be used to pay expenses in connection with</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6"/>
              </w:rPr>
              <w:t>the closing of this offering and for working capital following this</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offering. The proceeds to be placed in the trust account include</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$10,500,000 (or $12,075,000 if the underwriter’s over-allotment</w:t>
            </w:r>
          </w:p>
        </w:tc>
      </w:tr>
      <w:tr>
        <w:trPr>
          <w:trHeight w:val="230"/>
        </w:trPr>
        <w:tc>
          <w:tcPr>
            <w:tcW w:w="296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option is exercised in full) in deferred underwriting commissions.</w:t>
            </w:r>
          </w:p>
        </w:tc>
      </w:tr>
      <w:tr>
        <w:trPr>
          <w:trHeight w:val="402"/>
        </w:trPr>
        <w:tc>
          <w:tcPr>
            <w:tcW w:w="29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388"/>
        </w:trPr>
        <w:tc>
          <w:tcPr>
            <w:tcW w:w="29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9019"/>
          </w:cols>
          <w:pgMar w:left="1440" w:top="503" w:right="1440" w:bottom="1440" w:gutter="0" w:footer="0" w:header="0"/>
          <w:type w:val="continuous"/>
        </w:sectPr>
      </w:pPr>
    </w:p>
    <w:bookmarkStart w:id="20" w:name="page21"/>
    <w:bookmarkEnd w:id="20"/>
    <w:p>
      <w:pPr>
        <w:ind w:left="3720" w:right="579"/>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225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9225915"/>
                    </a:xfrm>
                    <a:prstGeom prst="rect">
                      <a:avLst/>
                    </a:prstGeom>
                    <a:noFill/>
                  </pic:spPr>
                </pic:pic>
              </a:graphicData>
            </a:graphic>
          </wp:anchor>
        </w:drawing>
        <w:t>Except with respect to interest earned on the funds held in the trust account that may be released to us to pay our income taxes, if any, our amended and restated memorandum and articles of association, as discussed below and subject to the requirements of law and regulation, will provide that the proceeds from this offering and the sale of the private placement warrants will not be released from the trust account (1) to us, until the completion of our initial business combination, or (2) to our public shareholders, until the earliest of (a) the completion of our initial business combination, and then only in connection with those Class A ordinary shares that such shareholder properly elected to redeem, subject to the limitations described herein, (b) the redemption of any public shares properly tendered in connection with a shareholder vote to amend our amended and restated memorandum and articles of association (i)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(ii) with respect to any other provisions relating to the rights of holders of our Class A ordinary shares, and (c) the redemption of our public shares if we are unable to complete our business combination within 24 months from the closing of this offering, subject to applicable law. Public shareholders who redeem their Class A ordinary shares in connection with a shareholder vote described in clause (b) in the preceding sentence shall not be entitled to funds from the trust account upon the subsequent completion of an initial business combination or liquidation if we are unable to complete an initial business combination within 24 months from the closing of this offering, with respect to such Class A ordinary shares so redeemed. The proceeds deposited in the trust account could become subject to the claims of our creditors, if any, which could have priority over the claims of our public shareholders.</w:t>
      </w:r>
    </w:p>
    <w:p>
      <w:pPr>
        <w:spacing w:after="0" w:line="156"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Anticipated expenses and funding sources</w:t>
      </w:r>
      <w:r>
        <w:rPr>
          <w:sz w:val="20"/>
          <w:szCs w:val="20"/>
          <w:color w:val="auto"/>
        </w:rPr>
        <w:tab/>
      </w:r>
      <w:r>
        <w:rPr>
          <w:rFonts w:ascii="Arial" w:cs="Arial" w:eastAsia="Arial" w:hAnsi="Arial"/>
          <w:sz w:val="16"/>
          <w:szCs w:val="16"/>
          <w:color w:val="auto"/>
        </w:rPr>
        <w:t>Except as described above with respect to the payment of taxes,</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unless and until we complete our initial business combination, no</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proceeds held in the trust account will be available for our use.</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The proceeds held in the trust account will be invested only in</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U.S. government treasury obligations with a maturity of 185 days</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or less or in money market funds meeting certain conditions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under Rule 2a-7 under the Investment Company Act which</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invest only in direct U.S. government treasury obligations.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Assuming an interest rate of 1.5% per year, we estimate the</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interest earned on the trust account will be approximately</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$4,500,000 per year; however, we can provide no assurances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regarding this amount. Unless and until we complete our initial</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business combination, we may pay our expenses only from:</w:t>
      </w:r>
    </w:p>
    <w:p>
      <w:pPr>
        <w:spacing w:after="0" w:line="114" w:lineRule="exact"/>
        <w:rPr>
          <w:sz w:val="20"/>
          <w:szCs w:val="20"/>
          <w:color w:val="auto"/>
        </w:rPr>
      </w:pPr>
    </w:p>
    <w:p>
      <w:pPr>
        <w:ind w:left="4160" w:right="659" w:hanging="214"/>
        <w:spacing w:after="0" w:line="293" w:lineRule="auto"/>
        <w:tabs>
          <w:tab w:leader="none" w:pos="41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net proceeds of this offering and the sale of the private placement warrants not held in the trust account, which will be approximately $3,000,000 (or $2,100,000 if the underwriter’s over-allotment option is exercised in full) in working capital after the payment of approximately $1,000,000 in expenses relating to this offering; and</w:t>
      </w:r>
    </w:p>
    <w:p>
      <w:pPr>
        <w:spacing w:after="0" w:line="56" w:lineRule="exact"/>
        <w:rPr>
          <w:rFonts w:ascii="Arial" w:cs="Arial" w:eastAsia="Arial" w:hAnsi="Arial"/>
          <w:sz w:val="16"/>
          <w:szCs w:val="16"/>
          <w:color w:val="auto"/>
        </w:rPr>
      </w:pPr>
    </w:p>
    <w:p>
      <w:pPr>
        <w:ind w:left="4160" w:right="599" w:hanging="214"/>
        <w:spacing w:after="0" w:line="272" w:lineRule="auto"/>
        <w:tabs>
          <w:tab w:leader="none" w:pos="4142"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loans or additional investments from our sponsor or an affiliate of our sponsor or certain of our officers and directors, although they are under no obligation to advance funds or invest in us, and provided any such loans will not have any claim on the proceeds held in the trust account unless such proceeds are released to us upon completion of our initial business combination.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1" w:name="page22"/>
    <w:bookmarkEnd w:id="21"/>
    <w:p>
      <w:pPr>
        <w:ind w:left="720" w:right="360" w:hanging="179"/>
        <w:spacing w:after="0" w:line="277" w:lineRule="auto"/>
        <w:rPr>
          <w:sz w:val="20"/>
          <w:szCs w:val="20"/>
          <w:color w:val="auto"/>
        </w:rPr>
      </w:pPr>
      <w:r>
        <w:rPr>
          <w:rFonts w:ascii="Arial" w:cs="Arial" w:eastAsia="Arial" w:hAnsi="Arial"/>
          <w:sz w:val="18"/>
          <w:szCs w:val="18"/>
          <w:color w:val="auto"/>
        </w:rPr>
        <w:t>Conditions to completing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308" w:lineRule="auto"/>
        <w:rPr>
          <w:sz w:val="20"/>
          <w:szCs w:val="20"/>
          <w:color w:val="auto"/>
        </w:rPr>
      </w:pPr>
      <w:r>
        <w:rPr>
          <w:rFonts w:ascii="Arial" w:cs="Arial" w:eastAsia="Arial" w:hAnsi="Arial"/>
          <w:sz w:val="17"/>
          <w:szCs w:val="17"/>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559"/>
        <w:spacing w:after="0" w:line="286" w:lineRule="auto"/>
        <w:rPr>
          <w:sz w:val="20"/>
          <w:szCs w:val="20"/>
          <w:color w:val="auto"/>
        </w:rPr>
      </w:pPr>
      <w:r>
        <w:rPr>
          <w:rFonts w:ascii="Arial" w:cs="Arial" w:eastAsia="Arial" w:hAnsi="Arial"/>
          <w:sz w:val="16"/>
          <w:szCs w:val="16"/>
          <w:color w:val="auto"/>
        </w:rPr>
        <w:t>NYSE rules require that 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our signing a definitive agreement in connection with our initial business combination. If our board of directors is not able to independently determine the fair market value of the target business or businesses, we will obtain an opinion from an independent investment banking firm which is a member of FINRA or a valuation or appraisal firm. Our shareholders may not be provided with a copy of such opinion nor will they be able to rely on such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-2271395</wp:posOffset>
            </wp:positionV>
            <wp:extent cx="5147310" cy="9311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9311640"/>
                    </a:xfrm>
                    <a:prstGeom prst="rect">
                      <a:avLst/>
                    </a:prstGeom>
                    <a:noFill/>
                  </pic:spPr>
                </pic:pic>
              </a:graphicData>
            </a:graphic>
          </wp:anchor>
        </w:drawing>
      </w:r>
    </w:p>
    <w:p>
      <w:pPr>
        <w:spacing w:after="0" w:line="73" w:lineRule="exact"/>
        <w:rPr>
          <w:sz w:val="20"/>
          <w:szCs w:val="20"/>
          <w:color w:val="auto"/>
        </w:rPr>
      </w:pPr>
    </w:p>
    <w:p>
      <w:pPr>
        <w:ind w:right="599"/>
        <w:spacing w:after="0" w:line="284" w:lineRule="auto"/>
        <w:rPr>
          <w:sz w:val="20"/>
          <w:szCs w:val="20"/>
          <w:color w:val="auto"/>
        </w:rPr>
      </w:pPr>
      <w:r>
        <w:rPr>
          <w:rFonts w:ascii="Arial" w:cs="Arial" w:eastAsia="Arial" w:hAnsi="Arial"/>
          <w:sz w:val="16"/>
          <w:szCs w:val="16"/>
          <w:color w:val="auto"/>
        </w:rPr>
        <w:t xml:space="preserve">We will complete our initial business combination only if the post-transaction company in which our public shareholders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of net assets 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369"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held in the trust account will be used to purchase public shares or warrants in such transactions. If they engage in such transactions, they will not make any such purchases when they are in possession of any material nonpublic information not disclosed to the seller or if such purchases are prohibited by Regulation M under the Securities Exchange Act of 1934, as amended, or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w:t>
      </w:r>
    </w:p>
    <w:p>
      <w:pPr>
        <w:spacing w:after="0" w:line="200" w:lineRule="exact"/>
        <w:rPr>
          <w:sz w:val="20"/>
          <w:szCs w:val="20"/>
          <w:color w:val="auto"/>
        </w:rPr>
      </w:pPr>
    </w:p>
    <w:p>
      <w:pPr>
        <w:sectPr>
          <w:pgSz w:w="11900" w:h="16838" w:orient="portrait"/>
          <w:cols w:equalWidth="0" w:num="2">
            <w:col w:w="3480" w:space="240"/>
            <w:col w:w="5299"/>
          </w:cols>
          <w:pgMar w:left="1440" w:top="652" w:right="1440" w:bottom="1128"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52" w:right="1440" w:bottom="1128"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720" w:hanging="179"/>
        <w:spacing w:after="0" w:line="263" w:lineRule="auto"/>
        <w:rPr>
          <w:sz w:val="20"/>
          <w:szCs w:val="20"/>
          <w:color w:val="auto"/>
        </w:rPr>
      </w:pPr>
      <w:r>
        <w:rPr>
          <w:rFonts w:ascii="Arial" w:cs="Arial" w:eastAsia="Arial" w:hAnsi="Arial"/>
          <w:sz w:val="18"/>
          <w:szCs w:val="18"/>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ind w:right="799"/>
        <w:spacing w:after="0" w:line="257" w:lineRule="auto"/>
        <w:rPr>
          <w:sz w:val="20"/>
          <w:szCs w:val="20"/>
          <w:color w:val="auto"/>
        </w:rPr>
      </w:pPr>
      <w:r>
        <w:rPr>
          <w:rFonts w:ascii="Arial" w:cs="Arial" w:eastAsia="Arial" w:hAnsi="Arial"/>
          <w:sz w:val="18"/>
          <w:szCs w:val="18"/>
          <w:color w:val="auto"/>
        </w:rPr>
        <w:t>See “Proposed Business — Permitted Purchases of Our Securities” for a description of how our sponsor, directors, executive officers, advisors or any of their affiliates will select which shareholders to purchase securities from in any private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-1028065</wp:posOffset>
            </wp:positionV>
            <wp:extent cx="5147310" cy="7665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7665720"/>
                    </a:xfrm>
                    <a:prstGeom prst="rect">
                      <a:avLst/>
                    </a:prstGeom>
                    <a:noFill/>
                  </pic:spPr>
                </pic:pic>
              </a:graphicData>
            </a:graphic>
          </wp:anchor>
        </w:drawing>
      </w:r>
    </w:p>
    <w:p>
      <w:pPr>
        <w:spacing w:after="0" w:line="87" w:lineRule="exact"/>
        <w:rPr>
          <w:sz w:val="20"/>
          <w:szCs w:val="20"/>
          <w:color w:val="auto"/>
        </w:rPr>
      </w:pPr>
    </w:p>
    <w:p>
      <w:pPr>
        <w:ind w:right="639"/>
        <w:spacing w:after="0" w:line="267" w:lineRule="auto"/>
        <w:rPr>
          <w:sz w:val="20"/>
          <w:szCs w:val="20"/>
          <w:color w:val="auto"/>
        </w:rPr>
      </w:pPr>
      <w:r>
        <w:rPr>
          <w:rFonts w:ascii="Arial" w:cs="Arial" w:eastAsia="Arial" w:hAnsi="Arial"/>
          <w:sz w:val="17"/>
          <w:szCs w:val="17"/>
          <w:color w:val="auto"/>
        </w:rPr>
        <w:t>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392"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shares. There will be no redemption rights upon the completion of our initial business combination with respect to our warrants. Our sponsor and each member of our management team have entered into agreements with us, pursuant to which they have agreed to waive their redemption rights with respect to any founder shares and any public shares in connection with the completion of our initial business combination.</w:t>
      </w:r>
    </w:p>
    <w:p>
      <w:pPr>
        <w:spacing w:after="0" w:line="200" w:lineRule="exact"/>
        <w:rPr>
          <w:sz w:val="20"/>
          <w:szCs w:val="20"/>
          <w:color w:val="auto"/>
        </w:rPr>
      </w:pPr>
    </w:p>
    <w:p>
      <w:pPr>
        <w:sectPr>
          <w:pgSz w:w="11900" w:h="16838" w:orient="portrait"/>
          <w:cols w:equalWidth="0" w:num="2">
            <w:col w:w="3580" w:space="140"/>
            <w:col w:w="5299"/>
          </w:cols>
          <w:pgMar w:left="1440" w:top="652" w:right="1440"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23" w:name="page24"/>
    <w:bookmarkEnd w:id="23"/>
    <w:tbl>
      <w:tblPr>
        <w:tblLayout w:type="fixed"/>
        <w:tblInd w:w="470" w:type="dxa"/>
        <w:tblCellMar>
          <w:top w:w="0" w:type="dxa"/>
          <w:left w:w="0" w:type="dxa"/>
          <w:bottom w:w="0" w:type="dxa"/>
          <w:right w:w="0" w:type="dxa"/>
        </w:tblCellMar>
      </w:tblPr>
      <w:tr>
        <w:trPr>
          <w:trHeight w:val="580"/>
        </w:trPr>
        <w:tc>
          <w:tcPr>
            <w:tcW w:w="294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Limitations on redemptions</w:t>
            </w:r>
          </w:p>
        </w:tc>
        <w:tc>
          <w:tcPr>
            <w:tcW w:w="5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Our amended and restated memorandum and articles of</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association will provide that in no event will we redeem our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public shares in an amount that would cause our net tangible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89"/>
              </w:rPr>
              <w:t>assets to be less than $5,000,001 (so that we are not subject to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SEC’s “penny stock” rules). However, a greater net tangible asset</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or cash requirement may be contained in the agreement relating</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to our initial business combination. For example, the proposed</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business combination may require: (i) cash consideration to be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paid to the target or its owners, (ii) cash to be transferred to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target for working capital or other general corporate purposes or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(iii) the retention of cash to satisfy other conditions in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accordance with the terms of the proposed business combination.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Furthermore, although we will not redeem shares in an amount</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that would cause our net tangible assets to fall below $5,000,001,</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we do not have a maximum redemption threshold based on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percentage of shares sold in this offering, as many blank check</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companies do. In the event the aggregate cash consideration we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would be required to pay for all Class A ordinary shares that are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validly submitted for redemption plus any amount required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satisfy cash conditions pursuant to the terms of the proposed</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business combination exceed the aggregate amount of cash</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available to us, we will not complete the business combination or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redeem any shares, and all Class A ordinary shares submitted for</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redemption will be returned to the holders thereof.</w:t>
            </w:r>
          </w:p>
        </w:tc>
      </w:tr>
      <w:tr>
        <w:trPr>
          <w:trHeight w:val="391"/>
        </w:trPr>
        <w:tc>
          <w:tcPr>
            <w:tcW w:w="29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Manner of conducting redemptions</w:t>
            </w: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We will provide our public shareholders with the opportunity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redeem all or a portion of their public shares upon the completion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of our initial business combination either (i) in connection with a</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shareholder meeting called to approve the business combination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or (ii) by means of a tender offer. The decision as to whether we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will seek shareholder approval of a proposed business</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combination or conduct a tender offer will be made by us, solely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in our discretion, and will be based on a variety of factors such as</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the timing of the transaction and whether the terms of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transaction would require us to seek shareholder approval under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applicable law or stock exchange listing requirement. Asset</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acquisitions and share purchases would not typically require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shareholder approval, while direct mergers with our company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where we do not survive and any transactions where we issue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more than 20% of our outstanding ordinary shares or seek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amend our amended and restated memorandum and articles of</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association would require shareholder approval. We currently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intend to conduct redemptions in connection with a shareholder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vote unless shareholder approval is not required by applicable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law or stock exchange listing requirement and we choose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conduct redemptions pursuant to the tender offer rules of the</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SEC for business or other legal reasons.</w:t>
            </w:r>
          </w:p>
        </w:tc>
      </w:tr>
      <w:tr>
        <w:trPr>
          <w:trHeight w:val="337"/>
        </w:trPr>
        <w:tc>
          <w:tcPr>
            <w:tcW w:w="2940" w:type="dxa"/>
            <w:vAlign w:val="bottom"/>
            <w:tcBorders>
              <w:left w:val="single" w:sz="8" w:color="auto"/>
            </w:tcBorders>
          </w:tcPr>
          <w:p>
            <w:pPr>
              <w:spacing w:after="0"/>
              <w:rPr>
                <w:sz w:val="24"/>
                <w:szCs w:val="24"/>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If we hold a shareholder vote to approve our initial business</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combination, we will:</w:t>
            </w:r>
          </w:p>
        </w:tc>
      </w:tr>
      <w:tr>
        <w:trPr>
          <w:trHeight w:val="350"/>
        </w:trPr>
        <w:tc>
          <w:tcPr>
            <w:tcW w:w="2940" w:type="dxa"/>
            <w:vAlign w:val="bottom"/>
            <w:tcBorders>
              <w:left w:val="single" w:sz="8" w:color="auto"/>
            </w:tcBorders>
          </w:tcPr>
          <w:p>
            <w:pPr>
              <w:spacing w:after="0"/>
              <w:rPr>
                <w:sz w:val="24"/>
                <w:szCs w:val="24"/>
                <w:color w:val="auto"/>
              </w:rPr>
            </w:pPr>
          </w:p>
        </w:tc>
        <w:tc>
          <w:tcPr>
            <w:tcW w:w="5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  conduct the redemptions in conjunction with a proxy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8"/>
              </w:rPr>
              <w:t>solicitation pursuant to Regulation 14A of the Exchange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Act, which regulates the solicitation of proxies, and not</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pursuant to the tender offer rules; and</w:t>
            </w:r>
          </w:p>
        </w:tc>
      </w:tr>
      <w:tr>
        <w:trPr>
          <w:trHeight w:val="364"/>
        </w:trPr>
        <w:tc>
          <w:tcPr>
            <w:tcW w:w="2940" w:type="dxa"/>
            <w:vAlign w:val="bottom"/>
            <w:tcBorders>
              <w:left w:val="single" w:sz="8" w:color="auto"/>
            </w:tcBorders>
          </w:tcPr>
          <w:p>
            <w:pPr>
              <w:spacing w:after="0"/>
              <w:rPr>
                <w:sz w:val="24"/>
                <w:szCs w:val="24"/>
                <w:color w:val="auto"/>
              </w:rPr>
            </w:pPr>
          </w:p>
        </w:tc>
        <w:tc>
          <w:tcPr>
            <w:tcW w:w="5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  file proxy materials with the SEC.</w:t>
            </w:r>
          </w:p>
        </w:tc>
      </w:tr>
      <w:tr>
        <w:trPr>
          <w:trHeight w:val="402"/>
        </w:trPr>
        <w:tc>
          <w:tcPr>
            <w:tcW w:w="2940" w:type="dxa"/>
            <w:vAlign w:val="bottom"/>
            <w:tcBorders>
              <w:left w:val="single" w:sz="8" w:color="auto"/>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r>
      <w:tr>
        <w:trPr>
          <w:trHeight w:val="388"/>
        </w:trPr>
        <w:tc>
          <w:tcPr>
            <w:tcW w:w="2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9019"/>
          </w:cols>
          <w:pgMar w:left="1440" w:top="120" w:right="1440" w:bottom="1440" w:gutter="0" w:footer="0" w:header="0"/>
        </w:sectPr>
      </w:pPr>
    </w:p>
    <w:bookmarkStart w:id="24" w:name="page25"/>
    <w:bookmarkEnd w:id="24"/>
    <w:p>
      <w:pPr>
        <w:ind w:left="3720" w:right="59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914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7914640"/>
                    </a:xfrm>
                    <a:prstGeom prst="rect">
                      <a:avLst/>
                    </a:prstGeom>
                    <a:noFill/>
                  </pic:spPr>
                </pic:pic>
              </a:graphicData>
            </a:graphic>
          </wp:anchor>
        </w:drawing>
        <w:t>If we seek shareholder approval, we will complete our initial business combination only if a majority of the ordinary shares, represented in person or by proxy and entitled to vote thereon, voted at a shareholder meeting vote in favor of the business combination. In such case, our sponsor and each member of our management team have agreed to vote their founder shares and any public shares purchased during or after this offering in favor of our initial business combination. 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Each public shareholder may elect to redeem their public shares irrespective of whether they vote for or against the proposed transaction or vote at all. Our amended and restated memorandum and articles of association will require that at least five days’ notice will be given of any such shareholder meeting.</w:t>
      </w:r>
    </w:p>
    <w:p>
      <w:pPr>
        <w:spacing w:after="0" w:line="99" w:lineRule="exact"/>
        <w:rPr>
          <w:sz w:val="20"/>
          <w:szCs w:val="20"/>
          <w:color w:val="auto"/>
        </w:rPr>
      </w:pPr>
    </w:p>
    <w:p>
      <w:pPr>
        <w:ind w:left="3720" w:right="779"/>
        <w:spacing w:after="0" w:line="263"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116" w:lineRule="exact"/>
        <w:rPr>
          <w:sz w:val="20"/>
          <w:szCs w:val="20"/>
          <w:color w:val="auto"/>
        </w:rPr>
      </w:pPr>
    </w:p>
    <w:p>
      <w:pPr>
        <w:ind w:left="4160" w:right="599" w:hanging="214"/>
        <w:spacing w:after="0" w:line="263" w:lineRule="auto"/>
        <w:tabs>
          <w:tab w:leader="none" w:pos="41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16" w:lineRule="exact"/>
        <w:rPr>
          <w:rFonts w:ascii="Arial" w:cs="Arial" w:eastAsia="Arial" w:hAnsi="Arial"/>
          <w:sz w:val="18"/>
          <w:szCs w:val="18"/>
          <w:color w:val="auto"/>
        </w:rPr>
      </w:pPr>
    </w:p>
    <w:p>
      <w:pPr>
        <w:ind w:left="4160" w:right="579" w:hanging="214"/>
        <w:spacing w:after="0" w:line="293" w:lineRule="auto"/>
        <w:tabs>
          <w:tab w:leader="none" w:pos="41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83" w:lineRule="exact"/>
        <w:rPr>
          <w:sz w:val="20"/>
          <w:szCs w:val="20"/>
          <w:color w:val="auto"/>
        </w:rPr>
      </w:pPr>
    </w:p>
    <w:p>
      <w:pPr>
        <w:ind w:left="3720" w:right="699"/>
        <w:spacing w:after="0" w:line="273" w:lineRule="auto"/>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or our sponsor will terminate any plan established in accordance with Rule 10b5-1 to purchase our Class A ordinary shares in the open market, in order to comply with Rule 14e-5 under the Exchange Act.</w:t>
      </w:r>
    </w:p>
    <w:p>
      <w:pPr>
        <w:spacing w:after="0" w:line="110" w:lineRule="exact"/>
        <w:rPr>
          <w:sz w:val="20"/>
          <w:szCs w:val="20"/>
          <w:color w:val="auto"/>
        </w:rPr>
      </w:pPr>
    </w:p>
    <w:p>
      <w:pPr>
        <w:ind w:left="3720" w:right="559"/>
        <w:spacing w:after="0" w:line="269"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5" w:name="page26"/>
    <w:bookmarkEnd w:id="25"/>
    <w:p>
      <w:pPr>
        <w:ind w:left="720" w:right="20" w:hanging="179"/>
        <w:spacing w:after="0" w:line="259" w:lineRule="auto"/>
        <w:rPr>
          <w:sz w:val="20"/>
          <w:szCs w:val="20"/>
          <w:color w:val="auto"/>
        </w:rPr>
      </w:pPr>
      <w:r>
        <w:rPr>
          <w:rFonts w:ascii="Arial" w:cs="Arial" w:eastAsia="Arial" w:hAnsi="Arial"/>
          <w:sz w:val="18"/>
          <w:szCs w:val="18"/>
          <w:color w:val="auto"/>
        </w:rPr>
        <w:t>Limitation on redemption rights of shareholders holding more than 15% of the shares sold in this offering if we hold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0" w:hanging="179"/>
        <w:spacing w:after="0" w:line="342" w:lineRule="auto"/>
        <w:rPr>
          <w:sz w:val="20"/>
          <w:szCs w:val="20"/>
          <w:color w:val="auto"/>
        </w:rPr>
      </w:pPr>
      <w:r>
        <w:rPr>
          <w:rFonts w:ascii="Arial" w:cs="Arial" w:eastAsia="Arial" w:hAnsi="Arial"/>
          <w:sz w:val="16"/>
          <w:szCs w:val="16"/>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59"/>
        <w:spacing w:after="0" w:line="283"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-5050155</wp:posOffset>
            </wp:positionV>
            <wp:extent cx="5147310" cy="8583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58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599"/>
        <w:spacing w:after="0" w:line="284" w:lineRule="auto"/>
        <w:rPr>
          <w:sz w:val="20"/>
          <w:szCs w:val="20"/>
          <w:color w:val="auto"/>
        </w:rPr>
      </w:pPr>
      <w:r>
        <w:rPr>
          <w:rFonts w:ascii="Arial" w:cs="Arial" w:eastAsia="Arial" w:hAnsi="Arial"/>
          <w:sz w:val="16"/>
          <w:szCs w:val="16"/>
          <w:color w:val="auto"/>
        </w:rPr>
        <w:t>On the completion of our initial business combination, the funds held in the trust account will be disbursed directly by the trustee to pay amounts due to any public shareholders who exercise their redemption rights as described above adjacent to the caption “Redemption rights for public shareholders upon completion of our initial business combination,” to pay the underwriter its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680" w:space="100"/>
            <w:col w:w="5239"/>
          </w:cols>
          <w:pgMar w:left="1440" w:top="503" w:right="1440"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26" w:name="page27"/>
    <w:bookmarkEnd w:id="26"/>
    <w:p>
      <w:pPr>
        <w:ind w:left="720" w:hanging="179"/>
        <w:spacing w:after="0" w:line="263" w:lineRule="auto"/>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Our amended and restated memorandum and articles of association will provide that we will have only 24 months from the closing of this offering to consummate our initial business combination. If we have not consummated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consummate an initial business combination within 24 months from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-4193540</wp:posOffset>
            </wp:positionV>
            <wp:extent cx="5147310" cy="9243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9243060"/>
                    </a:xfrm>
                    <a:prstGeom prst="rect">
                      <a:avLst/>
                    </a:prstGeom>
                    <a:noFill/>
                  </pic:spPr>
                </pic:pic>
              </a:graphicData>
            </a:graphic>
          </wp:anchor>
        </w:drawing>
      </w:r>
    </w:p>
    <w:p>
      <w:pPr>
        <w:spacing w:after="0" w:line="70" w:lineRule="exact"/>
        <w:rPr>
          <w:sz w:val="20"/>
          <w:szCs w:val="20"/>
          <w:color w:val="auto"/>
        </w:rPr>
      </w:pPr>
    </w:p>
    <w:p>
      <w:pPr>
        <w:ind w:right="579"/>
        <w:spacing w:after="0" w:line="269" w:lineRule="auto"/>
        <w:rPr>
          <w:sz w:val="20"/>
          <w:szCs w:val="20"/>
          <w:color w:val="auto"/>
        </w:rPr>
      </w:pPr>
      <w:r>
        <w:rPr>
          <w:rFonts w:ascii="Arial" w:cs="Arial" w:eastAsia="Arial" w:hAnsi="Arial"/>
          <w:sz w:val="17"/>
          <w:szCs w:val="17"/>
          <w:color w:val="auto"/>
        </w:rPr>
        <w:t>Our sponsor, directors and members of our management team have entered into agreements with us, pursuant to which they have waived their rights to liquidating distributions from the trust account with respect to their founder shares if we fail to consummate an initial business combination within 24 months from the closing of this offering. However, if our sponsor, directors or members of our management team acquire public shares in or after this offering, they will be entitled to liquidating distributions from the trust account with respect to such public shares if we fail to consummate an initial business combination within 24 months from the closing of this offering.</w:t>
      </w:r>
    </w:p>
    <w:p>
      <w:pPr>
        <w:spacing w:after="0" w:line="114" w:lineRule="exact"/>
        <w:rPr>
          <w:sz w:val="20"/>
          <w:szCs w:val="20"/>
          <w:color w:val="auto"/>
        </w:rPr>
      </w:pPr>
    </w:p>
    <w:p>
      <w:pPr>
        <w:ind w:right="579"/>
        <w:spacing w:after="0" w:line="293" w:lineRule="auto"/>
        <w:rPr>
          <w:sz w:val="20"/>
          <w:szCs w:val="20"/>
          <w:color w:val="auto"/>
        </w:rPr>
      </w:pPr>
      <w:r>
        <w:rPr>
          <w:rFonts w:ascii="Arial" w:cs="Arial" w:eastAsia="Arial" w:hAnsi="Arial"/>
          <w:sz w:val="16"/>
          <w:szCs w:val="16"/>
          <w:color w:val="auto"/>
        </w:rPr>
        <w:t>The underwriter has agreed to waive their rights to their deferred underwriting commission held in the trust account in the event we do not consummate an initial business combination within 24 months from the closing of this offering and, in such event, such amounts will be included with the funds held in the trust account that will be available to fund the redemption of our public shares.</w:t>
      </w:r>
    </w:p>
    <w:p>
      <w:pPr>
        <w:spacing w:after="0" w:line="97" w:lineRule="exact"/>
        <w:rPr>
          <w:sz w:val="20"/>
          <w:szCs w:val="20"/>
          <w:color w:val="auto"/>
        </w:rPr>
      </w:pPr>
    </w:p>
    <w:p>
      <w:pPr>
        <w:ind w:right="639"/>
        <w:spacing w:after="0" w:line="285" w:lineRule="auto"/>
        <w:rPr>
          <w:sz w:val="20"/>
          <w:szCs w:val="20"/>
          <w:color w:val="auto"/>
        </w:rPr>
      </w:pPr>
      <w:r>
        <w:rPr>
          <w:rFonts w:ascii="Arial" w:cs="Arial" w:eastAsia="Arial" w:hAnsi="Arial"/>
          <w:sz w:val="16"/>
          <w:szCs w:val="16"/>
          <w:color w:val="auto"/>
        </w:rPr>
        <w:t>Our sponsor, executive officers, directors and director nominees have agreed, pursuant to a written agreement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w:t>
      </w:r>
    </w:p>
    <w:p>
      <w:pPr>
        <w:spacing w:after="0" w:line="200" w:lineRule="exact"/>
        <w:rPr>
          <w:sz w:val="20"/>
          <w:szCs w:val="20"/>
          <w:color w:val="auto"/>
        </w:rPr>
      </w:pPr>
    </w:p>
    <w:p>
      <w:pPr>
        <w:sectPr>
          <w:pgSz w:w="11900" w:h="16838" w:orient="portrait"/>
          <w:cols w:equalWidth="0" w:num="2">
            <w:col w:w="3520" w:space="200"/>
            <w:col w:w="5299"/>
          </w:cols>
          <w:pgMar w:left="1440" w:top="652"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27" w:name="page28"/>
    <w:bookmarkEnd w:id="27"/>
    <w:p>
      <w:pPr>
        <w:ind w:left="3720" w:right="639"/>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83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583295"/>
                    </a:xfrm>
                    <a:prstGeom prst="rect">
                      <a:avLst/>
                    </a:prstGeom>
                    <a:noFill/>
                  </pic:spPr>
                </pic:pic>
              </a:graphicData>
            </a:graphic>
          </wp:anchor>
        </w:drawing>
        <w:t>by the number of the then-outstanding public shares, subject to the limitations described above adjacent to the caption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shareholder approval of such proposal and, in connection therewith, provide our public shareholders with the redemption rights described above upon shareholder approval of such amendment. This redemption right shall apply in the event of the approval of any such amendment, whether proposed by our sponsor, any executive officer, director or director nominee, or any other person.</w:t>
      </w:r>
    </w:p>
    <w:p>
      <w:pPr>
        <w:spacing w:after="0" w:line="103" w:lineRule="exact"/>
        <w:rPr>
          <w:sz w:val="20"/>
          <w:szCs w:val="20"/>
          <w:color w:val="auto"/>
        </w:rPr>
      </w:pPr>
    </w:p>
    <w:p>
      <w:pPr>
        <w:ind w:left="3720" w:right="579"/>
        <w:spacing w:after="0" w:line="254" w:lineRule="auto"/>
        <w:rPr>
          <w:sz w:val="20"/>
          <w:szCs w:val="20"/>
          <w:color w:val="auto"/>
        </w:rPr>
      </w:pPr>
      <w:r>
        <w:rPr>
          <w:rFonts w:ascii="Arial" w:cs="Arial" w:eastAsia="Arial" w:hAnsi="Arial"/>
          <w:sz w:val="18"/>
          <w:szCs w:val="18"/>
          <w:color w:val="auto"/>
        </w:rPr>
        <w:t>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68"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6"/>
          <w:szCs w:val="16"/>
          <w:color w:val="auto"/>
        </w:rPr>
        <w:t>There will be no finder’s fees, reimbursements or cash payments</w:t>
      </w:r>
    </w:p>
    <w:p>
      <w:pPr>
        <w:spacing w:after="0" w:line="23" w:lineRule="exact"/>
        <w:rPr>
          <w:sz w:val="20"/>
          <w:szCs w:val="20"/>
          <w:color w:val="auto"/>
        </w:rPr>
      </w:pPr>
    </w:p>
    <w:p>
      <w:pPr>
        <w:ind w:left="3720" w:right="599"/>
        <w:spacing w:after="0" w:line="252" w:lineRule="auto"/>
        <w:rPr>
          <w:sz w:val="20"/>
          <w:szCs w:val="20"/>
          <w:color w:val="auto"/>
        </w:rPr>
      </w:pPr>
      <w:r>
        <w:rPr>
          <w:rFonts w:ascii="Arial" w:cs="Arial" w:eastAsia="Arial" w:hAnsi="Arial"/>
          <w:sz w:val="18"/>
          <w:szCs w:val="18"/>
          <w:color w:val="auto"/>
        </w:rPr>
        <w:t>made by the company to our sponsor, officers or directors, or our or their affiliates, for services rendered to us prior to or in connection with the completion of our initial business combination, other than the following payments, none of which will be made from the proceeds of this offering held in the trust account prior to the completion of our initial business combination:</w:t>
      </w:r>
    </w:p>
    <w:p>
      <w:pPr>
        <w:spacing w:after="0" w:line="11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  repayment of up to an aggregate of $300,000 in loans made</w:t>
      </w:r>
    </w:p>
    <w:p>
      <w:pPr>
        <w:spacing w:after="0" w:line="4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to us by our sponsor to cover offering-related and</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organizational expenses;</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reimbursement for office space, secretarial and</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administrative services provided to us by an affiliate of our</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sponsor, in the amount of $10,000 per month;</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  reimbursement for any out-of-pocket expenses related to</w:t>
      </w:r>
    </w:p>
    <w:p>
      <w:pPr>
        <w:spacing w:after="0" w:line="35"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identifying, investigating, negotiating and completing an</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initial business combination; and</w:t>
      </w:r>
    </w:p>
    <w:p>
      <w:pPr>
        <w:spacing w:after="0" w:line="130"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  repayment of loans which may be made by our sponsor or</w:t>
      </w:r>
    </w:p>
    <w:p>
      <w:pPr>
        <w:spacing w:after="0" w:line="4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an affiliate of our sponsor or certain of our officers and</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directors to finance transaction costs in connection with an</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intended initial business combination. Up to $1,500,000 of</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such loans may be convertible into warrants of the post</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business combination entity at a price of $1.00 per warrant</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at the option of the lender. The warrants would be identical</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to the private placement warrants. Except for the</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foregoing, the terms of such loans, if any, have not been</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determined and no written agreements exist with respect to</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such loans.</w:t>
      </w:r>
    </w:p>
    <w:p>
      <w:pPr>
        <w:spacing w:after="0" w:line="143" w:lineRule="exact"/>
        <w:rPr>
          <w:sz w:val="20"/>
          <w:szCs w:val="20"/>
          <w:color w:val="auto"/>
        </w:rPr>
      </w:pPr>
    </w:p>
    <w:p>
      <w:pPr>
        <w:ind w:left="3720" w:right="579"/>
        <w:spacing w:after="0" w:line="257" w:lineRule="auto"/>
        <w:rPr>
          <w:sz w:val="20"/>
          <w:szCs w:val="20"/>
          <w:color w:val="auto"/>
        </w:rPr>
      </w:pPr>
      <w:r>
        <w:rPr>
          <w:rFonts w:ascii="Arial" w:cs="Arial" w:eastAsia="Arial" w:hAnsi="Arial"/>
          <w:sz w:val="18"/>
          <w:szCs w:val="18"/>
          <w:color w:val="auto"/>
        </w:rPr>
        <w:t>Any such payments will be made either (i) prior to our initial business combination using proceeds of this offering held outside the trust account or from loans made to us by our sponsor or (ii) in connection with or after the consummation of our initial business combination.</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28" w:name="page29"/>
    <w:bookmarkEnd w:id="28"/>
    <w:tbl>
      <w:tblPr>
        <w:tblLayout w:type="fixed"/>
        <w:tblInd w:w="470" w:type="dxa"/>
        <w:tblCellMar>
          <w:top w:w="0" w:type="dxa"/>
          <w:left w:w="0" w:type="dxa"/>
          <w:bottom w:w="0" w:type="dxa"/>
          <w:right w:w="0" w:type="dxa"/>
        </w:tblCellMar>
      </w:tblPr>
      <w:tr>
        <w:trPr>
          <w:trHeight w:val="728"/>
        </w:trPr>
        <w:tc>
          <w:tcPr>
            <w:tcW w:w="22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Audit committee</w:t>
            </w:r>
          </w:p>
        </w:tc>
        <w:tc>
          <w:tcPr>
            <w:tcW w:w="582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w w:val="94"/>
              </w:rPr>
              <w:t>We will establish and maintain an audit committee, which will be</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composed entirely of independent directors. Among its</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8"/>
              </w:rPr>
              <w:t>responsibilities, the audit committee will review on a quarterly</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8"/>
              </w:rPr>
              <w:t>basis all payments that were made to our sponsor, officers or</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directors, or our or their affiliates and monitor compliance with</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the other terms relating to this offering. If any noncompliance is</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identified, then the audit committee will be charged with the</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responsibility to promptly take all action necessary to rectify</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such noncompliance or otherwise to cause compliance with the</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terms of this offering. For more information, see the section</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entitled “Management — Committees of the Board of Directors</w:t>
            </w:r>
          </w:p>
        </w:tc>
      </w:tr>
      <w:tr>
        <w:trPr>
          <w:trHeight w:val="230"/>
        </w:trPr>
        <w:tc>
          <w:tcPr>
            <w:tcW w:w="2280" w:type="dxa"/>
            <w:vAlign w:val="bottom"/>
            <w:tcBorders>
              <w:left w:val="single" w:sz="8" w:color="auto"/>
            </w:tcBorders>
          </w:tcPr>
          <w:p>
            <w:pPr>
              <w:spacing w:after="0"/>
              <w:rPr>
                <w:sz w:val="20"/>
                <w:szCs w:val="20"/>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 Audit Committee.”</w:t>
            </w:r>
          </w:p>
        </w:tc>
      </w:tr>
      <w:tr>
        <w:trPr>
          <w:trHeight w:val="402"/>
        </w:trPr>
        <w:tc>
          <w:tcPr>
            <w:tcW w:w="2280" w:type="dxa"/>
            <w:vAlign w:val="bottom"/>
            <w:tcBorders>
              <w:left w:val="single" w:sz="8" w:color="auto"/>
              <w:bottom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spacing w:after="0"/>
              <w:rPr>
                <w:sz w:val="24"/>
                <w:szCs w:val="24"/>
                <w:color w:val="auto"/>
              </w:rPr>
            </w:pPr>
          </w:p>
        </w:tc>
      </w:tr>
      <w:tr>
        <w:trPr>
          <w:trHeight w:val="388"/>
        </w:trPr>
        <w:tc>
          <w:tcPr>
            <w:tcW w:w="22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9019"/>
          </w:cols>
          <w:pgMar w:left="1440" w:top="120" w:right="1440"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1990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1990725"/>
                    </a:xfrm>
                    <a:prstGeom prst="rect">
                      <a:avLst/>
                    </a:prstGeom>
                    <a:noFill/>
                  </pic:spPr>
                </pic:pic>
              </a:graphicData>
            </a:graphic>
          </wp:anchor>
        </w:drawing>
        <w:t>Risks</w:t>
      </w:r>
    </w:p>
    <w:p>
      <w:pPr>
        <w:spacing w:after="0" w:line="148" w:lineRule="exact"/>
        <w:rPr>
          <w:sz w:val="20"/>
          <w:szCs w:val="20"/>
          <w:color w:val="auto"/>
        </w:rPr>
      </w:pPr>
    </w:p>
    <w:p>
      <w:pPr>
        <w:ind w:left="540" w:right="579" w:firstLine="432"/>
        <w:spacing w:after="0" w:line="269" w:lineRule="auto"/>
        <w:rPr>
          <w:sz w:val="20"/>
          <w:szCs w:val="20"/>
          <w:color w:val="auto"/>
        </w:rPr>
      </w:pPr>
      <w:r>
        <w:rPr>
          <w:rFonts w:ascii="Arial" w:cs="Arial" w:eastAsia="Arial" w:hAnsi="Arial"/>
          <w:sz w:val="17"/>
          <w:szCs w:val="17"/>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 Rule 419.” You should carefully consider these and the other risks set forth in the section entitled “Risk Factors” of this prospectus.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63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2633980"/>
                    </a:xfrm>
                    <a:prstGeom prst="rect">
                      <a:avLst/>
                    </a:prstGeom>
                    <a:noFill/>
                  </pic:spPr>
                </pic:pic>
              </a:graphicData>
            </a:graphic>
          </wp:anchor>
        </w:drawing>
        <w:t>SUMMARY FINANCIAL DATA</w:t>
      </w:r>
    </w:p>
    <w:p>
      <w:pPr>
        <w:spacing w:after="0" w:line="148" w:lineRule="exact"/>
        <w:rPr>
          <w:sz w:val="20"/>
          <w:szCs w:val="20"/>
          <w:color w:val="auto"/>
        </w:rPr>
      </w:pPr>
    </w:p>
    <w:p>
      <w:pPr>
        <w:ind w:left="540" w:right="559" w:firstLine="432"/>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320" w:type="dxa"/>
            <w:vAlign w:val="bottom"/>
            <w:gridSpan w:val="3"/>
          </w:tcPr>
          <w:p>
            <w:pPr>
              <w:ind w:left="12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46"/>
        </w:trPr>
        <w:tc>
          <w:tcPr>
            <w:tcW w:w="678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(87,699)</w:t>
            </w:r>
          </w:p>
        </w:tc>
        <w:tc>
          <w:tcPr>
            <w:tcW w:w="100" w:type="dxa"/>
            <w:vAlign w:val="bottom"/>
          </w:tcPr>
          <w:p>
            <w:pPr>
              <w:spacing w:after="0"/>
              <w:rPr>
                <w:sz w:val="21"/>
                <w:szCs w:val="21"/>
                <w:color w:val="auto"/>
              </w:rPr>
            </w:pPr>
          </w:p>
        </w:tc>
      </w:tr>
      <w:tr>
        <w:trPr>
          <w:trHeight w:val="41"/>
        </w:trPr>
        <w:tc>
          <w:tcPr>
            <w:tcW w:w="67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119,621</w:t>
            </w:r>
          </w:p>
        </w:tc>
        <w:tc>
          <w:tcPr>
            <w:tcW w:w="100" w:type="dxa"/>
            <w:vAlign w:val="bottom"/>
          </w:tcPr>
          <w:p>
            <w:pPr>
              <w:spacing w:after="0"/>
              <w:rPr>
                <w:sz w:val="22"/>
                <w:szCs w:val="22"/>
                <w:color w:val="auto"/>
              </w:rPr>
            </w:pPr>
          </w:p>
        </w:tc>
      </w:tr>
      <w:tr>
        <w:trPr>
          <w:trHeight w:val="243"/>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103,660</w:t>
            </w:r>
          </w:p>
        </w:tc>
        <w:tc>
          <w:tcPr>
            <w:tcW w:w="100" w:type="dxa"/>
            <w:vAlign w:val="bottom"/>
          </w:tcPr>
          <w:p>
            <w:pPr>
              <w:spacing w:after="0"/>
              <w:rPr>
                <w:sz w:val="21"/>
                <w:szCs w:val="21"/>
                <w:color w:val="auto"/>
              </w:rPr>
            </w:pPr>
          </w:p>
        </w:tc>
      </w:tr>
      <w:tr>
        <w:trPr>
          <w:trHeight w:val="40"/>
        </w:trPr>
        <w:tc>
          <w:tcPr>
            <w:tcW w:w="67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 of Class A ordinary shares subject to possible redemption</w:t>
            </w:r>
          </w:p>
        </w:tc>
        <w:tc>
          <w:tcPr>
            <w:tcW w:w="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43"/>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15,961</w:t>
            </w:r>
          </w:p>
        </w:tc>
        <w:tc>
          <w:tcPr>
            <w:tcW w:w="100" w:type="dxa"/>
            <w:vAlign w:val="bottom"/>
          </w:tcPr>
          <w:p>
            <w:pPr>
              <w:spacing w:after="0"/>
              <w:rPr>
                <w:sz w:val="21"/>
                <w:szCs w:val="2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88"/>
        </w:trPr>
        <w:tc>
          <w:tcPr>
            <w:tcW w:w="6780" w:type="dxa"/>
            <w:vAlign w:val="bottom"/>
            <w:tcBorders>
              <w:bottom w:val="single" w:sz="8" w:color="auto"/>
            </w:tcBorders>
            <w:gridSpan w:val="2"/>
          </w:tcPr>
          <w:p>
            <w:pPr>
              <w:jc w:val="right"/>
              <w:ind w:right="255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4" w:lineRule="exact"/>
        <w:rPr>
          <w:sz w:val="20"/>
          <w:szCs w:val="20"/>
          <w:color w:val="auto"/>
        </w:rPr>
      </w:pPr>
    </w:p>
    <w:p>
      <w:pPr>
        <w:ind w:left="460" w:right="819"/>
        <w:spacing w:after="0" w:line="282" w:lineRule="auto"/>
        <w:rPr>
          <w:sz w:val="20"/>
          <w:szCs w:val="20"/>
          <w:color w:val="auto"/>
        </w:rPr>
      </w:pPr>
      <w:r>
        <w:rPr>
          <w:rFonts w:ascii="Arial" w:cs="Arial" w:eastAsia="Arial" w:hAnsi="Arial"/>
          <w:sz w:val="18"/>
          <w:szCs w:val="18"/>
          <w:b w:val="1"/>
          <w:bCs w:val="1"/>
          <w:color w:val="auto"/>
        </w:rPr>
        <w:t>We are a recently incorporated company with no operating history and no revenues, and you have no basis on which to evaluate our ability to achieve our business objective.</w:t>
      </w:r>
    </w:p>
    <w:p>
      <w:pPr>
        <w:spacing w:after="0" w:line="85"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We are a recently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73" w:lineRule="exact"/>
        <w:rPr>
          <w:sz w:val="20"/>
          <w:szCs w:val="20"/>
          <w:color w:val="auto"/>
        </w:rPr>
      </w:pPr>
    </w:p>
    <w:p>
      <w:pPr>
        <w:ind w:left="460" w:right="899"/>
        <w:spacing w:after="0" w:line="312" w:lineRule="auto"/>
        <w:rPr>
          <w:sz w:val="20"/>
          <w:szCs w:val="20"/>
          <w:color w:val="auto"/>
        </w:rPr>
      </w:pPr>
      <w:r>
        <w:rPr>
          <w:rFonts w:ascii="Arial" w:cs="Arial" w:eastAsia="Arial" w:hAnsi="Arial"/>
          <w:sz w:val="17"/>
          <w:szCs w:val="17"/>
          <w:b w:val="1"/>
          <w:bCs w:val="1"/>
          <w:color w:val="auto"/>
        </w:rPr>
        <w:t>Our independent registered public accounting firm’s report contains an explanatory paragraph that expresses substantial doubt about our ability to continue as a “going concern.”</w:t>
      </w:r>
    </w:p>
    <w:p>
      <w:pPr>
        <w:spacing w:after="0" w:line="76"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As of December 31, 2019, we had no cash and a working capital deficiency of $88,000. Further, we have incurred and expect to continue to incur significant costs in pursuit of our financing and acquisition plans. Management’s plans to address this need for capital through this offering are discussed in the section of this prospectus entitled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61" w:lineRule="exact"/>
        <w:rPr>
          <w:sz w:val="20"/>
          <w:szCs w:val="20"/>
          <w:color w:val="auto"/>
        </w:rPr>
      </w:pPr>
    </w:p>
    <w:p>
      <w:pPr>
        <w:ind w:left="460" w:right="619"/>
        <w:spacing w:after="0" w:line="314" w:lineRule="auto"/>
        <w:rPr>
          <w:sz w:val="20"/>
          <w:szCs w:val="20"/>
          <w:color w:val="auto"/>
        </w:rPr>
      </w:pPr>
      <w:r>
        <w:rPr>
          <w:rFonts w:ascii="Arial" w:cs="Arial" w:eastAsia="Arial" w:hAnsi="Arial"/>
          <w:sz w:val="16"/>
          <w:szCs w:val="16"/>
          <w:b w:val="1"/>
          <w:bCs w:val="1"/>
          <w:color w:val="auto"/>
        </w:rPr>
        <w:t>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w:t>
      </w:r>
    </w:p>
    <w:p>
      <w:pPr>
        <w:spacing w:after="0" w:line="7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Information regarding performance is presented for informational purposes only. Any past experience and performance of our management team is not a guarantee either: (1) that we will be able to successfully identify a suitable candidate for our initial business combination; or (2) of any results with respect to any initial business combination we may consummate. You should not rely on the historical record of our management team’s performance as indicative of the future performance of an investment in us, including whether we can provide an attractive return to our shareholders, or as indicative of every prior investment by each of our founders and the members of our management team. The market price of our securities may be influenced by numerous factors, many of which are beyond our control, and our shareholders may experience losses on their investment in our securities.</w:t>
      </w:r>
    </w:p>
    <w:p>
      <w:pPr>
        <w:spacing w:after="0" w:line="177" w:lineRule="exact"/>
        <w:rPr>
          <w:sz w:val="20"/>
          <w:szCs w:val="20"/>
          <w:color w:val="auto"/>
        </w:rPr>
      </w:pPr>
    </w:p>
    <w:p>
      <w:pPr>
        <w:ind w:left="460" w:right="639"/>
        <w:spacing w:after="0" w:line="266" w:lineRule="auto"/>
        <w:rPr>
          <w:sz w:val="20"/>
          <w:szCs w:val="20"/>
          <w:color w:val="auto"/>
        </w:rPr>
      </w:pPr>
      <w:r>
        <w:rPr>
          <w:rFonts w:ascii="Arial" w:cs="Arial" w:eastAsia="Arial" w:hAnsi="Arial"/>
          <w:sz w:val="18"/>
          <w:szCs w:val="18"/>
          <w:b w:val="1"/>
          <w:b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99"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We may choose not to hold a shareholder vote before we complete our initial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not be required to seek shareholder approval to complete such a transaction. Except for as required by applicable law or stock exchange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ordinary shares do not approve of the business combination we complete.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 w:name="page33"/>
    <w:bookmarkEnd w:id="32"/>
    <w:p>
      <w:pPr>
        <w:ind w:left="460" w:right="519" w:firstLine="432"/>
        <w:spacing w:after="0" w:line="277" w:lineRule="auto"/>
        <w:rPr>
          <w:sz w:val="20"/>
          <w:szCs w:val="20"/>
          <w:color w:val="auto"/>
        </w:rPr>
      </w:pPr>
      <w:r>
        <w:rPr>
          <w:rFonts w:ascii="Arial" w:cs="Arial" w:eastAsia="Arial" w:hAnsi="Arial"/>
          <w:sz w:val="18"/>
          <w:szCs w:val="18"/>
          <w:color w:val="auto"/>
        </w:rPr>
        <w:t>Please see the section entitled “Proposed Business — Shareholders May Not Have the Ability to Approve Our Initial Business Combination” for additional information.</w:t>
      </w:r>
    </w:p>
    <w:p>
      <w:pPr>
        <w:spacing w:after="0" w:line="166" w:lineRule="exact"/>
        <w:rPr>
          <w:sz w:val="20"/>
          <w:szCs w:val="20"/>
          <w:color w:val="auto"/>
        </w:rPr>
      </w:pPr>
    </w:p>
    <w:p>
      <w:pPr>
        <w:ind w:left="460" w:right="619"/>
        <w:spacing w:after="0" w:line="312" w:lineRule="auto"/>
        <w:rPr>
          <w:sz w:val="20"/>
          <w:szCs w:val="20"/>
          <w:color w:val="auto"/>
        </w:rPr>
      </w:pPr>
      <w:r>
        <w:rPr>
          <w:rFonts w:ascii="Arial" w:cs="Arial" w:eastAsia="Arial" w:hAnsi="Arial"/>
          <w:sz w:val="17"/>
          <w:szCs w:val="17"/>
          <w:b w:val="1"/>
          <w:bCs w:val="1"/>
          <w:color w:val="auto"/>
        </w:rPr>
        <w:t>Your only opportunity to affect the investment decision regarding a potential business combination may be limited to the exercise of your right to redeem your shares from us for cash.</w:t>
      </w:r>
    </w:p>
    <w:p>
      <w:pPr>
        <w:spacing w:after="0" w:line="6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62" w:lineRule="exact"/>
        <w:rPr>
          <w:sz w:val="20"/>
          <w:szCs w:val="20"/>
          <w:color w:val="auto"/>
        </w:rPr>
      </w:pPr>
    </w:p>
    <w:p>
      <w:pPr>
        <w:jc w:val="both"/>
        <w:ind w:left="460" w:right="759"/>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11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Our sponsor will own, on an as-converted basis, 20% of our outstanding ordinary shares immediately following the completion of this offering. Our sponsor and members of our management team also may from time to time purchase Class A ordinary shares prior to our initial business combination. Our amended and restated memorandum and articles of association will provide that, if we seek shareholder approval, we will complete our initial business combination only if a majority of the ordinary shares, represented in person or by proxy and entitled to vote thereon, voted at a shareholder meeting vote in favor of the business combination, including the founder shares. 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Accordingly, if we seek shareholder approval of our initial business combination, the agreement by our sponsor and each member of our management team to vote in favor of our initial business combination will increase the likelihood that we will receive the requisite shareholder approval for such initial business combination.</w:t>
      </w:r>
    </w:p>
    <w:p>
      <w:pPr>
        <w:spacing w:after="0" w:line="167" w:lineRule="exact"/>
        <w:rPr>
          <w:sz w:val="20"/>
          <w:szCs w:val="20"/>
          <w:color w:val="auto"/>
        </w:rPr>
      </w:pPr>
    </w:p>
    <w:p>
      <w:pPr>
        <w:jc w:val="both"/>
        <w:ind w:left="460" w:right="619"/>
        <w:spacing w:after="0" w:line="266" w:lineRule="auto"/>
        <w:rPr>
          <w:sz w:val="20"/>
          <w:szCs w:val="20"/>
          <w:color w:val="auto"/>
        </w:rPr>
      </w:pPr>
      <w:r>
        <w:rPr>
          <w:rFonts w:ascii="Arial" w:cs="Arial" w:eastAsia="Arial" w:hAnsi="Arial"/>
          <w:sz w:val="18"/>
          <w:szCs w:val="18"/>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12"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are not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64"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99"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are submitted for redemption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right="499"/>
        <w:spacing w:after="0" w:line="289" w:lineRule="auto"/>
        <w:rPr>
          <w:sz w:val="20"/>
          <w:szCs w:val="20"/>
          <w:color w:val="auto"/>
        </w:rPr>
      </w:pPr>
      <w:r>
        <w:rPr>
          <w:rFonts w:ascii="Arial" w:cs="Arial" w:eastAsia="Arial" w:hAnsi="Arial"/>
          <w:sz w:val="16"/>
          <w:szCs w:val="16"/>
          <w:color w:val="auto"/>
        </w:rPr>
        <w:t>than we initially expected,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16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81"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161" w:lineRule="exact"/>
        <w:rPr>
          <w:sz w:val="20"/>
          <w:szCs w:val="20"/>
          <w:color w:val="auto"/>
        </w:rPr>
      </w:pPr>
    </w:p>
    <w:p>
      <w:pPr>
        <w:ind w:left="460" w:right="579"/>
        <w:spacing w:after="0" w:line="298" w:lineRule="auto"/>
        <w:rPr>
          <w:sz w:val="20"/>
          <w:szCs w:val="20"/>
          <w:color w:val="auto"/>
        </w:rPr>
      </w:pPr>
      <w:r>
        <w:rPr>
          <w:rFonts w:ascii="Arial" w:cs="Arial" w:eastAsia="Arial" w:hAnsi="Arial"/>
          <w:sz w:val="16"/>
          <w:szCs w:val="16"/>
          <w:b w:val="1"/>
          <w:bCs w:val="1"/>
          <w:color w:val="auto"/>
        </w:rPr>
        <w:t>The requirement that we consummate an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as we approach our dissolution deadline, which could undermine our ability to complete our initial business combination on terms that would produce value for our shareholders.</w:t>
      </w:r>
    </w:p>
    <w:p>
      <w:pPr>
        <w:spacing w:after="0" w:line="90"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consummate an initial business combination within 24 months from the closing of this offering. Consequently, such target business may obtain leverage over us in negotiating a business combination, knowing that if we do not consummate an initial business combination with that particular target business, we may be unable to complete our initial business combination with any target business. This risk will increase as we get closer to the time frame described above. In addition, we may have limited time to conduct due diligence and may enter into our initial business combination on terms that we would have rejected upon a more comprehensive investigation.</w:t>
      </w:r>
    </w:p>
    <w:p>
      <w:pPr>
        <w:spacing w:after="0" w:line="174" w:lineRule="exact"/>
        <w:rPr>
          <w:sz w:val="20"/>
          <w:szCs w:val="20"/>
          <w:color w:val="auto"/>
        </w:rPr>
      </w:pPr>
    </w:p>
    <w:p>
      <w:pPr>
        <w:ind w:left="460" w:right="579"/>
        <w:spacing w:after="0" w:line="266" w:lineRule="auto"/>
        <w:rPr>
          <w:sz w:val="20"/>
          <w:szCs w:val="20"/>
          <w:color w:val="auto"/>
        </w:rPr>
      </w:pPr>
      <w:r>
        <w:rPr>
          <w:rFonts w:ascii="Arial" w:cs="Arial" w:eastAsia="Arial" w:hAnsi="Arial"/>
          <w:sz w:val="18"/>
          <w:szCs w:val="18"/>
          <w:b w:val="1"/>
          <w:bCs w:val="1"/>
          <w:color w:val="auto"/>
        </w:rPr>
        <w:t>We may not be able to consummate an initial business combination within 24 months after the closing of this offering, in which case we would cease all operations except for the purpose of winding up and we would redeem our public shares and liquidate.</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may not be able to find a suitable target business and consummate an initial business combination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within 24 months after the closing of this offering. Our ability to complete our initial business combination may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be negatively impacted by general market conditions, volatility in the capital and debt markets and the other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risks described herein. If we have not consummated an initial business combination within such applicable time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period, we will: (i) cease all operations except for the purpose of winding up; (ii) as promptly as reasonably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possible but not more than ten business days thereafter, redeem the public shares, at a per-share price, payable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cash, equal to the aggregate amount then on deposit in the trust account, including interest earned on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funds held in the trust account and not previously released to us to pay our income taxes, if any, (less up to</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$100,000 of interest to pay dissolution expenses) divided by the number of the then-outstanding public shares,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redemption will completely extinguish public shareholders’ rights as shareholders (including the right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receive further liquidation distributions, if any); and (iii) as promptly as reasonably possible following such</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redemption, subject to the approval of our remaining shareholders and our board of directors, liquidate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dissolve, subject in the case of clauses (ii) and (iii), to our obligations under Cayman Islands law to provide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claims of creditors and in all cases subject to the other requirements of applicable law. Our amended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restated memorandum and articles of association will provide that, if we wind up for any other reason prior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consummation of our initial business combination, we will follow the foregoing procedures with respect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liquidation of the trust account as promptly as reasonably possible but not more than ten business days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thereafter, subject to applicable Cayman Islands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right="859"/>
        <w:spacing w:after="0" w:line="261" w:lineRule="auto"/>
        <w:rPr>
          <w:sz w:val="20"/>
          <w:szCs w:val="20"/>
          <w:color w:val="auto"/>
        </w:rPr>
      </w:pPr>
      <w:r>
        <w:rPr>
          <w:rFonts w:ascii="Arial" w:cs="Arial" w:eastAsia="Arial" w:hAnsi="Arial"/>
          <w:sz w:val="18"/>
          <w:szCs w:val="18"/>
          <w:b w:val="1"/>
          <w:bCs w:val="1"/>
          <w:color w:val="auto"/>
        </w:rPr>
        <w:t>If we seek shareholder approval of our initial business combination, our sponsor, directors, executive officers, advisors and their affiliates may elect to purchase public shares or warrants from public shareholders, which may influence a vote on a proposed business combination and reduce the public “float” of our Class A ordinary shares.</w:t>
      </w:r>
    </w:p>
    <w:p>
      <w:pPr>
        <w:spacing w:after="0" w:line="116"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97"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shareholders to purchase securities from in any private transaction.</w:t>
      </w:r>
    </w:p>
    <w:p>
      <w:pPr>
        <w:spacing w:after="0" w:line="100"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145" w:lineRule="exact"/>
        <w:rPr>
          <w:sz w:val="20"/>
          <w:szCs w:val="20"/>
          <w:color w:val="auto"/>
        </w:rPr>
      </w:pPr>
    </w:p>
    <w:p>
      <w:pPr>
        <w:ind w:left="460" w:right="639"/>
        <w:spacing w:after="0" w:line="266" w:lineRule="auto"/>
        <w:rPr>
          <w:sz w:val="20"/>
          <w:szCs w:val="20"/>
          <w:color w:val="auto"/>
        </w:rPr>
      </w:pPr>
      <w:r>
        <w:rPr>
          <w:rFonts w:ascii="Arial" w:cs="Arial" w:eastAsia="Arial" w:hAnsi="Arial"/>
          <w:sz w:val="18"/>
          <w:szCs w:val="18"/>
          <w:b w:val="1"/>
          <w:b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1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 See “Proposed Business — Business Strategy — Tendering Share Certificates in Connection with a Tender Offer or Redemption Rights.”</w:t>
      </w:r>
    </w:p>
    <w:p>
      <w:pPr>
        <w:spacing w:after="0" w:line="177" w:lineRule="exact"/>
        <w:rPr>
          <w:sz w:val="20"/>
          <w:szCs w:val="20"/>
          <w:color w:val="auto"/>
        </w:rPr>
      </w:pPr>
    </w:p>
    <w:p>
      <w:pPr>
        <w:ind w:left="460" w:right="699"/>
        <w:spacing w:after="0" w:line="266"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99"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earlier to occur of: (i) our completion of an initial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our Class A ordinary shares; and (iii) the redemption of our public shares if we have not consummated an initial business within 24 months from the closing of this offering, subject to applicable law and as further described herein. Public</w:t>
      </w:r>
    </w:p>
    <w:p>
      <w:pPr>
        <w:sectPr>
          <w:pgSz w:w="11900" w:h="16838" w:orient="portrait"/>
          <w:cols w:equalWidth="0" w:num="1">
            <w:col w:w="9019"/>
          </w:cols>
          <w:pgMar w:left="1440" w:top="337"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5" w:name="page36"/>
    <w:bookmarkEnd w:id="35"/>
    <w:p>
      <w:pPr>
        <w:ind w:left="460" w:right="519"/>
        <w:spacing w:after="0" w:line="271" w:lineRule="auto"/>
        <w:rPr>
          <w:sz w:val="20"/>
          <w:szCs w:val="20"/>
          <w:color w:val="auto"/>
        </w:rPr>
      </w:pPr>
      <w:r>
        <w:rPr>
          <w:rFonts w:ascii="Arial" w:cs="Arial" w:eastAsia="Arial" w:hAnsi="Arial"/>
          <w:sz w:val="17"/>
          <w:szCs w:val="17"/>
          <w:color w:val="auto"/>
        </w:rPr>
        <w:t>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are unable to complete an initial business combination within 24 months from the closing of this offering, with respect to such Class A ordinary shares so redeemed.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74" w:lineRule="exact"/>
        <w:rPr>
          <w:sz w:val="20"/>
          <w:szCs w:val="20"/>
          <w:color w:val="auto"/>
        </w:rPr>
      </w:pPr>
    </w:p>
    <w:p>
      <w:pPr>
        <w:ind w:left="460" w:right="519"/>
        <w:spacing w:after="0" w:line="282" w:lineRule="auto"/>
        <w:rPr>
          <w:sz w:val="20"/>
          <w:szCs w:val="20"/>
          <w:color w:val="auto"/>
        </w:rPr>
      </w:pPr>
      <w:r>
        <w:rPr>
          <w:rFonts w:ascii="Arial" w:cs="Arial" w:eastAsia="Arial" w:hAnsi="Arial"/>
          <w:sz w:val="18"/>
          <w:szCs w:val="18"/>
          <w:b w:val="1"/>
          <w:bCs w:val="1"/>
          <w:color w:val="auto"/>
        </w:rPr>
        <w:t>NYSE may delist our securities from trading on its exchange, which could limit investors’ ability to make transactions in our securities and subject us to additional trading restrictions.</w:t>
      </w:r>
    </w:p>
    <w:p>
      <w:pPr>
        <w:spacing w:after="0" w:line="85"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We intend to apply to have our units listed on the NYSE on the date of this prospectus and our Class A ordinary shares and warrants on or promptly after their date of separation. Although after giving effect to this offering we expect to meet, on a pro forma basis, the minimum initial listing standards set forth in the NYSE listing standards,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share price levels. Generally, we must maintain a minimum market capitalization (generally $50,000,000) and a minimum number of holders of our securities (generally 400 public holders).</w:t>
      </w:r>
    </w:p>
    <w:p>
      <w:pPr>
        <w:spacing w:after="0" w:line="111" w:lineRule="exact"/>
        <w:rPr>
          <w:sz w:val="20"/>
          <w:szCs w:val="20"/>
          <w:color w:val="auto"/>
        </w:rPr>
      </w:pPr>
    </w:p>
    <w:p>
      <w:pPr>
        <w:ind w:left="460" w:right="699" w:firstLine="432"/>
        <w:spacing w:after="0" w:line="279" w:lineRule="auto"/>
        <w:rPr>
          <w:sz w:val="20"/>
          <w:szCs w:val="20"/>
          <w:color w:val="auto"/>
        </w:rPr>
      </w:pPr>
      <w:r>
        <w:rPr>
          <w:rFonts w:ascii="Arial" w:cs="Arial" w:eastAsia="Arial" w:hAnsi="Arial"/>
          <w:sz w:val="17"/>
          <w:szCs w:val="17"/>
          <w:color w:val="auto"/>
        </w:rPr>
        <w:t>Additionally, our units will not be traded after completion of our initial business combination and, in connection with our initial business combination, we will be required to demonstrate compliance with the NYSE initial listing requirements, which are more rigorous than the NYSE continued listing requirements, in order to continue to maintain the listing of our securities on the NYSE.</w:t>
      </w:r>
    </w:p>
    <w:p>
      <w:pPr>
        <w:spacing w:after="0" w:line="104"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For instance, in order for our shares to be listed upon the consummation of our business combination, at such time our share price would generally be required to be at least $4.00 per share, our total market capitalization would be required to be at least $200.0 million, the greatest market value of publicly held shares would be required to be at least $100.0 million and we would be required to have at least 400 round lot shareholders. We cannot assure you that we will be able to meet those listing requirements at that time.</w:t>
      </w:r>
    </w:p>
    <w:p>
      <w:pPr>
        <w:spacing w:after="0" w:line="80"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If the NYSE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1" w:lineRule="exact"/>
        <w:rPr>
          <w:sz w:val="20"/>
          <w:szCs w:val="20"/>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44" w:lineRule="exact"/>
        <w:rPr>
          <w:rFonts w:ascii="Arial" w:cs="Arial" w:eastAsia="Arial" w:hAnsi="Arial"/>
          <w:sz w:val="18"/>
          <w:szCs w:val="18"/>
          <w:color w:val="auto"/>
        </w:rPr>
      </w:pPr>
    </w:p>
    <w:p>
      <w:pPr>
        <w:jc w:val="both"/>
        <w:ind w:left="1320" w:right="819" w:hanging="434"/>
        <w:spacing w:after="0" w:line="311" w:lineRule="auto"/>
        <w:tabs>
          <w:tab w:leader="none" w:pos="131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the NYSE,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the statute and we would be subject to regulation in each state in which we offer our securities.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right="1219"/>
        <w:spacing w:after="0" w:line="282"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9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80" w:lineRule="exact"/>
        <w:rPr>
          <w:sz w:val="20"/>
          <w:szCs w:val="20"/>
          <w:color w:val="auto"/>
        </w:rPr>
      </w:pPr>
    </w:p>
    <w:p>
      <w:pPr>
        <w:ind w:left="460" w:right="479"/>
        <w:spacing w:after="0" w:line="261" w:lineRule="auto"/>
        <w:rPr>
          <w:sz w:val="20"/>
          <w:szCs w:val="20"/>
          <w:color w:val="auto"/>
        </w:rPr>
      </w:pPr>
      <w:r>
        <w:rPr>
          <w:rFonts w:ascii="Arial" w:cs="Arial" w:eastAsia="Arial" w:hAnsi="Arial"/>
          <w:sz w:val="18"/>
          <w:szCs w:val="18"/>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80" w:lineRule="exact"/>
        <w:rPr>
          <w:sz w:val="20"/>
          <w:szCs w:val="20"/>
          <w:color w:val="auto"/>
        </w:rPr>
      </w:pPr>
    </w:p>
    <w:p>
      <w:pPr>
        <w:ind w:left="460" w:right="479"/>
        <w:spacing w:after="0" w:line="258"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20"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ectPr>
          <w:pgSz w:w="11900" w:h="16838" w:orient="portrait"/>
          <w:cols w:equalWidth="0" w:num="1">
            <w:col w:w="9019"/>
          </w:cols>
          <w:pgMar w:left="1440" w:top="337"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7" w:name="page38"/>
    <w:bookmarkEnd w:id="37"/>
    <w:p>
      <w:pPr>
        <w:ind w:left="460" w:right="519"/>
        <w:spacing w:after="0" w:line="258" w:lineRule="auto"/>
        <w:rPr>
          <w:sz w:val="20"/>
          <w:szCs w:val="20"/>
          <w:color w:val="auto"/>
        </w:rPr>
      </w:pPr>
      <w:r>
        <w:rPr>
          <w:rFonts w:ascii="Arial" w:cs="Arial" w:eastAsia="Arial" w:hAnsi="Arial"/>
          <w:sz w:val="18"/>
          <w:szCs w:val="18"/>
          <w:b w:val="1"/>
          <w:bCs w:val="1"/>
          <w:color w:val="auto"/>
        </w:rPr>
        <w:t>If the net proceeds of this offering and the sale of the private placement warrants not being held in the trust account are insufficient to allow us to operate for at least the next 24 months,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Of the net proceeds of this offering and the sale of the private placement warrants, only $3,000,000 (or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$2,100,000 if the underwriter’s over-allotment option is exercised in full) will be available to us initially outside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trust account to fund our working capital requirements. We believe that, upon closing of this offering,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funds available to us outside of the trust account, together with funds available from loans from our sponsor,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 be sufficient to allow us to operate for at least the next 24 months; however, we cannot assure you that our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estimate is accurate. Of the funds available to us, we expect to use a portion of the funds available to us to pay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fees to consultants to assist us with our search for a target business. We could also use a portion of the funds as 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down payment or to fund a “no-shop” provision (a provision in letters of intent designed to keep target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businesses from “shopping” around for transactions with other companies or investors on terms more favorable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such target businesses) with respect to a particular proposed business combination, although we do not have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current intention to do so. If we entered into a letter of intent where we paid for the right to receive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exclusivity from a target business and were subsequently required to forfeit such funds (whether as a result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breach or otherwise), we might not have sufficient funds to continue searching for, or conduct due diligence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a target business.</w:t>
      </w:r>
    </w:p>
    <w:p>
      <w:pPr>
        <w:spacing w:after="0" w:line="130"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In the event that our offering expenses exceed our estimate of $1,000,000, we may fund such excess with funds not to be held in the trust account. In such case, unless funded by the proceeds of loans available from our sponsor,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$1.00 per warrant at the option of the lender. The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165" w:lineRule="exact"/>
        <w:rPr>
          <w:sz w:val="20"/>
          <w:szCs w:val="20"/>
          <w:color w:val="auto"/>
        </w:rPr>
      </w:pPr>
    </w:p>
    <w:p>
      <w:pPr>
        <w:ind w:left="460" w:right="479"/>
        <w:spacing w:after="0" w:line="261"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116"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Even if we conduct due diligence on a target business with which we combine, we cannot assure you that this diligence will surface all material issues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shareholders who choose to remain shareholders following the business combination could suffer a reduction in the value of their securities. Such shareholders are unlikely to have a remedy for such reduction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ind w:left="460" w:right="539"/>
        <w:spacing w:after="0" w:line="279" w:lineRule="auto"/>
        <w:rPr>
          <w:sz w:val="20"/>
          <w:szCs w:val="20"/>
          <w:color w:val="auto"/>
        </w:rPr>
      </w:pPr>
      <w:r>
        <w:rPr>
          <w:rFonts w:ascii="Arial" w:cs="Arial" w:eastAsia="Arial" w:hAnsi="Arial"/>
          <w:sz w:val="17"/>
          <w:szCs w:val="17"/>
          <w:color w:val="auto"/>
        </w:rPr>
        <w:t>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67" w:lineRule="exact"/>
        <w:rPr>
          <w:sz w:val="20"/>
          <w:szCs w:val="20"/>
          <w:color w:val="auto"/>
        </w:rPr>
      </w:pPr>
    </w:p>
    <w:p>
      <w:pPr>
        <w:ind w:left="460" w:right="679"/>
        <w:spacing w:after="0" w:line="347" w:lineRule="auto"/>
        <w:rPr>
          <w:sz w:val="20"/>
          <w:szCs w:val="20"/>
          <w:color w:val="auto"/>
        </w:rPr>
      </w:pPr>
      <w:r>
        <w:rPr>
          <w:rFonts w:ascii="Arial" w:cs="Arial" w:eastAsia="Arial" w:hAnsi="Arial"/>
          <w:sz w:val="16"/>
          <w:szCs w:val="16"/>
          <w:b w:val="1"/>
          <w:bCs w:val="1"/>
          <w:color w:val="auto"/>
        </w:rPr>
        <w:t>If third parties bring claims against us, the proceeds held in the trust account could be reduced and the per-share redemption amount received by shareholders may be less than $10.00 per share.</w:t>
      </w:r>
    </w:p>
    <w:p>
      <w:pPr>
        <w:spacing w:after="0" w:line="3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the company and will only enter into an agreement with such third party that has not executed a waiver if management believes that such third party’s engagement would be significantly more beneficial to us than any alternative. The underwriter will not execute an agreement with us waiving such claims to the monies held in the trust account.</w:t>
      </w:r>
    </w:p>
    <w:p>
      <w:pPr>
        <w:spacing w:after="0" w:line="117" w:lineRule="exact"/>
        <w:rPr>
          <w:sz w:val="20"/>
          <w:szCs w:val="20"/>
          <w:color w:val="auto"/>
        </w:rPr>
      </w:pPr>
    </w:p>
    <w:p>
      <w:pPr>
        <w:ind w:left="460" w:right="499" w:firstLine="432"/>
        <w:spacing w:after="0" w:line="282"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from the closing of this offering,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amounts in the trust account to below the lesser of</w:t>
      </w:r>
    </w:p>
    <w:p>
      <w:pPr>
        <w:spacing w:after="0" w:line="11" w:lineRule="exact"/>
        <w:rPr>
          <w:sz w:val="20"/>
          <w:szCs w:val="20"/>
          <w:color w:val="auto"/>
        </w:rPr>
      </w:pPr>
    </w:p>
    <w:p>
      <w:pPr>
        <w:ind w:left="460" w:right="579" w:hanging="6"/>
        <w:spacing w:after="0" w:line="287" w:lineRule="auto"/>
        <w:tabs>
          <w:tab w:leader="none" w:pos="6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$10.00 per public share and (ii) the actual amount per share held in the trust account as of the date of the liquidation of the trust account if less than $10.00 per share due to reductions in the value of the trust assets, in each case net of the interest that may be withdrawn to pay our tax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 party or prospective target business that executed a waiver of any and all rights to seek access to the trust account (whether or not such waiver is enforceable) nor will it apply to any claims under our indemnity of the underwriter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w:t>
      </w:r>
    </w:p>
    <w:p>
      <w:pPr>
        <w:spacing w:after="0" w:line="102"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right="839"/>
        <w:spacing w:after="0" w:line="266"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the event that the proceeds in the trust account are reduced below the lesser of (i) $10.00 per share and</w:t>
      </w:r>
    </w:p>
    <w:p>
      <w:pPr>
        <w:spacing w:after="0" w:line="46" w:lineRule="exact"/>
        <w:rPr>
          <w:sz w:val="20"/>
          <w:szCs w:val="20"/>
          <w:color w:val="auto"/>
        </w:rPr>
      </w:pPr>
    </w:p>
    <w:p>
      <w:pPr>
        <w:ind w:left="460" w:right="479" w:hanging="6"/>
        <w:spacing w:after="0" w:line="286" w:lineRule="auto"/>
        <w:tabs>
          <w:tab w:leader="none" w:pos="7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actual amount per share held in the trust account as of the date of the liquidation of the trust account if less than $10.00 per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We may not have sufficient funds to satisfy indemnification claims of our directors and executive officers.</w:t>
      </w:r>
    </w:p>
    <w:p>
      <w:pPr>
        <w:spacing w:after="0" w:line="171"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68" w:lineRule="exact"/>
        <w:rPr>
          <w:sz w:val="20"/>
          <w:szCs w:val="20"/>
          <w:color w:val="auto"/>
        </w:rPr>
      </w:pPr>
    </w:p>
    <w:p>
      <w:pPr>
        <w:ind w:left="460" w:right="659"/>
        <w:spacing w:after="0" w:line="277" w:lineRule="auto"/>
        <w:rPr>
          <w:sz w:val="20"/>
          <w:szCs w:val="20"/>
          <w:color w:val="auto"/>
        </w:rPr>
      </w:pPr>
      <w:r>
        <w:rPr>
          <w:rFonts w:ascii="Arial" w:cs="Arial" w:eastAsia="Arial" w:hAnsi="Arial"/>
          <w:sz w:val="17"/>
          <w:szCs w:val="17"/>
          <w:b w:val="1"/>
          <w:b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0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188" w:lineRule="exact"/>
        <w:rPr>
          <w:sz w:val="20"/>
          <w:szCs w:val="20"/>
          <w:color w:val="auto"/>
        </w:rPr>
      </w:pPr>
    </w:p>
    <w:p>
      <w:pPr>
        <w:ind w:left="460" w:right="579"/>
        <w:spacing w:after="0" w:line="258" w:lineRule="auto"/>
        <w:rPr>
          <w:sz w:val="20"/>
          <w:szCs w:val="20"/>
          <w:color w:val="auto"/>
        </w:rPr>
      </w:pPr>
      <w:r>
        <w:rPr>
          <w:rFonts w:ascii="Arial" w:cs="Arial" w:eastAsia="Arial" w:hAnsi="Arial"/>
          <w:sz w:val="18"/>
          <w:szCs w:val="18"/>
          <w:b w:val="1"/>
          <w:b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20"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0" w:name="page41"/>
    <w:bookmarkEnd w:id="40"/>
    <w:p>
      <w:pPr>
        <w:jc w:val="both"/>
        <w:ind w:left="460" w:right="559"/>
        <w:spacing w:after="0" w:line="266" w:lineRule="auto"/>
        <w:rPr>
          <w:sz w:val="20"/>
          <w:szCs w:val="20"/>
          <w:color w:val="auto"/>
        </w:rPr>
      </w:pPr>
      <w:r>
        <w:rPr>
          <w:rFonts w:ascii="Arial" w:cs="Arial" w:eastAsia="Arial" w:hAnsi="Arial"/>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12"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89"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57"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44"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57" w:lineRule="exact"/>
        <w:rPr>
          <w:rFonts w:ascii="Arial" w:cs="Arial" w:eastAsia="Arial" w:hAnsi="Arial"/>
          <w:sz w:val="18"/>
          <w:szCs w:val="18"/>
          <w:color w:val="auto"/>
        </w:rPr>
      </w:pPr>
    </w:p>
    <w:p>
      <w:pPr>
        <w:ind w:left="1320" w:right="133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8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11"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holders of our Class A ordinary shares; or (iii) absent our completing an initial business combination within 24 months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385" w:lineRule="exact"/>
        <w:rPr>
          <w:sz w:val="20"/>
          <w:szCs w:val="20"/>
          <w:color w:val="auto"/>
        </w:rPr>
      </w:pPr>
    </w:p>
    <w:p>
      <w:pPr>
        <w:ind w:left="460" w:right="579"/>
        <w:spacing w:after="0" w:line="266"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12"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w:t>
      </w:r>
    </w:p>
    <w:p>
      <w:pPr>
        <w:sectPr>
          <w:pgSz w:w="11900" w:h="16838" w:orient="portrait"/>
          <w:cols w:equalWidth="0" w:num="1">
            <w:col w:w="9019"/>
          </w:cols>
          <w:pgMar w:left="1440" w:top="337"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1" w:name="page42"/>
    <w:bookmarkEnd w:id="41"/>
    <w:p>
      <w:pPr>
        <w:ind w:left="460" w:right="579"/>
        <w:spacing w:after="0" w:line="296" w:lineRule="auto"/>
        <w:rPr>
          <w:sz w:val="20"/>
          <w:szCs w:val="20"/>
          <w:color w:val="auto"/>
        </w:rPr>
      </w:pPr>
      <w:r>
        <w:rPr>
          <w:rFonts w:ascii="Arial" w:cs="Arial" w:eastAsia="Arial" w:hAnsi="Arial"/>
          <w:sz w:val="16"/>
          <w:szCs w:val="16"/>
          <w:color w:val="auto"/>
        </w:rPr>
        <w:t>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57" w:lineRule="exact"/>
        <w:rPr>
          <w:sz w:val="20"/>
          <w:szCs w:val="20"/>
          <w:color w:val="auto"/>
        </w:rPr>
      </w:pPr>
    </w:p>
    <w:p>
      <w:pPr>
        <w:ind w:left="460" w:right="619"/>
        <w:spacing w:after="0" w:line="266" w:lineRule="auto"/>
        <w:rPr>
          <w:sz w:val="20"/>
          <w:szCs w:val="20"/>
          <w:color w:val="auto"/>
        </w:rPr>
      </w:pPr>
      <w:r>
        <w:rPr>
          <w:rFonts w:ascii="Arial" w:cs="Arial" w:eastAsia="Arial" w:hAnsi="Arial"/>
          <w:sz w:val="18"/>
          <w:szCs w:val="18"/>
          <w:b w:val="1"/>
          <w:bCs w:val="1"/>
          <w:color w:val="auto"/>
        </w:rPr>
        <w:t>If we have not consummated an initial business combination within 24 months from the closing of this offering, our public shareholders may be forced to wait beyond such 24 months before redemption from our trust account.</w:t>
      </w:r>
    </w:p>
    <w:p>
      <w:pPr>
        <w:spacing w:after="0" w:line="99"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If we have not consummated an initial business combination within 24 months from the closing of this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24 months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our initial business combination prior thereto and only then in cases where investors have sought to redeem their Class A ordinary shares. Only upon our redemption or any liquidation will public shareholders be entitled to distributions if we are unable to complete our initial business combination.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383" w:lineRule="exact"/>
        <w:rPr>
          <w:sz w:val="20"/>
          <w:szCs w:val="20"/>
          <w:color w:val="auto"/>
        </w:rPr>
      </w:pPr>
    </w:p>
    <w:p>
      <w:pPr>
        <w:ind w:left="460" w:right="699"/>
        <w:spacing w:after="0" w:line="282" w:lineRule="auto"/>
        <w:rPr>
          <w:sz w:val="20"/>
          <w:szCs w:val="20"/>
          <w:color w:val="auto"/>
        </w:rPr>
      </w:pPr>
      <w:r>
        <w:rPr>
          <w:rFonts w:ascii="Arial" w:cs="Arial" w:eastAsia="Arial" w:hAnsi="Arial"/>
          <w:sz w:val="18"/>
          <w:szCs w:val="18"/>
          <w:b w:val="1"/>
          <w:bCs w:val="1"/>
          <w:color w:val="auto"/>
        </w:rPr>
        <w:t>Our shareholders may be held liable for claims by third parties against us to the extent of distributions received by them upon redemption of their shares.</w:t>
      </w:r>
    </w:p>
    <w:p>
      <w:pPr>
        <w:spacing w:after="0" w:line="9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$18,292.68 and imprisonment for five years in the Cayman Islands.</w:t>
      </w:r>
    </w:p>
    <w:p>
      <w:pPr>
        <w:spacing w:after="0" w:line="168" w:lineRule="exact"/>
        <w:rPr>
          <w:sz w:val="20"/>
          <w:szCs w:val="20"/>
          <w:color w:val="auto"/>
        </w:rPr>
      </w:pPr>
    </w:p>
    <w:p>
      <w:pPr>
        <w:ind w:left="460" w:right="599"/>
        <w:spacing w:after="0" w:line="282" w:lineRule="auto"/>
        <w:rPr>
          <w:sz w:val="20"/>
          <w:szCs w:val="20"/>
          <w:color w:val="auto"/>
        </w:rPr>
      </w:pPr>
      <w:r>
        <w:rPr>
          <w:rFonts w:ascii="Arial" w:cs="Arial" w:eastAsia="Arial" w:hAnsi="Arial"/>
          <w:sz w:val="18"/>
          <w:szCs w:val="18"/>
          <w:b w:val="1"/>
          <w:bCs w:val="1"/>
          <w:color w:val="auto"/>
        </w:rPr>
        <w:t>We may not hold an annual meeting of shareholders until after the consummation of our initial business combination.</w:t>
      </w:r>
    </w:p>
    <w:p>
      <w:pPr>
        <w:spacing w:after="0" w:line="9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In accordance with the NYSE corporate governance requirements, we are not required to hold an annual meeting until no later than one year after our first fiscal year end following our listing on the NYSE. There is no requirement under the Companies Law for us to hold annual or general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three-year term.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right="639"/>
        <w:spacing w:after="0" w:line="282" w:lineRule="auto"/>
        <w:rPr>
          <w:sz w:val="20"/>
          <w:szCs w:val="20"/>
          <w:color w:val="auto"/>
        </w:rPr>
      </w:pPr>
      <w:r>
        <w:rPr>
          <w:rFonts w:ascii="Arial" w:cs="Arial" w:eastAsia="Arial" w:hAnsi="Arial"/>
          <w:sz w:val="18"/>
          <w:szCs w:val="18"/>
          <w:b w:val="1"/>
          <w:bCs w:val="1"/>
          <w:color w:val="auto"/>
        </w:rPr>
        <w:t>Holders of Class A ordinary shares will not be entitled to vote on any election of directors we hold prior to our initial business combination.</w:t>
      </w:r>
    </w:p>
    <w:p>
      <w:pPr>
        <w:spacing w:after="0" w:line="98"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157" w:lineRule="exact"/>
        <w:rPr>
          <w:sz w:val="20"/>
          <w:szCs w:val="20"/>
          <w:color w:val="auto"/>
        </w:rPr>
      </w:pPr>
    </w:p>
    <w:p>
      <w:pPr>
        <w:ind w:left="460" w:right="559"/>
        <w:spacing w:after="0" w:line="261" w:lineRule="auto"/>
        <w:rPr>
          <w:sz w:val="20"/>
          <w:szCs w:val="20"/>
          <w:color w:val="auto"/>
        </w:rPr>
      </w:pPr>
      <w:r>
        <w:rPr>
          <w:rFonts w:ascii="Arial" w:cs="Arial" w:eastAsia="Arial" w:hAnsi="Arial"/>
          <w:sz w:val="18"/>
          <w:szCs w:val="18"/>
          <w:b w:val="1"/>
          <w:b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103"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to use our commercially reasonable efforts to file a registration statement under the Securities Act covering such shares and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unless an exemption is available. In no event will we be required to net cash settle any warrant, or issue securities or other compensation in exchange for the warrants in the event that we are unable to register or qualify the shares underlying the warrants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warrants included as part of units sold in this offering. In such an instance, our sponsor and its transferees (which may include our directors and executive officers) would be able to sell the ordinary shares underlying their warrants while holders of our public warrants would not be able to exercise their warrants and sell the underlying ordinary shares. If and when the warrants become redeemable by us, we may exercise our redemption right even if we are unable to register or qualify the underlying securities for sale under all applicable state securities laws.</w:t>
      </w:r>
    </w:p>
    <w:p>
      <w:pPr>
        <w:spacing w:after="0" w:line="166" w:lineRule="exact"/>
        <w:rPr>
          <w:sz w:val="20"/>
          <w:szCs w:val="20"/>
          <w:color w:val="auto"/>
        </w:rPr>
      </w:pPr>
    </w:p>
    <w:p>
      <w:pPr>
        <w:ind w:left="460" w:right="579"/>
        <w:spacing w:after="0" w:line="277" w:lineRule="auto"/>
        <w:rPr>
          <w:sz w:val="20"/>
          <w:szCs w:val="20"/>
          <w:color w:val="auto"/>
        </w:rPr>
      </w:pPr>
      <w:r>
        <w:rPr>
          <w:rFonts w:ascii="Arial" w:cs="Arial" w:eastAsia="Arial" w:hAnsi="Arial"/>
          <w:sz w:val="17"/>
          <w:szCs w:val="17"/>
          <w:b w:val="1"/>
          <w:bCs w:val="1"/>
          <w:color w:val="auto"/>
        </w:rPr>
        <w:t>Our ability to require holders of our warrants to exercise such warrants on a cashless basis after we call the warrants for redemption or if there is no effective registration statement covering the Class A ordinary shares issuable upon exercise of these warrants will cause holders to receive fewer Class A ordinary shares upon their exercise of the warrants than they would have received had they been able to pay the exercise price of their warrants in cash.</w:t>
      </w:r>
    </w:p>
    <w:p>
      <w:pPr>
        <w:spacing w:after="0" w:line="10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If we call the warrants for redemption, we will have the option, in our sole discretion, to require all holders that wish to exercise warrants to do so on a cashless basis. If we choose to require holders to exercise their warrants on a cashless basis or if holders elect to do so when there is no effective registration statement, the number of Class A ordinary shares received by a holder upon exercise will be fewer than it would have been had such holder exercised his or her warrant for cash. For example, if the holder is exercising 875 public warrants at $11.50 per share through a cashless exercise when the Class A ordinary shares have a fair market value of $17.50 per share, then upon the cashless exercise, the holder will receive 300 Class A ordinary shares. The holder would have received 875 Class A ordinary shares if the exercise price was paid in cash. This will have the effect of reducing the potential “upside” of the holder’s investment in our company because the warrant holder will hold a smaller number of Class A ordinary shares upon a cashless exercise of the warrants they hold.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3" w:name="page44"/>
    <w:bookmarkEnd w:id="43"/>
    <w:p>
      <w:pPr>
        <w:ind w:left="460" w:right="519"/>
        <w:spacing w:after="0" w:line="282" w:lineRule="auto"/>
        <w:rPr>
          <w:sz w:val="20"/>
          <w:szCs w:val="20"/>
          <w:color w:val="auto"/>
        </w:rPr>
      </w:pPr>
      <w:r>
        <w:rPr>
          <w:rFonts w:ascii="Arial" w:cs="Arial" w:eastAsia="Arial" w:hAnsi="Arial"/>
          <w:sz w:val="18"/>
          <w:szCs w:val="18"/>
          <w:b w:val="1"/>
          <w:bCs w:val="1"/>
          <w:color w:val="auto"/>
        </w:rPr>
        <w:t>The warrants may become exercisable for a security other than the Class A ordinary shares, and you will not have any information regarding such other security at this time.</w:t>
      </w:r>
    </w:p>
    <w:p>
      <w:pPr>
        <w:spacing w:after="0" w:line="98"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In certain situations, including if we are not the surviving entity in our initial business combination, the warrants may become exercisable for a security other than the Class A ordinary shares. Pursuant to the warrant agreement, the surviving company will be required to use commercially reasonable efforts to register the issuance of the security underlying the warrants within 20 business days of the closing of an initial business combination.</w:t>
      </w:r>
    </w:p>
    <w:p>
      <w:pPr>
        <w:spacing w:after="0" w:line="184" w:lineRule="exact"/>
        <w:rPr>
          <w:sz w:val="20"/>
          <w:szCs w:val="20"/>
          <w:color w:val="auto"/>
        </w:rPr>
      </w:pPr>
    </w:p>
    <w:p>
      <w:pPr>
        <w:jc w:val="both"/>
        <w:ind w:left="460" w:right="499"/>
        <w:spacing w:after="0" w:line="266" w:lineRule="auto"/>
        <w:rPr>
          <w:sz w:val="20"/>
          <w:szCs w:val="20"/>
          <w:color w:val="auto"/>
        </w:rPr>
      </w:pPr>
      <w:r>
        <w:rPr>
          <w:rFonts w:ascii="Arial" w:cs="Arial" w:eastAsia="Arial" w:hAnsi="Arial"/>
          <w:sz w:val="18"/>
          <w:szCs w:val="18"/>
          <w:b w:val="1"/>
          <w:bCs w:val="1"/>
          <w:color w:val="auto"/>
        </w:rPr>
        <w:t>The grant of registration rights to our sponsor may make it more difficult to complete our initial business combination, and the future exercise of such rights may adversely affect the market price of our Class A ordinary shares.</w:t>
      </w:r>
    </w:p>
    <w:p>
      <w:pPr>
        <w:spacing w:after="0" w:line="9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Pursuant to an agreement to be entered into on or prior to the closing of this offering, our sponsor and its permitted transferees can demand that we register the Class A ordinary shares into which founder shares are convertible, the private placement warrants and the Class A ordinary shares issuable upon exercise of the private placement warrants, and warrants that may be issued upon conversion of working capital loans and the Class A ordinary shares issuable upon conversion of such warrants. The registration rights will be exercisable with respect to the founder shares and the private placement warrants and the Class A ordinary shares issuable upon exercise of such private placement warrants.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securities owned by our sponsor or its permitted transferees are registered.</w:t>
      </w:r>
    </w:p>
    <w:p>
      <w:pPr>
        <w:spacing w:after="0" w:line="170" w:lineRule="exact"/>
        <w:rPr>
          <w:sz w:val="20"/>
          <w:szCs w:val="20"/>
          <w:color w:val="auto"/>
        </w:rPr>
      </w:pPr>
    </w:p>
    <w:p>
      <w:pPr>
        <w:jc w:val="both"/>
        <w:ind w:left="460" w:right="519"/>
        <w:spacing w:after="0" w:line="314" w:lineRule="auto"/>
        <w:rPr>
          <w:sz w:val="20"/>
          <w:szCs w:val="20"/>
          <w:color w:val="auto"/>
        </w:rPr>
      </w:pPr>
      <w:r>
        <w:rPr>
          <w:rFonts w:ascii="Arial" w:cs="Arial" w:eastAsia="Arial" w:hAnsi="Arial"/>
          <w:sz w:val="16"/>
          <w:szCs w:val="16"/>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78"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We may pursue business combination opportunities in any sector, except that we will not, under our amended and restated memorandum and articles of association,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shareholders who choose to remain shareholders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74" w:lineRule="exact"/>
        <w:rPr>
          <w:sz w:val="20"/>
          <w:szCs w:val="20"/>
          <w:color w:val="auto"/>
        </w:rPr>
      </w:pPr>
    </w:p>
    <w:p>
      <w:pPr>
        <w:ind w:left="460" w:right="719"/>
        <w:spacing w:after="0" w:line="282" w:lineRule="auto"/>
        <w:rPr>
          <w:sz w:val="20"/>
          <w:szCs w:val="20"/>
          <w:color w:val="auto"/>
        </w:rPr>
      </w:pPr>
      <w:r>
        <w:rPr>
          <w:rFonts w:ascii="Arial" w:cs="Arial" w:eastAsia="Arial" w:hAnsi="Arial"/>
          <w:sz w:val="18"/>
          <w:szCs w:val="18"/>
          <w:b w:val="1"/>
          <w:bCs w:val="1"/>
          <w:color w:val="auto"/>
        </w:rPr>
        <w:t>We may seek acquisition opportunities in industries or sectors which may or may not be outside of our management’s area of expertise.</w:t>
      </w:r>
    </w:p>
    <w:p>
      <w:pPr>
        <w:spacing w:after="0" w:line="98"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We will consider a business combination outside of our management’s area of expertise if a business combination candidate is presented to us and we determine that such candidate offers an attractive acquisition opportunity for our company. Although our management will endeavor to evaluate the risks inherent in any particular business combination</w:t>
      </w:r>
    </w:p>
    <w:p>
      <w:pPr>
        <w:sectPr>
          <w:pgSz w:w="11900" w:h="16838" w:orient="portrait"/>
          <w:cols w:equalWidth="0" w:num="1">
            <w:col w:w="9019"/>
          </w:cols>
          <w:pgMar w:left="1440" w:top="33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4" w:name="page45"/>
    <w:bookmarkEnd w:id="44"/>
    <w:p>
      <w:pPr>
        <w:jc w:val="both"/>
        <w:ind w:left="460" w:right="499"/>
        <w:spacing w:after="0" w:line="287" w:lineRule="auto"/>
        <w:rPr>
          <w:sz w:val="20"/>
          <w:szCs w:val="20"/>
          <w:color w:val="auto"/>
        </w:rPr>
      </w:pPr>
      <w:r>
        <w:rPr>
          <w:rFonts w:ascii="Arial" w:cs="Arial" w:eastAsia="Arial" w:hAnsi="Arial"/>
          <w:sz w:val="16"/>
          <w:szCs w:val="16"/>
          <w:color w:val="auto"/>
        </w:rPr>
        <w:t>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w:t>
      </w:r>
    </w:p>
    <w:p>
      <w:pPr>
        <w:spacing w:after="0" w:line="2" w:lineRule="exact"/>
        <w:rPr>
          <w:sz w:val="20"/>
          <w:szCs w:val="20"/>
          <w:color w:val="auto"/>
        </w:rPr>
      </w:pPr>
    </w:p>
    <w:p>
      <w:pPr>
        <w:ind w:left="460" w:right="739"/>
        <w:spacing w:after="0" w:line="288" w:lineRule="auto"/>
        <w:rPr>
          <w:sz w:val="20"/>
          <w:szCs w:val="20"/>
          <w:color w:val="auto"/>
        </w:rPr>
      </w:pPr>
      <w:r>
        <w:rPr>
          <w:rFonts w:ascii="Arial" w:cs="Arial" w:eastAsia="Arial" w:hAnsi="Arial"/>
          <w:sz w:val="16"/>
          <w:szCs w:val="16"/>
          <w:color w:val="auto"/>
        </w:rPr>
        <w:t>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shareholder who choose to remain shareholders following our business combination could suffer a reduction in the value of their shares. Such shareholders are unlikely to have a remedy for such reduction in value.</w:t>
      </w:r>
    </w:p>
    <w:p>
      <w:pPr>
        <w:spacing w:after="0" w:line="164" w:lineRule="exact"/>
        <w:rPr>
          <w:sz w:val="20"/>
          <w:szCs w:val="20"/>
          <w:color w:val="auto"/>
        </w:rPr>
      </w:pPr>
    </w:p>
    <w:p>
      <w:pPr>
        <w:ind w:left="460" w:right="499"/>
        <w:spacing w:after="0" w:line="298"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and our strategy will be to identify, acquire and build a company in the sustainable sector,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77"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and our strategy will be to identify, acquire and build a company in the sustainable sector,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67" w:lineRule="exact"/>
        <w:rPr>
          <w:sz w:val="20"/>
          <w:szCs w:val="20"/>
          <w:color w:val="auto"/>
        </w:rPr>
      </w:pPr>
    </w:p>
    <w:p>
      <w:pPr>
        <w:jc w:val="both"/>
        <w:ind w:left="460" w:right="679"/>
        <w:spacing w:after="0" w:line="289" w:lineRule="auto"/>
        <w:rPr>
          <w:sz w:val="20"/>
          <w:szCs w:val="20"/>
          <w:color w:val="auto"/>
        </w:rPr>
      </w:pPr>
      <w:r>
        <w:rPr>
          <w:rFonts w:ascii="Arial" w:cs="Arial" w:eastAsia="Arial" w:hAnsi="Arial"/>
          <w:sz w:val="17"/>
          <w:szCs w:val="17"/>
          <w:b w:val="1"/>
          <w:b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94"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accounting firm or independent investment banking firm which is a member of FINRA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191" w:lineRule="exact"/>
        <w:rPr>
          <w:sz w:val="20"/>
          <w:szCs w:val="20"/>
          <w:color w:val="auto"/>
        </w:rPr>
      </w:pPr>
    </w:p>
    <w:p>
      <w:pPr>
        <w:ind w:left="460" w:right="659"/>
        <w:spacing w:after="0" w:line="256" w:lineRule="auto"/>
        <w:rPr>
          <w:sz w:val="20"/>
          <w:szCs w:val="20"/>
          <w:color w:val="auto"/>
        </w:rPr>
      </w:pPr>
      <w:r>
        <w:rPr>
          <w:rFonts w:ascii="Arial" w:cs="Arial" w:eastAsia="Arial" w:hAnsi="Arial"/>
          <w:sz w:val="18"/>
          <w:szCs w:val="18"/>
          <w:b w:val="1"/>
          <w:b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124"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Our amended and restated memorandum and articles of association will authorize the issuance of up to 300,000,000 Class A ordinary shares, par value $0.0001 per share, 30,000,000 Class B ordinary shares, par value $0.0001 per share, and 1,000,000 preference shares, par value $0.0001 per share. Immediately after this offering, there will be 270,000,000 and 22,500,000 (assuming in each case that the underwriter has not exercised its over-allotment option)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if any. The Class B ordinary shares will automatically convert into Class A ordinary shares at the time of our initial business combination as described herein and in our amended and restated memorandum and articles of association. Immediately after this offering, there will be no preference shares issued and outstanding.</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right="499" w:firstLine="432"/>
        <w:spacing w:after="0" w:line="269" w:lineRule="auto"/>
        <w:rPr>
          <w:sz w:val="20"/>
          <w:szCs w:val="20"/>
          <w:color w:val="auto"/>
        </w:rPr>
      </w:pPr>
      <w:r>
        <w:rPr>
          <w:rFonts w:ascii="Arial" w:cs="Arial" w:eastAsia="Arial" w:hAnsi="Arial"/>
          <w:sz w:val="17"/>
          <w:szCs w:val="17"/>
          <w:color w:val="auto"/>
        </w:rPr>
        <w:t>We may issue a substantial number of additional Class A ordinary shares or preference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or in connection with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98" w:lineRule="exact"/>
        <w:rPr>
          <w:sz w:val="20"/>
          <w:szCs w:val="20"/>
          <w:color w:val="auto"/>
        </w:rPr>
      </w:pPr>
    </w:p>
    <w:p>
      <w:pPr>
        <w:ind w:left="1320" w:right="559" w:hanging="434"/>
        <w:spacing w:after="0" w:line="259"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19"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102" w:lineRule="exact"/>
        <w:rPr>
          <w:rFonts w:ascii="Arial" w:cs="Arial" w:eastAsia="Arial" w:hAnsi="Arial"/>
          <w:sz w:val="18"/>
          <w:szCs w:val="18"/>
          <w:color w:val="auto"/>
        </w:rPr>
      </w:pPr>
    </w:p>
    <w:p>
      <w:pPr>
        <w:jc w:val="both"/>
        <w:ind w:left="1320" w:right="719" w:hanging="434"/>
        <w:spacing w:after="0" w:line="311" w:lineRule="auto"/>
        <w:tabs>
          <w:tab w:leader="none" w:pos="13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67" w:lineRule="exact"/>
        <w:rPr>
          <w:rFonts w:ascii="Arial" w:cs="Arial" w:eastAsia="Arial" w:hAnsi="Arial"/>
          <w:sz w:val="16"/>
          <w:szCs w:val="16"/>
          <w:color w:val="auto"/>
        </w:rPr>
      </w:pPr>
    </w:p>
    <w:p>
      <w:pPr>
        <w:ind w:left="1320" w:right="107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102"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221" w:lineRule="exact"/>
        <w:rPr>
          <w:sz w:val="20"/>
          <w:szCs w:val="20"/>
          <w:color w:val="auto"/>
        </w:rPr>
      </w:pPr>
    </w:p>
    <w:p>
      <w:pPr>
        <w:ind w:left="460" w:right="599"/>
        <w:spacing w:after="0" w:line="312" w:lineRule="auto"/>
        <w:rPr>
          <w:sz w:val="20"/>
          <w:szCs w:val="20"/>
          <w:color w:val="auto"/>
        </w:rPr>
      </w:pPr>
      <w:r>
        <w:rPr>
          <w:rFonts w:ascii="Arial" w:cs="Arial" w:eastAsia="Arial" w:hAnsi="Arial"/>
          <w:sz w:val="17"/>
          <w:szCs w:val="17"/>
          <w:b w:val="1"/>
          <w:bCs w:val="1"/>
          <w:color w:val="auto"/>
        </w:rPr>
        <w:t>Unlike most other similarly structured blank check companies, our sponsor will receive additional Class A ordinary shares if we issue shares to consummate an initial business combination.</w:t>
      </w:r>
    </w:p>
    <w:p>
      <w:pPr>
        <w:spacing w:after="0" w:line="63"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 no event will the Class B ordinary shares convert into Class A ordinary shares at a rate of less than one-to-one. This is different than most other similarly structured blank check companies in which the initial shareholders will only be issued an aggregate of 20% of the total number of shares to be outstanding prior to the initial business combination.</w:t>
      </w:r>
    </w:p>
    <w:p>
      <w:pPr>
        <w:spacing w:after="0" w:line="170" w:lineRule="exact"/>
        <w:rPr>
          <w:sz w:val="20"/>
          <w:szCs w:val="20"/>
          <w:color w:val="auto"/>
        </w:rPr>
      </w:pPr>
    </w:p>
    <w:p>
      <w:pPr>
        <w:ind w:left="460" w:right="639"/>
        <w:spacing w:after="0" w:line="258" w:lineRule="auto"/>
        <w:rPr>
          <w:sz w:val="20"/>
          <w:szCs w:val="20"/>
          <w:color w:val="auto"/>
        </w:rPr>
      </w:pPr>
      <w:r>
        <w:rPr>
          <w:rFonts w:ascii="Arial" w:cs="Arial" w:eastAsia="Arial" w:hAnsi="Arial"/>
          <w:sz w:val="18"/>
          <w:szCs w:val="18"/>
          <w:b w:val="1"/>
          <w:b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20"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right="739"/>
        <w:spacing w:after="0" w:line="286" w:lineRule="auto"/>
        <w:rPr>
          <w:sz w:val="20"/>
          <w:szCs w:val="20"/>
          <w:color w:val="auto"/>
        </w:rPr>
      </w:pPr>
      <w:r>
        <w:rPr>
          <w:rFonts w:ascii="Arial" w:cs="Arial" w:eastAsia="Arial" w:hAnsi="Arial"/>
          <w:sz w:val="17"/>
          <w:szCs w:val="17"/>
          <w:color w:val="auto"/>
        </w:rPr>
        <w:t>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61" w:lineRule="exact"/>
        <w:rPr>
          <w:sz w:val="20"/>
          <w:szCs w:val="20"/>
          <w:color w:val="auto"/>
        </w:rPr>
      </w:pPr>
    </w:p>
    <w:p>
      <w:pPr>
        <w:ind w:left="460" w:right="779"/>
        <w:spacing w:after="0" w:line="282" w:lineRule="auto"/>
        <w:rPr>
          <w:sz w:val="20"/>
          <w:szCs w:val="20"/>
          <w:color w:val="auto"/>
        </w:rPr>
      </w:pPr>
      <w:r>
        <w:rPr>
          <w:rFonts w:ascii="Arial" w:cs="Arial" w:eastAsia="Arial" w:hAnsi="Arial"/>
          <w:sz w:val="18"/>
          <w:szCs w:val="18"/>
          <w:b w:val="1"/>
          <w:bCs w:val="1"/>
          <w:color w:val="auto"/>
        </w:rPr>
        <w:t>We may be a passive foreign investment company, or PFIC, which could result in adverse U.S. federal income tax consequences to U.S. investors.</w:t>
      </w:r>
    </w:p>
    <w:p>
      <w:pPr>
        <w:spacing w:after="0" w:line="85"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“Taxation — United States Federal Income Tax Considerations — 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“Taxation — United States Federal Income Tax Considerations — U.S. Holders — 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tax advisors regarding the possible application of the PFIC rules. For a more detailed discussion of the tax consequences of PFIC classification to U.S. Holders, see the section of this prospectus captioned “Taxation — United States Federal Income Tax Considerations — U.S. Holders — Passive Foreign Investment Company Rules.”</w:t>
      </w:r>
    </w:p>
    <w:p>
      <w:pPr>
        <w:spacing w:after="0" w:line="183" w:lineRule="exact"/>
        <w:rPr>
          <w:sz w:val="20"/>
          <w:szCs w:val="20"/>
          <w:color w:val="auto"/>
        </w:rPr>
      </w:pPr>
    </w:p>
    <w:p>
      <w:pPr>
        <w:ind w:left="460" w:right="779"/>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such reincorporation may result in taxes imposed on shareholders.</w:t>
      </w:r>
    </w:p>
    <w:p>
      <w:pPr>
        <w:spacing w:after="0" w:line="9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We do not intend to make any cash distributions to shareholders or warrant holders to pay such taxes. Shareholders or warrant holders may be subject to withholding taxes or other taxes with respect to their ownership of us after the reincorporation.</w:t>
      </w:r>
    </w:p>
    <w:p>
      <w:pPr>
        <w:spacing w:after="0" w:line="173" w:lineRule="exact"/>
        <w:rPr>
          <w:sz w:val="20"/>
          <w:szCs w:val="20"/>
          <w:color w:val="auto"/>
        </w:rPr>
      </w:pPr>
    </w:p>
    <w:p>
      <w:pPr>
        <w:ind w:left="460" w:right="599"/>
        <w:spacing w:after="0" w:line="289" w:lineRule="auto"/>
        <w:rPr>
          <w:sz w:val="20"/>
          <w:szCs w:val="20"/>
          <w:color w:val="auto"/>
        </w:rPr>
      </w:pPr>
      <w:r>
        <w:rPr>
          <w:rFonts w:ascii="Arial" w:cs="Arial" w:eastAsia="Arial" w:hAnsi="Arial"/>
          <w:sz w:val="17"/>
          <w:szCs w:val="17"/>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94"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57" w:lineRule="exact"/>
        <w:rPr>
          <w:sz w:val="20"/>
          <w:szCs w:val="20"/>
          <w:color w:val="auto"/>
        </w:rPr>
      </w:pPr>
    </w:p>
    <w:p>
      <w:pPr>
        <w:ind w:left="460" w:right="899"/>
        <w:spacing w:after="0" w:line="282"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85"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jc w:val="both"/>
        <w:ind w:left="460" w:right="479"/>
        <w:spacing w:after="0" w:line="263" w:lineRule="auto"/>
        <w:rPr>
          <w:sz w:val="20"/>
          <w:szCs w:val="20"/>
          <w:color w:val="auto"/>
        </w:rPr>
      </w:pPr>
      <w:r>
        <w:rPr>
          <w:rFonts w:ascii="Arial" w:cs="Arial" w:eastAsia="Arial" w:hAnsi="Arial"/>
          <w:sz w:val="18"/>
          <w:szCs w:val="18"/>
          <w:color w:val="auto"/>
        </w:rPr>
        <w:t>in allocating their time among various business activities, including identifying potential business combinations and monitoring the related due diligence. We do not have an employment agreement with, or key-man insurance on the life of, any of our directors or executive officers.</w:t>
      </w:r>
    </w:p>
    <w:p>
      <w:pPr>
        <w:spacing w:after="0" w:line="103"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The unexpected loss of the services of one or more of our directors or executive officers could have a detrimental effect on us.</w:t>
      </w:r>
    </w:p>
    <w:p>
      <w:pPr>
        <w:spacing w:after="0" w:line="166" w:lineRule="exact"/>
        <w:rPr>
          <w:sz w:val="20"/>
          <w:szCs w:val="20"/>
          <w:color w:val="auto"/>
        </w:rPr>
      </w:pPr>
    </w:p>
    <w:p>
      <w:pPr>
        <w:jc w:val="both"/>
        <w:ind w:left="460" w:right="599"/>
        <w:spacing w:after="0" w:line="261"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16"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director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92" w:lineRule="exact"/>
        <w:rPr>
          <w:sz w:val="20"/>
          <w:szCs w:val="20"/>
          <w:color w:val="auto"/>
        </w:rPr>
      </w:pPr>
    </w:p>
    <w:p>
      <w:pPr>
        <w:ind w:left="460" w:right="559"/>
        <w:spacing w:after="0" w:line="256" w:lineRule="auto"/>
        <w:rPr>
          <w:sz w:val="20"/>
          <w:szCs w:val="20"/>
          <w:color w:val="auto"/>
        </w:rPr>
      </w:pPr>
      <w:r>
        <w:rPr>
          <w:rFonts w:ascii="Arial" w:cs="Arial" w:eastAsia="Arial" w:hAnsi="Arial"/>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24"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68" w:lineRule="exact"/>
        <w:rPr>
          <w:sz w:val="20"/>
          <w:szCs w:val="20"/>
          <w:color w:val="auto"/>
        </w:rPr>
      </w:pPr>
    </w:p>
    <w:p>
      <w:pPr>
        <w:jc w:val="both"/>
        <w:ind w:left="460" w:right="579"/>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99"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right="579"/>
        <w:spacing w:after="0" w:line="266"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1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84" w:lineRule="exact"/>
        <w:rPr>
          <w:sz w:val="20"/>
          <w:szCs w:val="20"/>
          <w:color w:val="auto"/>
        </w:rPr>
      </w:pPr>
    </w:p>
    <w:p>
      <w:pPr>
        <w:ind w:left="460" w:right="619"/>
        <w:spacing w:after="0" w:line="314" w:lineRule="auto"/>
        <w:rPr>
          <w:sz w:val="20"/>
          <w:szCs w:val="20"/>
          <w:color w:val="auto"/>
        </w:rPr>
      </w:pPr>
      <w:r>
        <w:rPr>
          <w:rFonts w:ascii="Arial" w:cs="Arial" w:eastAsia="Arial" w:hAnsi="Arial"/>
          <w:sz w:val="16"/>
          <w:szCs w:val="16"/>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65"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or she may be entitled to substantial compensation, and our executive officers are not obligated to contribute any specific number of hours per week to our affairs. Our directors also serve as officers and board members for other entities, and may also serve as officers and/or directors for other special purpose acquisition companies.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164" w:lineRule="exact"/>
        <w:rPr>
          <w:sz w:val="20"/>
          <w:szCs w:val="20"/>
          <w:color w:val="auto"/>
        </w:rPr>
      </w:pPr>
    </w:p>
    <w:p>
      <w:pPr>
        <w:ind w:left="460" w:right="579"/>
        <w:spacing w:after="0" w:line="261" w:lineRule="auto"/>
        <w:rPr>
          <w:sz w:val="20"/>
          <w:szCs w:val="20"/>
          <w:color w:val="auto"/>
        </w:rPr>
      </w:pPr>
      <w:r>
        <w:rPr>
          <w:rFonts w:ascii="Arial" w:cs="Arial" w:eastAsia="Arial" w:hAnsi="Arial"/>
          <w:sz w:val="18"/>
          <w:szCs w:val="18"/>
          <w:b w:val="1"/>
          <w:bCs w:val="1"/>
          <w:color w:val="auto"/>
        </w:rPr>
        <w:t>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116"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or entities. Certain of our officers and directors presently has, and any of them in the future may have, additional fiduciary or contractual obligations to other entities pursuant to which such officer or director is or will be required to present a business combination opportunity to such entity, subject to his or her fiduciary duties under Cayman Islands law.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w:t>
      </w:r>
    </w:p>
    <w:p>
      <w:pPr>
        <w:spacing w:after="0" w:line="113"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In addition, our sponsor, directors and officers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will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00" w:lineRule="exact"/>
        <w:rPr>
          <w:sz w:val="20"/>
          <w:szCs w:val="20"/>
          <w:color w:val="auto"/>
        </w:rPr>
      </w:pPr>
    </w:p>
    <w:p>
      <w:pPr>
        <w:ind w:left="460" w:right="459" w:firstLine="432"/>
        <w:spacing w:after="0" w:line="311" w:lineRule="auto"/>
        <w:rPr>
          <w:sz w:val="20"/>
          <w:szCs w:val="20"/>
          <w:color w:val="auto"/>
        </w:rPr>
      </w:pPr>
      <w:r>
        <w:rPr>
          <w:rFonts w:ascii="Arial" w:cs="Arial" w:eastAsia="Arial" w:hAnsi="Arial"/>
          <w:sz w:val="16"/>
          <w:szCs w:val="16"/>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145" w:lineRule="exact"/>
        <w:rPr>
          <w:sz w:val="20"/>
          <w:szCs w:val="20"/>
          <w:color w:val="auto"/>
        </w:rPr>
      </w:pPr>
    </w:p>
    <w:p>
      <w:pPr>
        <w:ind w:left="460" w:right="799"/>
        <w:spacing w:after="0" w:line="282"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9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w:t>
      </w:r>
    </w:p>
    <w:p>
      <w:pPr>
        <w:sectPr>
          <w:pgSz w:w="11900" w:h="16838" w:orient="portrait"/>
          <w:cols w:equalWidth="0" w:num="1">
            <w:col w:w="9019"/>
          </w:cols>
          <w:pgMar w:left="1440" w:top="337"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9" w:name="page50"/>
    <w:bookmarkEnd w:id="49"/>
    <w:p>
      <w:pPr>
        <w:ind w:left="460" w:right="499"/>
        <w:spacing w:after="0" w:line="275" w:lineRule="auto"/>
        <w:rPr>
          <w:sz w:val="20"/>
          <w:szCs w:val="20"/>
          <w:color w:val="auto"/>
        </w:rPr>
      </w:pPr>
      <w:r>
        <w:rPr>
          <w:rFonts w:ascii="Arial" w:cs="Arial" w:eastAsia="Arial" w:hAnsi="Arial"/>
          <w:sz w:val="17"/>
          <w:szCs w:val="17"/>
          <w:color w:val="auto"/>
        </w:rPr>
        <w:t>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95"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 Certain Differences in Corporate Law — Shareholders’ Suits” for further information on the ability to bring such claims. However, we might not ultimately be successful in any claim we may make against them for such reason.</w:t>
      </w:r>
    </w:p>
    <w:p>
      <w:pPr>
        <w:spacing w:after="0" w:line="162"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1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light of the involvement of our sponsor, executive officers and directors with other entities, we may decide to acquire one or more businesses or entities affiliated with our sponsor, executive officers, directors or existing holders. Our directors also serve as officers and board members for other entities, including, without limitation, those described under “Management — Conflicts of Interest.” 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and may compete with us for business combination opportunities. However, we do not believe that any such potential conflicts would materially affect our ability to complete our initial business combination.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Evaluation of a Target Business and Structuring of Our Initial Business Combination” and such transaction was approved by a majority of our independent and disinterested directors. Despite our agreement to obtain an opinion from an independent investment banking firm which is a member of FINRA or an independent accounting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174" w:lineRule="exact"/>
        <w:rPr>
          <w:sz w:val="20"/>
          <w:szCs w:val="20"/>
          <w:color w:val="auto"/>
        </w:rPr>
      </w:pPr>
    </w:p>
    <w:p>
      <w:pPr>
        <w:ind w:left="460" w:right="559"/>
        <w:spacing w:after="0" w:line="281" w:lineRule="auto"/>
        <w:rPr>
          <w:sz w:val="20"/>
          <w:szCs w:val="20"/>
          <w:color w:val="auto"/>
        </w:rPr>
      </w:pPr>
      <w:r>
        <w:rPr>
          <w:rFonts w:ascii="Arial" w:cs="Arial" w:eastAsia="Arial" w:hAnsi="Arial"/>
          <w:sz w:val="17"/>
          <w:szCs w:val="17"/>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01"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On December 31, 2019, the sponsor paid $25,000, or approximately $0.003 per share, to cover certain of our offering costs in consideration of 8,625,000 Class B ordinary shares, par value $0.0001. Prior to the initial investment in the company of $25,000 by the sponsor, the company had no assets, tangible or intangible. The per share price of the founder shares was determined by dividing the amount contributed to the company by the number of founder shares issued. The founder shares will be worthless if we do not complete an initial business combination. In addition, our sponsor has committed, pursuant to a written agreement, to purchase an aggregate of 10,000,000 private placement warrants, each exercisable to purchase one Class A ordinary share at $11.50 per share, at a price of $1.00 per warrant ($10,000,000 in the aggregate), in a private placement that will close simultaneously with the closing of this offering. If we do not consummate an initial business within 24 months from the closing of this offering, the private placement warrants will expire worthless. The personal and financial interests of our executive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right="539"/>
        <w:spacing w:after="0" w:line="301" w:lineRule="auto"/>
        <w:rPr>
          <w:sz w:val="20"/>
          <w:szCs w:val="20"/>
          <w:color w:val="auto"/>
        </w:rPr>
      </w:pPr>
      <w:r>
        <w:rPr>
          <w:rFonts w:ascii="Arial" w:cs="Arial" w:eastAsia="Arial" w:hAnsi="Arial"/>
          <w:sz w:val="16"/>
          <w:szCs w:val="16"/>
          <w:color w:val="auto"/>
        </w:rPr>
        <w:t>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consummation of an initial business combination.</w:t>
      </w:r>
    </w:p>
    <w:p>
      <w:pPr>
        <w:spacing w:after="0" w:line="153" w:lineRule="exact"/>
        <w:rPr>
          <w:sz w:val="20"/>
          <w:szCs w:val="20"/>
          <w:color w:val="auto"/>
        </w:rPr>
      </w:pPr>
    </w:p>
    <w:p>
      <w:pPr>
        <w:ind w:left="460" w:right="499"/>
        <w:spacing w:after="0" w:line="266"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99"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27" w:lineRule="exact"/>
        <w:rPr>
          <w:sz w:val="20"/>
          <w:szCs w:val="20"/>
          <w:color w:val="auto"/>
        </w:rPr>
      </w:pPr>
    </w:p>
    <w:p>
      <w:pPr>
        <w:ind w:left="1320" w:right="57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02"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02"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02" w:lineRule="exact"/>
        <w:rPr>
          <w:rFonts w:ascii="Arial" w:cs="Arial" w:eastAsia="Arial" w:hAnsi="Arial"/>
          <w:sz w:val="18"/>
          <w:szCs w:val="18"/>
          <w:color w:val="auto"/>
        </w:rPr>
      </w:pPr>
    </w:p>
    <w:p>
      <w:pPr>
        <w:ind w:left="1320" w:right="1119" w:hanging="434"/>
        <w:spacing w:after="0" w:line="342" w:lineRule="auto"/>
        <w:tabs>
          <w:tab w:leader="none" w:pos="13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inability to obtain necessary additional financing if the debt security contains covenants restricting our ability to obtain such financing while the debt security is outstanding;</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44" w:lineRule="exact"/>
        <w:rPr>
          <w:rFonts w:ascii="Arial" w:cs="Arial" w:eastAsia="Arial" w:hAnsi="Arial"/>
          <w:sz w:val="18"/>
          <w:szCs w:val="18"/>
          <w:color w:val="auto"/>
        </w:rPr>
      </w:pPr>
    </w:p>
    <w:p>
      <w:pPr>
        <w:ind w:left="1320" w:right="819" w:hanging="434"/>
        <w:spacing w:after="0" w:line="286" w:lineRule="auto"/>
        <w:tabs>
          <w:tab w:leader="none" w:pos="1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97" w:lineRule="exact"/>
        <w:rPr>
          <w:rFonts w:ascii="Arial" w:cs="Arial" w:eastAsia="Arial" w:hAnsi="Arial"/>
          <w:sz w:val="17"/>
          <w:szCs w:val="17"/>
          <w:color w:val="auto"/>
        </w:rPr>
      </w:pPr>
    </w:p>
    <w:p>
      <w:pPr>
        <w:ind w:left="1320" w:right="93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or prevailing interest rates; and</w:t>
      </w:r>
    </w:p>
    <w:p>
      <w:pPr>
        <w:spacing w:after="0" w:line="89" w:lineRule="exact"/>
        <w:rPr>
          <w:rFonts w:ascii="Arial" w:cs="Arial" w:eastAsia="Arial" w:hAnsi="Arial"/>
          <w:sz w:val="18"/>
          <w:szCs w:val="18"/>
          <w:color w:val="auto"/>
        </w:rPr>
      </w:pPr>
    </w:p>
    <w:p>
      <w:pPr>
        <w:ind w:left="1320" w:right="899" w:hanging="434"/>
        <w:spacing w:after="0" w:line="286" w:lineRule="auto"/>
        <w:tabs>
          <w:tab w:leader="none" w:pos="1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1" w:lineRule="exact"/>
        <w:rPr>
          <w:sz w:val="20"/>
          <w:szCs w:val="20"/>
          <w:color w:val="auto"/>
        </w:rPr>
      </w:pPr>
    </w:p>
    <w:p>
      <w:pPr>
        <w:ind w:left="460" w:right="519"/>
        <w:spacing w:after="0" w:line="261"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net proceeds from this offering and the private placement of warrants may provide us with up to</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$292,500,000 (or $335,025,000 if the underwriter’s over-allotment option is exercised in full) that we may use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complete our initial business combination (after taking into account the $10,500,000, or $12,075,000 if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over-allotment option is exercised in full, of deferred underwriting commissions being held in the trust account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estimated expenses of this offering).</w:t>
      </w:r>
    </w:p>
    <w:p>
      <w:pPr>
        <w:spacing w:after="0" w:line="143" w:lineRule="exact"/>
        <w:rPr>
          <w:sz w:val="20"/>
          <w:szCs w:val="20"/>
          <w:color w:val="auto"/>
        </w:rPr>
      </w:pPr>
    </w:p>
    <w:p>
      <w:pPr>
        <w:ind w:left="460" w:right="919" w:firstLine="432"/>
        <w:spacing w:after="0" w:line="257" w:lineRule="auto"/>
        <w:rPr>
          <w:sz w:val="20"/>
          <w:szCs w:val="20"/>
          <w:color w:val="auto"/>
        </w:rPr>
      </w:pPr>
      <w:r>
        <w:rPr>
          <w:rFonts w:ascii="Arial" w:cs="Arial" w:eastAsia="Arial" w:hAnsi="Arial"/>
          <w:sz w:val="18"/>
          <w:szCs w:val="18"/>
          <w:color w:val="auto"/>
        </w:rPr>
        <w:t>We may effectuate our initial business combination with a single-target business or multiple-target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right="539"/>
        <w:spacing w:after="0" w:line="293" w:lineRule="auto"/>
        <w:rPr>
          <w:sz w:val="20"/>
          <w:szCs w:val="20"/>
          <w:color w:val="auto"/>
        </w:rPr>
      </w:pPr>
      <w:r>
        <w:rPr>
          <w:rFonts w:ascii="Arial" w:cs="Arial" w:eastAsia="Arial" w:hAnsi="Arial"/>
          <w:sz w:val="16"/>
          <w:szCs w:val="16"/>
          <w:color w:val="auto"/>
        </w:rPr>
        <w:t>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83" w:lineRule="exact"/>
        <w:rPr>
          <w:sz w:val="20"/>
          <w:szCs w:val="20"/>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57" w:lineRule="exact"/>
        <w:rPr>
          <w:rFonts w:ascii="Arial" w:cs="Arial" w:eastAsia="Arial" w:hAnsi="Arial"/>
          <w:sz w:val="18"/>
          <w:szCs w:val="18"/>
          <w:color w:val="auto"/>
        </w:rPr>
      </w:pPr>
    </w:p>
    <w:p>
      <w:pPr>
        <w:ind w:left="1320" w:right="71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0" w:lineRule="exact"/>
        <w:rPr>
          <w:sz w:val="20"/>
          <w:szCs w:val="20"/>
          <w:color w:val="auto"/>
        </w:rPr>
      </w:pPr>
    </w:p>
    <w:p>
      <w:pPr>
        <w:ind w:left="460" w:right="499"/>
        <w:spacing w:after="0" w:line="289"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81"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61" w:lineRule="exact"/>
        <w:rPr>
          <w:sz w:val="20"/>
          <w:szCs w:val="20"/>
          <w:color w:val="auto"/>
        </w:rPr>
      </w:pPr>
    </w:p>
    <w:p>
      <w:pPr>
        <w:ind w:left="460" w:right="619"/>
        <w:spacing w:after="0" w:line="266"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12"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By definition,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4" w:lineRule="exact"/>
        <w:rPr>
          <w:sz w:val="20"/>
          <w:szCs w:val="20"/>
          <w:color w:val="auto"/>
        </w:rPr>
      </w:pPr>
    </w:p>
    <w:p>
      <w:pPr>
        <w:ind w:left="460" w:right="719"/>
        <w:spacing w:after="0" w:line="289" w:lineRule="auto"/>
        <w:rPr>
          <w:sz w:val="20"/>
          <w:szCs w:val="20"/>
          <w:color w:val="auto"/>
        </w:rPr>
      </w:pPr>
      <w:r>
        <w:rPr>
          <w:rFonts w:ascii="Arial" w:cs="Arial" w:eastAsia="Arial" w:hAnsi="Arial"/>
          <w:sz w:val="17"/>
          <w:szCs w:val="17"/>
          <w:b w:val="1"/>
          <w:b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94"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We may structure our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right="1059"/>
        <w:spacing w:after="0" w:line="266" w:lineRule="auto"/>
        <w:rPr>
          <w:sz w:val="20"/>
          <w:szCs w:val="20"/>
          <w:color w:val="auto"/>
        </w:rPr>
      </w:pPr>
      <w:r>
        <w:rPr>
          <w:rFonts w:ascii="Arial" w:cs="Arial" w:eastAsia="Arial" w:hAnsi="Arial"/>
          <w:sz w:val="18"/>
          <w:szCs w:val="18"/>
          <w:b w:val="1"/>
          <w:bCs w:val="1"/>
          <w:color w:val="auto"/>
        </w:rPr>
        <w:t>We may seek business combination opportunities with a high degree of complexity that require significant operational improvements, which could delay or prevent us from achieving our desired results.</w:t>
      </w:r>
    </w:p>
    <w:p>
      <w:pPr>
        <w:spacing w:after="0" w:line="112"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06"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164" w:lineRule="exact"/>
        <w:rPr>
          <w:sz w:val="20"/>
          <w:szCs w:val="20"/>
          <w:color w:val="auto"/>
        </w:rPr>
      </w:pPr>
    </w:p>
    <w:p>
      <w:pPr>
        <w:ind w:left="460" w:right="539"/>
        <w:spacing w:after="0" w:line="266"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1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Our amended and restated memorandum and articles of association will not provide a specified maximum redemption threshold, except that in no event will we redeem our public shares in an amount that would cause our net tangible assets to be less than $5,000,001 (such that we are not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70" w:lineRule="exact"/>
        <w:rPr>
          <w:sz w:val="20"/>
          <w:szCs w:val="20"/>
          <w:color w:val="auto"/>
        </w:rPr>
      </w:pPr>
    </w:p>
    <w:p>
      <w:pPr>
        <w:ind w:left="460" w:right="659"/>
        <w:spacing w:after="0" w:line="298" w:lineRule="auto"/>
        <w:rPr>
          <w:sz w:val="20"/>
          <w:szCs w:val="20"/>
          <w:color w:val="auto"/>
        </w:rPr>
      </w:pPr>
      <w:r>
        <w:rPr>
          <w:rFonts w:ascii="Arial" w:cs="Arial" w:eastAsia="Arial" w:hAnsi="Arial"/>
          <w:sz w:val="16"/>
          <w:szCs w:val="16"/>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90"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In order 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changed industry focus and, with respect to their warrants, amended their warrant agreements to require the warrants to be exchanged for cash and/or other securities. Amending our amended and restated memorandum and articles of association will require at least a special resolution of our shareholders as a matter of Cayman Islands law, meaning the approval of holders of at least two-thirds of our ordinary shares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then-outstanding private placement warrants. In addition, our amended and restated memorandum and articles of association will require us to provide our public shareholders with the opportunity to redeem their public shares for cash if we propose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To the extent any of such amendments would be</w:t>
      </w:r>
    </w:p>
    <w:p>
      <w:pPr>
        <w:sectPr>
          <w:pgSz w:w="11900" w:h="16838" w:orient="portrait"/>
          <w:cols w:equalWidth="0" w:num="1">
            <w:col w:w="9019"/>
          </w:cols>
          <w:pgMar w:left="1440" w:top="33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3" w:name="page54"/>
    <w:bookmarkEnd w:id="53"/>
    <w:p>
      <w:pPr>
        <w:ind w:left="460" w:right="559"/>
        <w:spacing w:after="0" w:line="301" w:lineRule="auto"/>
        <w:rPr>
          <w:sz w:val="20"/>
          <w:szCs w:val="20"/>
          <w:color w:val="auto"/>
        </w:rPr>
      </w:pPr>
      <w:r>
        <w:rPr>
          <w:rFonts w:ascii="Arial" w:cs="Arial" w:eastAsia="Arial" w:hAnsi="Arial"/>
          <w:sz w:val="16"/>
          <w:szCs w:val="16"/>
          <w:color w:val="auto"/>
        </w:rPr>
        <w:t>deemed to fundamentally change the nature of any of the securities offered through this registration statement, we would register, or seek an exemption from registration for, the affected securities. We may seek to amend our amended and restated memorandum and articles of association or governing instruments or extend the time to consummate an initial business combination in order to effectuate our initial business combination.</w:t>
      </w:r>
    </w:p>
    <w:p>
      <w:pPr>
        <w:spacing w:after="0" w:line="153" w:lineRule="exact"/>
        <w:rPr>
          <w:sz w:val="20"/>
          <w:szCs w:val="20"/>
          <w:color w:val="auto"/>
        </w:rPr>
      </w:pPr>
    </w:p>
    <w:p>
      <w:pPr>
        <w:ind w:left="460" w:right="579"/>
        <w:spacing w:after="0" w:line="272" w:lineRule="auto"/>
        <w:rPr>
          <w:sz w:val="20"/>
          <w:szCs w:val="20"/>
          <w:color w:val="auto"/>
        </w:rPr>
      </w:pPr>
      <w:r>
        <w:rPr>
          <w:rFonts w:ascii="Arial" w:cs="Arial" w:eastAsia="Arial" w:hAnsi="Arial"/>
          <w:sz w:val="17"/>
          <w:szCs w:val="17"/>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a special resolution which requires the approval of the holders of at least two-thirds our ordinary shares who attend and vote at a general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95"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 xml:space="preserve">Some other blank check companies have a provision in their charter which prohibits the amendment of certain of its provisions, including those which relate to a company’s pre-business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general meeting of the company, and corresponding provisions of the trust agreement governing the release of funds from our trust account may be amended if approved by holders of at least 65% of our ordinary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shareholder meeting which shall include the affirmative vote of a simple majority of our Class B ordinary shares. Our sponsor and its permitted transferees, if any, who will collectively beneficially own, on an as-converted basis, 20% of our ordinary shares upon the closing of this offering (assuming they do not purchase any units in this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325"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Our sponsor, executive officers, directors and director nominees have agreed, pursuant to agreements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shareholders would need to pursue a shareholder derivative action, subject to applicable law.</w:t>
      </w:r>
    </w:p>
    <w:p>
      <w:pPr>
        <w:spacing w:after="0" w:line="170" w:lineRule="exact"/>
        <w:rPr>
          <w:sz w:val="20"/>
          <w:szCs w:val="20"/>
          <w:color w:val="auto"/>
        </w:rPr>
      </w:pPr>
    </w:p>
    <w:p>
      <w:pPr>
        <w:ind w:left="460" w:right="579"/>
        <w:spacing w:after="0" w:line="298" w:lineRule="auto"/>
        <w:rPr>
          <w:sz w:val="20"/>
          <w:szCs w:val="20"/>
          <w:color w:val="auto"/>
        </w:rPr>
      </w:pPr>
      <w:r>
        <w:rPr>
          <w:rFonts w:ascii="Arial" w:cs="Arial" w:eastAsia="Arial" w:hAnsi="Arial"/>
          <w:sz w:val="16"/>
          <w:szCs w:val="16"/>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90" w:lineRule="exact"/>
        <w:rPr>
          <w:sz w:val="20"/>
          <w:szCs w:val="20"/>
          <w:color w:val="auto"/>
        </w:rPr>
      </w:pPr>
    </w:p>
    <w:p>
      <w:pPr>
        <w:ind w:left="460" w:right="499" w:firstLine="432"/>
        <w:spacing w:after="0" w:line="342" w:lineRule="auto"/>
        <w:rPr>
          <w:sz w:val="20"/>
          <w:szCs w:val="20"/>
          <w:color w:val="auto"/>
        </w:rPr>
      </w:pPr>
      <w:r>
        <w:rPr>
          <w:rFonts w:ascii="Arial" w:cs="Arial" w:eastAsia="Arial" w:hAnsi="Arial"/>
          <w:sz w:val="16"/>
          <w:szCs w:val="16"/>
          <w:color w:val="auto"/>
        </w:rPr>
        <w:t>Although we believe that the net proceeds of this offering and the sale of the private placement warrants will be sufficient to allow us to complete our initial business combination, because we have not yet selected any</w:t>
      </w:r>
    </w:p>
    <w:p>
      <w:pPr>
        <w:sectPr>
          <w:pgSz w:w="11900" w:h="16838" w:orient="portrait"/>
          <w:cols w:equalWidth="0" w:num="1">
            <w:col w:w="9019"/>
          </w:cols>
          <w:pgMar w:left="1440" w:top="274" w:right="1440"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right="519"/>
        <w:spacing w:after="0" w:line="267" w:lineRule="auto"/>
        <w:rPr>
          <w:sz w:val="20"/>
          <w:szCs w:val="20"/>
          <w:color w:val="auto"/>
        </w:rPr>
      </w:pPr>
      <w:r>
        <w:rPr>
          <w:rFonts w:ascii="Arial" w:cs="Arial" w:eastAsia="Arial" w:hAnsi="Arial"/>
          <w:sz w:val="17"/>
          <w:szCs w:val="17"/>
          <w:color w:val="auto"/>
        </w:rPr>
        <w:t>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may make it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are unable to complete our initial business combination, our public shareholders may only receive their pro rata portion of the funds in the trust account that are available for distribution to public shareholders and not previously released to us to pay our income taxes,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84" w:lineRule="exact"/>
        <w:rPr>
          <w:sz w:val="20"/>
          <w:szCs w:val="20"/>
          <w:color w:val="auto"/>
        </w:rPr>
      </w:pPr>
    </w:p>
    <w:p>
      <w:pPr>
        <w:ind w:left="460" w:right="779"/>
        <w:spacing w:after="0" w:line="312" w:lineRule="auto"/>
        <w:rPr>
          <w:sz w:val="20"/>
          <w:szCs w:val="20"/>
          <w:color w:val="auto"/>
        </w:rPr>
      </w:pPr>
      <w:r>
        <w:rPr>
          <w:rFonts w:ascii="Arial" w:cs="Arial" w:eastAsia="Arial" w:hAnsi="Arial"/>
          <w:sz w:val="17"/>
          <w:szCs w:val="17"/>
          <w:b w:val="1"/>
          <w:bCs w:val="1"/>
          <w:color w:val="auto"/>
        </w:rPr>
        <w:t>Our sponsor controls a substantial interest in us and thus may exert a substantial influence on actions requiring a shareholder vote, potentially in a manner that you do not support.</w:t>
      </w:r>
    </w:p>
    <w:p>
      <w:pPr>
        <w:spacing w:after="0" w:line="63"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Upon closing of this offering, our sponsor will own, on an as-converted basis, 20% of our issued and outstanding ordinary shares (assuming it does not purchase any units in this offering). Accordingly, it may exert a substantial influence on actions requiring a shareholder vote, potentially in a manner that you do not support, including amendments to our amended and restated memorandum and articles of association. If our sponsor purchases any units in this offering or if our sponsor purchases any additional Class A ordinary shares in the aftermarket or in privately negotiated transactions, this would increase its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sponsor, because of its ownership position, will have considerable influence regarding the outcome. In addition, prior to the completion of an initial business combination, holders of a majority of our founder shares may remove a member of the board of directors for any reason. Accordingly, our sponsor will continue to exert control at least until the completion of our initial business combination.</w:t>
      </w:r>
    </w:p>
    <w:p>
      <w:pPr>
        <w:spacing w:after="0" w:line="165" w:lineRule="exact"/>
        <w:rPr>
          <w:sz w:val="20"/>
          <w:szCs w:val="20"/>
          <w:color w:val="auto"/>
        </w:rPr>
      </w:pPr>
    </w:p>
    <w:p>
      <w:pPr>
        <w:ind w:left="460" w:right="599"/>
        <w:spacing w:after="0" w:line="347" w:lineRule="auto"/>
        <w:rPr>
          <w:sz w:val="20"/>
          <w:szCs w:val="20"/>
          <w:color w:val="auto"/>
        </w:rPr>
      </w:pPr>
      <w:r>
        <w:rPr>
          <w:rFonts w:ascii="Arial" w:cs="Arial" w:eastAsia="Arial" w:hAnsi="Arial"/>
          <w:sz w:val="16"/>
          <w:szCs w:val="16"/>
          <w:b w:val="1"/>
          <w:bCs w:val="1"/>
          <w:color w:val="auto"/>
        </w:rPr>
        <w:t>Our sponsor contributed $25,000, or approximately $0.003 per founder share, and, accordingly, you will experience immediate and substantial dilution from the purchase of our Class A ordinary shares.</w:t>
      </w:r>
    </w:p>
    <w:p>
      <w:pPr>
        <w:spacing w:after="0" w:line="5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94.3% (or $9.43 per share, assuming no exercise of the underwriter’s over-allotment option), the difference between the pro forma net tangible book value per share of $0.57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right="539"/>
        <w:spacing w:after="0" w:line="258"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50% of the then-outstanding public warrants. As a result, the exercise price of your warrants could be increased, the exercise period could be shortened and the number of our Class A ordinary shares purchasable upon exercise of a warrant could be decreased, all without your approval.</w:t>
      </w:r>
    </w:p>
    <w:p>
      <w:pPr>
        <w:spacing w:after="0" w:line="120"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 50% of the number of the then-outstanding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Class A ordinary shares purchasable upon exercise of a warrant.</w:t>
      </w:r>
    </w:p>
    <w:p>
      <w:pPr>
        <w:spacing w:after="0" w:line="170" w:lineRule="exact"/>
        <w:rPr>
          <w:sz w:val="20"/>
          <w:szCs w:val="20"/>
          <w:color w:val="auto"/>
        </w:rPr>
      </w:pPr>
    </w:p>
    <w:p>
      <w:pPr>
        <w:ind w:left="460" w:right="539"/>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85"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 xml:space="preserve">We have the ability to redeem outstanding warrants at any time after they become exercisable and prior to their expiration, at a price of $0.01 per warrant,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closing price of our Class A ordinary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our sponsor or its permitted transferees.</w:t>
      </w:r>
    </w:p>
    <w:p>
      <w:pPr>
        <w:spacing w:after="0" w:line="170" w:lineRule="exact"/>
        <w:rPr>
          <w:sz w:val="20"/>
          <w:szCs w:val="20"/>
          <w:color w:val="auto"/>
        </w:rPr>
      </w:pPr>
    </w:p>
    <w:p>
      <w:pPr>
        <w:ind w:left="460" w:right="479"/>
        <w:spacing w:after="0" w:line="282" w:lineRule="auto"/>
        <w:rPr>
          <w:sz w:val="20"/>
          <w:szCs w:val="20"/>
          <w:color w:val="auto"/>
        </w:rPr>
      </w:pPr>
      <w:r>
        <w:rPr>
          <w:rFonts w:ascii="Arial" w:cs="Arial" w:eastAsia="Arial" w:hAnsi="Arial"/>
          <w:sz w:val="18"/>
          <w:szCs w:val="18"/>
          <w:b w:val="1"/>
          <w:bCs w:val="1"/>
          <w:color w:val="auto"/>
        </w:rPr>
        <w:t>Our warrants may have an adverse effect on the market price of our Class A ordinary shares and make it more difficult to effectuate our initial business combination.</w:t>
      </w:r>
    </w:p>
    <w:p>
      <w:pPr>
        <w:spacing w:after="0" w:line="98"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will be issuing warrants to purchase 15,000,000 Class A ordinary shares (or up to 17,250,000 Class A ordinary shares if the underwriter’s over-allotment option is exercised in full) as part of the units offered by this prospectus and, simultaneously with the closing of this offering, we will be issuing in a private placement an aggregate of 10,000,000 private placement warrants, each exercisable to purchase one Class A ordinary share at $11.50 per share. In addition, if the sponsor makes any working capital loans, it may convert up to $1,500,000 of such loans into up to an additional 1,500,000 private placement warrants, at the price of $1.00 per warrant.</w:t>
      </w:r>
    </w:p>
    <w:p>
      <w:pPr>
        <w:spacing w:after="0" w:line="97"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160" w:lineRule="exact"/>
        <w:rPr>
          <w:sz w:val="20"/>
          <w:szCs w:val="20"/>
          <w:color w:val="auto"/>
        </w:rPr>
      </w:pPr>
    </w:p>
    <w:p>
      <w:pPr>
        <w:ind w:left="460" w:right="539"/>
        <w:spacing w:after="0" w:line="282" w:lineRule="auto"/>
        <w:rPr>
          <w:sz w:val="20"/>
          <w:szCs w:val="20"/>
          <w:color w:val="auto"/>
        </w:rPr>
      </w:pPr>
      <w:r>
        <w:rPr>
          <w:rFonts w:ascii="Arial" w:cs="Arial" w:eastAsia="Arial" w:hAnsi="Arial"/>
          <w:sz w:val="18"/>
          <w:szCs w:val="18"/>
          <w:b w:val="1"/>
          <w:bCs w:val="1"/>
          <w:color w:val="auto"/>
        </w:rPr>
        <w:t>Because each unit contains one-half of one warrant and only a whole warrant may be exercised, the units may be worth less than units of other blank check companies.</w:t>
      </w:r>
    </w:p>
    <w:p>
      <w:pPr>
        <w:spacing w:after="0" w:line="85"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w:t>
      </w:r>
    </w:p>
    <w:p>
      <w:pPr>
        <w:sectPr>
          <w:pgSz w:w="11900" w:h="16838" w:orient="portrait"/>
          <w:cols w:equalWidth="0" w:num="1">
            <w:col w:w="9019"/>
          </w:cols>
          <w:pgMar w:left="1440" w:top="337"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6" w:name="page57"/>
    <w:bookmarkEnd w:id="56"/>
    <w:p>
      <w:pPr>
        <w:ind w:left="460" w:right="479"/>
        <w:spacing w:after="0" w:line="291" w:lineRule="auto"/>
        <w:rPr>
          <w:sz w:val="20"/>
          <w:szCs w:val="20"/>
          <w:color w:val="auto"/>
        </w:rPr>
      </w:pPr>
      <w:r>
        <w:rPr>
          <w:rFonts w:ascii="Arial" w:cs="Arial" w:eastAsia="Arial" w:hAnsi="Arial"/>
          <w:sz w:val="16"/>
          <w:szCs w:val="16"/>
          <w:color w:val="auto"/>
        </w:rPr>
        <w:t>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62" w:lineRule="exact"/>
        <w:rPr>
          <w:sz w:val="20"/>
          <w:szCs w:val="20"/>
          <w:color w:val="auto"/>
        </w:rPr>
      </w:pPr>
    </w:p>
    <w:p>
      <w:pPr>
        <w:ind w:left="460" w:right="1119"/>
        <w:spacing w:after="0" w:line="282" w:lineRule="auto"/>
        <w:rPr>
          <w:sz w:val="20"/>
          <w:szCs w:val="20"/>
          <w:color w:val="auto"/>
        </w:rPr>
      </w:pPr>
      <w:r>
        <w:rPr>
          <w:rFonts w:ascii="Arial" w:cs="Arial" w:eastAsia="Arial" w:hAnsi="Arial"/>
          <w:sz w:val="18"/>
          <w:szCs w:val="18"/>
          <w:b w:val="1"/>
          <w:bCs w:val="1"/>
          <w:color w:val="auto"/>
        </w:rPr>
        <w:t>A provision of our warrant agreement may make it more difficult for us to consummate an initial business combination.</w:t>
      </w:r>
    </w:p>
    <w:p>
      <w:pPr>
        <w:spacing w:after="0" w:line="8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Unlike most blank check companies, if (i) we issue additional ordinary shares or equity-linked securities for capital raising purposes in connection with the closing of our initial business combination at a Newly Issued Price of less than $9.20 per ordinary share, (ii) the aggregate gross proceeds from such issuances represent more than 60% of the total equity proceeds, and interest thereon, available for the funding of our initial business combination on the date of the consummation of our initial business combination (net of redemptions), and (iii) the Market Value is below $9.20 per share, 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181" w:lineRule="exact"/>
        <w:rPr>
          <w:sz w:val="20"/>
          <w:szCs w:val="20"/>
          <w:color w:val="auto"/>
        </w:rPr>
      </w:pPr>
    </w:p>
    <w:p>
      <w:pPr>
        <w:ind w:left="460" w:right="559"/>
        <w:spacing w:after="0" w:line="281" w:lineRule="auto"/>
        <w:rPr>
          <w:sz w:val="20"/>
          <w:szCs w:val="20"/>
          <w:color w:val="auto"/>
        </w:rPr>
      </w:pPr>
      <w:r>
        <w:rPr>
          <w:rFonts w:ascii="Arial" w:cs="Arial" w:eastAsia="Arial" w:hAnsi="Arial"/>
          <w:sz w:val="17"/>
          <w:szCs w:val="17"/>
          <w:b w:val="1"/>
          <w:b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01"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Prior to this offering there has been no public market for any of our securities. The public offering price of the units and the terms of the warrants were negotiated between us and the underwriter. In determining the size of this offering, management held customary organizational meetings with the underwriter, both prior to our inception and thereafter, with respect to the state of capital markets, generally, and the amount the underwriter believed it reasonably could raise on our behalf. Factors considered in determining the size of this offering, prices and terms of the units, including the Class A ordinary shares and warrants underlying the units, include:</w:t>
      </w:r>
    </w:p>
    <w:p>
      <w:pPr>
        <w:spacing w:after="0" w:line="97" w:lineRule="exact"/>
        <w:rPr>
          <w:sz w:val="20"/>
          <w:szCs w:val="20"/>
          <w:color w:val="auto"/>
        </w:rPr>
      </w:pPr>
    </w:p>
    <w:p>
      <w:pPr>
        <w:ind w:left="1320" w:right="1199" w:hanging="434"/>
        <w:spacing w:after="0" w:line="277"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review of debt-to-equity ratios in leveraged transactions;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80" w:lineRule="exact"/>
        <w:rPr>
          <w:sz w:val="20"/>
          <w:szCs w:val="20"/>
          <w:color w:val="auto"/>
        </w:rPr>
      </w:pPr>
    </w:p>
    <w:p>
      <w:pPr>
        <w:ind w:left="460" w:right="699"/>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9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right="599"/>
        <w:spacing w:after="0" w:line="266" w:lineRule="auto"/>
        <w:rPr>
          <w:sz w:val="20"/>
          <w:szCs w:val="20"/>
          <w:color w:val="auto"/>
        </w:rPr>
      </w:pPr>
      <w:r>
        <w:rPr>
          <w:rFonts w:ascii="Arial" w:cs="Arial" w:eastAsia="Arial" w:hAnsi="Arial"/>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12"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spacing w:after="0" w:line="164" w:lineRule="exact"/>
        <w:rPr>
          <w:sz w:val="20"/>
          <w:szCs w:val="20"/>
          <w:color w:val="auto"/>
        </w:rPr>
      </w:pPr>
    </w:p>
    <w:p>
      <w:pPr>
        <w:ind w:left="460" w:right="579"/>
        <w:spacing w:after="0" w:line="258"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06"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00"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00"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8" w:name="page59"/>
    <w:bookmarkEnd w:id="58"/>
    <w:p>
      <w:pPr>
        <w:ind w:left="460" w:right="479"/>
        <w:spacing w:after="0" w:line="266" w:lineRule="auto"/>
        <w:rPr>
          <w:sz w:val="20"/>
          <w:szCs w:val="20"/>
          <w:color w:val="auto"/>
        </w:rPr>
      </w:pPr>
      <w:r>
        <w:rPr>
          <w:rFonts w:ascii="Arial" w:cs="Arial" w:eastAsia="Arial" w:hAnsi="Arial"/>
          <w:sz w:val="18"/>
          <w:szCs w:val="18"/>
          <w:b w:val="1"/>
          <w:b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112"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88" w:lineRule="exact"/>
        <w:rPr>
          <w:sz w:val="20"/>
          <w:szCs w:val="20"/>
          <w:color w:val="auto"/>
        </w:rPr>
      </w:pPr>
    </w:p>
    <w:p>
      <w:pPr>
        <w:ind w:left="460" w:right="659"/>
        <w:spacing w:after="0" w:line="266" w:lineRule="auto"/>
        <w:rPr>
          <w:sz w:val="20"/>
          <w:szCs w:val="20"/>
          <w:color w:val="auto"/>
        </w:rPr>
      </w:pPr>
      <w:r>
        <w:rPr>
          <w:rFonts w:ascii="Arial" w:cs="Arial" w:eastAsia="Arial" w:hAnsi="Arial"/>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99"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81"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17"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95"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9" w:name="page60"/>
    <w:bookmarkEnd w:id="59"/>
    <w:p>
      <w:pPr>
        <w:jc w:val="both"/>
        <w:ind w:left="460" w:right="579"/>
        <w:spacing w:after="0" w:line="266" w:lineRule="auto"/>
        <w:rPr>
          <w:sz w:val="20"/>
          <w:szCs w:val="20"/>
          <w:color w:val="auto"/>
        </w:rPr>
      </w:pPr>
      <w:r>
        <w:rPr>
          <w:rFonts w:ascii="Arial" w:cs="Arial" w:eastAsia="Arial" w:hAnsi="Arial"/>
          <w:sz w:val="18"/>
          <w:szCs w:val="18"/>
          <w:b w:val="1"/>
          <w:b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12"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management and may discourage transactions that otherwise could involve payment of a premium over prevailing market prices for our securities.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An investment in this offering may result in uncertain or adverse U.S. federal income tax consequences.</w:t>
      </w:r>
    </w:p>
    <w:p>
      <w:pPr>
        <w:spacing w:after="0" w:line="171"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one-half of a warrant to purchase one Class A ordinary share included in each unit could be challenged by the IRS or courts. Furthermore,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holding period for purposes of determining whether any gain or loss realized by such holder on the sale or exchange of Class A ordinary shares is long-term capital gain or loss and for determining whether any dividend we pay would be considered “qualified dividends” for U.S. federal income tax purposes. See the section titled “Taxation — United States Federal Income Tax Considerations” for a summary of the U.S. federal income tax considerations of an investment in our securities. Prospective investors are urged to consult their tax advisors with respect to these and other tax consequences when purchasing, holding or disposing of our securities.</w:t>
      </w:r>
    </w:p>
    <w:p>
      <w:pPr>
        <w:spacing w:after="0" w:line="180" w:lineRule="exact"/>
        <w:rPr>
          <w:sz w:val="20"/>
          <w:szCs w:val="20"/>
          <w:color w:val="auto"/>
        </w:rPr>
      </w:pPr>
    </w:p>
    <w:p>
      <w:pPr>
        <w:ind w:left="460" w:right="679"/>
        <w:spacing w:after="0" w:line="282"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98"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92" w:lineRule="exact"/>
        <w:rPr>
          <w:sz w:val="20"/>
          <w:szCs w:val="20"/>
          <w:color w:val="auto"/>
        </w:rPr>
      </w:pPr>
    </w:p>
    <w:p>
      <w:pPr>
        <w:ind w:left="460" w:right="619"/>
        <w:spacing w:after="0" w:line="261" w:lineRule="auto"/>
        <w:rPr>
          <w:sz w:val="20"/>
          <w:szCs w:val="20"/>
          <w:color w:val="auto"/>
        </w:rPr>
      </w:pPr>
      <w:r>
        <w:rPr>
          <w:rFonts w:ascii="Arial" w:cs="Arial" w:eastAsia="Arial" w:hAnsi="Arial"/>
          <w:sz w:val="18"/>
          <w:szCs w:val="18"/>
          <w:b w:val="1"/>
          <w:bCs w:val="1"/>
          <w:color w:val="auto"/>
        </w:rPr>
        <w:t>Since only holders of our founder shares will have the right to vote on the election of directors, upon the listing of our shares on the NYSE, the NYSE may consider us to be a “controlled company” within the meaning of the NYSE rules and, as a result, we may qualify for exemptions from certain corporate governance requirements.</w:t>
      </w:r>
    </w:p>
    <w:p>
      <w:pPr>
        <w:spacing w:after="0" w:line="116"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After completion of this offering, only holders of our founder shares will have the right to vote on the election of directors. As a result, the NYSE may consider us to be a “controlled company” within the meaning of the NYSE corporate governance standards. Under the NYSE corporate governance standards, a company of which more than 50% of the voting power is held by an individual, group or another company is a “controlled company” and may elect not to comply with certain corporate governance requirements, including the requirements that:</w:t>
      </w:r>
    </w:p>
    <w:p>
      <w:pPr>
        <w:spacing w:after="0" w:line="111" w:lineRule="exact"/>
        <w:rPr>
          <w:sz w:val="20"/>
          <w:szCs w:val="20"/>
          <w:color w:val="auto"/>
        </w:rPr>
      </w:pPr>
    </w:p>
    <w:p>
      <w:pPr>
        <w:ind w:left="1320" w:right="719" w:hanging="434"/>
        <w:spacing w:after="0" w:line="277"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a board that includes a majority of “independent directors,” as defined under the rules of the NYSE;</w:t>
      </w:r>
    </w:p>
    <w:p>
      <w:pPr>
        <w:spacing w:after="0" w:line="102" w:lineRule="exact"/>
        <w:rPr>
          <w:rFonts w:ascii="Arial" w:cs="Arial" w:eastAsia="Arial" w:hAnsi="Arial"/>
          <w:sz w:val="18"/>
          <w:szCs w:val="18"/>
          <w:color w:val="auto"/>
        </w:rPr>
      </w:pPr>
    </w:p>
    <w:p>
      <w:pPr>
        <w:ind w:left="1320" w:right="539" w:hanging="434"/>
        <w:spacing w:after="0" w:line="308" w:lineRule="auto"/>
        <w:tabs>
          <w:tab w:leader="none" w:pos="13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have a compensation committee of our board that is comprised entirely of independent directors with a written charter addressing the committee’s purpose and responsibilities; and</w:t>
      </w:r>
    </w:p>
    <w:p>
      <w:pPr>
        <w:spacing w:after="0" w:line="78" w:lineRule="exact"/>
        <w:rPr>
          <w:rFonts w:ascii="Arial" w:cs="Arial" w:eastAsia="Arial" w:hAnsi="Arial"/>
          <w:sz w:val="17"/>
          <w:szCs w:val="17"/>
          <w:color w:val="auto"/>
        </w:rPr>
      </w:pPr>
    </w:p>
    <w:p>
      <w:pPr>
        <w:ind w:left="1320" w:right="619" w:hanging="434"/>
        <w:spacing w:after="0" w:line="263"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of our board that is comprised entirely of independent directors with a written charter addressing the committee’s purpose and responsibilities.</w:t>
      </w:r>
    </w:p>
    <w:p>
      <w:pPr>
        <w:sectPr>
          <w:pgSz w:w="11900" w:h="16838" w:orient="portrait"/>
          <w:cols w:equalWidth="0" w:num="1">
            <w:col w:w="9019"/>
          </w:cols>
          <w:pgMar w:left="1440" w:top="337"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0" w:name="page61"/>
    <w:bookmarkEnd w:id="60"/>
    <w:p>
      <w:pPr>
        <w:ind w:left="460" w:right="459" w:firstLine="432"/>
        <w:spacing w:after="0" w:line="279" w:lineRule="auto"/>
        <w:rPr>
          <w:sz w:val="20"/>
          <w:szCs w:val="20"/>
          <w:color w:val="auto"/>
        </w:rPr>
      </w:pPr>
      <w:r>
        <w:rPr>
          <w:rFonts w:ascii="Arial" w:cs="Arial" w:eastAsia="Arial" w:hAnsi="Arial"/>
          <w:sz w:val="17"/>
          <w:szCs w:val="17"/>
          <w:color w:val="auto"/>
        </w:rPr>
        <w:t>We do not intend to utilize these exemptions and intend to comply with the corporate governance requirements of the NYSE, subject to applicable phase-in rules. However, if we determine in the future to utilize some or all of these exemptions, you will not have the same protections afforded to shareholders of companies that are subject to all of the NYSE corporate governance requirements.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225" w:lineRule="exact"/>
        <w:rPr>
          <w:sz w:val="20"/>
          <w:szCs w:val="20"/>
          <w:color w:val="auto"/>
        </w:rPr>
      </w:pPr>
    </w:p>
    <w:p>
      <w:pPr>
        <w:ind w:left="460" w:right="479"/>
        <w:spacing w:after="0" w:line="303" w:lineRule="auto"/>
        <w:rPr>
          <w:sz w:val="20"/>
          <w:szCs w:val="20"/>
          <w:color w:val="auto"/>
        </w:rPr>
      </w:pPr>
      <w:r>
        <w:rPr>
          <w:rFonts w:ascii="Arial" w:cs="Arial" w:eastAsia="Arial" w:hAnsi="Arial"/>
          <w:sz w:val="16"/>
          <w:szCs w:val="16"/>
          <w:b w:val="1"/>
          <w:b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74"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94" w:lineRule="exact"/>
        <w:rPr>
          <w:sz w:val="20"/>
          <w:szCs w:val="20"/>
          <w:color w:val="auto"/>
        </w:rPr>
      </w:pPr>
    </w:p>
    <w:p>
      <w:pPr>
        <w:jc w:val="both"/>
        <w:ind w:left="460" w:right="799" w:firstLine="432"/>
        <w:spacing w:after="0" w:line="263"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16" w:lineRule="exact"/>
        <w:rPr>
          <w:sz w:val="20"/>
          <w:szCs w:val="20"/>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tax issues, such as tax law changes and variations in tax laws as compared to the United States;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5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83" w:lineRule="exact"/>
        <w:rPr>
          <w:sz w:val="20"/>
          <w:szCs w:val="20"/>
          <w:color w:val="auto"/>
        </w:rPr>
      </w:pPr>
    </w:p>
    <w:p>
      <w:pPr>
        <w:jc w:val="both"/>
        <w:ind w:left="460" w:right="559"/>
        <w:spacing w:after="0" w:line="266"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99"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174" w:lineRule="exact"/>
        <w:rPr>
          <w:sz w:val="20"/>
          <w:szCs w:val="20"/>
          <w:color w:val="auto"/>
        </w:rPr>
      </w:pPr>
    </w:p>
    <w:p>
      <w:pPr>
        <w:ind w:left="460" w:right="479"/>
        <w:spacing w:after="0" w:line="303" w:lineRule="auto"/>
        <w:rPr>
          <w:sz w:val="20"/>
          <w:szCs w:val="20"/>
          <w:color w:val="auto"/>
        </w:rPr>
      </w:pPr>
      <w:r>
        <w:rPr>
          <w:rFonts w:ascii="Arial" w:cs="Arial" w:eastAsia="Arial" w:hAnsi="Arial"/>
          <w:sz w:val="16"/>
          <w:szCs w:val="16"/>
          <w:b w:val="1"/>
          <w:b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87"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88" w:lineRule="exact"/>
        <w:rPr>
          <w:sz w:val="20"/>
          <w:szCs w:val="20"/>
          <w:color w:val="auto"/>
        </w:rPr>
      </w:pPr>
    </w:p>
    <w:p>
      <w:pPr>
        <w:ind w:left="460" w:right="759"/>
        <w:spacing w:after="0" w:line="282" w:lineRule="auto"/>
        <w:rPr>
          <w:sz w:val="20"/>
          <w:szCs w:val="20"/>
          <w:color w:val="auto"/>
        </w:rPr>
      </w:pPr>
      <w:r>
        <w:rPr>
          <w:rFonts w:ascii="Arial" w:cs="Arial" w:eastAsia="Arial" w:hAnsi="Arial"/>
          <w:sz w:val="18"/>
          <w:szCs w:val="18"/>
          <w:b w:val="1"/>
          <w:bCs w:val="1"/>
          <w:color w:val="auto"/>
        </w:rPr>
        <w:t>Exchange rate fluctuations and currency policies may cause a target business’ ability to succeed in the international markets to be diminished.</w:t>
      </w:r>
    </w:p>
    <w:p>
      <w:pPr>
        <w:spacing w:after="0" w:line="9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77" w:lineRule="exact"/>
        <w:rPr>
          <w:sz w:val="20"/>
          <w:szCs w:val="20"/>
          <w:color w:val="auto"/>
        </w:rPr>
      </w:pPr>
    </w:p>
    <w:p>
      <w:pPr>
        <w:jc w:val="both"/>
        <w:ind w:left="460" w:right="679"/>
        <w:spacing w:after="0" w:line="266"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99"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right="559"/>
        <w:spacing w:after="0" w:line="347" w:lineRule="auto"/>
        <w:rPr>
          <w:sz w:val="20"/>
          <w:szCs w:val="20"/>
          <w:color w:val="auto"/>
        </w:rPr>
      </w:pPr>
      <w:r>
        <w:rPr>
          <w:rFonts w:ascii="Arial" w:cs="Arial" w:eastAsia="Arial" w:hAnsi="Arial"/>
          <w:sz w:val="16"/>
          <w:szCs w:val="16"/>
          <w:b w:val="1"/>
          <w:bCs w:val="1"/>
          <w:color w:val="auto"/>
        </w:rPr>
        <w:t>We are subject to changing law and regulations regarding regulatory matters, corporate governance and public disclosure that have increased both our costs and the risk of non-compliance.</w:t>
      </w:r>
    </w:p>
    <w:p>
      <w:pPr>
        <w:spacing w:after="0" w:line="5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 generating activities to compliance activities.</w:t>
      </w:r>
    </w:p>
    <w:p>
      <w:pPr>
        <w:spacing w:after="0" w:line="97" w:lineRule="exact"/>
        <w:rPr>
          <w:sz w:val="20"/>
          <w:szCs w:val="20"/>
          <w:color w:val="auto"/>
        </w:rPr>
      </w:pPr>
    </w:p>
    <w:p>
      <w:pPr>
        <w:ind w:left="460" w:right="639" w:firstLine="432"/>
        <w:spacing w:after="0" w:line="296" w:lineRule="auto"/>
        <w:rPr>
          <w:sz w:val="20"/>
          <w:szCs w:val="20"/>
          <w:color w:val="auto"/>
        </w:rPr>
      </w:pPr>
      <w:r>
        <w:rPr>
          <w:rFonts w:ascii="Arial" w:cs="Arial" w:eastAsia="Arial" w:hAnsi="Arial"/>
          <w:sz w:val="16"/>
          <w:szCs w:val="16"/>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85" w:lineRule="exact"/>
        <w:rPr>
          <w:sz w:val="20"/>
          <w:szCs w:val="20"/>
          <w:color w:val="auto"/>
        </w:rPr>
      </w:pPr>
    </w:p>
    <w:p>
      <w:pPr>
        <w:ind w:left="1320" w:right="719" w:hanging="434"/>
        <w:spacing w:after="0" w:line="277"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 and complete our initial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w:t>
      </w:r>
    </w:p>
    <w:p>
      <w:pPr>
        <w:spacing w:after="0" w:line="157" w:lineRule="exact"/>
        <w:rPr>
          <w:rFonts w:ascii="Arial" w:cs="Arial" w:eastAsia="Arial" w:hAnsi="Arial"/>
          <w:sz w:val="18"/>
          <w:szCs w:val="18"/>
          <w:color w:val="auto"/>
        </w:rPr>
      </w:pPr>
    </w:p>
    <w:p>
      <w:pPr>
        <w:ind w:left="1320" w:right="1099" w:hanging="434"/>
        <w:spacing w:after="0" w:line="277"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potential ability to obtain additional financing to complete our initial business combination;</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44"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44"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44"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We are offering 30,000,000 units at an offering price of $10.00 per unit. We estimate that the net proceeds of this offering, together with the funds we will receive from the sale of the private placement warrants, will be used as set forth in the following table: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Without</w:t>
            </w:r>
          </w:p>
        </w:tc>
        <w:tc>
          <w:tcPr>
            <w:tcW w:w="16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Over-allotment</w:t>
            </w:r>
          </w:p>
        </w:tc>
      </w:tr>
      <w:tr>
        <w:trPr>
          <w:trHeight w:val="203"/>
        </w:trPr>
        <w:tc>
          <w:tcPr>
            <w:tcW w:w="5200" w:type="dxa"/>
            <w:vAlign w:val="bottom"/>
          </w:tcPr>
          <w:p>
            <w:pPr>
              <w:spacing w:after="0"/>
              <w:rPr>
                <w:sz w:val="17"/>
                <w:szCs w:val="17"/>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Over-allotment</w:t>
            </w:r>
          </w:p>
        </w:tc>
        <w:tc>
          <w:tcPr>
            <w:tcW w:w="16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6"/>
              </w:rPr>
              <w:t>Option</w:t>
            </w:r>
          </w:p>
        </w:tc>
      </w:tr>
      <w:tr>
        <w:trPr>
          <w:trHeight w:val="210"/>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Option</w:t>
            </w:r>
          </w:p>
        </w:tc>
        <w:tc>
          <w:tcPr>
            <w:tcW w:w="16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7"/>
              </w:rPr>
              <w:t>Exercised</w:t>
            </w:r>
          </w:p>
        </w:tc>
      </w:tr>
      <w:tr>
        <w:trPr>
          <w:trHeight w:val="46"/>
        </w:trPr>
        <w:tc>
          <w:tcPr>
            <w:tcW w:w="52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proceeds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83"/>
        </w:trPr>
        <w:tc>
          <w:tcPr>
            <w:tcW w:w="5200" w:type="dxa"/>
            <w:vAlign w:val="bottom"/>
          </w:tcPr>
          <w:p>
            <w:pPr>
              <w:spacing w:after="0"/>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0"/>
                <w:szCs w:val="20"/>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300,000,000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345,000,000</w:t>
            </w:r>
          </w:p>
        </w:tc>
        <w:tc>
          <w:tcPr>
            <w:tcW w:w="140" w:type="dxa"/>
            <w:vAlign w:val="bottom"/>
          </w:tcPr>
          <w:p>
            <w:pPr>
              <w:spacing w:after="0"/>
              <w:rPr>
                <w:sz w:val="24"/>
                <w:szCs w:val="24"/>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Gross proceeds from private placement warrants offered in the private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10,000,000</w:t>
            </w:r>
          </w:p>
        </w:tc>
      </w:tr>
      <w:tr>
        <w:trPr>
          <w:trHeight w:val="283"/>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gross proceeds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310,000,000</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355,000,000</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r>
      <w:tr>
        <w:trPr>
          <w:trHeight w:val="270"/>
        </w:trPr>
        <w:tc>
          <w:tcPr>
            <w:tcW w:w="5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84"/>
        </w:trPr>
        <w:tc>
          <w:tcPr>
            <w:tcW w:w="5200" w:type="dxa"/>
            <w:vAlign w:val="bottom"/>
          </w:tcPr>
          <w:p>
            <w:pPr>
              <w:spacing w:after="0"/>
              <w:rPr>
                <w:sz w:val="20"/>
                <w:szCs w:val="20"/>
                <w:color w:val="auto"/>
              </w:rPr>
            </w:pPr>
            <w:r>
              <w:rPr>
                <w:rFonts w:ascii="Arial" w:cs="Arial" w:eastAsia="Arial" w:hAnsi="Arial"/>
                <w:sz w:val="18"/>
                <w:szCs w:val="18"/>
                <w:b w:val="1"/>
                <w:bCs w:val="1"/>
                <w:color w:val="auto"/>
              </w:rPr>
              <w:t>Offering expenses</w:t>
            </w:r>
            <w:r>
              <w:rPr>
                <w:rFonts w:ascii="Arial" w:cs="Arial" w:eastAsia="Arial" w:hAnsi="Arial"/>
                <w:sz w:val="20"/>
                <w:szCs w:val="20"/>
                <w:b w:val="1"/>
                <w:bCs w:val="1"/>
                <w:color w:val="auto"/>
                <w:vertAlign w:val="superscript"/>
              </w:rPr>
              <w:t>(2)</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Underwriting commissions (2.0% of gross proceeds from units offered</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public, excluding deferred portion)</w:t>
            </w:r>
            <w:r>
              <w:rPr>
                <w:rFonts w:ascii="Arial" w:cs="Arial" w:eastAsia="Arial" w:hAnsi="Arial"/>
                <w:sz w:val="20"/>
                <w:szCs w:val="20"/>
                <w:color w:val="auto"/>
                <w:vertAlign w:val="superscript"/>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6,900,000</w:t>
            </w:r>
          </w:p>
        </w:tc>
        <w:tc>
          <w:tcPr>
            <w:tcW w:w="140" w:type="dxa"/>
            <w:vAlign w:val="bottom"/>
            <w:shd w:val="clear" w:color="auto" w:fill="CCEEFF"/>
          </w:tcPr>
          <w:p>
            <w:pPr>
              <w:spacing w:after="0"/>
              <w:rPr>
                <w:sz w:val="23"/>
                <w:szCs w:val="23"/>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97,031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97,031</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Travel and road show</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85,000</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Director &amp; Officer liability insurance premiums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Total offering expenses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after offering expenses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303,000,000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347,100,000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31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0"/>
                <w:szCs w:val="20"/>
                <w:color w:val="auto"/>
                <w:vertAlign w:val="superscript"/>
              </w:rPr>
              <w:t>(3)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300,000,000</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345,000,000</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r>
      <w:tr>
        <w:trPr>
          <w:trHeight w:val="217"/>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of public offering size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64"/>
        </w:trPr>
        <w:tc>
          <w:tcPr>
            <w:tcW w:w="5200" w:type="dxa"/>
            <w:vAlign w:val="bottom"/>
          </w:tcPr>
          <w:p>
            <w:pPr>
              <w:spacing w:after="0"/>
              <w:rPr>
                <w:sz w:val="20"/>
                <w:szCs w:val="20"/>
                <w:color w:val="auto"/>
              </w:rPr>
            </w:pPr>
            <w:r>
              <w:rPr>
                <w:rFonts w:ascii="Arial" w:cs="Arial" w:eastAsia="Arial" w:hAnsi="Arial"/>
                <w:sz w:val="18"/>
                <w:szCs w:val="18"/>
                <w:color w:val="auto"/>
              </w:rPr>
              <w:t>Not held in trust account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2,100,000</w:t>
            </w:r>
          </w:p>
        </w:tc>
        <w:tc>
          <w:tcPr>
            <w:tcW w:w="140" w:type="dxa"/>
            <w:vAlign w:val="bottom"/>
          </w:tcPr>
          <w:p>
            <w:pPr>
              <w:spacing w:after="0"/>
              <w:rPr>
                <w:sz w:val="22"/>
                <w:szCs w:val="22"/>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shows the use of the $3,000,000 of net proceeds not held in the trust account.</w:t>
      </w:r>
      <w:r>
        <w:rPr>
          <w:rFonts w:ascii="Arial" w:cs="Arial" w:eastAsia="Arial" w:hAnsi="Arial"/>
          <w:sz w:val="19"/>
          <w:szCs w:val="19"/>
          <w:color w:val="auto"/>
          <w:vertAlign w:val="superscript"/>
        </w:rPr>
        <w:t>(4)(5)</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Legal, accounting, due diligence, travel, and other expenses in connection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any business combination</w:t>
            </w:r>
            <w:r>
              <w:rPr>
                <w:rFonts w:ascii="Arial" w:cs="Arial" w:eastAsia="Arial" w:hAnsi="Arial"/>
                <w:sz w:val="20"/>
                <w:szCs w:val="20"/>
                <w:color w:val="auto"/>
                <w:vertAlign w:val="superscript"/>
              </w:rPr>
              <w:t>(6)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for office space, administrative and support services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NYSE fees</w:t>
            </w: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165,000</w:t>
            </w: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559" w:hanging="426"/>
        <w:spacing w:after="0" w:line="266"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amounts payable to public shareholders who properly redeem their shares in connection with our successful completion of our initial business combination.</w:t>
      </w:r>
    </w:p>
    <w:p>
      <w:pPr>
        <w:spacing w:after="0" w:line="1" w:lineRule="exact"/>
        <w:rPr>
          <w:rFonts w:ascii="Arial" w:cs="Arial" w:eastAsia="Arial" w:hAnsi="Arial"/>
          <w:sz w:val="16"/>
          <w:szCs w:val="16"/>
          <w:color w:val="auto"/>
        </w:rPr>
      </w:pPr>
    </w:p>
    <w:p>
      <w:pPr>
        <w:ind w:left="880" w:right="499" w:hanging="426"/>
        <w:spacing w:after="0" w:line="281" w:lineRule="auto"/>
        <w:tabs>
          <w:tab w:leader="none" w:pos="871" w:val="left"/>
        </w:tabs>
        <w:numPr>
          <w:ilvl w:val="0"/>
          <w:numId w:val="28"/>
        </w:numPr>
        <w:rPr>
          <w:rFonts w:ascii="Arial" w:cs="Arial" w:eastAsia="Arial" w:hAnsi="Arial"/>
          <w:sz w:val="15"/>
          <w:szCs w:val="15"/>
          <w:color w:val="auto"/>
        </w:rPr>
      </w:pPr>
      <w:r>
        <w:rPr>
          <w:rFonts w:ascii="Arial" w:cs="Arial" w:eastAsia="Arial" w:hAnsi="Arial"/>
          <w:sz w:val="15"/>
          <w:szCs w:val="15"/>
          <w:color w:val="auto"/>
        </w:rPr>
        <w:t>A portion of the offering expenses will be paid from the proceeds of loans from our sponsor of up to $300,000 as described in this prospectus. As of December 31, 2019, we had not borrowed any amount under the promissory note with our sponsor. These amounts will be repaid upon completion of this offering out of the offering proceeds that has been allocated for the payment of offering expenses (other than underwriting commissions) and amounts not to be held in the trust account. In the event that offering expenses are less than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3" w:lineRule="exact"/>
        <w:rPr>
          <w:rFonts w:ascii="Arial" w:cs="Arial" w:eastAsia="Arial" w:hAnsi="Arial"/>
          <w:sz w:val="15"/>
          <w:szCs w:val="15"/>
          <w:color w:val="auto"/>
        </w:rPr>
      </w:pPr>
    </w:p>
    <w:p>
      <w:pPr>
        <w:ind w:left="880" w:right="479" w:hanging="426"/>
        <w:spacing w:after="0" w:line="268" w:lineRule="auto"/>
        <w:tabs>
          <w:tab w:leader="none" w:pos="87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underwriter has agreed to defer underwriting commissions of 3.5% of the gross proceeds of this offering. Upon and concurrently with the completion of our initial business combination, $10,500,000, which constitutes the underwriter’s deferred commissions (or $12,075,000 if the underwriter’s over-allotment option is exercised in full) will be paid to the underwriter from the funds held in the trust account. See “Underwriting.”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w:t>
      </w:r>
    </w:p>
    <w:p>
      <w:pPr>
        <w:sectPr>
          <w:pgSz w:w="11900" w:h="16838" w:orient="portrait"/>
          <w:cols w:equalWidth="0" w:num="1">
            <w:col w:w="9019"/>
          </w:cols>
          <w:pgMar w:left="1440" w:top="337"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5" w:name="page66"/>
    <w:bookmarkEnd w:id="65"/>
    <w:p>
      <w:pPr>
        <w:ind w:left="880" w:right="559"/>
        <w:spacing w:after="0" w:line="265" w:lineRule="auto"/>
        <w:rPr>
          <w:sz w:val="20"/>
          <w:szCs w:val="20"/>
          <w:color w:val="auto"/>
        </w:rPr>
      </w:pPr>
      <w:r>
        <w:rPr>
          <w:rFonts w:ascii="Arial" w:cs="Arial" w:eastAsia="Arial" w:hAnsi="Arial"/>
          <w:sz w:val="16"/>
          <w:szCs w:val="16"/>
          <w:color w:val="auto"/>
        </w:rPr>
        <w:t>including payment of principal or interest on indebtedness incurred in connection with our initial business combination, to fund the purchases of other companies or for working capital. The underwriter will not be entitled to any interest accrued on the deferred underwriting discounts and commissions.</w:t>
      </w:r>
    </w:p>
    <w:p>
      <w:pPr>
        <w:spacing w:after="0" w:line="2" w:lineRule="exact"/>
        <w:rPr>
          <w:sz w:val="20"/>
          <w:szCs w:val="20"/>
          <w:color w:val="auto"/>
        </w:rPr>
      </w:pPr>
    </w:p>
    <w:p>
      <w:pPr>
        <w:ind w:left="880" w:right="479" w:hanging="426"/>
        <w:spacing w:after="0" w:line="281" w:lineRule="auto"/>
        <w:tabs>
          <w:tab w:leader="none" w:pos="87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1.5% per year, we estimate the interest earned on the trust account will be approximately $4,500,000 per year; however, we can provide no assurances regarding this amount.</w:t>
      </w:r>
    </w:p>
    <w:p>
      <w:pPr>
        <w:spacing w:after="0" w:line="8" w:lineRule="exact"/>
        <w:rPr>
          <w:rFonts w:ascii="Arial" w:cs="Arial" w:eastAsia="Arial" w:hAnsi="Arial"/>
          <w:sz w:val="15"/>
          <w:szCs w:val="15"/>
          <w:color w:val="auto"/>
        </w:rPr>
      </w:pPr>
    </w:p>
    <w:p>
      <w:pPr>
        <w:ind w:left="880" w:hanging="426"/>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w:t>
      </w:r>
    </w:p>
    <w:p>
      <w:pPr>
        <w:spacing w:after="0" w:line="18" w:lineRule="exact"/>
        <w:rPr>
          <w:rFonts w:ascii="Arial" w:cs="Arial" w:eastAsia="Arial" w:hAnsi="Arial"/>
          <w:sz w:val="16"/>
          <w:szCs w:val="16"/>
          <w:color w:val="auto"/>
        </w:rPr>
      </w:pPr>
    </w:p>
    <w:p>
      <w:pPr>
        <w:ind w:left="880" w:right="639" w:hanging="426"/>
        <w:spacing w:after="0" w:line="288"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estimated amounts that may also be used in connection with our initial business combination to fund a “no shop” provision and commitment fees for financing.</w:t>
      </w:r>
    </w:p>
    <w:p>
      <w:pPr>
        <w:spacing w:after="0" w:line="10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Of the $310,000,000 in proceeds we receive from this offering and the sale of the private placement warrants described in this prospectus, or $355,000,000 if the underwriter’s over-allotment option is exercised in full, $300,000,000 ($10.00 per unit), or $345,000,000 if the underwriter’s over-allotment option is exercised in full ($10.00 per unit), will be deposited into a trust account with Continental Stock Transfer &amp; Trust Company acting as trustee, and $10,000,000 will be used to pay expenses in connection with the closing of this offering and for working capital following this offering. We will not be permitted to withdraw any of the principal or interest held in the trust account, except with respect to interest earned on the funds held in the trust account that may be released to us to pay our income taxes, if any, (less up to $100,000 of interest to pay dissolution expenses) until the earliest of (i) the completion of our initial business combination, (ii) the redemption of our public shares if we have not consummated an initial business combination within 24 months from the closing of this offering, subject to applicable law, or (iii) the redemption of our public shares properly submitted in connection with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Based on current interest rates, we expect that interest income earned on the trust account (if any) will be sufficient to pay our income taxes.</w:t>
      </w:r>
    </w:p>
    <w:p>
      <w:pPr>
        <w:spacing w:after="0" w:line="9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13"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believe that amounts not held in trust, together with funds available to us from loans from our sponsor,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99" w:lineRule="exact"/>
        <w:rPr>
          <w:sz w:val="20"/>
          <w:szCs w:val="20"/>
          <w:color w:val="auto"/>
        </w:rPr>
      </w:pPr>
    </w:p>
    <w:p>
      <w:pPr>
        <w:ind w:left="460" w:right="699" w:firstLine="432"/>
        <w:spacing w:after="0" w:line="311" w:lineRule="auto"/>
        <w:rPr>
          <w:sz w:val="20"/>
          <w:szCs w:val="20"/>
          <w:color w:val="auto"/>
        </w:rPr>
      </w:pPr>
      <w:r>
        <w:rPr>
          <w:rFonts w:ascii="Arial" w:cs="Arial" w:eastAsia="Arial" w:hAnsi="Arial"/>
          <w:sz w:val="16"/>
          <w:szCs w:val="16"/>
          <w:color w:val="auto"/>
        </w:rPr>
        <w:t>We will reimburse an affiliate of our sponsor for office space, secretarial and administrative services provided to members of our management team, in the amount of $10,000 per month. Upon completion of our initial business combination or our liquidation, we will cease paying these monthly fees.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66" w:name="page67"/>
    <w:bookmarkEnd w:id="66"/>
    <w:p>
      <w:pPr>
        <w:ind w:left="460" w:right="559" w:firstLine="432"/>
        <w:spacing w:after="0" w:line="257"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As of December 31, 2019, we had not borrowed any amount under the promissory note with our sponsor. These loans are non-interest bearing, unsecured and are due at the earlier of June 30, 2020 or the closing of this offering. The loan will be repaid upon the closing of this offering out of the offering proceeds not held in the trust account.</w:t>
      </w:r>
    </w:p>
    <w:p>
      <w:pPr>
        <w:spacing w:after="0" w:line="10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 business combination entity at a price of $1.00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At December 31, 2019, our net tangible book deficit was $(87,699), or approximately $(0.01) per ordinary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 After giving effect to the sale of 30,000,000 Class A ordinary shares included in the units we are offering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this prospectus (or 34,500,000 Class A ordinary shares if the underwriter’s over-allotment option is exercised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full), the sale of the private placement warrants and the deduction of underwriting commissions and estimated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expenses of this offering, our pro forma net tangible book value at December 31, 2019 would have been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$5,000,001 or $0.57 per share (or $5,000,001 or $0.49 per share if the underwriter’s over-allotment option 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exercised in full), representing an immediate increase in net tangible book value (as decreased by the value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28,751,596 Class A ordinary shares that may be redeemed for cash, or 33,004,096 Class A ordinary shares if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underwriter’s over-allotment option is exercised in full) of $0.58 per share (or $0.50 per share if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underwriter’s over-allotment option is exercised in full) to our sponsor as of the date of this prospectus and an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immediate dilution to public shareholders from this offering of $10.00 per share. Total dilution to public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shareholders from this offering will be $9.43 per share (or $9.51 if the underwriter’s over-allotment option is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exercised in full).</w:t>
      </w:r>
    </w:p>
    <w:p>
      <w:pPr>
        <w:spacing w:after="0" w:line="143" w:lineRule="exact"/>
        <w:rPr>
          <w:sz w:val="20"/>
          <w:szCs w:val="20"/>
          <w:color w:val="auto"/>
        </w:rPr>
      </w:pPr>
    </w:p>
    <w:p>
      <w:pPr>
        <w:ind w:left="460" w:right="739" w:firstLine="432"/>
        <w:spacing w:after="0" w:line="308" w:lineRule="auto"/>
        <w:rPr>
          <w:sz w:val="20"/>
          <w:szCs w:val="20"/>
          <w:color w:val="auto"/>
        </w:rPr>
      </w:pPr>
      <w:r>
        <w:rPr>
          <w:rFonts w:ascii="Arial" w:cs="Arial" w:eastAsia="Arial" w:hAnsi="Arial"/>
          <w:sz w:val="17"/>
          <w:szCs w:val="17"/>
          <w:color w:val="auto"/>
        </w:rPr>
        <w:t>The following table illustrates the dilution to the public shareholders on a per-share basis, assuming no value is attributed to the warrants included in the units or the private placement warrants:</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320" w:type="dxa"/>
            <w:vAlign w:val="bottom"/>
            <w:gridSpan w:val="3"/>
          </w:tcPr>
          <w:p>
            <w:pPr>
              <w:jc w:val="center"/>
              <w:ind w:left="533"/>
              <w:spacing w:after="0"/>
              <w:rPr>
                <w:sz w:val="20"/>
                <w:szCs w:val="20"/>
                <w:color w:val="auto"/>
              </w:rPr>
            </w:pPr>
            <w:r>
              <w:rPr>
                <w:rFonts w:ascii="Arial" w:cs="Arial" w:eastAsia="Arial" w:hAnsi="Arial"/>
                <w:sz w:val="16"/>
                <w:szCs w:val="16"/>
                <w:b w:val="1"/>
                <w:bCs w:val="1"/>
                <w:color w:val="auto"/>
                <w:w w:val="97"/>
              </w:rPr>
              <w:t>Without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With</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Over-allotment</w:t>
            </w:r>
          </w:p>
        </w:tc>
        <w:tc>
          <w:tcPr>
            <w:tcW w:w="210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Over-allotment</w:t>
            </w:r>
          </w:p>
        </w:tc>
        <w:tc>
          <w:tcPr>
            <w:tcW w:w="0" w:type="dxa"/>
            <w:vAlign w:val="bottom"/>
          </w:tcPr>
          <w:p>
            <w:pPr>
              <w:spacing w:after="0"/>
              <w:rPr>
                <w:sz w:val="1"/>
                <w:szCs w:val="1"/>
                <w:color w:val="auto"/>
              </w:rPr>
            </w:pPr>
          </w:p>
        </w:tc>
      </w:tr>
      <w:tr>
        <w:trPr>
          <w:trHeight w:val="47"/>
        </w:trPr>
        <w:tc>
          <w:tcPr>
            <w:tcW w:w="39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shareholders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0.58</w:t>
            </w:r>
          </w:p>
        </w:tc>
        <w:tc>
          <w:tcPr>
            <w:tcW w:w="3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0.50</w:t>
            </w: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8"/>
                <w:szCs w:val="18"/>
                <w:color w:val="auto"/>
                <w:w w:val="96"/>
              </w:rPr>
              <w:t>Pro forma net tangible book value after this offering</w:t>
            </w: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940" w:type="dxa"/>
            <w:vAlign w:val="bottom"/>
          </w:tcPr>
          <w:p>
            <w:pPr>
              <w:ind w:left="180"/>
              <w:spacing w:after="0"/>
              <w:rPr>
                <w:sz w:val="20"/>
                <w:szCs w:val="20"/>
                <w:color w:val="auto"/>
              </w:rPr>
            </w:pPr>
            <w:r>
              <w:rPr>
                <w:rFonts w:ascii="Arial" w:cs="Arial" w:eastAsia="Arial" w:hAnsi="Arial"/>
                <w:sz w:val="18"/>
                <w:szCs w:val="18"/>
                <w:color w:val="auto"/>
              </w:rPr>
              <w:t>and the sale of the private placement warrants</w:t>
            </w:r>
          </w:p>
        </w:tc>
        <w:tc>
          <w:tcPr>
            <w:tcW w:w="1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shareholders</w:t>
            </w:r>
          </w:p>
        </w:tc>
        <w:tc>
          <w:tcPr>
            <w:tcW w:w="1020" w:type="dxa"/>
            <w:vAlign w:val="bottom"/>
            <w:gridSpan w:val="2"/>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dilution to public shareholders</w:t>
            </w: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$287,515,960 because holders of up to approximately 95.8%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shareholders meeting, including interest earned on the funds held in the trust account and not previously released to us to pay our income taxes, if any, divided by the number of the then-outstanding public shares.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information with respect to our sponsor and the public shareholders: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060" w:type="dxa"/>
            <w:vAlign w:val="bottom"/>
            <w:gridSpan w:val="5"/>
            <w:vMerge w:val="restart"/>
          </w:tcPr>
          <w:p>
            <w:pPr>
              <w:ind w:left="360"/>
              <w:spacing w:after="0"/>
              <w:rPr>
                <w:sz w:val="20"/>
                <w:szCs w:val="20"/>
                <w:color w:val="auto"/>
              </w:rPr>
            </w:pPr>
            <w:r>
              <w:rPr>
                <w:rFonts w:ascii="Arial" w:cs="Arial" w:eastAsia="Arial" w:hAnsi="Arial"/>
                <w:sz w:val="16"/>
                <w:szCs w:val="16"/>
                <w:b w:val="1"/>
                <w:bCs w:val="1"/>
                <w:color w:val="auto"/>
              </w:rPr>
              <w:t>Shares Purchased</w:t>
            </w:r>
          </w:p>
        </w:tc>
        <w:tc>
          <w:tcPr>
            <w:tcW w:w="180" w:type="dxa"/>
            <w:vAlign w:val="bottom"/>
          </w:tcPr>
          <w:p>
            <w:pPr>
              <w:spacing w:after="0"/>
              <w:rPr>
                <w:sz w:val="17"/>
                <w:szCs w:val="17"/>
                <w:color w:val="auto"/>
              </w:rPr>
            </w:pPr>
          </w:p>
        </w:tc>
        <w:tc>
          <w:tcPr>
            <w:tcW w:w="2000" w:type="dxa"/>
            <w:vAlign w:val="bottom"/>
            <w:gridSpan w:val="4"/>
            <w:vMerge w:val="restart"/>
          </w:tcPr>
          <w:p>
            <w:pPr>
              <w:jc w:val="right"/>
              <w:ind w:right="31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75"/>
        </w:trPr>
        <w:tc>
          <w:tcPr>
            <w:tcW w:w="2700" w:type="dxa"/>
            <w:vAlign w:val="bottom"/>
          </w:tcPr>
          <w:p>
            <w:pPr>
              <w:spacing w:after="0"/>
              <w:rPr>
                <w:sz w:val="6"/>
                <w:szCs w:val="6"/>
                <w:color w:val="auto"/>
              </w:rPr>
            </w:pPr>
          </w:p>
        </w:tc>
        <w:tc>
          <w:tcPr>
            <w:tcW w:w="206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20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restart"/>
          </w:tcPr>
          <w:p>
            <w:pPr>
              <w:jc w:val="center"/>
              <w:ind w:right="95"/>
              <w:spacing w:after="0"/>
              <w:rPr>
                <w:sz w:val="20"/>
                <w:szCs w:val="20"/>
                <w:color w:val="auto"/>
              </w:rPr>
            </w:pPr>
            <w:r>
              <w:rPr>
                <w:rFonts w:ascii="Arial" w:cs="Arial" w:eastAsia="Arial" w:hAnsi="Arial"/>
                <w:sz w:val="16"/>
                <w:szCs w:val="16"/>
                <w:b w:val="1"/>
                <w:bCs w:val="1"/>
                <w:color w:val="auto"/>
                <w:w w:val="90"/>
              </w:rPr>
              <w:t>Price per</w:t>
            </w:r>
          </w:p>
        </w:tc>
        <w:tc>
          <w:tcPr>
            <w:tcW w:w="0" w:type="dxa"/>
            <w:vAlign w:val="bottom"/>
          </w:tcPr>
          <w:p>
            <w:pPr>
              <w:spacing w:after="0"/>
              <w:rPr>
                <w:sz w:val="1"/>
                <w:szCs w:val="1"/>
                <w:color w:val="auto"/>
              </w:rPr>
            </w:pPr>
          </w:p>
        </w:tc>
      </w:tr>
      <w:tr>
        <w:trPr>
          <w:trHeight w:val="47"/>
        </w:trPr>
        <w:tc>
          <w:tcPr>
            <w:tcW w:w="27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Number</w:t>
            </w:r>
          </w:p>
        </w:tc>
        <w:tc>
          <w:tcPr>
            <w:tcW w:w="1040" w:type="dxa"/>
            <w:vAlign w:val="bottom"/>
            <w:gridSpan w:val="3"/>
          </w:tcPr>
          <w:p>
            <w:pPr>
              <w:ind w:left="100"/>
              <w:spacing w:after="0"/>
              <w:rPr>
                <w:sz w:val="20"/>
                <w:szCs w:val="20"/>
                <w:color w:val="auto"/>
              </w:rPr>
            </w:pPr>
            <w:r>
              <w:rPr>
                <w:rFonts w:ascii="Arial" w:cs="Arial" w:eastAsia="Arial" w:hAnsi="Arial"/>
                <w:sz w:val="16"/>
                <w:szCs w:val="16"/>
                <w:b w:val="1"/>
                <w:bCs w:val="1"/>
                <w:color w:val="auto"/>
              </w:rPr>
              <w:t>Percentage</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7"/>
              </w:rPr>
              <w:t>Percentage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47"/>
        </w:trPr>
        <w:tc>
          <w:tcPr>
            <w:tcW w:w="27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w:t>
            </w:r>
            <w:r>
              <w:rPr>
                <w:rFonts w:ascii="Arial" w:cs="Arial" w:eastAsia="Arial" w:hAnsi="Arial"/>
                <w:sz w:val="20"/>
                <w:szCs w:val="20"/>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0.003</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Arial" w:cs="Arial" w:eastAsia="Arial" w:hAnsi="Arial"/>
                <w:sz w:val="18"/>
                <w:szCs w:val="18"/>
                <w:color w:val="auto"/>
              </w:rPr>
              <w:t>Public Shareholders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30,000,000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300,000,000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37,500,000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300,025,000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479" w:hanging="426"/>
        <w:spacing w:after="0" w:line="293" w:lineRule="auto"/>
        <w:tabs>
          <w:tab w:leader="none" w:pos="8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corresponding forfeiture of 1,125,000 Class B ordinary shares held by our sponsor.</w:t>
      </w:r>
    </w:p>
    <w:p>
      <w:pPr>
        <w:sectPr>
          <w:pgSz w:w="11900" w:h="16838" w:orient="portrait"/>
          <w:cols w:equalWidth="0" w:num="1">
            <w:col w:w="9019"/>
          </w:cols>
          <w:pgMar w:left="1440" w:top="337"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9" w:name="page70"/>
    <w:bookmarkEnd w:id="69"/>
    <w:p>
      <w:pPr>
        <w:ind w:left="460" w:right="499" w:firstLine="432"/>
        <w:spacing w:after="0" w:line="277" w:lineRule="auto"/>
        <w:rPr>
          <w:sz w:val="20"/>
          <w:szCs w:val="20"/>
          <w:color w:val="auto"/>
        </w:rPr>
      </w:pPr>
      <w:r>
        <w:rPr>
          <w:rFonts w:ascii="Arial" w:cs="Arial" w:eastAsia="Arial" w:hAnsi="Arial"/>
          <w:sz w:val="18"/>
          <w:szCs w:val="18"/>
          <w:color w:val="auto"/>
        </w:rPr>
        <w:t>The pro forma net tangible book value per share after the offering (assuming that the underwriter does not exercise its over-allotment option) is calculated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14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3"/>
              </w:rPr>
              <w:t>Over-allotment</w:t>
            </w:r>
          </w:p>
        </w:tc>
        <w:tc>
          <w:tcPr>
            <w:tcW w:w="12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9"/>
              </w:rPr>
              <w:t>Over-allotment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(87,699)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(87,699)</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this offering and sale of the private placement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303,000,000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347,100,000</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w w:val="96"/>
              </w:rPr>
              <w:t>Plus: Offering costs paid in advance, excluded from tangible book value</w:t>
            </w: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103,660</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(10,500,000)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(12,075,000)</w:t>
            </w:r>
          </w:p>
        </w:tc>
        <w:tc>
          <w:tcPr>
            <w:tcW w:w="0" w:type="dxa"/>
            <w:vAlign w:val="bottom"/>
          </w:tcPr>
          <w:p>
            <w:pPr>
              <w:spacing w:after="0"/>
              <w:rPr>
                <w:sz w:val="1"/>
                <w:szCs w:val="1"/>
                <w:color w:val="auto"/>
              </w:rPr>
            </w:pPr>
          </w:p>
        </w:tc>
      </w:tr>
      <w:tr>
        <w:trPr>
          <w:trHeight w:val="283"/>
        </w:trPr>
        <w:tc>
          <w:tcPr>
            <w:tcW w:w="552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20"/>
                <w:szCs w:val="20"/>
                <w:color w:val="auto"/>
                <w:vertAlign w:val="superscript"/>
              </w:rPr>
              <w:t>(2)</w:t>
            </w: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(287,515,960)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(330,040,960)</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 outstanding prior to this offering</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8,625,000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8,625,000</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Ordinary shares forfeited if over-allotment is not exercised</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 included in the units offered</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34,500,000</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Less: Ordinary shares subject to redemption</w:t>
            </w: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(28,751,596)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(33,004,096)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8,748,404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10,120,904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639" w:hanging="426"/>
        <w:spacing w:after="0" w:line="265"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Expenses applied against gross proceeds include offering expenses of $1,000,000 and underwriting commissions of $6,000,000 or $6,900,000 if the underwriter exercises its over-allotment option (excluding deferred underwriting fees). See “Use of Proceeds.”</w:t>
      </w:r>
    </w:p>
    <w:p>
      <w:pPr>
        <w:spacing w:after="0" w:line="1" w:lineRule="exact"/>
        <w:rPr>
          <w:rFonts w:ascii="Arial" w:cs="Arial" w:eastAsia="Arial" w:hAnsi="Arial"/>
          <w:sz w:val="16"/>
          <w:szCs w:val="16"/>
          <w:color w:val="auto"/>
        </w:rPr>
      </w:pPr>
    </w:p>
    <w:p>
      <w:pPr>
        <w:ind w:left="880" w:right="499" w:hanging="426"/>
        <w:spacing w:after="0" w:line="267"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 Effecting Our Initial Business Combination — Permitted Purchases of Our Securities.”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following table sets forth our capitalization at December 31, 2019, and as adjusted to give effect to the filing of our amended and restated memorandum and articles of association, the sale of our units in this offering and the private placement warrants and the application of the estimated net proceeds derived from the sale of such securities: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December 31, 2019</w:t>
            </w:r>
          </w:p>
        </w:tc>
      </w:tr>
      <w:tr>
        <w:trPr>
          <w:trHeight w:val="46"/>
        </w:trPr>
        <w:tc>
          <w:tcPr>
            <w:tcW w:w="57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r>
      <w:tr>
        <w:trPr>
          <w:trHeight w:val="273"/>
        </w:trPr>
        <w:tc>
          <w:tcPr>
            <w:tcW w:w="5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3"/>
          </w:tcPr>
          <w:p>
            <w:pPr>
              <w:ind w:left="40"/>
              <w:spacing w:after="0"/>
              <w:rPr>
                <w:sz w:val="20"/>
                <w:szCs w:val="20"/>
                <w:color w:val="auto"/>
              </w:rPr>
            </w:pPr>
            <w:r>
              <w:rPr>
                <w:rFonts w:ascii="Arial" w:cs="Arial" w:eastAsia="Arial" w:hAnsi="Arial"/>
                <w:sz w:val="16"/>
                <w:szCs w:val="16"/>
                <w:b w:val="1"/>
                <w:bCs w:val="1"/>
                <w:color w:val="auto"/>
              </w:rPr>
              <w:t>Actual</w:t>
            </w:r>
          </w:p>
        </w:tc>
        <w:tc>
          <w:tcPr>
            <w:tcW w:w="1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6"/>
              </w:rPr>
              <w:t>As Adjusted</w:t>
            </w:r>
            <w:r>
              <w:rPr>
                <w:rFonts w:ascii="Arial" w:cs="Arial" w:eastAsia="Arial" w:hAnsi="Arial"/>
                <w:sz w:val="18"/>
                <w:szCs w:val="18"/>
                <w:b w:val="1"/>
                <w:bCs w:val="1"/>
                <w:color w:val="auto"/>
                <w:w w:val="86"/>
                <w:vertAlign w:val="superscript"/>
              </w:rPr>
              <w:t>(1)</w:t>
            </w:r>
          </w:p>
        </w:tc>
      </w:tr>
      <w:tr>
        <w:trPr>
          <w:trHeight w:val="268"/>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578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20" w:type="dxa"/>
            <w:vAlign w:val="bottom"/>
          </w:tcPr>
          <w:p>
            <w:pPr>
              <w:spacing w:after="0"/>
              <w:rPr>
                <w:sz w:val="22"/>
                <w:szCs w:val="2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10,500,000</w:t>
            </w: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182"/>
        </w:trPr>
        <w:tc>
          <w:tcPr>
            <w:tcW w:w="5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Class A ordinary shares, $0.0001 par value, 300,000,000 shares authorized; 0</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and 28,751,596 Class A ordinary shares are subject to possible redemption,</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1"/>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287,515,960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w w:val="90"/>
              </w:rPr>
              <w:t>Preference shares, $0.0001 par value; 1,000,000 preference shares authorized;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0 preference shares issued and outstanding, actual and as adjusted</w:t>
            </w:r>
          </w:p>
        </w:tc>
        <w:tc>
          <w:tcPr>
            <w:tcW w:w="2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 $0.0001 par value, 300,000,000 shares authorized; 0</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and 1,248,404 shares issued and outstanding (excluding 0 and 28,751,596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71"/>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shares subject to possible redemption), actual and as adjusted, respectively</w:t>
            </w:r>
            <w:r>
              <w:rPr>
                <w:rFonts w:ascii="Arial" w:cs="Arial" w:eastAsia="Arial" w:hAnsi="Arial"/>
                <w:sz w:val="20"/>
                <w:szCs w:val="20"/>
                <w:color w:val="auto"/>
                <w:w w:val="90"/>
                <w:vertAlign w:val="superscript"/>
              </w:rPr>
              <w:t>(3)</w:t>
            </w:r>
          </w:p>
        </w:tc>
        <w:tc>
          <w:tcPr>
            <w:tcW w:w="22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w w:val="96"/>
              </w:rPr>
              <w:t>Class B ordinary shares, $0.0001 par value, 30,000,000 shares authorized;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w w:val="98"/>
              </w:rPr>
              <w:t>8,625,000 and 7,500,000 shares issued and outstanding, actual and as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adjusted, respectively</w:t>
            </w:r>
          </w:p>
        </w:tc>
        <w:tc>
          <w:tcPr>
            <w:tcW w:w="2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751</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24,137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5,008,164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78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303,015,961</w:t>
            </w:r>
          </w:p>
        </w:tc>
        <w:tc>
          <w:tcPr>
            <w:tcW w:w="14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479" w:hanging="426"/>
        <w:spacing w:after="0" w:line="266" w:lineRule="auto"/>
        <w:tabs>
          <w:tab w:leader="none" w:pos="8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corresponding forfeiture of 1,250,000 Class B ordinary shares held by our sponsor.</w:t>
      </w:r>
    </w:p>
    <w:p>
      <w:pPr>
        <w:spacing w:after="0" w:line="1" w:lineRule="exact"/>
        <w:rPr>
          <w:rFonts w:ascii="Arial" w:cs="Arial" w:eastAsia="Arial" w:hAnsi="Arial"/>
          <w:sz w:val="16"/>
          <w:szCs w:val="16"/>
          <w:color w:val="auto"/>
        </w:rPr>
      </w:pPr>
    </w:p>
    <w:p>
      <w:pPr>
        <w:ind w:left="880" w:right="879" w:hanging="426"/>
        <w:spacing w:after="0" w:line="281" w:lineRule="auto"/>
        <w:tabs>
          <w:tab w:leader="none" w:pos="8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sponsor has agreed to loan us up to $300,000 to be used for a portion of the expenses of this offering. As of December 31, 2019, we had not borrowed any amount under the promissory note with our sponsor.</w:t>
      </w:r>
    </w:p>
    <w:p>
      <w:pPr>
        <w:spacing w:after="0" w:line="1" w:lineRule="exact"/>
        <w:rPr>
          <w:rFonts w:ascii="Arial" w:cs="Arial" w:eastAsia="Arial" w:hAnsi="Arial"/>
          <w:sz w:val="15"/>
          <w:szCs w:val="15"/>
          <w:color w:val="auto"/>
        </w:rPr>
      </w:pPr>
    </w:p>
    <w:p>
      <w:pPr>
        <w:ind w:left="880" w:right="559" w:hanging="426"/>
        <w:spacing w:after="0" w:line="312" w:lineRule="auto"/>
        <w:tabs>
          <w:tab w:leader="none" w:pos="8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We are a blank check company incorporated on December 18, 2019 as a Cayman Islands exempted company for the purpose of effecting a merger, share exchange, asset acquisition, share purchase, reorganization or similar business combination with one or more businesses or entities.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private placement of the private placement warrants, our shares, debt or a combination of cash, equity and debt.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158" w:lineRule="exact"/>
        <w:rPr>
          <w:sz w:val="20"/>
          <w:szCs w:val="20"/>
          <w:color w:val="auto"/>
        </w:rPr>
      </w:pPr>
    </w:p>
    <w:p>
      <w:pPr>
        <w:ind w:left="1320" w:right="559" w:hanging="434"/>
        <w:spacing w:after="0" w:line="259"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19"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89" w:lineRule="exact"/>
        <w:rPr>
          <w:rFonts w:ascii="Arial" w:cs="Arial" w:eastAsia="Arial" w:hAnsi="Arial"/>
          <w:sz w:val="18"/>
          <w:szCs w:val="18"/>
          <w:color w:val="auto"/>
        </w:rPr>
      </w:pPr>
    </w:p>
    <w:p>
      <w:pPr>
        <w:jc w:val="both"/>
        <w:ind w:left="1320" w:right="719" w:hanging="434"/>
        <w:spacing w:after="0" w:line="311" w:lineRule="auto"/>
        <w:tabs>
          <w:tab w:leader="none" w:pos="1311"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Arial" w:cs="Arial" w:eastAsia="Arial" w:hAnsi="Arial"/>
          <w:sz w:val="16"/>
          <w:szCs w:val="16"/>
          <w:color w:val="auto"/>
        </w:rPr>
      </w:pPr>
    </w:p>
    <w:p>
      <w:pPr>
        <w:ind w:left="1320" w:right="1079" w:hanging="434"/>
        <w:spacing w:after="0" w:line="277"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102"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Similarly, if we issue debt securities or otherwise incur significant debt, it could result in:</w:t>
      </w:r>
    </w:p>
    <w:p>
      <w:pPr>
        <w:spacing w:after="0" w:line="158" w:lineRule="exact"/>
        <w:rPr>
          <w:sz w:val="20"/>
          <w:szCs w:val="20"/>
          <w:color w:val="auto"/>
        </w:rPr>
      </w:pPr>
    </w:p>
    <w:p>
      <w:pPr>
        <w:ind w:left="1320" w:right="57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89"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16"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02" w:lineRule="exact"/>
        <w:rPr>
          <w:rFonts w:ascii="Arial" w:cs="Arial" w:eastAsia="Arial" w:hAnsi="Arial"/>
          <w:sz w:val="18"/>
          <w:szCs w:val="18"/>
          <w:color w:val="auto"/>
        </w:rPr>
      </w:pPr>
    </w:p>
    <w:p>
      <w:pPr>
        <w:ind w:left="1320" w:right="1119" w:hanging="434"/>
        <w:spacing w:after="0" w:line="342" w:lineRule="auto"/>
        <w:tabs>
          <w:tab w:leader="none" w:pos="1311"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inability to obtain necessary additional financing if the debt security contains covenants restricting our ability to obtain such financing while the debt security is outstanding;</w:t>
      </w:r>
    </w:p>
    <w:p>
      <w:pPr>
        <w:spacing w:after="0" w:line="42" w:lineRule="exact"/>
        <w:rPr>
          <w:rFonts w:ascii="Arial" w:cs="Arial" w:eastAsia="Arial" w:hAnsi="Arial"/>
          <w:sz w:val="16"/>
          <w:szCs w:val="16"/>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57" w:lineRule="exact"/>
        <w:rPr>
          <w:rFonts w:ascii="Arial" w:cs="Arial" w:eastAsia="Arial" w:hAnsi="Arial"/>
          <w:sz w:val="18"/>
          <w:szCs w:val="18"/>
          <w:color w:val="auto"/>
        </w:rPr>
      </w:pPr>
    </w:p>
    <w:p>
      <w:pPr>
        <w:ind w:left="1320" w:right="819" w:hanging="434"/>
        <w:spacing w:after="0" w:line="286" w:lineRule="auto"/>
        <w:tabs>
          <w:tab w:leader="none" w:pos="1311" w:val="left"/>
        </w:tabs>
        <w:numPr>
          <w:ilvl w:val="0"/>
          <w:numId w:val="34"/>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97" w:lineRule="exact"/>
        <w:rPr>
          <w:rFonts w:ascii="Arial" w:cs="Arial" w:eastAsia="Arial" w:hAnsi="Arial"/>
          <w:sz w:val="17"/>
          <w:szCs w:val="17"/>
          <w:color w:val="auto"/>
        </w:rPr>
      </w:pPr>
    </w:p>
    <w:p>
      <w:pPr>
        <w:ind w:left="1320" w:right="93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or prevailing interest rates;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2" w:name="page73"/>
    <w:bookmarkEnd w:id="72"/>
    <w:p>
      <w:pPr>
        <w:ind w:left="1320" w:right="899" w:hanging="434"/>
        <w:spacing w:after="0" w:line="286" w:lineRule="auto"/>
        <w:tabs>
          <w:tab w:leader="none" w:pos="13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8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indicated in the accompanying financial statements, as of December 31, 2019, we had no cash and deferred offering costs of approximately $104,000. Further, we expect to incur significant costs in the pursuit of our initial business combination.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6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liquidity needs have been satisfied prior to the completion of this offering through receipt of (i) a</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$25,000 capital contribution from our sponsor in exchange for the issuance of the founder shares to our sponsor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(ii) and loans to us of up to $300,000 by our sponsor under an unsecured promissory note. As of December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 2019, we had not borrowed any amount under the unsecured promissory note. We estimate that the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(i) the sale of the units in this offering, after deducting offering expenses of $1,000,000,</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underwriting commissions of $6,000,000, or $6,900,000 if the underwriter’s over-allotment option is exercised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full (excluding deferred underwriting commissions of $10,500,000, or $12,075,000 if the underwriter’s over-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allotment option is exercised in full), and (ii) the sale of the private placement warrants for a purchase price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$10,000,000 will be $303,000,000 (or $347,100,000 if the underwriter’s over-allotment option is exercised 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full). $300,000,000 (or $345,000,000 if the underwriter’s over-allotment option is exercised in full) will be held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trust account, which includes the deferred underwriting commissions described above. The proceeds held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trust account will be invested only in U.S. government treasury obligations with a maturity of 185 days 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less or in money market funds meeting certain conditions under Rule 2a-7 under the Investment Company Act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invest only in direct U.S. government treasury obligations. The remaining $3,000,000 (or $2,100,000 if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over-allotment option is exercised in full) will not be held in the trust account. In the event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that our offering expenses exceed our estimate of $1,000,000, we may fund such excess with funds not to be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held in the trust account. In such case, the amount of funds we intend to be held outside the trust account would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decrease by a corresponding amount. Conversely, in the event that the offering expenses are less than our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estimate of $1,000,000, the amount of funds we intend to be held outside the trust account would increase by 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corresponding amount.</w:t>
      </w:r>
    </w:p>
    <w:p>
      <w:pPr>
        <w:spacing w:after="0" w:line="130"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1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Prior to the completion of our initial business combination, we will have available to us the $3,000,000 of proceeds held outside the trust account (or $2,100,000 if the underwriter’s over-allotment option is exercised in full), as well as certain funds from loans from our sponsor.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right="459" w:firstLine="432"/>
        <w:spacing w:after="0" w:line="285"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prior to our initial business combination, other than funds available from loans from our sponsor.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of the post business combination entity at a price of $1.00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93"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expect our primary liquidity requirements during that period to include approximately $ for legal, accounting, due diligence, travel and other expenses associated with structuring, negotiating and documenting</w:t>
      </w:r>
    </w:p>
    <w:p>
      <w:pPr>
        <w:ind w:left="460" w:right="759"/>
        <w:spacing w:after="0" w:line="281" w:lineRule="auto"/>
        <w:rPr>
          <w:sz w:val="20"/>
          <w:szCs w:val="20"/>
          <w:color w:val="auto"/>
        </w:rPr>
      </w:pPr>
      <w:r>
        <w:rPr>
          <w:rFonts w:ascii="Arial" w:cs="Arial" w:eastAsia="Arial" w:hAnsi="Arial"/>
          <w:sz w:val="16"/>
          <w:szCs w:val="16"/>
          <w:color w:val="auto"/>
        </w:rPr>
        <w:t>successful business combinations; $ for legal and accounting fees related to regulatory reporting requirements; $240,000 for office space, administrative and support services; $165,000 for NYSE continued</w:t>
      </w:r>
    </w:p>
    <w:p>
      <w:pPr>
        <w:spacing w:after="0" w:line="1" w:lineRule="exact"/>
        <w:rPr>
          <w:sz w:val="20"/>
          <w:szCs w:val="20"/>
          <w:color w:val="auto"/>
        </w:rPr>
      </w:pPr>
    </w:p>
    <w:p>
      <w:pPr>
        <w:ind w:left="460"/>
        <w:spacing w:after="0"/>
        <w:tabs>
          <w:tab w:leader="none" w:pos="2120" w:val="left"/>
        </w:tabs>
        <w:rPr>
          <w:sz w:val="20"/>
          <w:szCs w:val="20"/>
          <w:color w:val="auto"/>
        </w:rPr>
      </w:pPr>
      <w:r>
        <w:rPr>
          <w:rFonts w:ascii="Arial" w:cs="Arial" w:eastAsia="Arial" w:hAnsi="Arial"/>
          <w:sz w:val="18"/>
          <w:szCs w:val="18"/>
          <w:color w:val="auto"/>
        </w:rPr>
        <w:t>listing fees; and $</w:t>
      </w:r>
      <w:r>
        <w:rPr>
          <w:sz w:val="20"/>
          <w:szCs w:val="20"/>
          <w:color w:val="auto"/>
        </w:rPr>
        <w:tab/>
      </w:r>
      <w:r>
        <w:rPr>
          <w:rFonts w:ascii="Arial" w:cs="Arial" w:eastAsia="Arial" w:hAnsi="Arial"/>
          <w:sz w:val="16"/>
          <w:szCs w:val="16"/>
          <w:color w:val="auto"/>
        </w:rPr>
        <w:t>for general working capital that will be used for miscellaneous expenses and reserves.</w:t>
      </w:r>
    </w:p>
    <w:p>
      <w:pPr>
        <w:spacing w:after="0" w:line="143"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04"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are unable to complete our initial business combination because we do not have sufficient funds available to us, we will be forced to cease operations and liquidate the trust account.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not currently required to maintain an effective system of internal controls as defined by</w:t>
      </w:r>
    </w:p>
    <w:p>
      <w:pPr>
        <w:spacing w:after="0" w:line="23" w:lineRule="exact"/>
        <w:rPr>
          <w:sz w:val="20"/>
          <w:szCs w:val="20"/>
          <w:color w:val="auto"/>
        </w:rPr>
      </w:pPr>
    </w:p>
    <w:p>
      <w:pPr>
        <w:ind w:left="460" w:right="479"/>
        <w:spacing w:after="0" w:line="251" w:lineRule="auto"/>
        <w:rPr>
          <w:sz w:val="20"/>
          <w:szCs w:val="20"/>
          <w:color w:val="auto"/>
        </w:rPr>
      </w:pPr>
      <w:r>
        <w:rPr>
          <w:rFonts w:ascii="Arial" w:cs="Arial" w:eastAsia="Arial" w:hAnsi="Arial"/>
          <w:sz w:val="18"/>
          <w:szCs w:val="18"/>
          <w:color w:val="auto"/>
        </w:rPr>
        <w:t>Section 404 of the Sarbanes-Oxley Act. We will be required to comply with the internal control requirements of the Sarbanes- Oxley Act for the fiscal year ending December 31, 2021.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right="599" w:firstLine="432"/>
        <w:spacing w:after="0" w:line="291" w:lineRule="auto"/>
        <w:rPr>
          <w:sz w:val="20"/>
          <w:szCs w:val="20"/>
          <w:color w:val="auto"/>
        </w:rPr>
      </w:pPr>
      <w:r>
        <w:rPr>
          <w:rFonts w:ascii="Arial" w:cs="Arial" w:eastAsia="Arial" w:hAnsi="Arial"/>
          <w:sz w:val="16"/>
          <w:szCs w:val="16"/>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85" w:lineRule="exact"/>
        <w:rPr>
          <w:sz w:val="20"/>
          <w:szCs w:val="20"/>
          <w:color w:val="auto"/>
        </w:rPr>
      </w:pPr>
    </w:p>
    <w:p>
      <w:pPr>
        <w:ind w:left="1300" w:hanging="41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60" w:lineRule="exact"/>
        <w:rPr>
          <w:sz w:val="20"/>
          <w:szCs w:val="20"/>
          <w:color w:val="auto"/>
        </w:rPr>
      </w:pPr>
    </w:p>
    <w:p>
      <w:pPr>
        <w:jc w:val="both"/>
        <w:ind w:left="460" w:right="559" w:firstLine="432"/>
        <w:spacing w:after="0" w:line="311" w:lineRule="auto"/>
        <w:rPr>
          <w:sz w:val="20"/>
          <w:szCs w:val="20"/>
          <w:color w:val="auto"/>
        </w:rPr>
      </w:pPr>
      <w:r>
        <w:rPr>
          <w:rFonts w:ascii="Arial" w:cs="Arial" w:eastAsia="Arial" w:hAnsi="Arial"/>
          <w:sz w:val="16"/>
          <w:szCs w:val="16"/>
          <w:color w:val="auto"/>
        </w:rPr>
        <w:t>As of December 31, 2019, we did not have any off-balance sheet arrangements as defined in Item 303(a) (4)(ii) of Regulation S-K and did not have any commitments or contractual obligations. No unaudited quarterly operating data is included in this prospectus as we have not conducted any operations to date.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right="479" w:firstLine="432"/>
        <w:spacing w:after="0" w:line="268"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or entities, which we refer to throughout this prospectus as our initial business combination. We have not selected any business combination target and we have not, nor has anyone on our behalf, initiated any substantive discussions, directly or indirectly, with any potential business combination target.</w:t>
      </w:r>
    </w:p>
    <w:p>
      <w:pPr>
        <w:spacing w:after="0" w:line="11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believe that there are significant, attractive investment opportunities that exist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We believe our management team’s experience allows us to evaluate targets in industries such as manufacturing (including auto, building materials), chemicals, services (including waste, environmental, construction), logistics (including transportation, distribution), technology (hardware, software, devices), agriculture (including biofuels) and energy (with focus on renewable generation, utility services, energy efficiency/management), among others. Furthermore, our target universe could include companies undergoing a transition to increase their environmental sustainability profiles, reflecting an opportunity to bring environmentally sustainable practices to companies that may not have historically been focused on environmental sustainability. We believe there is a wide array of companies undergoing this “brown-to-green” transition in our target universe. Companies in our target universe tend to have stable growth rates and would greatly benefit from access to public market capital.</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believe in the ability of our management team to add significant value to a target company from a commercial, operating, strategic and sustainability perspective. In particular, we intend to identify and acquire a business that could benefit from a hands-on owner with extensive operational experience and the public company expertise our management team possesses, or that relies on the target’s executive and operational expertise but presents potential for an attractive risk-adjusted return profile under our stewardship. Even fundamentally sound companies can often underperform their potential due to underinvestment, a temporary period of dislocation in the markets in which they operate, over-levered capital structures, excessive cost structures, incomplete management teams and/or inappropriate business strategies. Our management team has extensive experience in identifying and executing such strategies. In addition, our team has significant hands-on experience working with private companies in preparing for and executing an initial public offering and serving as active owners and directors by working closely with these companies to continue their transformations and help create value in the public markets.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62"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Scott Leonard serves as our Chief Executive Officer and on our board of directors. Mr. Leonard has over 15 years of experience leading highly successful business transformations and transitions. Mr. Leonard also has deep expertise over the past 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7" w:name="page78"/>
    <w:bookmarkEnd w:id="77"/>
    <w:p>
      <w:pPr>
        <w:ind w:left="460" w:right="479" w:firstLine="432"/>
        <w:spacing w:after="0" w:line="265" w:lineRule="auto"/>
        <w:rPr>
          <w:sz w:val="20"/>
          <w:szCs w:val="20"/>
          <w:color w:val="auto"/>
        </w:rPr>
      </w:pPr>
      <w:r>
        <w:rPr>
          <w:rFonts w:ascii="Arial" w:cs="Arial" w:eastAsia="Arial" w:hAnsi="Arial"/>
          <w:sz w:val="17"/>
          <w:szCs w:val="17"/>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10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Choice Delivery, LLC, United Language Group, Inc., Renters Warehouse LLC, Real Dolmen (REM:BB) and Westwood One, Inc. (formerly Nasdaq: WWON), and is a co-founder of Titan CNG LLC and YapStone Inc. Mr. Honour earned a B.S. and B.A., </w:t>
      </w:r>
      <w:r>
        <w:rPr>
          <w:rFonts w:ascii="Arial" w:cs="Arial" w:eastAsia="Arial" w:hAnsi="Arial"/>
          <w:sz w:val="17"/>
          <w:szCs w:val="17"/>
          <w:i w:val="1"/>
          <w:iCs w:val="1"/>
          <w:color w:val="auto"/>
        </w:rPr>
        <w:t>cum laude</w:t>
      </w:r>
      <w:r>
        <w:rPr>
          <w:rFonts w:ascii="Arial" w:cs="Arial" w:eastAsia="Arial" w:hAnsi="Arial"/>
          <w:sz w:val="17"/>
          <w:szCs w:val="17"/>
          <w:color w:val="auto"/>
        </w:rPr>
        <w:t>, in Business Administration and Economics from Pepperdine University and an M.B.A. in Finance and Marketing from the Wharton School of the University of Pennsylvania.</w:t>
      </w:r>
    </w:p>
    <w:p>
      <w:pPr>
        <w:spacing w:after="0" w:line="112"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spacing w:after="0" w:line="10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will further be supported by our team of advisors comprised of former senior executives from leading global companies with experience in a wide range of sub-sectors and functional areas, who have previously worked together over the last decade or more. They will provide us with access to their expertise and extensive industry networks from which we intend to source and evaluate targets as well as devise plans to optimize any business that we acquire.</w:t>
      </w:r>
    </w:p>
    <w:p>
      <w:pPr>
        <w:spacing w:after="0" w:line="120"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management team will be supported by NPG, a technology and business services focused private equity firm based in Wayzata, Minnesota. NPG has considerable experience investing in ESG related portfolio companies with community impact, workplace diversity and integrity, and environmental resource management acting as cornerstones to key investment decisions. NPG has offset its carbon footprint to net zero, achieving CarbonNeutral® status. The partners of NPG have been involved in acquisitions, financings and advisory transactions totaling over $20 billion in transaction value and have significant experience investing across a variety of economic cycles and a track record of identifying high-quality assets, businesses and management teams with significant resources, capital and optimization potential. We believe that we will benefit from NPG’s prior experience.</w:t>
      </w:r>
    </w:p>
    <w:p>
      <w:pPr>
        <w:spacing w:after="0" w:line="100"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With respect to the above, past performance of our management team is not a guarantee of either (i) success with respect to a business combination that may be consummated or (ii) the ability to successfully identify and execute a transaction. You should not rely on the historical record of management or their respective affiliates as indicative of future performance. See “Risk Factors — 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may or does exist between such officers and the company, please refer to “Management — Conflicts of Interest.”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Our acquisition and value creation strategy is to identify and complete our initial business combination with a company in an industry that complements the experience and expertise of our management team and is focused on, or could benefit from, environmentally sustainable business practices. We will seek to:</w:t>
      </w:r>
    </w:p>
    <w:p>
      <w:pPr>
        <w:spacing w:after="0" w:line="68" w:lineRule="exact"/>
        <w:rPr>
          <w:sz w:val="20"/>
          <w:szCs w:val="20"/>
          <w:color w:val="auto"/>
        </w:rPr>
      </w:pPr>
    </w:p>
    <w:p>
      <w:pPr>
        <w:ind w:left="1320" w:right="679" w:hanging="434"/>
        <w:spacing w:after="0" w:line="277"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management team and sponsor to bring advice and attention to potential targets;</w:t>
      </w:r>
    </w:p>
    <w:p>
      <w:pPr>
        <w:spacing w:after="0" w:line="102"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Drive value creation through support of a strong environmental sustainability profile or a “brown-to-green” transition;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w:t>
      </w:r>
    </w:p>
    <w:p>
      <w:pPr>
        <w:spacing w:after="0" w:line="144"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 including assistance with public company readiness; and</w:t>
      </w:r>
    </w:p>
    <w:p>
      <w:pPr>
        <w:spacing w:after="0" w:line="102"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Remove economic or environmental waste through environmentally sustainable operational or commercial improvements.</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selection process in choosing an attractive investment opportunity will leverage our management team’s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a catalyst to transform a target company and can help accelerate the target’s growth, performance and sustainability profile. Upon completion of this offering, members of our management team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members of our management team have experience in:</w:t>
      </w:r>
    </w:p>
    <w:p>
      <w:pPr>
        <w:spacing w:after="0" w:line="158" w:lineRule="exact"/>
        <w:rPr>
          <w:sz w:val="20"/>
          <w:szCs w:val="20"/>
          <w:color w:val="auto"/>
        </w:rPr>
      </w:pPr>
    </w:p>
    <w:p>
      <w:pPr>
        <w:ind w:left="1320" w:right="111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and investing in companies with a focus on decarbonization and environmentally sustainable business practices;</w:t>
      </w:r>
    </w:p>
    <w:p>
      <w:pPr>
        <w:spacing w:after="0" w:line="102" w:lineRule="exact"/>
        <w:rPr>
          <w:rFonts w:ascii="Arial" w:cs="Arial" w:eastAsia="Arial" w:hAnsi="Arial"/>
          <w:sz w:val="18"/>
          <w:szCs w:val="18"/>
          <w:color w:val="auto"/>
        </w:rPr>
      </w:pPr>
    </w:p>
    <w:p>
      <w:pPr>
        <w:ind w:left="1320" w:right="79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companies, setting and enacting strategies, and identifying, monitoring and recruiting world-class talent;</w:t>
      </w:r>
    </w:p>
    <w:p>
      <w:pPr>
        <w:spacing w:after="0" w:line="89" w:lineRule="exact"/>
        <w:rPr>
          <w:rFonts w:ascii="Arial" w:cs="Arial" w:eastAsia="Arial" w:hAnsi="Arial"/>
          <w:sz w:val="18"/>
          <w:szCs w:val="18"/>
          <w:color w:val="auto"/>
        </w:rPr>
      </w:pPr>
    </w:p>
    <w:p>
      <w:pPr>
        <w:jc w:val="both"/>
        <w:ind w:left="1320" w:right="1059" w:hanging="434"/>
        <w:spacing w:after="0" w:line="263"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Executing transactions and business plans under various economic and financial market conditions.</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sourcing, valuation, diligence and execution capabilities of our management team will provide us with a significant pipeline of opportunities from which to evaluate and select a business that will benefit from our expertise. Our competitive strengths include the following:</w:t>
      </w:r>
    </w:p>
    <w:p>
      <w:pPr>
        <w:spacing w:after="0" w:line="103" w:lineRule="exact"/>
        <w:rPr>
          <w:sz w:val="20"/>
          <w:szCs w:val="20"/>
          <w:color w:val="auto"/>
        </w:rPr>
      </w:pPr>
    </w:p>
    <w:p>
      <w:pPr>
        <w:ind w:left="1320" w:right="519" w:hanging="434"/>
        <w:spacing w:after="0" w:line="273" w:lineRule="auto"/>
        <w:tabs>
          <w:tab w:leader="none" w:pos="1311" w:val="left"/>
        </w:tabs>
        <w:numPr>
          <w:ilvl w:val="0"/>
          <w:numId w:val="3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Strong Management Team and Sponsorship. </w:t>
      </w:r>
      <w:r>
        <w:rPr>
          <w:rFonts w:ascii="Arial" w:cs="Arial" w:eastAsia="Arial" w:hAnsi="Arial"/>
          <w:sz w:val="17"/>
          <w:szCs w:val="17"/>
          <w:color w:val="auto"/>
        </w:rPr>
        <w:t>We believe that our sponsor and management team,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its decade long proven ability to execute and simultaneously improve both financial metrics and sustainability, the strong track record of our management team focused on environmental sustainability will be viewed favorably by target businesses in need of professionalized management, ESG guidance, improved operating processes and controls, better access to industry relationships and strategic planning.</w:t>
      </w:r>
    </w:p>
    <w:p>
      <w:pPr>
        <w:sectPr>
          <w:pgSz w:w="11900" w:h="16838" w:orient="portrait"/>
          <w:cols w:equalWidth="0" w:num="1">
            <w:col w:w="9019"/>
          </w:cols>
          <w:pgMar w:left="1440" w:top="337"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9" w:name="page80"/>
    <w:bookmarkEnd w:id="79"/>
    <w:p>
      <w:pPr>
        <w:ind w:left="1320" w:right="519" w:hanging="434"/>
        <w:spacing w:after="0" w:line="257" w:lineRule="auto"/>
        <w:tabs>
          <w:tab w:leader="none" w:pos="1311"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Leading Experience in Decarbonization and Environmentally Sustainable Practices.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significant experience in decarbonization through the retirement and management of carbon intensive facilities as well as investment into new technologies. Our sponsor has an extensive track record of investment in companies with an environmental sustainability focus.</w:t>
      </w:r>
    </w:p>
    <w:p>
      <w:pPr>
        <w:spacing w:after="0" w:line="106" w:lineRule="exact"/>
        <w:rPr>
          <w:rFonts w:ascii="Arial" w:cs="Arial" w:eastAsia="Arial" w:hAnsi="Arial"/>
          <w:sz w:val="18"/>
          <w:szCs w:val="18"/>
          <w:b w:val="1"/>
          <w:bCs w:val="1"/>
          <w:i w:val="1"/>
          <w:iCs w:val="1"/>
          <w:color w:val="auto"/>
        </w:rPr>
      </w:pPr>
    </w:p>
    <w:p>
      <w:pPr>
        <w:ind w:left="1320" w:right="519" w:hanging="434"/>
        <w:spacing w:after="0" w:line="25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connections associated with our management team and sponsor will provide us with a differentiated pipeline of merger opportunities that would be difficult for other participants in the market to replicate. We expect these sourcing capabilities will be further bolstered by our management team’s reputation and deep industry relationships.</w:t>
      </w:r>
    </w:p>
    <w:p>
      <w:pPr>
        <w:spacing w:after="0" w:line="120" w:lineRule="exact"/>
        <w:rPr>
          <w:rFonts w:ascii="Arial" w:cs="Arial" w:eastAsia="Arial" w:hAnsi="Arial"/>
          <w:sz w:val="18"/>
          <w:szCs w:val="18"/>
          <w:color w:val="auto"/>
        </w:rPr>
      </w:pPr>
    </w:p>
    <w:p>
      <w:pPr>
        <w:ind w:left="1320" w:right="579" w:hanging="434"/>
        <w:spacing w:after="0" w:line="286" w:lineRule="auto"/>
        <w:tabs>
          <w:tab w:leader="none" w:pos="1311"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Investing Experience. </w:t>
      </w:r>
      <w:r>
        <w:rPr>
          <w:rFonts w:ascii="Arial" w:cs="Arial" w:eastAsia="Arial" w:hAnsi="Arial"/>
          <w:sz w:val="17"/>
          <w:szCs w:val="17"/>
          <w:color w:val="auto"/>
        </w:rPr>
        <w:t>We believe that our management and sponsor’s track record of identifying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sourcing transactions positions us well to evaluate potential investment targets and select one that will be well received by the public markets and our shareholders.</w:t>
      </w:r>
    </w:p>
    <w:p>
      <w:pPr>
        <w:spacing w:after="0" w:line="97" w:lineRule="exact"/>
        <w:rPr>
          <w:rFonts w:ascii="Arial" w:cs="Arial" w:eastAsia="Arial" w:hAnsi="Arial"/>
          <w:sz w:val="17"/>
          <w:szCs w:val="17"/>
          <w:color w:val="auto"/>
        </w:rPr>
      </w:pPr>
    </w:p>
    <w:p>
      <w:pPr>
        <w:ind w:left="1320" w:right="579" w:hanging="434"/>
        <w:spacing w:after="0" w:line="254"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and Structuring Capability. </w:t>
      </w:r>
      <w:r>
        <w:rPr>
          <w:rFonts w:ascii="Arial" w:cs="Arial" w:eastAsia="Arial" w:hAnsi="Arial"/>
          <w:sz w:val="18"/>
          <w:szCs w:val="18"/>
          <w:color w:val="auto"/>
        </w:rPr>
        <w:t>We believe that our management team’s and sponsor’s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industry expertise and reputation will allow them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Criteria</w:t>
      </w:r>
    </w:p>
    <w:p>
      <w:pPr>
        <w:spacing w:after="0" w:line="148"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Consistent with our strategy, we have identified the following general criteria and guidelines which we believe are important in evaluating prospective target businesses. We will use these criteria and guidelines in evaluating acquisition opportunities, but we may decide to enter into our initial business combination with a target business that does not meet these criteria and guidelines. We intend to acquire one or more businesses or entities that we believe:</w:t>
      </w:r>
    </w:p>
    <w:p>
      <w:pPr>
        <w:spacing w:after="0" w:line="120" w:lineRule="exact"/>
        <w:rPr>
          <w:sz w:val="20"/>
          <w:szCs w:val="20"/>
          <w:color w:val="auto"/>
        </w:rPr>
      </w:pPr>
    </w:p>
    <w:p>
      <w:pPr>
        <w:ind w:left="1320" w:right="539" w:hanging="434"/>
        <w:spacing w:after="0" w:line="279" w:lineRule="auto"/>
        <w:tabs>
          <w:tab w:leader="none" w:pos="1311"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Benefits from Environmentally Sustainable Business Practices. </w:t>
      </w:r>
      <w:r>
        <w:rPr>
          <w:rFonts w:ascii="Arial" w:cs="Arial" w:eastAsia="Arial" w:hAnsi="Arial"/>
          <w:sz w:val="17"/>
          <w:szCs w:val="17"/>
          <w:color w:val="auto"/>
        </w:rPr>
        <w:t>We will seek to acquire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(i) has existing operating practices that promote and profit from environmental sustainability or (ii) would benefit from implementing environmentally sustainable commercial and operating practices leveraging the expertise of our management team and sponsor.</w:t>
      </w:r>
    </w:p>
    <w:p>
      <w:pPr>
        <w:spacing w:after="0" w:line="103" w:lineRule="exact"/>
        <w:rPr>
          <w:rFonts w:ascii="Arial" w:cs="Arial" w:eastAsia="Arial" w:hAnsi="Arial"/>
          <w:sz w:val="17"/>
          <w:szCs w:val="17"/>
          <w:color w:val="auto"/>
        </w:rPr>
      </w:pPr>
    </w:p>
    <w:p>
      <w:pPr>
        <w:ind w:left="1320" w:right="73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Defensible Market Position. </w:t>
      </w:r>
      <w:r>
        <w:rPr>
          <w:rFonts w:ascii="Arial" w:cs="Arial" w:eastAsia="Arial" w:hAnsi="Arial"/>
          <w:sz w:val="18"/>
          <w:szCs w:val="18"/>
          <w:color w:val="auto"/>
        </w:rPr>
        <w:t>We will seek to acquire a business that has a defensible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within a target market as a result of a differentiated technology, distribution capabilities, customer service or other competitive advantages.</w:t>
      </w:r>
    </w:p>
    <w:p>
      <w:pPr>
        <w:spacing w:after="0" w:line="102" w:lineRule="exact"/>
        <w:rPr>
          <w:rFonts w:ascii="Arial" w:cs="Arial" w:eastAsia="Arial" w:hAnsi="Arial"/>
          <w:sz w:val="18"/>
          <w:szCs w:val="18"/>
          <w:color w:val="auto"/>
        </w:rPr>
      </w:pPr>
    </w:p>
    <w:p>
      <w:pPr>
        <w:jc w:val="both"/>
        <w:ind w:left="1320" w:right="53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an Attractive Financial Profile. </w:t>
      </w:r>
      <w:r>
        <w:rPr>
          <w:rFonts w:ascii="Arial" w:cs="Arial" w:eastAsia="Arial" w:hAnsi="Arial"/>
          <w:sz w:val="18"/>
          <w:szCs w:val="18"/>
          <w:color w:val="auto"/>
        </w:rPr>
        <w:t>We will seek to acquire a business that has highly recurring,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stable cash flows and operating leverage and may benefit from optimizing or delevering the capital structure.</w:t>
      </w:r>
    </w:p>
    <w:p>
      <w:pPr>
        <w:spacing w:after="0" w:line="116" w:lineRule="exact"/>
        <w:rPr>
          <w:rFonts w:ascii="Arial" w:cs="Arial" w:eastAsia="Arial" w:hAnsi="Arial"/>
          <w:sz w:val="18"/>
          <w:szCs w:val="18"/>
          <w:color w:val="auto"/>
        </w:rPr>
      </w:pPr>
    </w:p>
    <w:p>
      <w:pPr>
        <w:jc w:val="both"/>
        <w:ind w:left="1320" w:right="79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116"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will aim to leverage our extensive network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source our business combination and do not expect to rely on broadly marketed processes to find a business combination target.</w:t>
      </w:r>
    </w:p>
    <w:p>
      <w:pPr>
        <w:spacing w:after="0" w:line="102" w:lineRule="exact"/>
        <w:rPr>
          <w:rFonts w:ascii="Arial" w:cs="Arial" w:eastAsia="Arial" w:hAnsi="Arial"/>
          <w:sz w:val="18"/>
          <w:szCs w:val="18"/>
          <w:color w:val="auto"/>
        </w:rPr>
      </w:pPr>
    </w:p>
    <w:p>
      <w:pPr>
        <w:ind w:left="1320" w:right="799" w:hanging="434"/>
        <w:spacing w:after="0" w:line="296" w:lineRule="auto"/>
        <w:tabs>
          <w:tab w:leader="none" w:pos="1311"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Has a Committed and Capable Management Team. </w:t>
      </w:r>
      <w:r>
        <w:rPr>
          <w:rFonts w:ascii="Arial" w:cs="Arial" w:eastAsia="Arial" w:hAnsi="Arial"/>
          <w:sz w:val="16"/>
          <w:szCs w:val="16"/>
          <w:color w:val="auto"/>
        </w:rPr>
        <w:t>We will seek to acquire a business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management team whose interests are aligned with those of our investors and complement the expertise of our management team and sponsor. Where necessary, we may also look to complement and enhance the capabilities of the target business’s management team by recruiting additional talent through our network of contacts.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1320" w:right="819" w:hanging="434"/>
        <w:spacing w:after="0" w:line="263" w:lineRule="auto"/>
        <w:tabs>
          <w:tab w:leader="none" w:pos="1311"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Has the Potential to Grow Organically or Through Additional Acquisitions. </w:t>
      </w:r>
      <w:r>
        <w:rPr>
          <w:rFonts w:ascii="Arial" w:cs="Arial" w:eastAsia="Arial" w:hAnsi="Arial"/>
          <w:sz w:val="18"/>
          <w:szCs w:val="18"/>
          <w:color w:val="auto"/>
        </w:rPr>
        <w:t>We will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a business that has the potential to grow both organically through market expansion or increased market share as well as through external acquisitions.</w:t>
      </w:r>
    </w:p>
    <w:p>
      <w:pPr>
        <w:spacing w:after="0" w:line="103"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Acquisition Process</w:t>
      </w:r>
    </w:p>
    <w:p>
      <w:pPr>
        <w:spacing w:after="0" w:line="162"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will also utilize our operational and capital planning experience.</w:t>
      </w:r>
    </w:p>
    <w:p>
      <w:pPr>
        <w:spacing w:after="0" w:line="9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that our initial business combination is fair to our company from a financial point of view from either an independent investment banking firm that is a member of the Financial Industry Regulatory Authority, Inc. (“FINRA”) or an independent accounting firm.</w:t>
      </w:r>
    </w:p>
    <w:p>
      <w:pPr>
        <w:spacing w:after="0" w:line="97"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Members of our management team may directly or indirectly own our ordinary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6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with respect to the satisfaction of such criteria from an independent investment banking firm that is a member of FINRA or an independent valuation or accounting firm. We do not intend to purchase multiple businesses in unrelated industries in conjunction with our initial business combination. Subject to this requirement, our management will have virtually unrestricted flexibility in identifying and selecting one or more prospective businesses, although we will not be permitted to effectuate our initial business combination with another blank check company or a similar company with nominal operations.</w:t>
      </w:r>
    </w:p>
    <w:p>
      <w:pPr>
        <w:spacing w:after="0" w:line="111"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right="479"/>
        <w:spacing w:after="0" w:line="288" w:lineRule="auto"/>
        <w:rPr>
          <w:sz w:val="20"/>
          <w:szCs w:val="20"/>
          <w:color w:val="auto"/>
        </w:rPr>
      </w:pPr>
      <w:r>
        <w:rPr>
          <w:rFonts w:ascii="Arial" w:cs="Arial" w:eastAsia="Arial" w:hAnsi="Arial"/>
          <w:sz w:val="16"/>
          <w:szCs w:val="16"/>
          <w:color w:val="auto"/>
        </w:rPr>
        <w:t>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87"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2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19"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Considerations</w:t>
      </w:r>
    </w:p>
    <w:p>
      <w:pPr>
        <w:spacing w:after="0" w:line="14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our sponsor, Founders, officers or directors. In the event we seek to complete our initial business combination or, subject to certain exceptions, subsequent material transactions with a company that is affiliated with our sponsor or any of our Founders, officers or directors, we, or a committee of independent directors, will obtain an opinion from an independent investment banking firm which is a member of FINRA or an independent accounting firm that such initial business combination or transaction is fair to our company from a financial point of view.</w:t>
      </w:r>
    </w:p>
    <w:p>
      <w:pPr>
        <w:spacing w:after="0" w:line="110"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We currently do not have any specific business combination under consideration. Our officers and directors have neither individually identified nor considered a target business nor have they had any substantive discussions regarding possible target businesses among themselves or with our underwriter or other advisors. Our management team is continuously made aware of potential business opportunities, one or more of which we may desire to pursue for a business combination, but we have not selected any business combination target and we have not, nor has anyone on our behalf, initiated any substantive discussions, directly or indirectly, with any business combination target.</w:t>
      </w:r>
    </w:p>
    <w:p>
      <w:pPr>
        <w:spacing w:after="0" w:line="110"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As a result, if any of our Founders,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right="479" w:firstLine="432"/>
        <w:spacing w:after="0" w:line="290" w:lineRule="auto"/>
        <w:rPr>
          <w:sz w:val="20"/>
          <w:szCs w:val="20"/>
          <w:color w:val="auto"/>
        </w:rPr>
      </w:pPr>
      <w:r>
        <w:rPr>
          <w:rFonts w:ascii="Arial" w:cs="Arial" w:eastAsia="Arial" w:hAnsi="Arial"/>
          <w:sz w:val="16"/>
          <w:szCs w:val="16"/>
          <w:color w:val="auto"/>
        </w:rPr>
        <w:t>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 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Status as a Public Company</w:t>
      </w:r>
    </w:p>
    <w:p>
      <w:pPr>
        <w:spacing w:after="0" w:line="14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spacing w:after="0" w:line="10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24"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including our lack of an operating history and our potential need to seek shareholder approval of any proposed initial business combination, negatively.</w:t>
      </w:r>
    </w:p>
    <w:p>
      <w:pPr>
        <w:spacing w:after="0" w:line="106"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13"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9" w:lineRule="exact"/>
        <w:rPr>
          <w:sz w:val="20"/>
          <w:szCs w:val="20"/>
          <w:color w:val="auto"/>
        </w:rPr>
      </w:pPr>
    </w:p>
    <w:p>
      <w:pPr>
        <w:ind w:left="460" w:right="599" w:firstLine="432"/>
        <w:spacing w:after="0" w:line="250"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sz w:val="20"/>
          <w:szCs w:val="20"/>
          <w:color w:val="auto"/>
        </w:rPr>
      </w:pPr>
      <w:r>
        <w:rPr>
          <w:rFonts w:ascii="Arial" w:cs="Arial" w:eastAsia="Arial" w:hAnsi="Arial"/>
          <w:sz w:val="18"/>
          <w:szCs w:val="18"/>
          <w:b w:val="1"/>
          <w:bCs w:val="1"/>
          <w:color w:val="auto"/>
        </w:rPr>
        <w:t>Financial Position</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With funds available for a business combination initially in the amount of $292,500,000, after payment of the estimated expenses of this offering and $10,500,000 of deferred underwriting fees (or $335,025,000 after payment of $12,075,000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the private placements of the private placement warrants,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27"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97" w:lineRule="exact"/>
        <w:rPr>
          <w:sz w:val="20"/>
          <w:szCs w:val="20"/>
          <w:color w:val="auto"/>
        </w:rPr>
      </w:pPr>
    </w:p>
    <w:p>
      <w:pPr>
        <w:ind w:left="460" w:right="599" w:firstLine="432"/>
        <w:spacing w:after="0" w:line="269"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directly or indirectly, with any business combination target. Additionally, we have not engaged or retained any agent or other representative to identify or locate any suitable acquisition candidate,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01"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Sources of Target Businesses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We anticipate that target business candidates will be brought to our attention from various unaffiliated sources, including investment market participants,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4" w:name="page85"/>
    <w:bookmarkEnd w:id="84"/>
    <w:p>
      <w:pPr>
        <w:ind w:left="460" w:right="459"/>
        <w:spacing w:after="0" w:line="284" w:lineRule="auto"/>
        <w:rPr>
          <w:sz w:val="20"/>
          <w:szCs w:val="20"/>
          <w:color w:val="auto"/>
        </w:rPr>
      </w:pPr>
      <w:r>
        <w:rPr>
          <w:rFonts w:ascii="Arial" w:cs="Arial" w:eastAsia="Arial" w:hAnsi="Arial"/>
          <w:sz w:val="16"/>
          <w:szCs w:val="16"/>
          <w:color w:val="auto"/>
        </w:rPr>
        <w:t>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prior to, or for any services they render in order to effectuate, the completion of our initial business combination (regardless of the type of transaction that it is). We have agreed to pay an affiliate of our sponsor a total of $10,000 per month for office space, utilities and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post-transaction company following our initial business combination. The presence or absence of any such fees or arrangements will not be used as a criterion in our selection process of an acquisition candidate.</w:t>
      </w:r>
    </w:p>
    <w:p>
      <w:pPr>
        <w:spacing w:after="0" w:line="97"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from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which is a member of FINRA or an independent accounting firm, that such an initial business combination is fair to our company from a financial point of view. We are not required to obtain such an opinion in any other context.</w:t>
      </w:r>
    </w:p>
    <w:p>
      <w:pPr>
        <w:spacing w:after="0" w:line="111"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See “Management — Conflicts of Interest.”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a Target Business and Structuring of Our Initial Business Combination</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11"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b w:val="1"/>
          <w:bCs w:val="1"/>
          <w:color w:val="auto"/>
        </w:rPr>
        <w:t>Lack of Business Diversification</w:t>
      </w:r>
    </w:p>
    <w:p>
      <w:pPr>
        <w:spacing w:after="0" w:line="162"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11" w:lineRule="exact"/>
        <w:rPr>
          <w:sz w:val="20"/>
          <w:szCs w:val="20"/>
          <w:color w:val="auto"/>
        </w:rPr>
      </w:pPr>
    </w:p>
    <w:p>
      <w:pPr>
        <w:ind w:left="1320" w:right="539" w:hanging="434"/>
        <w:spacing w:after="0" w:line="263"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16"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6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91"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98"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162" w:lineRule="exact"/>
        <w:rPr>
          <w:sz w:val="20"/>
          <w:szCs w:val="20"/>
          <w:color w:val="auto"/>
        </w:rPr>
      </w:pPr>
    </w:p>
    <w:p>
      <w:pPr>
        <w:jc w:val="both"/>
        <w:ind w:left="460" w:right="719" w:firstLine="432"/>
        <w:spacing w:after="0" w:line="279" w:lineRule="auto"/>
        <w:rPr>
          <w:sz w:val="20"/>
          <w:szCs w:val="20"/>
          <w:color w:val="auto"/>
        </w:rPr>
      </w:pPr>
      <w:r>
        <w:rPr>
          <w:rFonts w:ascii="Arial" w:cs="Arial" w:eastAsia="Arial" w:hAnsi="Arial"/>
          <w:sz w:val="17"/>
          <w:szCs w:val="17"/>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legal reasons.</w:t>
      </w:r>
    </w:p>
    <w:p>
      <w:pPr>
        <w:spacing w:after="0" w:line="90" w:lineRule="exact"/>
        <w:rPr>
          <w:sz w:val="20"/>
          <w:szCs w:val="20"/>
          <w:color w:val="auto"/>
        </w:rPr>
      </w:pPr>
    </w:p>
    <w:p>
      <w:pPr>
        <w:ind w:left="460" w:right="1279" w:firstLine="432"/>
        <w:spacing w:after="0" w:line="277" w:lineRule="auto"/>
        <w:rPr>
          <w:sz w:val="20"/>
          <w:szCs w:val="20"/>
          <w:color w:val="auto"/>
        </w:rPr>
      </w:pPr>
      <w:r>
        <w:rPr>
          <w:rFonts w:ascii="Arial" w:cs="Arial" w:eastAsia="Arial" w:hAnsi="Arial"/>
          <w:sz w:val="18"/>
          <w:szCs w:val="18"/>
          <w:color w:val="auto"/>
        </w:rPr>
        <w:t>Under the NYSE’s listing rules, shareholder approval would be required for our initial business combination if, for example:</w:t>
      </w:r>
    </w:p>
    <w:p>
      <w:pPr>
        <w:spacing w:after="0" w:line="103" w:lineRule="exact"/>
        <w:rPr>
          <w:sz w:val="20"/>
          <w:szCs w:val="20"/>
          <w:color w:val="auto"/>
        </w:rPr>
      </w:pPr>
    </w:p>
    <w:p>
      <w:pPr>
        <w:ind w:left="1320" w:right="81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our ordinary shares then outstanding (other than in a public offering);</w:t>
      </w:r>
    </w:p>
    <w:p>
      <w:pPr>
        <w:spacing w:after="0" w:line="102" w:lineRule="exact"/>
        <w:rPr>
          <w:rFonts w:ascii="Arial" w:cs="Arial" w:eastAsia="Arial" w:hAnsi="Arial"/>
          <w:sz w:val="18"/>
          <w:szCs w:val="18"/>
          <w:color w:val="auto"/>
        </w:rPr>
      </w:pPr>
    </w:p>
    <w:p>
      <w:pPr>
        <w:ind w:left="1320" w:right="459" w:hanging="434"/>
        <w:spacing w:after="0" w:line="296" w:lineRule="auto"/>
        <w:tabs>
          <w:tab w:leader="none" w:pos="1311"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of our directors, officers or substantial security holders (as defined by the NYSE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p>
      <w:pPr>
        <w:spacing w:after="0" w:line="80" w:lineRule="exact"/>
        <w:rPr>
          <w:rFonts w:ascii="Arial" w:cs="Arial" w:eastAsia="Arial" w:hAnsi="Arial"/>
          <w:sz w:val="16"/>
          <w:szCs w:val="16"/>
          <w:color w:val="auto"/>
        </w:rPr>
      </w:pPr>
    </w:p>
    <w:p>
      <w:pPr>
        <w:ind w:left="1320" w:right="99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6" w:name="page87"/>
    <w:bookmarkEnd w:id="86"/>
    <w:p>
      <w:pPr>
        <w:ind w:left="460" w:right="459" w:firstLine="432"/>
        <w:spacing w:after="0" w:line="311" w:lineRule="auto"/>
        <w:rPr>
          <w:sz w:val="20"/>
          <w:szCs w:val="20"/>
          <w:color w:val="auto"/>
        </w:rPr>
      </w:pPr>
      <w:r>
        <w:rPr>
          <w:rFonts w:ascii="Arial" w:cs="Arial" w:eastAsia="Arial" w:hAnsi="Arial"/>
          <w:sz w:val="16"/>
          <w:szCs w:val="16"/>
          <w:color w:val="auto"/>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spacing w:after="0" w:line="68" w:lineRule="exact"/>
        <w:rPr>
          <w:sz w:val="20"/>
          <w:szCs w:val="20"/>
          <w:color w:val="auto"/>
        </w:rPr>
      </w:pPr>
    </w:p>
    <w:p>
      <w:pPr>
        <w:ind w:left="1320" w:right="959" w:hanging="434"/>
        <w:spacing w:after="0" w:line="308" w:lineRule="auto"/>
        <w:tabs>
          <w:tab w:leader="none" w:pos="131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timing of the transaction, including in the event we determine shareholder approval would require additional time and there is either not enough time to seek shareholder;</w:t>
      </w:r>
    </w:p>
    <w:p>
      <w:pPr>
        <w:spacing w:after="0" w:line="78" w:lineRule="exact"/>
        <w:rPr>
          <w:rFonts w:ascii="Arial" w:cs="Arial" w:eastAsia="Arial" w:hAnsi="Arial"/>
          <w:sz w:val="17"/>
          <w:szCs w:val="17"/>
          <w:color w:val="auto"/>
        </w:rPr>
      </w:pPr>
    </w:p>
    <w:p>
      <w:pPr>
        <w:ind w:left="1320" w:right="53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approval or doing so would place the company at a disadvantage in the transaction or result in other additional burdens on the company;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expected cost of holding a shareholder vote;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risk that the shareholders would fail to approve the proposed business combination;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57"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shareholders.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spacing w:after="0" w:line="127" w:lineRule="exact"/>
        <w:rPr>
          <w:sz w:val="20"/>
          <w:szCs w:val="20"/>
          <w:color w:val="auto"/>
        </w:rPr>
      </w:pPr>
    </w:p>
    <w:p>
      <w:pPr>
        <w:ind w:left="460" w:right="639" w:firstLine="432"/>
        <w:spacing w:after="0" w:line="272"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10"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The purpose of any such purchases of shares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15"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1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Our sponsor, officers, directors and/or their affiliates anticipate that they may identify the shareholders with whom our sponsor,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potential selling shareholders who have expressed their election to redeem their shares for a pro rata share of the trust account or vote against our initial business combination, whether or not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right="519"/>
        <w:spacing w:after="0" w:line="255" w:lineRule="auto"/>
        <w:rPr>
          <w:sz w:val="20"/>
          <w:szCs w:val="20"/>
          <w:color w:val="auto"/>
        </w:rPr>
      </w:pPr>
      <w:r>
        <w:rPr>
          <w:rFonts w:ascii="Arial" w:cs="Arial" w:eastAsia="Arial" w:hAnsi="Arial"/>
          <w:sz w:val="18"/>
          <w:szCs w:val="18"/>
          <w:color w:val="auto"/>
        </w:rPr>
        <w:t>such shareholder has already submitted a proxy with respect to our initial business combination but only if such shares have not already been voted at the shareholder meeting related to our initial business combination. Our sponsor, executive officers, directors, advisors or any of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w:t>
      </w:r>
    </w:p>
    <w:p>
      <w:pPr>
        <w:spacing w:after="0" w:line="111"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sponsor, officers, directors and/or their affiliates will not make purchases of shares if the purchases would violate Section 9(a)(2) or Rule 10b-5 of the Exchange Act. Any such purchases will be reported pursuant to Section 13 and Section 16 of the Exchange Act to the extent such purchasers are subject to such reporting requirements.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Redemption Rights for Public Shareholders upon Completion of Our Initial Business Combination</w:t>
      </w:r>
    </w:p>
    <w:p>
      <w:pPr>
        <w:spacing w:after="0" w:line="173"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shares. There will be no redemption rights upon the completion of our initial business combination with respect to our warrants. Our sponsor and each member of our management team have entered into agreements with us, pursuant to which they have agreed to waive their redemption rights with respect to any founder shares and any public shares in connection with (i) the completion of our initial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Limitations on Redemptions</w:t>
      </w:r>
    </w:p>
    <w:p>
      <w:pPr>
        <w:spacing w:after="0" w:line="162" w:lineRule="exact"/>
        <w:rPr>
          <w:sz w:val="20"/>
          <w:szCs w:val="20"/>
          <w:color w:val="auto"/>
        </w:rPr>
      </w:pPr>
    </w:p>
    <w:p>
      <w:pPr>
        <w:ind w:left="460" w:right="599" w:firstLine="432"/>
        <w:spacing w:after="0" w:line="288" w:lineRule="auto"/>
        <w:rPr>
          <w:sz w:val="20"/>
          <w:szCs w:val="20"/>
          <w:color w:val="auto"/>
        </w:rPr>
      </w:pPr>
      <w:r>
        <w:rPr>
          <w:rFonts w:ascii="Arial" w:cs="Arial" w:eastAsia="Arial" w:hAnsi="Arial"/>
          <w:sz w:val="16"/>
          <w:szCs w:val="16"/>
          <w:color w:val="auto"/>
        </w:rPr>
        <w:t>Our amended and restated memorandum and articles of association will provide that in no event will we redeem our public shares in an amount that would cause our net tangible assets to be less than $5,000,001 (so that we are not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Manner of Conducting Redemptions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or seek to amend our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right="719"/>
        <w:spacing w:after="0" w:line="296" w:lineRule="auto"/>
        <w:rPr>
          <w:sz w:val="20"/>
          <w:szCs w:val="20"/>
          <w:color w:val="auto"/>
        </w:rPr>
      </w:pPr>
      <w:r>
        <w:rPr>
          <w:rFonts w:ascii="Arial" w:cs="Arial" w:eastAsia="Arial" w:hAnsi="Arial"/>
          <w:sz w:val="16"/>
          <w:szCs w:val="16"/>
          <w:color w:val="auto"/>
        </w:rPr>
        <w:t>amended and restated memorandum and articles of association would require shareholder approval. We currently intend to conduct redemptions in connection with a shareholder vote unless shareholder approval is not required by applicable law or stock exchange listing requirement and we choose to conduct redemptions pursuant to the tender offer rules of the SEC for business or other legal reasons. So long as we obtain and maintain a listing for our securities on the NYSE, we will be required to comply with the NYSE rules.</w:t>
      </w:r>
    </w:p>
    <w:p>
      <w:pPr>
        <w:spacing w:after="0" w:line="80"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If we held a shareholder vote to approve our initial business combination, we will, pursuant to our amended and restated memorandum and articles of association:</w:t>
      </w:r>
    </w:p>
    <w:p>
      <w:pPr>
        <w:spacing w:after="0" w:line="103" w:lineRule="exact"/>
        <w:rPr>
          <w:sz w:val="20"/>
          <w:szCs w:val="20"/>
          <w:color w:val="auto"/>
        </w:rPr>
      </w:pPr>
    </w:p>
    <w:p>
      <w:pPr>
        <w:jc w:val="both"/>
        <w:ind w:left="1320" w:right="519" w:hanging="434"/>
        <w:spacing w:after="0" w:line="263"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44" w:lineRule="exact"/>
        <w:rPr>
          <w:sz w:val="20"/>
          <w:szCs w:val="20"/>
          <w:color w:val="auto"/>
        </w:rPr>
      </w:pPr>
    </w:p>
    <w:p>
      <w:pPr>
        <w:ind w:left="460" w:right="899" w:firstLine="432"/>
        <w:spacing w:after="0" w:line="263" w:lineRule="auto"/>
        <w:rPr>
          <w:sz w:val="20"/>
          <w:szCs w:val="20"/>
          <w:color w:val="auto"/>
        </w:rPr>
      </w:pPr>
      <w:r>
        <w:rPr>
          <w:rFonts w:ascii="Arial" w:cs="Arial" w:eastAsia="Arial" w:hAnsi="Arial"/>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16"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If we seek shareholder approval, we will complete our initial business combination only if a majority of the ordinary shares, represented in person or by proxy and entitled to vote thereon, voted at a shareholder meeting vote in favor of the business combination. In such case, our sponsor has agreed to vote its founder shares and any public shares purchased during or after this offering in favor of our initial business combination. As a result, in addition to our sponsor’s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Each public shareholder may elect to redeem their public shares irrespective of whether they vote for or against the proposed transaction. In addition, our sponsor and each member of our management team have entered into agreements with us, pursuant to which they have agreed to waive their redemption rights with respect to their founder shares and public shares in connection with (i) the completion of a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w:t>
      </w:r>
    </w:p>
    <w:p>
      <w:pPr>
        <w:spacing w:after="0" w:line="10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89" w:lineRule="exact"/>
        <w:rPr>
          <w:sz w:val="20"/>
          <w:szCs w:val="20"/>
          <w:color w:val="auto"/>
        </w:rPr>
      </w:pPr>
    </w:p>
    <w:p>
      <w:pPr>
        <w:ind w:left="1320" w:right="739" w:hanging="434"/>
        <w:spacing w:after="0" w:line="277" w:lineRule="auto"/>
        <w:tabs>
          <w:tab w:leader="none" w:pos="13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3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19"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spacing w:after="0" w:line="68"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9" w:name="page90"/>
    <w:bookmarkEnd w:id="89"/>
    <w:p>
      <w:pPr>
        <w:ind w:left="460" w:right="1439"/>
        <w:spacing w:after="0" w:line="282" w:lineRule="auto"/>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9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which we refer to as “Excess Shares.”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93"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Excess Shares) for or against our initial business combination.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162"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in order to validly redeem its shares. Accordingly, a public shareholder would have from the time we send out our tender offer materials until the close of the tender offer period, or up to two days prior to the initially scheduled vote on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17"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83"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0" w:name="page91"/>
    <w:bookmarkEnd w:id="90"/>
    <w:p>
      <w:pPr>
        <w:ind w:left="460" w:right="599"/>
        <w:spacing w:after="0" w:line="311" w:lineRule="auto"/>
        <w:rPr>
          <w:sz w:val="20"/>
          <w:szCs w:val="20"/>
          <w:color w:val="auto"/>
        </w:rPr>
      </w:pPr>
      <w:r>
        <w:rPr>
          <w:rFonts w:ascii="Arial" w:cs="Arial" w:eastAsia="Arial" w:hAnsi="Arial"/>
          <w:sz w:val="16"/>
          <w:szCs w:val="16"/>
          <w:color w:val="auto"/>
        </w:rPr>
        <w:t>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6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99"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19" w:lineRule="exact"/>
        <w:rPr>
          <w:sz w:val="20"/>
          <w:szCs w:val="20"/>
          <w:color w:val="auto"/>
        </w:rPr>
      </w:pPr>
    </w:p>
    <w:p>
      <w:pPr>
        <w:ind w:left="460" w:right="959" w:firstLine="432"/>
        <w:spacing w:after="0" w:line="342" w:lineRule="auto"/>
        <w:rPr>
          <w:sz w:val="20"/>
          <w:szCs w:val="20"/>
          <w:color w:val="auto"/>
        </w:rPr>
      </w:pPr>
      <w:r>
        <w:rPr>
          <w:rFonts w:ascii="Arial" w:cs="Arial" w:eastAsia="Arial" w:hAnsi="Arial"/>
          <w:sz w:val="16"/>
          <w:szCs w:val="16"/>
          <w:color w:val="auto"/>
        </w:rPr>
        <w:t>If our initial proposed business combination is not completed, we may continue to try to complete a business combination with a different target until 24 months from the closing of this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48"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Our amended and restated memorandum and articles of association will provide that we will have only 24 months from the closing of this offering to consummate an initial business combination. If we have not consummated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consummate an initial business combination within 24 months from the closing of this offering.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04"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Our sponsor, directors and members of our management team have entered into agreements with us, pursuant to which they have waived their rights to liquidating distributions from the trust account with respect to their founder shares if we fail to consummate an initial business combination within 24 months from the closing of this offering. However, if our sponsor, director or members of our management team acquire public shares in or after this offering, they will be entitled to liquidating distributions from the trust account with respect to such public shares if we fail to consummate an initial business combination within 24 months from the closing of this offering.</w:t>
      </w:r>
    </w:p>
    <w:p>
      <w:pPr>
        <w:spacing w:after="0" w:line="127"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Our sponsor, executive officers, directors and director nominees have agreed, pursuant to a written agreement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are not subject to the SEC’s “penny stock” rules). If this optional redemption right is exercised with respect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right="879"/>
        <w:spacing w:after="0" w:line="301" w:lineRule="auto"/>
        <w:rPr>
          <w:sz w:val="20"/>
          <w:szCs w:val="20"/>
          <w:color w:val="auto"/>
        </w:rPr>
      </w:pPr>
      <w:r>
        <w:rPr>
          <w:rFonts w:ascii="Arial" w:cs="Arial" w:eastAsia="Arial" w:hAnsi="Arial"/>
          <w:sz w:val="16"/>
          <w:szCs w:val="16"/>
          <w:color w:val="auto"/>
        </w:rPr>
        <w:t>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76"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$3,000,000 of proceeds held outside the trust account (or $2,100,000 if the underwriter’s over-allotment option is exercised in full) plus up to $100,000 of funds from the trust account available to us to pay dissolution expenses, although we cannot assure you that there will be sufficient funds for such purpose.</w:t>
      </w:r>
    </w:p>
    <w:p>
      <w:pPr>
        <w:spacing w:after="0" w:line="120"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11"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color w:val="auto"/>
        </w:rPr>
        <w:t xml:space="preserve">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the company and will only enter into an agreement with a third party that has not executed a waiver if management believes that such third party’s engagement would be in the best interest of the company given the circumstances.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Citigroup Global Markets Inc. will not execute an agreement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share due to reductions in the value of the trust assets, in each case net of the interest that may be withdrawn to pay our tax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 party or prospective target business that executed a waiver of any and all rights to seek access to the trust account nor will it apply to any claims under our indemnity of the underwriter of this offering against certain liabilities, including liabilities under the Securities Act. In the event that an executed waiver is deemed to be unenforceable against a third 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02"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net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right="539"/>
        <w:spacing w:after="0" w:line="271" w:lineRule="auto"/>
        <w:rPr>
          <w:sz w:val="20"/>
          <w:szCs w:val="20"/>
          <w:color w:val="auto"/>
        </w:rPr>
      </w:pPr>
      <w:r>
        <w:rPr>
          <w:rFonts w:ascii="Arial" w:cs="Arial" w:eastAsia="Arial" w:hAnsi="Arial"/>
          <w:sz w:val="17"/>
          <w:szCs w:val="17"/>
          <w:color w:val="auto"/>
        </w:rPr>
        <w:t>amount of interest which may be withdrawn to pay our income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97"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 of this offering against certain liabilities, including liabilities under the Securities Act. We will have access to up to $3,000,000 from the proceeds of this offering and the sale of the private placement warrants (or $2,100,000 if the underwriter’s over-allotment option is exercised in full)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24" w:lineRule="exact"/>
        <w:rPr>
          <w:sz w:val="20"/>
          <w:szCs w:val="20"/>
          <w:color w:val="auto"/>
        </w:rPr>
      </w:pPr>
    </w:p>
    <w:p>
      <w:pPr>
        <w:ind w:left="460" w:right="619" w:firstLine="432"/>
        <w:spacing w:after="0" w:line="268"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1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Our public shareholders will be entitled to receive funds from the trust account only (i) in the event of the redemption of our public shares if we do not consummate an initial business combination within 24 months from the closing of this offering,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holders of our Class A ordinary shares, or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are unable to complete an initial business combination within 24 months from the closing of this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right="479"/>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98"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have not consummated an initial business combination within 24 months from the closing of this offering.</w:t>
      </w:r>
    </w:p>
    <w:p>
      <w:pPr>
        <w:spacing w:after="0" w:line="125" w:lineRule="exact"/>
        <w:rPr>
          <w:sz w:val="20"/>
          <w:szCs w:val="20"/>
          <w:color w:val="auto"/>
        </w:rPr>
      </w:pPr>
    </w:p>
    <w:tbl>
      <w:tblPr>
        <w:tblLayout w:type="fixed"/>
        <w:tblInd w:w="3260" w:type="dxa"/>
        <w:tblCellMar>
          <w:top w:w="0" w:type="dxa"/>
          <w:left w:w="0" w:type="dxa"/>
          <w:bottom w:w="0" w:type="dxa"/>
          <w:right w:w="0" w:type="dxa"/>
        </w:tblCellMar>
      </w:tblP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Redemptions in</w:t>
            </w:r>
          </w:p>
        </w:tc>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Connection with</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Other Permitted</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Redemptions if We Fail</w:t>
            </w: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Our Initial Business</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Purchases of Public</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to Complete an Initial</w:t>
            </w:r>
          </w:p>
        </w:tc>
      </w:tr>
      <w:tr>
        <w:trPr>
          <w:trHeight w:val="210"/>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Combination</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Shares by Our Affiliates</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Business Combination</w:t>
            </w:r>
          </w:p>
        </w:tc>
      </w:tr>
    </w:tbl>
    <w:p>
      <w:pPr>
        <w:spacing w:after="0" w:line="28" w:lineRule="exact"/>
        <w:rPr>
          <w:sz w:val="20"/>
          <w:szCs w:val="20"/>
          <w:color w:val="auto"/>
        </w:rPr>
      </w:pPr>
    </w:p>
    <w:p>
      <w:pPr>
        <w:sectPr>
          <w:pgSz w:w="11900" w:h="16838" w:orient="portrait"/>
          <w:cols w:equalWidth="0" w:num="1">
            <w:col w:w="9019"/>
          </w:cols>
          <w:pgMar w:left="1440" w:top="337" w:right="1440" w:bottom="1440" w:gutter="0" w:footer="0" w:header="0"/>
        </w:sectPr>
      </w:pPr>
    </w:p>
    <w:p>
      <w:pPr>
        <w:ind w:left="460"/>
        <w:spacing w:after="0"/>
        <w:rPr>
          <w:sz w:val="20"/>
          <w:szCs w:val="20"/>
          <w:color w:val="auto"/>
        </w:rPr>
      </w:pPr>
      <w:r>
        <w:rPr>
          <w:rFonts w:ascii="Arial" w:cs="Arial" w:eastAsia="Arial" w:hAnsi="Arial"/>
          <w:sz w:val="16"/>
          <w:szCs w:val="16"/>
          <w:b w:val="1"/>
          <w:bCs w:val="1"/>
          <w:color w:val="auto"/>
        </w:rPr>
        <w:t xml:space="preserve">Calculation of redemption price  </w:t>
      </w:r>
      <w:r>
        <w:rPr>
          <w:rFonts w:ascii="Arial" w:cs="Arial" w:eastAsia="Arial" w:hAnsi="Arial"/>
          <w:sz w:val="16"/>
          <w:szCs w:val="16"/>
          <w:color w:val="auto"/>
        </w:rPr>
        <w:t>Redemptions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-104775</wp:posOffset>
            </wp:positionV>
            <wp:extent cx="11658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of our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may be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made pursuant to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tender offer or in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connection with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vote.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redemption price will be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same whether we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conduct redemptions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pursuant to a tender offer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or in connection with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vote. In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either case, our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shareholders may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redeem their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shares for cash equal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aggregate amount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then on deposit in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trust account calculated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as of two business days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prior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consummation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(which is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initially anticipated to be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$10.00 per share),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including interest earned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on the funds held in the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trust account and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previously released to us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to pay our income taxes,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if any, divided by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number of the then-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outstanding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shares, subject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limitation that no</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redemptions will take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place if all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redemptions would cause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our net tangible assets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be less than $5,000,001</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and any limitations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(including, but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limited, to cash</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requirements) agreed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 connection with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negotiation of terms of a</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proposed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-6749415</wp:posOffset>
            </wp:positionV>
            <wp:extent cx="10890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99"/>
        <w:spacing w:after="0" w:line="284" w:lineRule="auto"/>
        <w:rPr>
          <w:sz w:val="20"/>
          <w:szCs w:val="20"/>
          <w:color w:val="auto"/>
        </w:rPr>
      </w:pPr>
      <w:r>
        <w:rPr>
          <w:rFonts w:ascii="Arial" w:cs="Arial" w:eastAsia="Arial" w:hAnsi="Arial"/>
          <w:sz w:val="16"/>
          <w:szCs w:val="16"/>
          <w:color w:val="auto"/>
        </w:rPr>
        <w:t>If we have not consummated an initial business combination within 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 pay our income taxes, if any, (less up to $100,000 of interest to pay dissolution expenses) divided by the number of the then-outstanding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-3593465</wp:posOffset>
            </wp:positionV>
            <wp:extent cx="11226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5344" w:lineRule="exact"/>
        <w:rPr>
          <w:sz w:val="20"/>
          <w:szCs w:val="20"/>
          <w:color w:val="auto"/>
        </w:rPr>
      </w:pPr>
    </w:p>
    <w:p>
      <w:pPr>
        <w:sectPr>
          <w:pgSz w:w="11900" w:h="16838" w:orient="portrait"/>
          <w:cols w:equalWidth="0" w:num="3">
            <w:col w:w="4860" w:space="120"/>
            <w:col w:w="1720" w:space="80"/>
            <w:col w:w="2239"/>
          </w:cols>
          <w:pgMar w:left="1440" w:top="337" w:right="1440"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4" w:name="page95"/>
    <w:bookmarkEnd w:id="94"/>
    <w:tbl>
      <w:tblPr>
        <w:tblLayout w:type="fixed"/>
        <w:tblInd w:w="3260" w:type="dxa"/>
        <w:tblCellMar>
          <w:top w:w="0" w:type="dxa"/>
          <w:left w:w="0" w:type="dxa"/>
          <w:bottom w:w="0" w:type="dxa"/>
          <w:right w:w="0" w:type="dxa"/>
        </w:tblCellMar>
      </w:tblP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Redemptions in</w:t>
            </w:r>
          </w:p>
        </w:tc>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Connection with</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Other Permitted</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Redemptions if We Fail</w:t>
            </w: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Our Initial Business</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Purchases of Public</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to Complete an Initial</w:t>
            </w:r>
          </w:p>
        </w:tc>
      </w:tr>
      <w:tr>
        <w:trPr>
          <w:trHeight w:val="210"/>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Combination</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Shares by Our Affiliates</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Business Combination</w:t>
            </w:r>
          </w:p>
        </w:tc>
      </w:tr>
    </w:tbl>
    <w:p>
      <w:pPr>
        <w:spacing w:after="0" w:line="28" w:lineRule="exact"/>
        <w:rPr>
          <w:sz w:val="20"/>
          <w:szCs w:val="20"/>
          <w:color w:val="auto"/>
        </w:rPr>
      </w:pPr>
    </w:p>
    <w:p>
      <w:pPr>
        <w:sectPr>
          <w:pgSz w:w="11900" w:h="16838" w:orient="portrait"/>
          <w:cols w:equalWidth="0" w:num="1">
            <w:col w:w="9019"/>
          </w:cols>
          <w:pgMar w:left="1440" w:top="301" w:right="1440" w:bottom="1440" w:gutter="0" w:footer="0" w:header="0"/>
        </w:sectPr>
      </w:pPr>
    </w:p>
    <w:p>
      <w:pPr>
        <w:ind w:left="640" w:right="280" w:hanging="179"/>
        <w:spacing w:after="0" w:line="347" w:lineRule="auto"/>
        <w:rPr>
          <w:sz w:val="20"/>
          <w:szCs w:val="20"/>
          <w:color w:val="auto"/>
        </w:rPr>
      </w:pPr>
      <w:r>
        <w:rPr>
          <w:rFonts w:ascii="Arial" w:cs="Arial" w:eastAsia="Arial" w:hAnsi="Arial"/>
          <w:sz w:val="16"/>
          <w:szCs w:val="16"/>
          <w:b w:val="1"/>
          <w:bCs w:val="1"/>
          <w:color w:val="auto"/>
        </w:rPr>
        <w:t>Impact to remaining shareholders</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The redemptions in connection with our initial business combination will reduce the book value per share for our remaining shareholders, who will bear the burden of the deferred underwriting commissions and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-1535430</wp:posOffset>
            </wp:positionV>
            <wp:extent cx="1165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auto"/>
        <w:rPr>
          <w:sz w:val="20"/>
          <w:szCs w:val="20"/>
          <w:color w:val="auto"/>
        </w:rPr>
      </w:pPr>
      <w:r>
        <w:rPr>
          <w:rFonts w:ascii="Arial" w:cs="Arial" w:eastAsia="Arial" w:hAnsi="Arial"/>
          <w:sz w:val="15"/>
          <w:szCs w:val="15"/>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-1271905</wp:posOffset>
            </wp:positionV>
            <wp:extent cx="10890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99"/>
        <w:spacing w:after="0" w:line="287"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sponsor, who will be our only remaining shareholder after such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-1535430</wp:posOffset>
            </wp:positionV>
            <wp:extent cx="11226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320" w:space="720"/>
            <w:col w:w="1760" w:space="180"/>
            <w:col w:w="1600" w:space="200"/>
            <w:col w:w="2239"/>
          </w:cols>
          <w:pgMar w:left="1440" w:top="301" w:right="1440"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2"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 will not exercise its over-allotment option. None of the provisions of Rule 419 apply to our offering.</w:t>
      </w:r>
    </w:p>
    <w:p>
      <w:pPr>
        <w:spacing w:after="0" w:line="148" w:lineRule="exact"/>
        <w:rPr>
          <w:sz w:val="20"/>
          <w:szCs w:val="20"/>
          <w:color w:val="auto"/>
        </w:rPr>
      </w:pPr>
    </w:p>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type w:val="continuous"/>
        </w:sectPr>
      </w:pPr>
    </w:p>
    <w:p>
      <w:pPr>
        <w:spacing w:after="0" w:line="95"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Escrow of offering proceeds</w:t>
      </w:r>
      <w:r>
        <w:rPr>
          <w:sz w:val="20"/>
          <w:szCs w:val="20"/>
          <w:color w:val="auto"/>
        </w:rPr>
        <w:tab/>
      </w:r>
      <w:r>
        <w:rPr>
          <w:rFonts w:ascii="Arial" w:cs="Arial" w:eastAsia="Arial" w:hAnsi="Arial"/>
          <w:sz w:val="16"/>
          <w:szCs w:val="16"/>
          <w:color w:val="auto"/>
        </w:rPr>
        <w:t>$300,000,000 of the net proceeds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16973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this offering and the sale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private placement warrants will be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deposited into a trust account located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in the United States with Continental</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Stock Transfer &amp; Trust Company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acting as trustee.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99"/>
        <w:spacing w:after="0" w:line="288" w:lineRule="auto"/>
        <w:rPr>
          <w:sz w:val="20"/>
          <w:szCs w:val="20"/>
          <w:color w:val="auto"/>
        </w:rPr>
      </w:pPr>
      <w:r>
        <w:rPr>
          <w:rFonts w:ascii="Arial" w:cs="Arial" w:eastAsia="Arial" w:hAnsi="Arial"/>
          <w:sz w:val="16"/>
          <w:szCs w:val="16"/>
          <w:color w:val="auto"/>
        </w:rPr>
        <w:t>$255,150,000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-1400810</wp:posOffset>
            </wp:positionV>
            <wp:extent cx="17487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5700" w:space="100"/>
            <w:col w:w="3219"/>
          </w:cols>
          <w:pgMar w:left="1440" w:top="301" w:right="1440" w:bottom="1440" w:gutter="0" w:footer="0" w:header="0"/>
          <w:type w:val="continuous"/>
        </w:sect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$300,000,000 of the net proceeds of</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this offering and the sale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private placement warrants held in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trust will be invested only in U.S.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government treasury obligations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with a maturity of 185 days or less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or in money market funds meeting</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certain conditions under Rule 2a-7</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under the Investment Company Act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which invest only in direct U.S.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government treasury obligations.</w:t>
      </w:r>
    </w:p>
    <w:p>
      <w:pPr>
        <w:spacing w:after="0" w:line="20" w:lineRule="exact"/>
        <w:rPr>
          <w:sz w:val="20"/>
          <w:szCs w:val="20"/>
          <w:color w:val="auto"/>
        </w:rPr>
      </w:pPr>
      <w:r>
        <w:rPr>
          <w:sz w:val="20"/>
          <w:szCs w:val="20"/>
          <w:color w:val="auto"/>
        </w:rPr>
        <w:br w:type="column"/>
      </w:r>
    </w:p>
    <w:p>
      <w:pPr>
        <w:ind w:right="459"/>
        <w:spacing w:after="0" w:line="290"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82" w:lineRule="exact"/>
        <w:rPr>
          <w:sz w:val="20"/>
          <w:szCs w:val="20"/>
          <w:color w:val="auto"/>
        </w:rPr>
      </w:pPr>
    </w:p>
    <w:p>
      <w:pPr>
        <w:sectPr>
          <w:pgSz w:w="11900" w:h="16838" w:orient="portrait"/>
          <w:cols w:equalWidth="0" w:num="2">
            <w:col w:w="5620" w:space="180"/>
            <w:col w:w="3219"/>
          </w:cols>
          <w:pgMar w:left="1440" w:top="301" w:right="1440" w:bottom="1440" w:gutter="0" w:footer="0" w:header="0"/>
          <w:type w:val="continuous"/>
        </w:sectPr>
      </w:pPr>
    </w:p>
    <w:p>
      <w:pPr>
        <w:ind w:left="640" w:hanging="179"/>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 w:lineRule="exact"/>
        <w:rPr>
          <w:sz w:val="20"/>
          <w:szCs w:val="20"/>
          <w:color w:val="auto"/>
        </w:rPr>
      </w:pPr>
      <w:r>
        <w:rPr>
          <w:sz w:val="20"/>
          <w:szCs w:val="20"/>
          <w:color w:val="auto"/>
        </w:rPr>
        <w:br w:type="column"/>
      </w:r>
    </w:p>
    <w:p>
      <w:pPr>
        <w:ind w:left="8" w:right="60"/>
        <w:spacing w:after="0" w:line="286" w:lineRule="auto"/>
        <w:rPr>
          <w:sz w:val="20"/>
          <w:szCs w:val="20"/>
          <w:color w:val="auto"/>
        </w:rPr>
      </w:pPr>
      <w:r>
        <w:rPr>
          <w:rFonts w:ascii="Arial" w:cs="Arial" w:eastAsia="Arial" w:hAnsi="Arial"/>
          <w:sz w:val="16"/>
          <w:szCs w:val="16"/>
          <w:color w:val="auto"/>
        </w:rPr>
        <w:t>Interest income (if any) on proceeds from the trust account to be paid to shareholders is reduced by (i) any income taxes paid or payable and</w:t>
      </w:r>
    </w:p>
    <w:p>
      <w:pPr>
        <w:spacing w:after="0" w:line="1" w:lineRule="exact"/>
        <w:rPr>
          <w:sz w:val="20"/>
          <w:szCs w:val="20"/>
          <w:color w:val="auto"/>
        </w:rPr>
      </w:pPr>
    </w:p>
    <w:p>
      <w:pPr>
        <w:ind w:left="8" w:hanging="8"/>
        <w:spacing w:after="0" w:line="251" w:lineRule="auto"/>
        <w:tabs>
          <w:tab w:leader="none" w:pos="2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ind w:right="579"/>
        <w:spacing w:after="0" w:line="272" w:lineRule="auto"/>
        <w:rPr>
          <w:sz w:val="20"/>
          <w:szCs w:val="20"/>
          <w:color w:val="auto"/>
        </w:rPr>
      </w:pPr>
      <w:r>
        <w:rPr>
          <w:rFonts w:ascii="Arial" w:cs="Arial" w:eastAsia="Arial" w:hAnsi="Arial"/>
          <w:sz w:val="17"/>
          <w:szCs w:val="17"/>
          <w:color w:val="auto"/>
        </w:rPr>
        <w:t>Interest income on funds in escrow account would be held for the sole benefit of investors, unless and only after the funds held in escrow were released to us in connection with our completion of a business combination.</w:t>
      </w:r>
    </w:p>
    <w:p>
      <w:pPr>
        <w:spacing w:after="0" w:line="1475" w:lineRule="exact"/>
        <w:rPr>
          <w:sz w:val="20"/>
          <w:szCs w:val="20"/>
          <w:color w:val="auto"/>
        </w:rPr>
      </w:pPr>
    </w:p>
    <w:p>
      <w:pPr>
        <w:sectPr>
          <w:pgSz w:w="11900" w:h="16838" w:orient="portrait"/>
          <w:cols w:equalWidth="0" w:num="3">
            <w:col w:w="2840" w:space="192"/>
            <w:col w:w="2668" w:space="100"/>
            <w:col w:w="3219"/>
          </w:cols>
          <w:pgMar w:left="1440" w:top="301" w:right="1440"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5" w:name="page96"/>
    <w:bookmarkEnd w:id="95"/>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640" w:hanging="179"/>
        <w:spacing w:after="0" w:line="347" w:lineRule="auto"/>
        <w:rPr>
          <w:sz w:val="20"/>
          <w:szCs w:val="20"/>
          <w:color w:val="auto"/>
        </w:rPr>
      </w:pPr>
      <w:r>
        <w:rPr>
          <w:rFonts w:ascii="Arial" w:cs="Arial" w:eastAsia="Arial" w:hAnsi="Arial"/>
          <w:sz w:val="16"/>
          <w:szCs w:val="16"/>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220"/>
        <w:spacing w:after="0"/>
        <w:rPr>
          <w:sz w:val="20"/>
          <w:szCs w:val="20"/>
          <w:color w:val="auto"/>
        </w:rPr>
      </w:pPr>
      <w:r>
        <w:rPr>
          <w:rFonts w:ascii="Arial" w:cs="Arial" w:eastAsia="Arial" w:hAnsi="Arial"/>
          <w:sz w:val="15"/>
          <w:szCs w:val="15"/>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 the warrants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the agreement to enter into the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-1535430</wp:posOffset>
            </wp:positionV>
            <wp:extent cx="16973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8"/>
          <w:szCs w:val="18"/>
          <w:color w:val="auto"/>
          <w:vertAlign w:val="superscript"/>
        </w:rPr>
        <w:t>nd</w:t>
      </w:r>
      <w:r>
        <w:rPr>
          <w:rFonts w:ascii="Arial" w:cs="Arial" w:eastAsia="Arial" w:hAnsi="Arial"/>
          <w:sz w:val="16"/>
          <w:szCs w:val="16"/>
          <w:color w:val="auto"/>
        </w:rPr>
        <w:t xml:space="preserve"> day following the date of this prospectus (or if such day is not a business day, the immediately succeeding business day) unless Citigroup Global Markets Inc.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units will automatically separate into their component parts and will not be traded after completion of our initial business combination.</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warrants cannot be exercised until the later of 30 days after the completion of our initial business combination or twelve months from the closing of this offering.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519"/>
        <w:spacing w:after="0" w:line="311" w:lineRule="auto"/>
        <w:rPr>
          <w:sz w:val="20"/>
          <w:szCs w:val="20"/>
          <w:color w:val="auto"/>
        </w:rPr>
      </w:pPr>
      <w:r>
        <w:rPr>
          <w:rFonts w:ascii="Arial" w:cs="Arial" w:eastAsia="Arial" w:hAnsi="Arial"/>
          <w:sz w:val="16"/>
          <w:szCs w:val="16"/>
          <w:color w:val="auto"/>
        </w:rPr>
        <w:t>The fair value or net assets of a target business must represent at least 80% of the maximum offering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-452755</wp:posOffset>
            </wp:positionV>
            <wp:extent cx="17487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79"/>
        <w:spacing w:after="0" w:line="272" w:lineRule="auto"/>
        <w:rPr>
          <w:sz w:val="20"/>
          <w:szCs w:val="20"/>
          <w:color w:val="auto"/>
        </w:rPr>
      </w:pPr>
      <w:r>
        <w:rPr>
          <w:rFonts w:ascii="Arial" w:cs="Arial" w:eastAsia="Arial" w:hAnsi="Arial"/>
          <w:sz w:val="17"/>
          <w:szCs w:val="17"/>
          <w:color w:val="auto"/>
        </w:rPr>
        <w:t>No trading of the units or the underlying Class A ordinary shares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99"/>
        <w:spacing w:after="0" w:line="293"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pacing w:after="0" w:line="178" w:lineRule="exact"/>
        <w:rPr>
          <w:sz w:val="20"/>
          <w:szCs w:val="20"/>
          <w:color w:val="auto"/>
        </w:rPr>
      </w:pPr>
    </w:p>
    <w:p>
      <w:pPr>
        <w:sectPr>
          <w:pgSz w:w="11900" w:h="16838" w:orient="portrait"/>
          <w:cols w:equalWidth="0" w:num="3">
            <w:col w:w="2780" w:space="260"/>
            <w:col w:w="2660" w:space="100"/>
            <w:col w:w="3219"/>
          </w:cols>
          <w:pgMar w:left="1440" w:top="301" w:right="1440"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6" w:name="page97"/>
    <w:bookmarkEnd w:id="96"/>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16973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shareholders with the opportunity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redeem their public shares for cash</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at a per share price equal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aggregate amount then on deposit in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the trust account calculated as of two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business days prior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consummation of our initial business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including interest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earned on the funds held in the trust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account and not previously released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to us to pay our income taxes, if any,</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divided by the number of the then-</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outstanding public shares, upon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completion of our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subject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limitations described herein. We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may not be required by law to hold a</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vote. If we are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required by law and do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otherwise decide to hold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shareholder vote, we will, pursuant</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to our amended and restated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memorandum and articles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association, conduct the redemptions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pursuant to the tender offer rules of</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SEC and file tender offer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documents with the SEC which will</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contain substantially the same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financial and other information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about the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and the redemption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rights as is required under the SEC’s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proxy rules. If, however, we hold a</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shareholder vote, we will, like many</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blank check companies, offer to</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redeem shares in conjunction with a</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proxy solicitation pursuant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proxy rules and not pursuant to the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tender offer rules. If we seek</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approval, we will</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complete our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combination only if a majority of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ordinary shares, represented in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person or by proxy and entitled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vote thereon, voted at a shareholder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meeting vote in favor of the business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Additionally, each</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public shareholder may elect to</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redeem their public shares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irrespective of whether they vote for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or against the proposed transaction.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Our amended and restated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memorandum and articles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association will require that at least</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five days’ notice will be given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any such shareholder meeting.</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59"/>
        <w:spacing w:after="0" w:line="282"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-3448050</wp:posOffset>
            </wp:positionV>
            <wp:extent cx="17487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ectPr>
          <w:pgSz w:w="11900" w:h="16838" w:orient="portrait"/>
          <w:cols w:equalWidth="0" w:num="2">
            <w:col w:w="5700" w:space="100"/>
            <w:col w:w="3219"/>
          </w:cols>
          <w:pgMar w:left="1440" w:top="301" w:right="1440" w:bottom="1440" w:gutter="0" w:footer="0" w:header="0"/>
          <w:type w:val="continuous"/>
        </w:sectPr>
      </w:pPr>
    </w:p>
    <w:bookmarkStart w:id="97" w:name="page98"/>
    <w:bookmarkEnd w:id="97"/>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Business combination deadline</w:t>
      </w:r>
      <w:r>
        <w:rPr>
          <w:sz w:val="20"/>
          <w:szCs w:val="20"/>
          <w:color w:val="auto"/>
        </w:rPr>
        <w:tab/>
      </w:r>
      <w:r>
        <w:rPr>
          <w:rFonts w:ascii="Arial" w:cs="Arial" w:eastAsia="Arial" w:hAnsi="Arial"/>
          <w:sz w:val="16"/>
          <w:szCs w:val="16"/>
          <w:color w:val="auto"/>
        </w:rPr>
        <w:t>If we have not consummated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16973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initial business combination within</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24 months from the closing of this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offering, we will (i) cease all</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operations except for the purpose of</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winding up; (ii) as promptly as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reasonably possible but not more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than ten business days thereafter,</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redeem 100% of the public shares, at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 per-share price, payable in cash,</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equal to the aggregate amount then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on deposit in the trust account,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including interest earned on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funds held in the trust account and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not previously released to us to pay</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our income taxes, if any, (less up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$100,000 of interest to pay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dissolution expenses) divided by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number of the then-outstanding</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public shares, which redemption will</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completely extinguish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shareholders’ rights as shareholders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(including the right to receive further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liquidation distributions, if any); and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(iii) as promptly as reasonably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possible following such redemption,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subject to the approval of our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remaining shareholders and our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board of directors, liquidate and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dissolve, subject in the case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clauses (ii) and (iii) to our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obligations under Cayman Islands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law to provide for claims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creditors and in all cases subject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the other requirements of applicable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law.</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519"/>
        <w:spacing w:after="0" w:line="255"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-836930</wp:posOffset>
            </wp:positionV>
            <wp:extent cx="17487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ectPr>
          <w:pgSz w:w="11900" w:h="16838" w:orient="portrait"/>
          <w:cols w:equalWidth="0" w:num="2">
            <w:col w:w="5700" w:space="100"/>
            <w:col w:w="3219"/>
          </w:cols>
          <w:pgMar w:left="1440" w:top="301" w:right="1440" w:bottom="1440" w:gutter="0" w:footer="0" w:header="0"/>
          <w:type w:val="continuous"/>
        </w:sectPr>
      </w:pPr>
    </w:p>
    <w:bookmarkStart w:id="98" w:name="page99"/>
    <w:bookmarkEnd w:id="98"/>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8"/>
        <w:spacing w:after="0" w:line="296" w:lineRule="auto"/>
        <w:rPr>
          <w:sz w:val="20"/>
          <w:szCs w:val="20"/>
          <w:color w:val="auto"/>
        </w:rPr>
      </w:pPr>
      <w:r>
        <w:rPr>
          <w:rFonts w:ascii="Arial" w:cs="Arial" w:eastAsia="Arial" w:hAnsi="Arial"/>
          <w:sz w:val="16"/>
          <w:szCs w:val="16"/>
          <w:color w:val="auto"/>
        </w:rPr>
        <w:t>Except for the withdrawal of interest income (if any) to pay our income taxes, if any, none of the funds held in trust will be released from the trust account until the earliest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-719455</wp:posOffset>
            </wp:positionV>
            <wp:extent cx="16973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74" w:lineRule="exact"/>
        <w:rPr>
          <w:sz w:val="20"/>
          <w:szCs w:val="20"/>
          <w:color w:val="auto"/>
        </w:rPr>
      </w:pPr>
    </w:p>
    <w:p>
      <w:pPr>
        <w:ind w:left="8" w:right="420" w:hanging="8"/>
        <w:spacing w:after="0" w:line="308" w:lineRule="auto"/>
        <w:tabs>
          <w:tab w:leader="none" w:pos="22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completion of our initial business combination;</w:t>
      </w:r>
    </w:p>
    <w:p>
      <w:pPr>
        <w:spacing w:after="0" w:line="78" w:lineRule="exact"/>
        <w:rPr>
          <w:rFonts w:ascii="Arial" w:cs="Arial" w:eastAsia="Arial" w:hAnsi="Arial"/>
          <w:sz w:val="17"/>
          <w:szCs w:val="17"/>
          <w:color w:val="auto"/>
        </w:rPr>
      </w:pPr>
    </w:p>
    <w:p>
      <w:pPr>
        <w:ind w:left="8" w:hanging="8"/>
        <w:spacing w:after="0" w:line="255" w:lineRule="auto"/>
        <w:tabs>
          <w:tab w:leader="none" w:pos="2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redemption of our public shares if we have not consummated an initial business combination within 24 months from the closing of this offering, subject to applicable law; or</w:t>
      </w:r>
    </w:p>
    <w:p>
      <w:pPr>
        <w:spacing w:after="0" w:line="111" w:lineRule="exact"/>
        <w:rPr>
          <w:rFonts w:ascii="Arial" w:cs="Arial" w:eastAsia="Arial" w:hAnsi="Arial"/>
          <w:sz w:val="18"/>
          <w:szCs w:val="18"/>
          <w:color w:val="auto"/>
        </w:rPr>
      </w:pPr>
    </w:p>
    <w:p>
      <w:pPr>
        <w:ind w:left="8" w:right="20" w:hanging="8"/>
        <w:spacing w:after="0" w:line="305" w:lineRule="auto"/>
        <w:tabs>
          <w:tab w:leader="none" w:pos="322"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redemption of our public shares properly submitted in connection with a shareholder vote to approve an amendment to our amended and restated memorandum and articles of association (A)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holders of our Class A ordinary shares.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79"/>
        <w:spacing w:after="0" w:line="273"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-845820</wp:posOffset>
            </wp:positionV>
            <wp:extent cx="17487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631" w:lineRule="exact"/>
        <w:rPr>
          <w:sz w:val="20"/>
          <w:szCs w:val="20"/>
          <w:color w:val="auto"/>
        </w:rPr>
      </w:pPr>
    </w:p>
    <w:p>
      <w:pPr>
        <w:sectPr>
          <w:pgSz w:w="11900" w:h="16838" w:orient="portrait"/>
          <w:cols w:equalWidth="0" w:num="3">
            <w:col w:w="2312" w:space="720"/>
            <w:col w:w="2648" w:space="120"/>
            <w:col w:w="3219"/>
          </w:cols>
          <w:pgMar w:left="1440" w:top="301" w:right="1440" w:bottom="1440" w:gutter="0" w:footer="0" w:header="0"/>
          <w:type w:val="continuous"/>
        </w:sectPr>
      </w:pPr>
    </w:p>
    <w:p>
      <w:pPr>
        <w:ind w:left="460" w:right="499" w:firstLine="432"/>
        <w:spacing w:after="0" w:line="287"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We currently maintain our executive offices at 1601 Bryan Street, Suite 4141, Dallas, Texas 75201. The cost for our use of this space is included in the $10,000 per month fee we will pay to an affiliate of our sponsor for office space, administrative and support services. We consider our current office space adequate for our current operations.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9" w:name="page100"/>
    <w:bookmarkEnd w:id="99"/>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48"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04"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will be required to evaluate our internal control procedures for the fiscal year ending December 31,</w:t>
      </w:r>
    </w:p>
    <w:p>
      <w:pPr>
        <w:spacing w:after="0" w:line="46" w:lineRule="exact"/>
        <w:rPr>
          <w:sz w:val="20"/>
          <w:szCs w:val="20"/>
          <w:color w:val="auto"/>
        </w:rPr>
      </w:pPr>
    </w:p>
    <w:p>
      <w:pPr>
        <w:ind w:left="460" w:right="559"/>
        <w:spacing w:after="0" w:line="252" w:lineRule="auto"/>
        <w:rPr>
          <w:sz w:val="20"/>
          <w:szCs w:val="20"/>
          <w:color w:val="auto"/>
        </w:rPr>
      </w:pPr>
      <w:r>
        <w:rPr>
          <w:rFonts w:ascii="Arial" w:cs="Arial" w:eastAsia="Arial" w:hAnsi="Arial"/>
          <w:sz w:val="18"/>
          <w:szCs w:val="18"/>
          <w:color w:val="auto"/>
        </w:rPr>
        <w:t>2021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1"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2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(2020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0" w:name="page101"/>
    <w:bookmarkEnd w:id="100"/>
    <w:p>
      <w:pPr>
        <w:ind w:left="460" w:right="479" w:firstLine="432"/>
        <w:spacing w:after="0" w:line="289"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5"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9" w:lineRule="exact"/>
        <w:rPr>
          <w:sz w:val="20"/>
          <w:szCs w:val="20"/>
          <w:color w:val="auto"/>
        </w:rPr>
      </w:pPr>
    </w:p>
    <w:p>
      <w:pPr>
        <w:ind w:left="460" w:right="599" w:firstLine="432"/>
        <w:spacing w:after="0" w:line="250"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127"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Age</w:t>
            </w:r>
          </w:p>
        </w:tc>
        <w:tc>
          <w:tcPr>
            <w:tcW w:w="4880" w:type="dxa"/>
            <w:vAlign w:val="bottom"/>
          </w:tcPr>
          <w:p>
            <w:pPr>
              <w:spacing w:after="0"/>
              <w:rPr>
                <w:sz w:val="20"/>
                <w:szCs w:val="20"/>
                <w:color w:val="auto"/>
              </w:rPr>
            </w:pPr>
            <w:r>
              <w:rPr>
                <w:rFonts w:ascii="Arial" w:cs="Arial" w:eastAsia="Arial" w:hAnsi="Arial"/>
                <w:sz w:val="16"/>
                <w:szCs w:val="16"/>
                <w:b w:val="1"/>
                <w:bCs w:val="1"/>
                <w:color w:val="auto"/>
              </w:rPr>
              <w:t>Position</w:t>
            </w:r>
          </w:p>
        </w:tc>
      </w:tr>
      <w:tr>
        <w:trPr>
          <w:trHeight w:val="46"/>
        </w:trPr>
        <w:tc>
          <w:tcPr>
            <w:tcW w:w="2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Scott Leonard</w:t>
            </w:r>
          </w:p>
        </w:tc>
        <w:tc>
          <w:tcPr>
            <w:tcW w:w="1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Scott Honour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Chairman</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David Quiram</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Scott Leonard serves as our Chief Executive Officer and on our board of directors. Mr. Leonard has over 15 years of experience leading highly successful business transformations and transitions. Mr. Leonard also has deep expertise over the past 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w:t>
      </w:r>
    </w:p>
    <w:p>
      <w:pPr>
        <w:spacing w:after="0" w:line="106" w:lineRule="exact"/>
        <w:rPr>
          <w:sz w:val="20"/>
          <w:szCs w:val="20"/>
          <w:color w:val="auto"/>
        </w:rPr>
      </w:pPr>
    </w:p>
    <w:p>
      <w:pPr>
        <w:ind w:left="460" w:right="479" w:firstLine="432"/>
        <w:spacing w:after="0" w:line="265" w:lineRule="auto"/>
        <w:rPr>
          <w:sz w:val="20"/>
          <w:szCs w:val="20"/>
          <w:color w:val="auto"/>
        </w:rPr>
      </w:pPr>
      <w:r>
        <w:rPr>
          <w:rFonts w:ascii="Arial" w:cs="Arial" w:eastAsia="Arial" w:hAnsi="Arial"/>
          <w:sz w:val="17"/>
          <w:szCs w:val="17"/>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10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Choice Delivery, LLC, United Language Group, Inc., Renters Warehouse LLC, Real Dolmen (REM:BB) and Westwood One, Inc. (formerly Nasdaq: WWON), and is a co-founder of Titan CNG LLC and YapStone Inc. Mr. Honour earned a B.S. and B.A., </w:t>
      </w:r>
      <w:r>
        <w:rPr>
          <w:rFonts w:ascii="Arial" w:cs="Arial" w:eastAsia="Arial" w:hAnsi="Arial"/>
          <w:sz w:val="17"/>
          <w:szCs w:val="17"/>
          <w:i w:val="1"/>
          <w:iCs w:val="1"/>
          <w:color w:val="auto"/>
        </w:rPr>
        <w:t>cum laude</w:t>
      </w:r>
      <w:r>
        <w:rPr>
          <w:rFonts w:ascii="Arial" w:cs="Arial" w:eastAsia="Arial" w:hAnsi="Arial"/>
          <w:sz w:val="17"/>
          <w:szCs w:val="17"/>
          <w:color w:val="auto"/>
        </w:rPr>
        <w:t>, in Business Administration and Economics from Pepperdine University and an M.B.A. in Finance and Marketing from the Wharton School of the University of Pennsylvania.</w:t>
      </w:r>
    </w:p>
    <w:p>
      <w:pPr>
        <w:spacing w:after="0" w:line="126"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2" w:name="page103"/>
    <w:bookmarkEnd w:id="102"/>
    <w:p>
      <w:pPr>
        <w:ind w:left="460" w:right="579"/>
        <w:spacing w:after="0" w:line="342" w:lineRule="auto"/>
        <w:rPr>
          <w:sz w:val="20"/>
          <w:szCs w:val="20"/>
          <w:color w:val="auto"/>
        </w:rPr>
      </w:pPr>
      <w:r>
        <w:rPr>
          <w:rFonts w:ascii="Arial" w:cs="Arial" w:eastAsia="Arial" w:hAnsi="Arial"/>
          <w:sz w:val="16"/>
          <w:szCs w:val="16"/>
          <w:color w:val="auto"/>
        </w:rPr>
        <w:t>1998 to 2001. Dr. Quiram earned a B.S. in Chemical Engineering with Highest Distinction from the University of Virginia, and an M.S. and Ph.D. in Chemical Engineering from the Massachusetts Institute of Technology.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48"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Our board of directors is divided into three classes, with only one class of directors being elected in each year, and with each class (except for those directors appointed prior to our first annual meeting of shareholders)</w:t>
      </w:r>
    </w:p>
    <w:p>
      <w:pPr>
        <w:ind w:left="460" w:right="539"/>
        <w:spacing w:after="0" w:line="265" w:lineRule="auto"/>
        <w:rPr>
          <w:sz w:val="20"/>
          <w:szCs w:val="20"/>
          <w:color w:val="auto"/>
        </w:rPr>
      </w:pPr>
      <w:r>
        <w:rPr>
          <w:rFonts w:ascii="Arial" w:cs="Arial" w:eastAsia="Arial" w:hAnsi="Arial"/>
          <w:sz w:val="17"/>
          <w:szCs w:val="17"/>
          <w:color w:val="auto"/>
        </w:rPr>
        <w:t>serving a three-year term. In accordance with the NYSE corporate governance requirements, we are not required to hold an annual meeting until one year after our first fiscal year end following our listing on the NYSE. The term of office of the first class of directors, consisting of , will expire at our first annual meeting of shareholders. The term of office of the second class of directors, consisting of and , will</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expire at our second annual meeting of shareholders. The term of office of the third class of directors, consisting</w:t>
      </w:r>
    </w:p>
    <w:p>
      <w:pPr>
        <w:spacing w:after="0" w:line="32" w:lineRule="exact"/>
        <w:rPr>
          <w:sz w:val="20"/>
          <w:szCs w:val="20"/>
          <w:color w:val="auto"/>
        </w:rPr>
      </w:pPr>
    </w:p>
    <w:p>
      <w:pPr>
        <w:ind w:left="460"/>
        <w:spacing w:after="0"/>
        <w:tabs>
          <w:tab w:leader="none" w:pos="1080" w:val="left"/>
          <w:tab w:leader="none" w:pos="18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will expire at our third annual meeting of shareholders.</w:t>
      </w:r>
    </w:p>
    <w:p>
      <w:pPr>
        <w:spacing w:after="0" w:line="143"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1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06"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president, chief financial officer, vice presidents, secretary, treasurer and such other offices as may be determined by the board of directors.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NYSE listing standards require that a majority of our board of directors be independent. Our board of</w:t>
      </w:r>
    </w:p>
    <w:p>
      <w:pPr>
        <w:spacing w:after="0" w:line="35" w:lineRule="exact"/>
        <w:rPr>
          <w:sz w:val="20"/>
          <w:szCs w:val="20"/>
          <w:color w:val="auto"/>
        </w:rPr>
      </w:pPr>
    </w:p>
    <w:p>
      <w:pPr>
        <w:ind w:left="460" w:right="479"/>
        <w:spacing w:after="0" w:line="255" w:lineRule="auto"/>
        <w:rPr>
          <w:sz w:val="20"/>
          <w:szCs w:val="20"/>
          <w:color w:val="auto"/>
        </w:rPr>
      </w:pPr>
      <w:r>
        <w:rPr>
          <w:rFonts w:ascii="Arial" w:cs="Arial" w:eastAsia="Arial" w:hAnsi="Arial"/>
          <w:sz w:val="18"/>
          <w:szCs w:val="18"/>
          <w:color w:val="auto"/>
        </w:rPr>
        <w:t>directors has determined that , and are “independent directors” as defined in the NYSE listing standards. Our independent directors will have regularly scheduled meetings at which only independent directors are present.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6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None of our executive officers or directors have received any cash compensation for services rendered to us. Commencing on the date that our securities are first listed on the NYSE through the earlier of consummation of our initial business combination and our liquidation, we will reimburse an affiliate of our sponsor for office space, secretarial and administrative services provided to us in the amount of $10,000 per month.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99"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right="479"/>
        <w:spacing w:after="0" w:line="254" w:lineRule="auto"/>
        <w:rPr>
          <w:sz w:val="20"/>
          <w:szCs w:val="20"/>
          <w:color w:val="auto"/>
        </w:rPr>
      </w:pPr>
      <w:r>
        <w:rPr>
          <w:rFonts w:ascii="Arial" w:cs="Arial" w:eastAsia="Arial" w:hAnsi="Arial"/>
          <w:sz w:val="18"/>
          <w:szCs w:val="18"/>
          <w:color w:val="auto"/>
        </w:rPr>
        <w:t>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11" w:lineRule="exact"/>
        <w:rPr>
          <w:sz w:val="20"/>
          <w:szCs w:val="20"/>
          <w:color w:val="auto"/>
        </w:rPr>
      </w:pPr>
    </w:p>
    <w:p>
      <w:pPr>
        <w:ind w:left="460" w:right="639" w:firstLine="432"/>
        <w:spacing w:after="0" w:line="289"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Upon the effectiveness of the registration statement of which this prospectus forms a part, our board of directors will have three standing committees: an audit committee, a nominating committee and a compensation committee. Subject to phase-in rules and a limited exception, the rules of the NYSE and Rule 10A-3 of the Exchange Act require that the audit committee of a listed company be comprised solely of independent directors. Subject to phase-in rules and a limited exception, the rules of the NYSE require that the compensation committee and the nominating committee of a listed company be comprised solely of independent directors.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Upon the effectiveness of the registration statement of which this prospectus forms a part, we will</w:t>
      </w:r>
    </w:p>
    <w:p>
      <w:pPr>
        <w:spacing w:after="0" w:line="35" w:lineRule="exact"/>
        <w:rPr>
          <w:sz w:val="20"/>
          <w:szCs w:val="20"/>
          <w:color w:val="auto"/>
        </w:rPr>
      </w:pPr>
    </w:p>
    <w:p>
      <w:pPr>
        <w:ind w:left="460" w:right="759"/>
        <w:spacing w:after="0" w:line="250" w:lineRule="auto"/>
        <w:rPr>
          <w:sz w:val="20"/>
          <w:szCs w:val="20"/>
          <w:color w:val="auto"/>
        </w:rPr>
      </w:pPr>
      <w:r>
        <w:rPr>
          <w:rFonts w:ascii="Arial" w:cs="Arial" w:eastAsia="Arial" w:hAnsi="Arial"/>
          <w:sz w:val="18"/>
          <w:szCs w:val="18"/>
          <w:color w:val="auto"/>
        </w:rPr>
        <w:t>establish an audit committee of the board of directors. , and will serve as members of our audit committee. Our board of directors has determined that each of , and are independent under the NYSE listing standards and applicable SEC rules. will serve as the Chairman of the audit</w:t>
      </w:r>
    </w:p>
    <w:p>
      <w:pPr>
        <w:spacing w:after="0" w:line="1" w:lineRule="exact"/>
        <w:rPr>
          <w:sz w:val="20"/>
          <w:szCs w:val="20"/>
          <w:color w:val="auto"/>
        </w:rPr>
      </w:pPr>
    </w:p>
    <w:p>
      <w:pPr>
        <w:ind w:left="460" w:right="479"/>
        <w:spacing w:after="0" w:line="260" w:lineRule="auto"/>
        <w:rPr>
          <w:sz w:val="20"/>
          <w:szCs w:val="20"/>
          <w:color w:val="auto"/>
        </w:rPr>
      </w:pPr>
      <w:r>
        <w:rPr>
          <w:rFonts w:ascii="Arial" w:cs="Arial" w:eastAsia="Arial" w:hAnsi="Arial"/>
          <w:sz w:val="18"/>
          <w:szCs w:val="18"/>
          <w:color w:val="auto"/>
        </w:rPr>
        <w:t>committee. Each member of the audit committee is financially literate and our board of directors has determined that qualifies as an “audit committee financial expert” as defined in applicable SEC rules.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 is responsible for:</w:t>
      </w:r>
    </w:p>
    <w:p>
      <w:pPr>
        <w:spacing w:after="0" w:line="158" w:lineRule="exact"/>
        <w:rPr>
          <w:sz w:val="20"/>
          <w:szCs w:val="20"/>
          <w:color w:val="auto"/>
        </w:rPr>
      </w:pPr>
    </w:p>
    <w:p>
      <w:pPr>
        <w:ind w:left="1320" w:right="879" w:hanging="434"/>
        <w:spacing w:after="0" w:line="277"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144" w:lineRule="exact"/>
        <w:rPr>
          <w:rFonts w:ascii="Arial" w:cs="Arial" w:eastAsia="Arial" w:hAnsi="Arial"/>
          <w:sz w:val="18"/>
          <w:szCs w:val="18"/>
          <w:color w:val="auto"/>
        </w:rPr>
      </w:pPr>
    </w:p>
    <w:p>
      <w:pPr>
        <w:ind w:left="1320" w:right="719" w:hanging="434"/>
        <w:spacing w:after="0" w:line="308" w:lineRule="auto"/>
        <w:tabs>
          <w:tab w:leader="none" w:pos="1311" w:val="left"/>
        </w:tabs>
        <w:numPr>
          <w:ilvl w:val="0"/>
          <w:numId w:val="50"/>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69" w:lineRule="exact"/>
        <w:rPr>
          <w:rFonts w:ascii="Arial" w:cs="Arial" w:eastAsia="Arial" w:hAnsi="Arial"/>
          <w:sz w:val="17"/>
          <w:szCs w:val="17"/>
          <w:color w:val="auto"/>
        </w:rPr>
      </w:pPr>
    </w:p>
    <w:p>
      <w:pPr>
        <w:ind w:left="1320" w:right="779" w:hanging="434"/>
        <w:spacing w:after="0" w:line="263"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157" w:lineRule="exact"/>
        <w:rPr>
          <w:rFonts w:ascii="Arial" w:cs="Arial" w:eastAsia="Arial" w:hAnsi="Arial"/>
          <w:sz w:val="18"/>
          <w:szCs w:val="18"/>
          <w:color w:val="auto"/>
        </w:rPr>
      </w:pPr>
    </w:p>
    <w:p>
      <w:pPr>
        <w:ind w:left="1320" w:right="639" w:hanging="434"/>
        <w:spacing w:after="0" w:line="259"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119" w:lineRule="exact"/>
        <w:rPr>
          <w:rFonts w:ascii="Arial" w:cs="Arial" w:eastAsia="Arial" w:hAnsi="Arial"/>
          <w:sz w:val="18"/>
          <w:szCs w:val="18"/>
          <w:color w:val="auto"/>
        </w:rPr>
      </w:pPr>
    </w:p>
    <w:p>
      <w:pPr>
        <w:ind w:left="1320" w:right="619" w:hanging="434"/>
        <w:spacing w:after="0" w:line="263"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1320" w:right="539" w:hanging="434"/>
        <w:spacing w:after="0" w:line="263"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102" w:lineRule="exact"/>
        <w:rPr>
          <w:rFonts w:ascii="Arial" w:cs="Arial" w:eastAsia="Arial" w:hAnsi="Arial"/>
          <w:sz w:val="18"/>
          <w:szCs w:val="18"/>
          <w:color w:val="auto"/>
        </w:rPr>
      </w:pPr>
    </w:p>
    <w:p>
      <w:pPr>
        <w:ind w:left="1320" w:right="479" w:hanging="434"/>
        <w:spacing w:after="0" w:line="259"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Committee</w:t>
      </w:r>
    </w:p>
    <w:p>
      <w:pPr>
        <w:spacing w:after="0" w:line="158" w:lineRule="exact"/>
        <w:rPr>
          <w:sz w:val="20"/>
          <w:szCs w:val="20"/>
          <w:color w:val="auto"/>
        </w:rPr>
      </w:pPr>
    </w:p>
    <w:p>
      <w:pPr>
        <w:ind w:left="460" w:right="799" w:firstLine="432"/>
        <w:spacing w:after="0" w:line="291"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establish a nominating committee of our board of directors. The members of our nominating committee will</w:t>
      </w:r>
    </w:p>
    <w:p>
      <w:pPr>
        <w:ind w:left="460" w:right="619"/>
        <w:spacing w:after="0" w:line="265" w:lineRule="auto"/>
        <w:rPr>
          <w:sz w:val="20"/>
          <w:szCs w:val="20"/>
          <w:color w:val="auto"/>
        </w:rPr>
      </w:pPr>
      <w:r>
        <w:rPr>
          <w:rFonts w:ascii="Arial" w:cs="Arial" w:eastAsia="Arial" w:hAnsi="Arial"/>
          <w:sz w:val="17"/>
          <w:szCs w:val="17"/>
          <w:color w:val="auto"/>
        </w:rPr>
        <w:t>be , and , and will serve as chairman of the nominating committee. Under the NYSE listing standards, we are required to have a nominating committee composed entirely of independent directors.</w:t>
      </w:r>
    </w:p>
    <w:p>
      <w:pPr>
        <w:ind w:left="460"/>
        <w:spacing w:after="0"/>
        <w:tabs>
          <w:tab w:leader="none" w:pos="4560" w:val="left"/>
          <w:tab w:leader="none" w:pos="5100" w:val="left"/>
          <w:tab w:leader="none" w:pos="5860" w:val="left"/>
        </w:tabs>
        <w:rPr>
          <w:sz w:val="20"/>
          <w:szCs w:val="20"/>
          <w:color w:val="auto"/>
        </w:rPr>
      </w:pPr>
      <w:r>
        <w:rPr>
          <w:rFonts w:ascii="Arial" w:cs="Arial" w:eastAsia="Arial" w:hAnsi="Arial"/>
          <w:sz w:val="18"/>
          <w:szCs w:val="18"/>
          <w:color w:val="auto"/>
        </w:rPr>
        <w:t>Our board of directors has determined that each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are independent.</w:t>
      </w:r>
    </w:p>
    <w:p>
      <w:pPr>
        <w:spacing w:after="0" w:line="14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Guidelines for Selecting Director Nominees</w:t>
      </w:r>
    </w:p>
    <w:p>
      <w:pPr>
        <w:spacing w:after="0" w:line="144"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guidelines for selecting nominees, which will be specified in a charter to be adopted by us, generally will provide that persons to be nominated:</w:t>
      </w:r>
    </w:p>
    <w:p>
      <w:pPr>
        <w:spacing w:after="0" w:line="103" w:lineRule="exact"/>
        <w:rPr>
          <w:sz w:val="20"/>
          <w:szCs w:val="20"/>
          <w:color w:val="auto"/>
        </w:rPr>
      </w:pPr>
    </w:p>
    <w:p>
      <w:pPr>
        <w:ind w:left="1320" w:right="919" w:hanging="434"/>
        <w:spacing w:after="0" w:line="277"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02" w:lineRule="exact"/>
        <w:rPr>
          <w:rFonts w:ascii="Arial" w:cs="Arial" w:eastAsia="Arial" w:hAnsi="Arial"/>
          <w:sz w:val="18"/>
          <w:szCs w:val="18"/>
          <w:color w:val="auto"/>
        </w:rPr>
      </w:pPr>
    </w:p>
    <w:p>
      <w:pPr>
        <w:ind w:left="1320" w:right="1279" w:hanging="434"/>
        <w:spacing w:after="0" w:line="263"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03"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158" w:lineRule="exact"/>
        <w:rPr>
          <w:sz w:val="20"/>
          <w:szCs w:val="20"/>
          <w:color w:val="auto"/>
        </w:rPr>
      </w:pPr>
    </w:p>
    <w:p>
      <w:pPr>
        <w:ind w:left="460" w:right="759" w:firstLine="432"/>
        <w:spacing w:after="0" w:line="291"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establish a compensation committee of our board of directors. The members of our compensation committee</w:t>
      </w:r>
    </w:p>
    <w:p>
      <w:pPr>
        <w:ind w:left="460"/>
        <w:spacing w:after="0"/>
        <w:tabs>
          <w:tab w:leader="none" w:pos="1280" w:val="left"/>
          <w:tab w:leader="none" w:pos="1740" w:val="left"/>
          <w:tab w:leader="none" w:pos="2360" w:val="left"/>
          <w:tab w:leader="none" w:pos="3060" w:val="left"/>
        </w:tabs>
        <w:rPr>
          <w:sz w:val="20"/>
          <w:szCs w:val="20"/>
          <w:color w:val="auto"/>
        </w:rPr>
      </w:pPr>
      <w:r>
        <w:rPr>
          <w:rFonts w:ascii="Arial" w:cs="Arial" w:eastAsia="Arial" w:hAnsi="Arial"/>
          <w:sz w:val="18"/>
          <w:szCs w:val="18"/>
          <w:color w:val="auto"/>
        </w:rPr>
        <w:t>will be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will serve as chairman of the compensation committee.</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Under the NYSE listing standards, we are required to have a compensation committee composed entirely</w:t>
      </w:r>
    </w:p>
    <w:p>
      <w:pPr>
        <w:spacing w:after="0" w:line="46" w:lineRule="exact"/>
        <w:rPr>
          <w:sz w:val="20"/>
          <w:szCs w:val="20"/>
          <w:color w:val="auto"/>
        </w:rPr>
      </w:pPr>
    </w:p>
    <w:p>
      <w:pPr>
        <w:jc w:val="both"/>
        <w:ind w:left="460" w:right="519"/>
        <w:spacing w:after="0" w:line="255" w:lineRule="auto"/>
        <w:rPr>
          <w:sz w:val="20"/>
          <w:szCs w:val="20"/>
          <w:color w:val="auto"/>
        </w:rPr>
      </w:pPr>
      <w:r>
        <w:rPr>
          <w:rFonts w:ascii="Arial" w:cs="Arial" w:eastAsia="Arial" w:hAnsi="Arial"/>
          <w:sz w:val="18"/>
          <w:szCs w:val="18"/>
          <w:color w:val="auto"/>
        </w:rPr>
        <w:t>of independent directors. Our board of directors has determined that each of , and are independent. We will adopt a compensation committee charter, which will detail the principal functions of the compensation committee, including:</w:t>
      </w:r>
    </w:p>
    <w:p>
      <w:pPr>
        <w:spacing w:after="0" w:line="122" w:lineRule="exact"/>
        <w:rPr>
          <w:sz w:val="20"/>
          <w:szCs w:val="20"/>
          <w:color w:val="auto"/>
        </w:rPr>
      </w:pPr>
    </w:p>
    <w:p>
      <w:pPr>
        <w:ind w:left="1320" w:right="519" w:hanging="434"/>
        <w:spacing w:after="0" w:line="259"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20" w:right="1199" w:hanging="434"/>
        <w:spacing w:after="0" w:line="277" w:lineRule="auto"/>
        <w:tabs>
          <w:tab w:leader="none" w:pos="13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producing a report on executive compensation to be included in our annual proxy statement; and</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18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44" w:lineRule="exact"/>
        <w:rPr>
          <w:sz w:val="20"/>
          <w:szCs w:val="20"/>
          <w:color w:val="auto"/>
        </w:rPr>
      </w:pPr>
    </w:p>
    <w:p>
      <w:pPr>
        <w:ind w:left="460" w:right="519" w:firstLine="432"/>
        <w:spacing w:after="0" w:line="342" w:lineRule="auto"/>
        <w:rPr>
          <w:sz w:val="20"/>
          <w:szCs w:val="20"/>
          <w:color w:val="auto"/>
        </w:rPr>
      </w:pPr>
      <w:r>
        <w:rPr>
          <w:rFonts w:ascii="Arial" w:cs="Arial" w:eastAsia="Arial" w:hAnsi="Arial"/>
          <w:sz w:val="16"/>
          <w:szCs w:val="16"/>
          <w:color w:val="auto"/>
        </w:rPr>
        <w:t>None of our executive officers currently serves, and in the past year has not served, as a member of the compensation committee of any entity that has one or more executive officers serving on our board of directors.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44" w:lineRule="exact"/>
        <w:rPr>
          <w:sz w:val="20"/>
          <w:szCs w:val="20"/>
          <w:color w:val="auto"/>
        </w:rPr>
      </w:pPr>
    </w:p>
    <w:p>
      <w:pPr>
        <w:ind w:left="1320" w:right="899" w:hanging="434"/>
        <w:spacing w:after="0" w:line="277"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02" w:lineRule="exact"/>
        <w:rPr>
          <w:rFonts w:ascii="Arial" w:cs="Arial" w:eastAsia="Arial" w:hAnsi="Arial"/>
          <w:sz w:val="18"/>
          <w:szCs w:val="18"/>
          <w:color w:val="auto"/>
        </w:rPr>
      </w:pPr>
    </w:p>
    <w:p>
      <w:pPr>
        <w:ind w:left="1320" w:right="979" w:hanging="434"/>
        <w:spacing w:after="0" w:line="277"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157"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not to put themselves in a position in which there is a conflict between their duty to the company and their personal interests;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144" w:lineRule="exact"/>
        <w:rPr>
          <w:sz w:val="20"/>
          <w:szCs w:val="20"/>
          <w:color w:val="auto"/>
        </w:rPr>
      </w:pPr>
    </w:p>
    <w:p>
      <w:pPr>
        <w:jc w:val="both"/>
        <w:ind w:left="460" w:right="639" w:firstLine="432"/>
        <w:spacing w:after="0" w:line="30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90"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right="499" w:firstLine="432"/>
        <w:spacing w:after="0" w:line="270"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00" w:lineRule="exact"/>
        <w:rPr>
          <w:sz w:val="20"/>
          <w:szCs w:val="20"/>
          <w:color w:val="auto"/>
        </w:rPr>
      </w:pPr>
    </w:p>
    <w:p>
      <w:pPr>
        <w:ind w:left="460" w:right="819" w:firstLine="432"/>
        <w:spacing w:after="0" w:line="308" w:lineRule="auto"/>
        <w:rPr>
          <w:sz w:val="20"/>
          <w:szCs w:val="20"/>
          <w:color w:val="auto"/>
        </w:rPr>
      </w:pPr>
      <w:r>
        <w:rPr>
          <w:rFonts w:ascii="Arial" w:cs="Arial" w:eastAsia="Arial" w:hAnsi="Arial"/>
          <w:sz w:val="17"/>
          <w:szCs w:val="17"/>
          <w:color w:val="auto"/>
        </w:rPr>
        <w:t>Below is a table summarizing the entities to which our executive officers and directors currently have fiduciary duties, contractual obligations or other material management relationships:</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Entity’s</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20"/>
                <w:szCs w:val="20"/>
                <w:color w:val="auto"/>
              </w:rPr>
            </w:pPr>
            <w:r>
              <w:rPr>
                <w:rFonts w:ascii="Arial" w:cs="Arial" w:eastAsia="Arial" w:hAnsi="Arial"/>
                <w:sz w:val="16"/>
                <w:szCs w:val="16"/>
                <w:b w:val="1"/>
                <w:bCs w:val="1"/>
                <w:color w:val="auto"/>
              </w:rPr>
              <w:t>Individual</w:t>
            </w:r>
          </w:p>
        </w:tc>
        <w:tc>
          <w:tcPr>
            <w:tcW w:w="100" w:type="dxa"/>
            <w:vAlign w:val="bottom"/>
          </w:tcPr>
          <w:p>
            <w:pPr>
              <w:spacing w:after="0"/>
              <w:rPr>
                <w:sz w:val="18"/>
                <w:szCs w:val="18"/>
                <w:color w:val="auto"/>
              </w:rPr>
            </w:pPr>
          </w:p>
        </w:tc>
        <w:tc>
          <w:tcPr>
            <w:tcW w:w="2300" w:type="dxa"/>
            <w:vAlign w:val="bottom"/>
          </w:tcPr>
          <w:p>
            <w:pPr>
              <w:ind w:left="940"/>
              <w:spacing w:after="0"/>
              <w:rPr>
                <w:sz w:val="20"/>
                <w:szCs w:val="20"/>
                <w:color w:val="auto"/>
              </w:rPr>
            </w:pPr>
            <w:r>
              <w:rPr>
                <w:rFonts w:ascii="Arial" w:cs="Arial" w:eastAsia="Arial" w:hAnsi="Arial"/>
                <w:sz w:val="16"/>
                <w:szCs w:val="16"/>
                <w:b w:val="1"/>
                <w:bCs w:val="1"/>
                <w:color w:val="auto"/>
              </w:rPr>
              <w:t>Entity</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4"/>
              </w:rPr>
              <w:t>Business</w:t>
            </w:r>
          </w:p>
        </w:tc>
        <w:tc>
          <w:tcPr>
            <w:tcW w:w="100" w:type="dxa"/>
            <w:vAlign w:val="bottom"/>
          </w:tcPr>
          <w:p>
            <w:pPr>
              <w:spacing w:after="0"/>
              <w:rPr>
                <w:sz w:val="18"/>
                <w:szCs w:val="18"/>
                <w:color w:val="auto"/>
              </w:rPr>
            </w:pPr>
          </w:p>
        </w:tc>
        <w:tc>
          <w:tcPr>
            <w:tcW w:w="1860" w:type="dxa"/>
            <w:vAlign w:val="bottom"/>
          </w:tcPr>
          <w:p>
            <w:pPr>
              <w:ind w:left="580"/>
              <w:spacing w:after="0"/>
              <w:rPr>
                <w:sz w:val="20"/>
                <w:szCs w:val="20"/>
                <w:color w:val="auto"/>
              </w:rPr>
            </w:pPr>
            <w:r>
              <w:rPr>
                <w:rFonts w:ascii="Arial" w:cs="Arial" w:eastAsia="Arial" w:hAnsi="Arial"/>
                <w:sz w:val="16"/>
                <w:szCs w:val="16"/>
                <w:b w:val="1"/>
                <w:bCs w:val="1"/>
                <w:color w:val="auto"/>
              </w:rPr>
              <w:t>Affiliation</w:t>
            </w:r>
          </w:p>
        </w:tc>
        <w:tc>
          <w:tcPr>
            <w:tcW w:w="0" w:type="dxa"/>
            <w:vAlign w:val="bottom"/>
          </w:tcPr>
          <w:p>
            <w:pPr>
              <w:spacing w:after="0"/>
              <w:rPr>
                <w:sz w:val="1"/>
                <w:szCs w:val="1"/>
                <w:color w:val="auto"/>
              </w:rPr>
            </w:pPr>
          </w:p>
        </w:tc>
      </w:tr>
      <w:tr>
        <w:trPr>
          <w:trHeight w:val="46"/>
        </w:trPr>
        <w:tc>
          <w:tcPr>
            <w:tcW w:w="25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500" w:type="dxa"/>
            <w:vAlign w:val="bottom"/>
          </w:tcPr>
          <w:p>
            <w:pPr>
              <w:spacing w:after="0" w:line="195" w:lineRule="exact"/>
              <w:rPr>
                <w:sz w:val="20"/>
                <w:szCs w:val="20"/>
                <w:color w:val="auto"/>
              </w:rPr>
            </w:pPr>
            <w:r>
              <w:rPr>
                <w:rFonts w:ascii="Arial" w:cs="Arial" w:eastAsia="Arial" w:hAnsi="Arial"/>
                <w:sz w:val="18"/>
                <w:szCs w:val="18"/>
                <w:color w:val="auto"/>
              </w:rPr>
              <w:t>Scott Leonard</w:t>
            </w:r>
          </w:p>
        </w:tc>
        <w:tc>
          <w:tcPr>
            <w:tcW w:w="100" w:type="dxa"/>
            <w:vAlign w:val="bottom"/>
            <w:vMerge w:val="continue"/>
          </w:tcPr>
          <w:p>
            <w:pPr>
              <w:spacing w:after="0"/>
              <w:rPr>
                <w:sz w:val="16"/>
                <w:szCs w:val="16"/>
                <w:color w:val="auto"/>
              </w:rPr>
            </w:pPr>
          </w:p>
        </w:tc>
        <w:tc>
          <w:tcPr>
            <w:tcW w:w="2300" w:type="dxa"/>
            <w:vAlign w:val="bottom"/>
          </w:tcPr>
          <w:p>
            <w:pPr>
              <w:spacing w:after="0" w:line="195" w:lineRule="exact"/>
              <w:rPr>
                <w:sz w:val="20"/>
                <w:szCs w:val="20"/>
                <w:color w:val="auto"/>
              </w:rPr>
            </w:pPr>
            <w:r>
              <w:rPr>
                <w:rFonts w:ascii="Arial" w:cs="Arial" w:eastAsia="Arial" w:hAnsi="Arial"/>
                <w:sz w:val="18"/>
                <w:szCs w:val="18"/>
                <w:color w:val="auto"/>
              </w:rPr>
              <w:t>Lonestar II Generation</w:t>
            </w:r>
          </w:p>
        </w:tc>
        <w:tc>
          <w:tcPr>
            <w:tcW w:w="100" w:type="dxa"/>
            <w:vAlign w:val="bottom"/>
            <w:vMerge w:val="continue"/>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Energy</w:t>
            </w:r>
          </w:p>
        </w:tc>
        <w:tc>
          <w:tcPr>
            <w:tcW w:w="100" w:type="dxa"/>
            <w:vAlign w:val="bottom"/>
            <w:vMerge w:val="continue"/>
          </w:tcPr>
          <w:p>
            <w:pPr>
              <w:spacing w:after="0"/>
              <w:rPr>
                <w:sz w:val="16"/>
                <w:szCs w:val="16"/>
                <w:color w:val="auto"/>
              </w:rPr>
            </w:pPr>
          </w:p>
        </w:tc>
        <w:tc>
          <w:tcPr>
            <w:tcW w:w="1860" w:type="dxa"/>
            <w:vAlign w:val="bottom"/>
          </w:tcPr>
          <w:p>
            <w:pPr>
              <w:spacing w:after="0" w:line="195" w:lineRule="exact"/>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Holdings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500" w:type="dxa"/>
            <w:vAlign w:val="bottom"/>
          </w:tcPr>
          <w:p>
            <w:pPr>
              <w:spacing w:after="0"/>
              <w:rPr>
                <w:sz w:val="20"/>
                <w:szCs w:val="20"/>
                <w:color w:val="auto"/>
              </w:rPr>
            </w:pPr>
            <w:r>
              <w:rPr>
                <w:rFonts w:ascii="Arial" w:cs="Arial" w:eastAsia="Arial" w:hAnsi="Arial"/>
                <w:sz w:val="18"/>
                <w:szCs w:val="18"/>
                <w:color w:val="auto"/>
              </w:rPr>
              <w:t>Scott Honour</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Northern Pacific Group</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Private Equity</w:t>
            </w: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Managing Partner</w:t>
            </w: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2"/>
                <w:szCs w:val="22"/>
                <w:color w:val="auto"/>
              </w:rPr>
            </w:pP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EVO Transportation &amp;</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6"/>
              </w:rPr>
              <w:t>Transportation</w:t>
            </w: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Energy Services Inc.</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58" w:lineRule="exact"/>
        <w:rPr>
          <w:sz w:val="20"/>
          <w:szCs w:val="20"/>
          <w:color w:val="auto"/>
        </w:rPr>
      </w:pPr>
    </w:p>
    <w:p>
      <w:pPr>
        <w:ind w:left="1320" w:right="539" w:hanging="434"/>
        <w:spacing w:after="0" w:line="272" w:lineRule="auto"/>
        <w:tabs>
          <w:tab w:leader="none" w:pos="1311"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96" w:lineRule="exact"/>
        <w:rPr>
          <w:rFonts w:ascii="Arial" w:cs="Arial" w:eastAsia="Arial" w:hAnsi="Arial"/>
          <w:sz w:val="17"/>
          <w:szCs w:val="17"/>
          <w:color w:val="auto"/>
        </w:rPr>
      </w:pPr>
    </w:p>
    <w:p>
      <w:pPr>
        <w:ind w:left="1320" w:right="719" w:hanging="434"/>
        <w:spacing w:after="0" w:line="263" w:lineRule="auto"/>
        <w:tabs>
          <w:tab w:leader="none" w:pos="1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sponsor subscribed for founder shares prior to the date of this prospectus and will purchase private placement warrants in a transaction that will close simultaneously with the closing of this offering.</w:t>
      </w:r>
    </w:p>
    <w:p>
      <w:pPr>
        <w:spacing w:after="0" w:line="116" w:lineRule="exact"/>
        <w:rPr>
          <w:rFonts w:ascii="Arial" w:cs="Arial" w:eastAsia="Arial" w:hAnsi="Arial"/>
          <w:sz w:val="18"/>
          <w:szCs w:val="18"/>
          <w:color w:val="auto"/>
        </w:rPr>
      </w:pPr>
    </w:p>
    <w:p>
      <w:pPr>
        <w:ind w:left="1320" w:right="479" w:hanging="434"/>
        <w:spacing w:after="0" w:line="283" w:lineRule="auto"/>
        <w:tabs>
          <w:tab w:leader="none" w:pos="13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sponsor and each member of our management team have entered into agreements with us, pursuant to which they have agreed to waive their redemption rights with respect to their founder shares and public shares in connection with (i) the completion of our initial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Additionally, our sponsor has agreed to waive its rights to liquidating distributions from the trust account with respect to its founder shares if we fail to complete our initial business combination within the prescribed time frame. If we do not consummate an initial business combination within the prescribed time frame, the private placement warrants will expire worthless. Except as described herein, our sponsor and our directors and executive officers have agreed not to transfer, assign or sell any of their founder shares until the earliest of (A) one year after the completion of our initial business combination or</w:t>
      </w:r>
    </w:p>
    <w:p>
      <w:pPr>
        <w:spacing w:after="0" w:line="1" w:lineRule="exact"/>
        <w:rPr>
          <w:rFonts w:ascii="Arial" w:cs="Arial" w:eastAsia="Arial" w:hAnsi="Arial"/>
          <w:sz w:val="16"/>
          <w:szCs w:val="16"/>
          <w:color w:val="auto"/>
        </w:rPr>
      </w:pPr>
    </w:p>
    <w:p>
      <w:pPr>
        <w:ind w:left="1320" w:right="499"/>
        <w:spacing w:after="0" w:line="285" w:lineRule="auto"/>
        <w:rPr>
          <w:rFonts w:ascii="Arial" w:cs="Arial" w:eastAsia="Arial" w:hAnsi="Arial"/>
          <w:sz w:val="16"/>
          <w:szCs w:val="16"/>
          <w:color w:val="auto"/>
        </w:rPr>
      </w:pPr>
      <w:r>
        <w:rPr>
          <w:rFonts w:ascii="Arial" w:cs="Arial" w:eastAsia="Arial" w:hAnsi="Arial"/>
          <w:sz w:val="16"/>
          <w:szCs w:val="16"/>
          <w:color w:val="auto"/>
        </w:rPr>
        <w:t>(B)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shareholders having the right to exchange their ordinary shares for cash, securities or other property. The private placement warrants will not be transferable until 30 days following the completion of our initial business combination. Because each of our executive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ectPr>
          <w:pgSz w:w="11900" w:h="16838" w:orient="portrait"/>
          <w:cols w:equalWidth="0" w:num="1">
            <w:col w:w="9019"/>
          </w:cols>
          <w:pgMar w:left="1440" w:top="274" w:right="1440" w:bottom="1440"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1320" w:right="499" w:hanging="434"/>
        <w:spacing w:after="0" w:line="311" w:lineRule="auto"/>
        <w:tabs>
          <w:tab w:leader="none" w:pos="1311"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6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firm which is a member of FINRA or an independent accounting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the NYSE, we will also reimburse an affiliate of our sponsor for office space, secretarial and administrative services provided to us in the amount of $10,000 per month.</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58"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In the event that we submit our initial business combination to our public shareholders for a vote, our sponsor, our Founders and each member of our management team have agreed to vote their founder shares and any public shares purchased during or after this offering in favor of our initial business combination.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48"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7"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27"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11"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6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84" w:lineRule="exact"/>
        <w:rPr>
          <w:sz w:val="20"/>
          <w:szCs w:val="20"/>
          <w:color w:val="auto"/>
        </w:rPr>
      </w:pPr>
    </w:p>
    <w:p>
      <w:pPr>
        <w:ind w:left="1320" w:right="559" w:hanging="434"/>
        <w:spacing w:after="0" w:line="277" w:lineRule="auto"/>
        <w:tabs>
          <w:tab w:leader="none" w:pos="13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102"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that beneficially owns ordinary shares;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44"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19"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On December 31, 2019, the sponsor paid $25,000, or approximately $0.003 per share, to cover certain of our offering costs in consideration of 8,625,000 Class B ordinary shares, par value $0.0001. Prior to the initial investment in the company of $25,000 by the sponsor, the company had no assets, tangible or intangible. The per share price of the founder shares was determined by dividing the amount contributed to the company by the number of founder shares issued. The post-offering percentages in the following table assume that the underwriter does not exercise its over-allotment option and that there are 37,500,000 ordinary shares issued and outstanding after this offering.</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Approximate Percentage of</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Number of</w:t>
            </w:r>
          </w:p>
        </w:tc>
        <w:tc>
          <w:tcPr>
            <w:tcW w:w="2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Issued and Outstanding</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3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5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3"/>
              </w:rPr>
              <w:t>Ordinary Shares</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254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92"/>
              </w:rPr>
              <w:t>Beneficially</w:t>
            </w:r>
          </w:p>
        </w:tc>
        <w:tc>
          <w:tcPr>
            <w:tcW w:w="126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0"/>
              </w:rPr>
              <w:t>Before</w:t>
            </w:r>
          </w:p>
        </w:tc>
        <w:tc>
          <w:tcPr>
            <w:tcW w:w="1280" w:type="dxa"/>
            <w:vAlign w:val="bottom"/>
          </w:tcPr>
          <w:p>
            <w:pPr>
              <w:jc w:val="right"/>
              <w:ind w:right="373"/>
              <w:spacing w:after="0" w:line="182" w:lineRule="exact"/>
              <w:rPr>
                <w:sz w:val="20"/>
                <w:szCs w:val="20"/>
                <w:color w:val="auto"/>
              </w:rPr>
            </w:pPr>
            <w:r>
              <w:rPr>
                <w:rFonts w:ascii="Arial" w:cs="Arial" w:eastAsia="Arial" w:hAnsi="Arial"/>
                <w:sz w:val="16"/>
                <w:szCs w:val="16"/>
                <w:b w:val="1"/>
                <w:bCs w:val="1"/>
                <w:color w:val="auto"/>
              </w:rPr>
              <w:t>After</w:t>
            </w:r>
          </w:p>
        </w:tc>
        <w:tc>
          <w:tcPr>
            <w:tcW w:w="0" w:type="dxa"/>
            <w:vAlign w:val="bottom"/>
          </w:tcPr>
          <w:p>
            <w:pPr>
              <w:spacing w:after="0"/>
              <w:rPr>
                <w:sz w:val="1"/>
                <w:szCs w:val="1"/>
                <w:color w:val="auto"/>
              </w:rPr>
            </w:pPr>
          </w:p>
        </w:tc>
      </w:tr>
      <w:tr>
        <w:trPr>
          <w:trHeight w:val="253"/>
        </w:trPr>
        <w:tc>
          <w:tcPr>
            <w:tcW w:w="424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00" w:type="dxa"/>
            <w:vAlign w:val="bottom"/>
          </w:tcPr>
          <w:p>
            <w:pPr>
              <w:spacing w:after="0"/>
              <w:rPr>
                <w:sz w:val="21"/>
                <w:szCs w:val="21"/>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Owned</w:t>
            </w:r>
            <w:r>
              <w:rPr>
                <w:rFonts w:ascii="Arial" w:cs="Arial" w:eastAsia="Arial" w:hAnsi="Arial"/>
                <w:sz w:val="18"/>
                <w:szCs w:val="18"/>
                <w:b w:val="1"/>
                <w:bCs w:val="1"/>
                <w:color w:val="auto"/>
                <w:w w:val="91"/>
                <w:vertAlign w:val="superscript"/>
              </w:rPr>
              <w:t>(2)</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Offering</w:t>
            </w:r>
          </w:p>
        </w:tc>
        <w:tc>
          <w:tcPr>
            <w:tcW w:w="1280" w:type="dxa"/>
            <w:vAlign w:val="bottom"/>
          </w:tcPr>
          <w:p>
            <w:pPr>
              <w:jc w:val="right"/>
              <w:ind w:right="253"/>
              <w:spacing w:after="0"/>
              <w:rPr>
                <w:sz w:val="20"/>
                <w:szCs w:val="20"/>
                <w:color w:val="auto"/>
              </w:rPr>
            </w:pPr>
            <w:r>
              <w:rPr>
                <w:rFonts w:ascii="Arial" w:cs="Arial" w:eastAsia="Arial" w:hAnsi="Arial"/>
                <w:sz w:val="16"/>
                <w:szCs w:val="16"/>
                <w:b w:val="1"/>
                <w:bCs w:val="1"/>
                <w:color w:val="auto"/>
              </w:rPr>
              <w:t>Offering</w:t>
            </w:r>
          </w:p>
        </w:tc>
        <w:tc>
          <w:tcPr>
            <w:tcW w:w="0" w:type="dxa"/>
            <w:vAlign w:val="bottom"/>
          </w:tcPr>
          <w:p>
            <w:pPr>
              <w:spacing w:after="0"/>
              <w:rPr>
                <w:sz w:val="1"/>
                <w:szCs w:val="1"/>
                <w:color w:val="auto"/>
              </w:rPr>
            </w:pPr>
          </w:p>
        </w:tc>
      </w:tr>
      <w:tr>
        <w:trPr>
          <w:trHeight w:val="268"/>
        </w:trPr>
        <w:tc>
          <w:tcPr>
            <w:tcW w:w="4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4"/>
              </w:rPr>
              <w:t>Sustainable Opportunities Holdings LLC (our sponsor)</w:t>
            </w:r>
            <w:r>
              <w:rPr>
                <w:rFonts w:ascii="Arial" w:cs="Arial" w:eastAsia="Arial" w:hAnsi="Arial"/>
                <w:sz w:val="20"/>
                <w:szCs w:val="20"/>
                <w:color w:val="auto"/>
                <w:w w:val="94"/>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7"/>
              </w:rPr>
              <w:t>8,625,000</w:t>
            </w:r>
            <w:r>
              <w:rPr>
                <w:rFonts w:ascii="Arial" w:cs="Arial" w:eastAsia="Arial" w:hAnsi="Arial"/>
                <w:sz w:val="20"/>
                <w:szCs w:val="20"/>
                <w:color w:val="auto"/>
                <w:w w:val="87"/>
                <w:vertAlign w:val="superscript"/>
              </w:rPr>
              <w:t>(4)</w:t>
            </w:r>
          </w:p>
        </w:tc>
        <w:tc>
          <w:tcPr>
            <w:tcW w:w="8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83"/>
        </w:trPr>
        <w:tc>
          <w:tcPr>
            <w:tcW w:w="4240" w:type="dxa"/>
            <w:vAlign w:val="bottom"/>
            <w:gridSpan w:val="2"/>
          </w:tcPr>
          <w:p>
            <w:pPr>
              <w:spacing w:after="0"/>
              <w:rPr>
                <w:sz w:val="20"/>
                <w:szCs w:val="20"/>
                <w:color w:val="auto"/>
              </w:rPr>
            </w:pPr>
            <w:r>
              <w:rPr>
                <w:rFonts w:ascii="Arial" w:cs="Arial" w:eastAsia="Arial" w:hAnsi="Arial"/>
                <w:sz w:val="18"/>
                <w:szCs w:val="18"/>
                <w:color w:val="auto"/>
              </w:rPr>
              <w:t>Scott Leonard</w:t>
            </w:r>
            <w:r>
              <w:rPr>
                <w:rFonts w:ascii="Arial" w:cs="Arial" w:eastAsia="Arial" w:hAnsi="Arial"/>
                <w:sz w:val="20"/>
                <w:szCs w:val="20"/>
                <w:color w:val="auto"/>
                <w:vertAlign w:val="superscript"/>
              </w:rPr>
              <w:t>(3)</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w w:val="87"/>
              </w:rPr>
              <w:t>8,625,000</w:t>
            </w:r>
            <w:r>
              <w:rPr>
                <w:rFonts w:ascii="Arial" w:cs="Arial" w:eastAsia="Arial" w:hAnsi="Arial"/>
                <w:sz w:val="20"/>
                <w:szCs w:val="20"/>
                <w:color w:val="auto"/>
                <w:w w:val="87"/>
                <w:vertAlign w:val="superscript"/>
              </w:rPr>
              <w:t>(4)</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84"/>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Honour</w:t>
            </w:r>
            <w:r>
              <w:rPr>
                <w:rFonts w:ascii="Arial" w:cs="Arial" w:eastAsia="Arial" w:hAnsi="Arial"/>
                <w:sz w:val="20"/>
                <w:szCs w:val="20"/>
                <w:color w:val="auto"/>
                <w:vertAlign w:val="superscript"/>
              </w:rPr>
              <w:t>(3)</w:t>
            </w: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7"/>
              </w:rPr>
              <w:t>8,625,000</w:t>
            </w:r>
            <w:r>
              <w:rPr>
                <w:rFonts w:ascii="Arial" w:cs="Arial" w:eastAsia="Arial" w:hAnsi="Arial"/>
                <w:sz w:val="20"/>
                <w:szCs w:val="20"/>
                <w:color w:val="auto"/>
                <w:w w:val="87"/>
                <w:vertAlign w:val="superscript"/>
              </w:rPr>
              <w:t>(4)</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240" w:type="dxa"/>
            <w:vAlign w:val="bottom"/>
            <w:gridSpan w:val="2"/>
          </w:tcPr>
          <w:p>
            <w:pPr>
              <w:spacing w:after="0"/>
              <w:rPr>
                <w:sz w:val="20"/>
                <w:szCs w:val="20"/>
                <w:color w:val="auto"/>
              </w:rPr>
            </w:pPr>
            <w:r>
              <w:rPr>
                <w:rFonts w:ascii="Arial" w:cs="Arial" w:eastAsia="Arial" w:hAnsi="Arial"/>
                <w:sz w:val="18"/>
                <w:szCs w:val="18"/>
                <w:color w:val="auto"/>
              </w:rPr>
              <w:t>David Quiram</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All officers, directors and director nominees as a group</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individuals)</w:t>
            </w: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8,625,000</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40"/>
        </w:trPr>
        <w:tc>
          <w:tcPr>
            <w:tcW w:w="400" w:type="dxa"/>
            <w:vAlign w:val="bottom"/>
            <w:shd w:val="clear" w:color="auto" w:fill="CCEEFF"/>
          </w:tcPr>
          <w:p>
            <w:pPr>
              <w:spacing w:after="0"/>
              <w:rPr>
                <w:sz w:val="3"/>
                <w:szCs w:val="3"/>
                <w:color w:val="auto"/>
              </w:rPr>
            </w:pPr>
          </w:p>
        </w:tc>
        <w:tc>
          <w:tcPr>
            <w:tcW w:w="3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60" w:hanging="406"/>
        <w:spacing w:after="0"/>
        <w:tabs>
          <w:tab w:leader="none" w:pos="8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ind w:left="880" w:right="739" w:hanging="426"/>
        <w:spacing w:after="0" w:line="264" w:lineRule="auto"/>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our shareholders is 1601 Bryan Street, Suite 4141, Dallas, Texas 75201.</w:t>
      </w:r>
    </w:p>
    <w:p>
      <w:pPr>
        <w:jc w:val="both"/>
        <w:ind w:left="880" w:right="479" w:hanging="426"/>
        <w:spacing w:after="0" w:line="264" w:lineRule="auto"/>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Interests shown consist solely of founder shares, classified as Class B ordinary shares. Such shares will automatically convert into Class A ordinary shares at the time of our initial business combination as described in the section entitled “Description of Securities.”</w:t>
      </w:r>
    </w:p>
    <w:p>
      <w:pPr>
        <w:ind w:left="460"/>
        <w:spacing w:after="0"/>
        <w:rPr>
          <w:sz w:val="20"/>
          <w:szCs w:val="20"/>
          <w:color w:val="auto"/>
        </w:rPr>
      </w:pPr>
      <w:r>
        <w:rPr>
          <w:rFonts w:ascii="Arial" w:cs="Arial" w:eastAsia="Arial" w:hAnsi="Arial"/>
          <w:sz w:val="16"/>
          <w:szCs w:val="16"/>
          <w:color w:val="auto"/>
        </w:rPr>
        <w:t>(3)</w:t>
      </w:r>
    </w:p>
    <w:p>
      <w:pPr>
        <w:spacing w:after="0" w:line="19" w:lineRule="exact"/>
        <w:rPr>
          <w:sz w:val="20"/>
          <w:szCs w:val="20"/>
          <w:color w:val="auto"/>
        </w:rPr>
      </w:pPr>
    </w:p>
    <w:p>
      <w:pPr>
        <w:ind w:left="880" w:right="539" w:hanging="426"/>
        <w:spacing w:after="0" w:line="288" w:lineRule="auto"/>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up to 1,125,000 founder shares that will be surrendered to us for no consideration by our sponsor depending on the extent to which the underwriter’s over-allotment option is exercised.</w:t>
      </w:r>
    </w:p>
    <w:p>
      <w:pPr>
        <w:spacing w:after="0" w:line="90"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Immediately after this offering, our sponsor will beneficially own 20% of the then issued and outstanding ordinary shares (assuming they do not purchase any units in this offering) and will have the right to elect all of our directors prior to our initial business combination. Holders of our public shares will not have the right to elect any directors to our board of directors prior to our initial business combination. Because of this ownership block, our sponsor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pacing w:after="0" w:line="99" w:lineRule="exact"/>
        <w:rPr>
          <w:sz w:val="20"/>
          <w:szCs w:val="20"/>
          <w:color w:val="auto"/>
        </w:rPr>
      </w:pPr>
    </w:p>
    <w:p>
      <w:pPr>
        <w:ind w:left="460" w:right="879" w:firstLine="432"/>
        <w:spacing w:after="0" w:line="263" w:lineRule="auto"/>
        <w:rPr>
          <w:sz w:val="20"/>
          <w:szCs w:val="20"/>
          <w:color w:val="auto"/>
        </w:rPr>
      </w:pPr>
      <w:r>
        <w:rPr>
          <w:rFonts w:ascii="Arial" w:cs="Arial" w:eastAsia="Arial" w:hAnsi="Arial"/>
          <w:sz w:val="18"/>
          <w:szCs w:val="18"/>
          <w:color w:val="auto"/>
        </w:rPr>
        <w:t>Our sponsor has agreed (a) to vote any founder shares owned by it in favor of any proposed business combination and (b) not to redeem any founder shares in connection with a shareholder vote to approve a proposed initial business combination.</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Our sponsor is deemed to be our “promoter” as such term is defined under the federal securities laws.</w:t>
      </w:r>
    </w:p>
    <w:p>
      <w:pPr>
        <w:sectPr>
          <w:pgSz w:w="11900" w:h="16838" w:orient="portrait"/>
          <w:cols w:equalWidth="0" w:num="1">
            <w:col w:w="9019"/>
          </w:cols>
          <w:pgMar w:left="1440" w:top="337" w:right="1440"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9" w:name="page110"/>
    <w:bookmarkEnd w:id="109"/>
    <w:p>
      <w:pPr>
        <w:ind w:left="46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62" w:lineRule="exact"/>
        <w:rPr>
          <w:sz w:val="20"/>
          <w:szCs w:val="20"/>
          <w:color w:val="auto"/>
        </w:rPr>
      </w:pPr>
    </w:p>
    <w:p>
      <w:pPr>
        <w:ind w:left="460" w:right="559" w:firstLine="432"/>
        <w:spacing w:after="0" w:line="285" w:lineRule="auto"/>
        <w:rPr>
          <w:sz w:val="20"/>
          <w:szCs w:val="20"/>
          <w:color w:val="auto"/>
        </w:rPr>
      </w:pPr>
      <w:r>
        <w:rPr>
          <w:rFonts w:ascii="Arial" w:cs="Arial" w:eastAsia="Arial" w:hAnsi="Arial"/>
          <w:sz w:val="16"/>
          <w:szCs w:val="16"/>
          <w:color w:val="auto"/>
        </w:rPr>
        <w:t>The founder shares, private placement warrants and any Class A ordinary shares issued upon conversion or exercise thereof are each subject to transfer restrictions pursuant to lock-up provisions in the agreements entered into by our sponsor and management team. Our sponsor and each member of our management team have agreed not to transfer, assign or sell any of their founder shares until the earliest of (a) one year after the completion of our initial business combination and (b) upon consummation of our initial business combination,</w:t>
      </w:r>
    </w:p>
    <w:p>
      <w:pPr>
        <w:spacing w:after="0" w:line="2" w:lineRule="exact"/>
        <w:rPr>
          <w:sz w:val="20"/>
          <w:szCs w:val="20"/>
          <w:color w:val="auto"/>
        </w:rPr>
      </w:pPr>
    </w:p>
    <w:p>
      <w:pPr>
        <w:ind w:left="460" w:right="479" w:hanging="6"/>
        <w:spacing w:after="0" w:line="281" w:lineRule="auto"/>
        <w:tabs>
          <w:tab w:leader="none" w:pos="71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after our initial business combination that results in all of our shareholders having the right to exchange their Class A ordinary shares for cash, securities or other property. The private placement warrants and the respective Class A ordinary shares underlying such warrants are not transferable or salable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private placement warrants or Class A ordinary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w:t>
      </w:r>
    </w:p>
    <w:p>
      <w:pPr>
        <w:spacing w:after="0" w:line="11" w:lineRule="exact"/>
        <w:rPr>
          <w:rFonts w:ascii="Arial" w:cs="Arial" w:eastAsia="Arial" w:hAnsi="Arial"/>
          <w:sz w:val="16"/>
          <w:szCs w:val="16"/>
          <w:color w:val="auto"/>
        </w:rPr>
      </w:pPr>
    </w:p>
    <w:p>
      <w:pPr>
        <w:ind w:left="460" w:right="519" w:hanging="6"/>
        <w:spacing w:after="0" w:line="292" w:lineRule="auto"/>
        <w:tabs>
          <w:tab w:leader="none" w:pos="67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in the event of our completion of a liquidation, merger, share exchange or other similar transaction which results in all of our shareholders having the right to exchange their Class A ordinary shares for cash, securities or other property subsequent to our completion of our initial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however, that in the case of clauses (a) through (f) these permitted transferees must enter into a written agreement agreeing to be bound by these transfer restrictions and the other restrictions contained in the letter agreements.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On December 31, 2019, the sponsor paid $25,000, or approximately $0.003 per share, to cover certain of our offering costs in consideration of 8,625,000 Class B ordinary shares, par value $0.0001. The number of founder shares issued was determined based on the expectation that such founder shares would represent 20% of the issued and outstanding shares upon completion of this offering. If we further increase or decrease the size of the offering, we will effect a share capitalization or a share surrender or other appropriate mechanism, as applicable, with respect to our Class B ordinary shares immediately prior to the consummation of the offering in such amount as to maintain the ownership of our sponsor (and its permitted transferees, if any) at 20% of the issued and outstanding ordinary shares upon the consummation of this offering. Up to 1,125,000 founder shares are subject to forfeiture by our sponsor depending on the extent to which the underwriter’s over-allotment option is exercised. The founder shares (including the Class A ordinary shares issuable upon exercise thereof) may not, subject to certain limited exceptions, be transferred, assigned or sold by the holder.</w:t>
      </w:r>
    </w:p>
    <w:p>
      <w:pPr>
        <w:spacing w:after="0" w:line="91"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Our sponsor has committed, pursuant to a written agreement, to purchase an aggregate of 10,000,000 private placement warrants for a purchase price of $1.00 per whole warrant in a private placement that will occur simultaneously with the closing of this offering. As such, our sponsor’s interest in this transaction is valued at $10,000,000. Each private placement warrant entitles the holder to purchase one share of our Class A ordinary shares at $11.50 per share. The private placement warrants (including the Class A ordinary shares issuable upon exercise thereof) may not, subject to certain limited exceptions, be transferred, assigned or sold by the holder.</w:t>
      </w:r>
    </w:p>
    <w:p>
      <w:pPr>
        <w:spacing w:after="0" w:line="12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As more fully discussed in the section of this prospectus entitled “Management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125"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currently maintain our executive offices at 1601 Bryan Street, Suite 4141, Dallas, Texas 75201. The cost for our use of this space is included in the $10,000 per month fee we will pay to an affiliate of our sponsor for office space, administrative and support services, commencing on the date that our securities are first listed on the NYSE. Upon completion of our initial business combination or our liquidation, we will cease paying these monthly fees.</w:t>
      </w:r>
    </w:p>
    <w:p>
      <w:pPr>
        <w:spacing w:after="0" w:line="107"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No compensation of any kind, including finder’s and consulting fees, will be paid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9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Prior to the consummation of this offering, our sponsor has agreed to loan us up to $300,000 to be used for a portion of the expenses of this offering. These loans are non-interest bearing, unsecured and are due at the earlier of June 30, 2020 or the closing of this offering. The loan will be repaid upon the closing of this offering out of the offering proceeds not held in the trust account.</w:t>
      </w:r>
    </w:p>
    <w:p>
      <w:pPr>
        <w:spacing w:after="0" w:line="11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1" w:name="page112"/>
    <w:bookmarkEnd w:id="111"/>
    <w:p>
      <w:pPr>
        <w:ind w:left="460" w:right="639" w:firstLine="432"/>
        <w:spacing w:after="0" w:line="272"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9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will enter into a registration and shareholder rights agreement pursuant to which our sponsor will be entitled to certain registration rights with respect to the private placement warrants, the warrants issuable upon conversion of working capital loans (if any) and the Class A ordinary shares issuable upon exercise of the foregoing and upon conversion of the founder shares, and, upon consummation of our initial business combination, to nominate three individuals for election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audit committee of our board of directors will adopt a charter, providing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62"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7"/>
          <w:szCs w:val="17"/>
          <w:color w:val="auto"/>
        </w:rPr>
        <w:t>We are a Cayman Islands exempted company and our affairs will be governed by our amended and restated memorandum and articles of association, the Companies Law and the common law of the Cayman Islands. Pursuant to our amended and restated memorandum and articles of association, which will be adopted prior to the consummation of this offering, we will be authorized to issue 300,000,000 Class A ordinary shares and 30,000,000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4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Each unit has an offering price of $10.00 and consists of one Class A ordinary share and one-half of one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 No fractional warrants will be issued upon separation of the units and only whole warrants will trade. Accordingly, unless you purchase at least two units, you will not be able to receive or trade a whole warrant.</w:t>
      </w:r>
    </w:p>
    <w:p>
      <w:pPr>
        <w:spacing w:after="0" w:line="99"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7"/>
          <w:szCs w:val="17"/>
          <w:color w:val="auto"/>
        </w:rPr>
        <w:t>The Class A ordinary shares and warrants comprising the units are expected to begin separate trading on the 52</w:t>
      </w:r>
      <w:r>
        <w:rPr>
          <w:rFonts w:ascii="Arial" w:cs="Arial" w:eastAsia="Arial" w:hAnsi="Arial"/>
          <w:sz w:val="19"/>
          <w:szCs w:val="19"/>
          <w:color w:val="auto"/>
          <w:vertAlign w:val="superscript"/>
        </w:rPr>
        <w:t>nd</w:t>
      </w:r>
      <w:r>
        <w:rPr>
          <w:rFonts w:ascii="Arial" w:cs="Arial" w:eastAsia="Arial" w:hAnsi="Arial"/>
          <w:sz w:val="17"/>
          <w:szCs w:val="17"/>
          <w:color w:val="auto"/>
        </w:rPr>
        <w:t xml:space="preserve"> day following the date of this prospectus unless (or if such day is not a business day, the immediately succeeding business day)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w:t>
      </w:r>
    </w:p>
    <w:p>
      <w:pPr>
        <w:spacing w:after="0" w:line="11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In no event will the Class A ordinary shares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83"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Ordinary Shares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Prior to the date of this prospectus, there were 8,625,000 Class B ordinary shares issued and outstanding, all of which were held of record by our sponsor, so that our sponsor will own 20% of our issued and outstanding shares after this offering (assuming our sponsor does not purchase any units in this offering). Upon the closing of this offering, 37,500,000 of our ordinary shares will be outstanding (assuming no exercise of the underwriter’s over-allotment option) including:</w:t>
      </w:r>
    </w:p>
    <w:p>
      <w:pPr>
        <w:spacing w:after="0" w:line="120" w:lineRule="exact"/>
        <w:rPr>
          <w:sz w:val="20"/>
          <w:szCs w:val="20"/>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30,000,000 Class A ordinary shares underlying the units issued as part of this offering;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7,500,000 Class B ordinary shares held by our sponsor.</w:t>
      </w:r>
    </w:p>
    <w:p>
      <w:pPr>
        <w:spacing w:after="0" w:line="15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If we increase or decrease the size of this offering, we will effect a share capitalization or share compulsory redemption or redemption or other appropriate mechanism, as applicable, with respect to our Class B ordinary shares immediately prior to the consummation of this offering in such amount as to maintain the ownership of our sponsor (and its permitted transferees, if any) at 20% of our issued and outstanding ordinary shares upon the consummation of this offering.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3" w:name="page114"/>
    <w:bookmarkEnd w:id="113"/>
    <w:p>
      <w:pPr>
        <w:ind w:left="460" w:right="479" w:firstLine="432"/>
        <w:spacing w:after="0" w:line="267" w:lineRule="auto"/>
        <w:rPr>
          <w:sz w:val="20"/>
          <w:szCs w:val="20"/>
          <w:color w:val="auto"/>
        </w:rPr>
      </w:pPr>
      <w:r>
        <w:rPr>
          <w:rFonts w:ascii="Arial" w:cs="Arial" w:eastAsia="Arial" w:hAnsi="Arial"/>
          <w:sz w:val="17"/>
          <w:szCs w:val="17"/>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w:t>
      </w:r>
    </w:p>
    <w:p>
      <w:pPr>
        <w:spacing w:after="0" w:line="107"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Because our amended and restated memorandum and articles of association will authorize the issuance of up to 300,000,000 Class A ordinary shares, if we were to enter into a business combination, we may (depending on the terms of such a business combination) be required to increase the number of Class A ordinary shares which we will be authorized to issue at the same time as our shareholders vote on the business combination to the extent we seek shareholder approval in connection with our initial business combination.</w:t>
      </w:r>
    </w:p>
    <w:p>
      <w:pPr>
        <w:spacing w:after="0" w:line="94"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Our board of directors is divided into three classes with only one class of directors being elected in each year and each class (except for those directors appointed prior to our first annual meeting of shareholders) serving a three-year term. In accordance with the NYSE corporate governance requirements, we are not required to hold an annual meeting until one year after our first fiscal year end following our listing on the NYSE. There is no requirement under the Companies Law for us to hold annual or general meetings or elect directors. We may not hold an annual meeting of shareholders to elect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01"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 The redemption rights will include the requirement that a beneficial owner must identify itself in order to valid redeem its shares. Our sponsor and each member of our management team have entered into agreements with us, pursuant to which they have agreed to waive their redemption rights with respect to their founder shares and public shares in connection with (i) the completion of our initial business combination and</w:t>
      </w:r>
    </w:p>
    <w:p>
      <w:pPr>
        <w:spacing w:after="0" w:line="3" w:lineRule="exact"/>
        <w:rPr>
          <w:sz w:val="20"/>
          <w:szCs w:val="20"/>
          <w:color w:val="auto"/>
        </w:rPr>
      </w:pPr>
    </w:p>
    <w:p>
      <w:pPr>
        <w:ind w:left="460" w:right="519" w:hanging="6"/>
        <w:spacing w:after="0" w:line="267" w:lineRule="auto"/>
        <w:tabs>
          <w:tab w:leader="none" w:pos="725"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right="459"/>
        <w:spacing w:after="0" w:line="268" w:lineRule="auto"/>
        <w:rPr>
          <w:sz w:val="20"/>
          <w:szCs w:val="20"/>
          <w:color w:val="auto"/>
        </w:rPr>
      </w:pPr>
      <w:r>
        <w:rPr>
          <w:rFonts w:ascii="Arial" w:cs="Arial" w:eastAsia="Arial" w:hAnsi="Arial"/>
          <w:sz w:val="17"/>
          <w:szCs w:val="17"/>
          <w:color w:val="auto"/>
        </w:rPr>
        <w:t>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 If we seek shareholder approval, we will complete our initial business combination only if a majority of the ordinary shares, represented in person or by proxy and entitled to vote thereon, voted at a shareholder meeting vote in favor of the initial business combination.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will require that at least five days’ notice will be given of any shareholder meeting.</w:t>
      </w:r>
    </w:p>
    <w:p>
      <w:pPr>
        <w:spacing w:after="0" w:line="9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0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and any public shares purchased during or after this offering in favor of our initial business combination. 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Additionally, each public shareholder may elect to redeem their public shares irrespective of whether they vote for or against the proposed transaction.</w:t>
      </w:r>
    </w:p>
    <w:p>
      <w:pPr>
        <w:spacing w:after="0" w:line="104"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Pursuant to our amended and restated memorandum and articles of association, if we have not consummated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Our sponsor and members of our management team have entered into agreements with us, pursuant to which they have agreed to waive their rights to liquidating distributions from the trust account with respect to their founder shares if we fail to consummate an initial business combination within 24 months from the closing of this offering. However, if our sponsor or members of our management team acquire public shares in or after this offering, they will be entitled to liquidating distributions from the trust account with respect to such</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right="619"/>
        <w:spacing w:after="0" w:line="275" w:lineRule="auto"/>
        <w:rPr>
          <w:sz w:val="20"/>
          <w:szCs w:val="20"/>
          <w:color w:val="auto"/>
        </w:rPr>
      </w:pPr>
      <w:r>
        <w:rPr>
          <w:rFonts w:ascii="Arial" w:cs="Arial" w:eastAsia="Arial" w:hAnsi="Arial"/>
          <w:sz w:val="17"/>
          <w:szCs w:val="17"/>
          <w:color w:val="auto"/>
        </w:rPr>
        <w:t>public shares if we fail to complete our initial business combination within the prescribed time period.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9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upon the completion of our initial business combination, subject to the limitations described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our sponsor, officers and directors have entered into agreements with us, pursuant to which they have agreed (A) to waive their redemption rights with respect to their founder shares and public shares in connection with the completion of our initial business combination, (B) to waive their redemption rights with respect to their founder shares and public shares in connection with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and (C) to waive their rights to liquidating distributions from the trust account with respect to its founder shares if we fail to consummate an initial business combination within 24 months from the closing of this offering, although it will be entitled to liquidating distributions from the trust account with respect to any public shares it holds if we fail to complete our initial business combination within such time period; (iii) the founder shares will automatically convert into Class A ordinary shares at the time of our initial business combination as described herein; and (iv) prior to the completion of our initial business combination, only our founder shares will have the right to vote on the election of our directors. If we submit our initial business combination to our public shareholders for a vote, our sponsor, our Founders and each member of our management team have agreed to vote their founder shares and any public shares purchased during or after this offering in favor of our initial business combination.</w:t>
      </w:r>
    </w:p>
    <w:p>
      <w:pPr>
        <w:spacing w:after="0" w:line="11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 no event will the Class B ordinary shares convert into Class A ordinary shares at a rate of less than one-to-one.</w:t>
      </w:r>
    </w:p>
    <w:p>
      <w:pPr>
        <w:spacing w:after="0" w:line="101"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Except as described herein, our sponsor and our directors and executive officers have agreed not to transfer, assign or sell any of their founder shares until (a) one year after the completion of our initial business combination, or (b)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right="699"/>
        <w:spacing w:after="0" w:line="255" w:lineRule="auto"/>
        <w:rPr>
          <w:sz w:val="20"/>
          <w:szCs w:val="20"/>
          <w:color w:val="auto"/>
        </w:rPr>
      </w:pPr>
      <w:r>
        <w:rPr>
          <w:rFonts w:ascii="Arial" w:cs="Arial" w:eastAsia="Arial" w:hAnsi="Arial"/>
          <w:sz w:val="18"/>
          <w:szCs w:val="18"/>
          <w:color w:val="auto"/>
        </w:rPr>
        <w:t>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11"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shareholder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Register of Members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Under Cayman Islands law, we must keep a register of members and there will be entered therein:</w:t>
      </w:r>
    </w:p>
    <w:p>
      <w:pPr>
        <w:spacing w:after="0" w:line="169" w:lineRule="exact"/>
        <w:rPr>
          <w:sz w:val="20"/>
          <w:szCs w:val="20"/>
          <w:color w:val="auto"/>
        </w:rPr>
      </w:pPr>
    </w:p>
    <w:p>
      <w:pPr>
        <w:jc w:val="both"/>
        <w:ind w:left="1320" w:right="539" w:hanging="434"/>
        <w:spacing w:after="0" w:line="263" w:lineRule="auto"/>
        <w:tabs>
          <w:tab w:leader="none" w:pos="13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 and the voting rights of shares;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Preference Shares</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amended and restated memorandum and articles of association will authorize 1,000,000 preference shares and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Public Shareholders’ Warrants</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 xml:space="preserve">Each whole warrant entitles the registered holder to purchase one Class A ordinary share at a price of $11.50 per share, subject to adjustment as discussed below, at any time commencing on the later of one year from the closing of this offering or 30 days after the completion of our initial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we have an effective registration statement under the Securities Act covering the Class A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9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06"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We have agreed that as soon as practicable, but in no event later than 20 business days after the closing of our initial business combination, we will use our commercially reasonable efforts to file with the SEC a registration statement for the registration, under the Securities Act, of the Class A ordinary shares issuable upon exercise of the warrants. We will use our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In addition, if our Class A ordinary shares are at the time of any exercise of a warrant not listed on a national securities exchange such that it satisfies the definition of a “covered security” under Section 18(b)(1) of the Securities Act, we may, at our option, require holders of our public warrants who exercise their warrants to do so on a “cashless basis” in accordance with Section 3(a)(9) of the Securities Act and, in the event we elect to do so, we will not be required to file or maintain in effect a registration statement, but we will use our best efforts to register or qualify the shares under applicable blue sky laws to the extent an exemption is not available.</w:t>
      </w:r>
    </w:p>
    <w:p>
      <w:pPr>
        <w:spacing w:after="0" w:line="106"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i w:val="1"/>
          <w:iCs w:val="1"/>
          <w:color w:val="auto"/>
        </w:rPr>
        <w:t xml:space="preserve">Redemptions of warrants. </w:t>
      </w:r>
      <w:r>
        <w:rPr>
          <w:rFonts w:ascii="Arial" w:cs="Arial" w:eastAsia="Arial" w:hAnsi="Arial"/>
          <w:sz w:val="18"/>
          <w:szCs w:val="18"/>
          <w:color w:val="auto"/>
        </w:rPr>
        <w:t>Once the warrants become exercisable, we may call the warrants for</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w:t>
      </w:r>
    </w:p>
    <w:p>
      <w:pPr>
        <w:spacing w:after="0" w:line="89" w:lineRule="exact"/>
        <w:rPr>
          <w:sz w:val="20"/>
          <w:szCs w:val="20"/>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44" w:lineRule="exact"/>
        <w:rPr>
          <w:rFonts w:ascii="Arial" w:cs="Arial" w:eastAsia="Arial" w:hAnsi="Arial"/>
          <w:sz w:val="18"/>
          <w:szCs w:val="18"/>
          <w:color w:val="auto"/>
        </w:rPr>
      </w:pPr>
    </w:p>
    <w:p>
      <w:pPr>
        <w:jc w:val="both"/>
        <w:ind w:left="1320" w:right="639" w:hanging="434"/>
        <w:spacing w:after="0" w:line="279" w:lineRule="auto"/>
        <w:tabs>
          <w:tab w:leader="none" w:pos="1311"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and only if, the reported closing price of the ordinary shares equals or exceeds $18.00 per share (as adjusted for share subdivisions, share capitalizations, reorganizations, recapitalizations and the like) for any 20 trading days within a 30-trading day period ending three business days before we send to the notice of redemption to the warrant holders.</w:t>
      </w:r>
    </w:p>
    <w:p>
      <w:pPr>
        <w:sectPr>
          <w:pgSz w:w="11900" w:h="16838" w:orient="portrait"/>
          <w:cols w:equalWidth="0" w:num="1">
            <w:col w:w="9019"/>
          </w:cols>
          <w:pgMar w:left="1440" w:top="337"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8" w:name="page119"/>
    <w:bookmarkEnd w:id="118"/>
    <w:p>
      <w:pPr>
        <w:ind w:left="460" w:right="559" w:firstLine="432"/>
        <w:spacing w:after="0" w:line="342"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w:t>
      </w:r>
    </w:p>
    <w:p>
      <w:pPr>
        <w:spacing w:after="0" w:line="4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share subdivisions, share capitalizations, reorganizations, recapitalizations and the like) as well as the $11.50 (for whole shares) warrant exercise price after the redemption notice is issued.</w:t>
      </w:r>
    </w:p>
    <w:p>
      <w:pPr>
        <w:spacing w:after="0" w:line="110"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i w:val="1"/>
          <w:iCs w:val="1"/>
          <w:color w:val="auto"/>
        </w:rPr>
        <w:t xml:space="preserve">Redemption procedures and cashless exercise. </w:t>
      </w:r>
      <w:r>
        <w:rPr>
          <w:rFonts w:ascii="Arial" w:cs="Arial" w:eastAsia="Arial" w:hAnsi="Arial"/>
          <w:sz w:val="16"/>
          <w:szCs w:val="16"/>
          <w:color w:val="auto"/>
        </w:rPr>
        <w:t>If we call the warrants for redemption as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If our management takes advantage of this option, all holders of warrants would pay the exercise price by surrendering their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reported closing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328"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issued and outstanding immediately after giving effect to such exercise.</w:t>
      </w:r>
    </w:p>
    <w:p>
      <w:pPr>
        <w:spacing w:after="0" w:line="95"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If the number of outstanding Class A ordinary shares is increased by a share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payable in Class A ordinary shares, or by a split-up of ordinary shares or other similar event, then, on the effective date of such share dividend, split-up or similar event, the number of Class A ordinary shares issuable on exercise of each warrant will be increased in proportion to such increase in the issued and outstanding ordinary shares. A rights offering to holders of ordinary shares entitling holders to purchase Class A ordinary shares at a price less than the fair market value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right="499" w:firstLine="432"/>
        <w:spacing w:after="0" w:line="284"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Class A ordinary shares if we do not consummate an initial business combination within 24 months from the closing of this offering or (B) with respect to any other provisions relating to the rights of holders of our Class A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01"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outstanding Class A ordinary shares.</w:t>
      </w:r>
    </w:p>
    <w:p>
      <w:pPr>
        <w:spacing w:after="0" w:line="120"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9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us and, (i) in the case of any such issuance to our sponsor or its affiliates, without taking into account any founder shares held by our sponsor or such affiliates, as applicable, prior to such issuance, and (ii) without taking into account the transfer of founder shares or private placement warrants (including if such transfer is effectuated as a surrender to us and subsequent reissuance by us) by our sponsor in connection with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in “— Redemption of warrants” will be adjusted (to the nearest cent) to be equal to 180% of the higher of the Market Value and the Newly Issued Price.</w:t>
      </w:r>
    </w:p>
    <w:p>
      <w:pPr>
        <w:spacing w:after="0" w:line="95"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right="499"/>
        <w:spacing w:after="0" w:line="286" w:lineRule="auto"/>
        <w:rPr>
          <w:sz w:val="20"/>
          <w:szCs w:val="20"/>
          <w:color w:val="auto"/>
        </w:rPr>
      </w:pPr>
      <w:r>
        <w:rPr>
          <w:rFonts w:ascii="Arial" w:cs="Arial" w:eastAsia="Arial" w:hAnsi="Arial"/>
          <w:sz w:val="16"/>
          <w:szCs w:val="16"/>
          <w:color w:val="auto"/>
        </w:rPr>
        <w:t>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90" w:lineRule="exact"/>
        <w:rPr>
          <w:sz w:val="20"/>
          <w:szCs w:val="20"/>
          <w:color w:val="auto"/>
        </w:rPr>
      </w:pPr>
    </w:p>
    <w:p>
      <w:pPr>
        <w:ind w:left="460" w:right="619" w:firstLine="432"/>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You should review a copy of the warrant agreement, which will be filed as an exhibit to the registration statement of which this prospectus is a part, for a complete description of the terms and conditions applicable to the warrants.</w:t>
      </w:r>
    </w:p>
    <w:p>
      <w:pPr>
        <w:spacing w:after="0" w:line="9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11" w:lineRule="exact"/>
        <w:rPr>
          <w:sz w:val="20"/>
          <w:szCs w:val="20"/>
          <w:color w:val="auto"/>
        </w:rPr>
      </w:pPr>
    </w:p>
    <w:p>
      <w:pPr>
        <w:ind w:left="460" w:right="779" w:firstLine="432"/>
        <w:spacing w:after="0" w:line="311"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the number of Class A ordinary shares to be issued to the warrant holder.</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Private Placement Warrants</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and Private Placement Warrants,” to our officers and directors and other persons or entities affiliated with the initial purchasers of the private placement warrants) and they will not be redeemable by us so long as they are held by our sponsor or its permitted transferees. Our sponsor, or its permitted transferees, has the option to exercise the private placement warrants on a cashless basis. Except as described below,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104"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w:t>
      </w:r>
    </w:p>
    <w:p>
      <w:pPr>
        <w:spacing w:after="0" w:line="1" w:lineRule="exact"/>
        <w:rPr>
          <w:sz w:val="20"/>
          <w:szCs w:val="20"/>
          <w:color w:val="auto"/>
        </w:rPr>
      </w:pPr>
    </w:p>
    <w:p>
      <w:pPr>
        <w:ind w:left="460" w:right="559" w:hanging="6"/>
        <w:spacing w:after="0" w:line="253" w:lineRule="auto"/>
        <w:tabs>
          <w:tab w:leader="none" w:pos="7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fair market value. The “fair market value” shall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permitted transferees is because it is not known at this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right="499"/>
        <w:spacing w:after="0" w:line="253" w:lineRule="auto"/>
        <w:rPr>
          <w:sz w:val="20"/>
          <w:szCs w:val="20"/>
          <w:color w:val="auto"/>
        </w:rPr>
      </w:pPr>
      <w:r>
        <w:rPr>
          <w:rFonts w:ascii="Arial" w:cs="Arial" w:eastAsia="Arial" w:hAnsi="Arial"/>
          <w:sz w:val="18"/>
          <w:szCs w:val="18"/>
          <w:color w:val="auto"/>
        </w:rPr>
        <w:t>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15"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In order to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 business combination entity at a price of $1.00 per warrant at the option of the lender. Such warrants would be identical to the private placement warrants.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the size of this offering, then we will effect a share capitalization with respect to our founder shares immediately prior to the consummation of this offering in such amount as to maintain the number of founder shares at 20% of our issued and outstanding ordinary shares upon the consummation of this offering. Further, if we incur any indebtedness, our ability to declare dividends may be limited by restrictive covenants we may agree to in connection therewith.</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Differences in Corporate Law</w:t>
      </w:r>
    </w:p>
    <w:p>
      <w:pPr>
        <w:spacing w:after="0" w:line="14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20"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i w:val="1"/>
          <w:iCs w:val="1"/>
          <w:color w:val="auto"/>
        </w:rPr>
        <w:t xml:space="preserve">Mergers and Similar Arrangements. </w:t>
      </w:r>
      <w:r>
        <w:rPr>
          <w:rFonts w:ascii="Arial" w:cs="Arial" w:eastAsia="Arial" w:hAnsi="Arial"/>
          <w:sz w:val="16"/>
          <w:szCs w:val="16"/>
          <w:color w:val="auto"/>
        </w:rPr>
        <w:t>In certain circumstances, the Companies Law allows for mergers or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consolidations between two Cayman Islands companies, or between a Cayman Islands exempted company and a company incorporated in another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is facilitated by the laws of that other jurisdiction).</w:t>
      </w:r>
    </w:p>
    <w:p>
      <w:pPr>
        <w:spacing w:after="0" w:line="81" w:lineRule="exact"/>
        <w:rPr>
          <w:sz w:val="20"/>
          <w:szCs w:val="20"/>
          <w:color w:val="auto"/>
        </w:rPr>
      </w:pPr>
    </w:p>
    <w:p>
      <w:pPr>
        <w:ind w:left="460" w:right="819" w:firstLine="432"/>
        <w:spacing w:after="0" w:line="287"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w:t>
      </w:r>
    </w:p>
    <w:p>
      <w:pPr>
        <w:spacing w:after="0" w:line="2" w:lineRule="exact"/>
        <w:rPr>
          <w:sz w:val="20"/>
          <w:szCs w:val="20"/>
          <w:color w:val="auto"/>
        </w:rPr>
      </w:pPr>
    </w:p>
    <w:p>
      <w:pPr>
        <w:ind w:left="460" w:right="539"/>
        <w:spacing w:after="0" w:line="266" w:lineRule="auto"/>
        <w:rPr>
          <w:sz w:val="20"/>
          <w:szCs w:val="20"/>
          <w:color w:val="auto"/>
        </w:rPr>
      </w:pPr>
      <w:r>
        <w:rPr>
          <w:rFonts w:ascii="Arial" w:cs="Arial" w:eastAsia="Arial" w:hAnsi="Arial"/>
          <w:sz w:val="16"/>
          <w:szCs w:val="16"/>
          <w:color w:val="auto"/>
        </w:rPr>
        <w:t>majority of 66</w:t>
      </w:r>
      <w:r>
        <w:rPr>
          <w:rFonts w:ascii="Arial" w:cs="Arial" w:eastAsia="Arial" w:hAnsi="Arial"/>
          <w:sz w:val="30"/>
          <w:szCs w:val="30"/>
          <w:color w:val="auto"/>
          <w:vertAlign w:val="superscript"/>
        </w:rPr>
        <w:t>2/3</w:t>
      </w:r>
      <w:r>
        <w:rPr>
          <w:rFonts w:ascii="Arial" w:cs="Arial" w:eastAsia="Arial" w:hAnsi="Arial"/>
          <w:sz w:val="16"/>
          <w:szCs w:val="16"/>
          <w:color w:val="auto"/>
        </w:rPr>
        <w:t xml:space="preserve"> % in value of the voting shares voted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right="599" w:firstLine="432"/>
        <w:spacing w:after="0" w:line="287" w:lineRule="auto"/>
        <w:rPr>
          <w:sz w:val="20"/>
          <w:szCs w:val="20"/>
          <w:color w:val="auto"/>
        </w:rPr>
      </w:pPr>
      <w:r>
        <w:rPr>
          <w:rFonts w:ascii="Arial" w:cs="Arial" w:eastAsia="Arial" w:hAnsi="Arial"/>
          <w:sz w:val="16"/>
          <w:szCs w:val="16"/>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87"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11"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Where the above procedures are adopted, the Companies Law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318"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right="539"/>
        <w:spacing w:after="0" w:line="288" w:lineRule="auto"/>
        <w:rPr>
          <w:sz w:val="20"/>
          <w:szCs w:val="20"/>
          <w:color w:val="auto"/>
        </w:rPr>
      </w:pPr>
      <w:r>
        <w:rPr>
          <w:rFonts w:ascii="Arial" w:cs="Arial" w:eastAsia="Arial" w:hAnsi="Arial"/>
          <w:sz w:val="16"/>
          <w:szCs w:val="16"/>
          <w:color w:val="auto"/>
        </w:rPr>
        <w:t>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87" w:lineRule="exact"/>
        <w:rPr>
          <w:sz w:val="20"/>
          <w:szCs w:val="20"/>
          <w:color w:val="auto"/>
        </w:rPr>
      </w:pPr>
    </w:p>
    <w:p>
      <w:pPr>
        <w:ind w:left="1320" w:right="499" w:hanging="434"/>
        <w:spacing w:after="0" w:line="277" w:lineRule="auto"/>
        <w:tabs>
          <w:tab w:leader="none" w:pos="13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the statutory provisions as to majority vote have been complied with;</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arrangement is such as a businessman would reasonably approve; and</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 or that would amount to a “fraud on the minority.”</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1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i w:val="1"/>
          <w:iCs w:val="1"/>
          <w:color w:val="auto"/>
        </w:rPr>
        <w:t xml:space="preserve">Squeeze-out Provisions. </w:t>
      </w:r>
      <w:r>
        <w:rPr>
          <w:rFonts w:ascii="Arial" w:cs="Arial" w:eastAsia="Arial" w:hAnsi="Arial"/>
          <w:sz w:val="18"/>
          <w:szCs w:val="18"/>
          <w:color w:val="auto"/>
        </w:rPr>
        <w:t>When a takeover offer is made and accepted by holders of 90% of the shares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the offer 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07" w:lineRule="exact"/>
        <w:rPr>
          <w:sz w:val="20"/>
          <w:szCs w:val="20"/>
          <w:color w:val="auto"/>
        </w:rPr>
      </w:pPr>
    </w:p>
    <w:p>
      <w:pPr>
        <w:ind w:left="460" w:right="1199" w:firstLine="432"/>
        <w:spacing w:after="0" w:line="340" w:lineRule="auto"/>
        <w:rPr>
          <w:sz w:val="20"/>
          <w:szCs w:val="20"/>
          <w:color w:val="auto"/>
        </w:rPr>
      </w:pPr>
      <w:r>
        <w:rPr>
          <w:rFonts w:ascii="Arial" w:cs="Arial" w:eastAsia="Arial" w:hAnsi="Arial"/>
          <w:sz w:val="15"/>
          <w:szCs w:val="15"/>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63"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i w:val="1"/>
          <w:iCs w:val="1"/>
          <w:color w:val="auto"/>
        </w:rPr>
        <w:t xml:space="preserve">Shareholders’ Suits. </w:t>
      </w:r>
      <w:r>
        <w:rPr>
          <w:rFonts w:ascii="Arial" w:cs="Arial" w:eastAsia="Arial" w:hAnsi="Arial"/>
          <w:sz w:val="16"/>
          <w:szCs w:val="16"/>
          <w:color w:val="auto"/>
        </w:rPr>
        <w:t>Our Cayman Islands counsel is not aware of any reported class action having been</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9" w:lineRule="exact"/>
        <w:rPr>
          <w:sz w:val="20"/>
          <w:szCs w:val="20"/>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44" w:lineRule="exact"/>
        <w:rPr>
          <w:rFonts w:ascii="Arial" w:cs="Arial" w:eastAsia="Arial" w:hAnsi="Arial"/>
          <w:sz w:val="18"/>
          <w:szCs w:val="18"/>
          <w:color w:val="auto"/>
        </w:rPr>
      </w:pPr>
    </w:p>
    <w:p>
      <w:pPr>
        <w:ind w:left="1320" w:right="879" w:hanging="434"/>
        <w:spacing w:after="0" w:line="308" w:lineRule="auto"/>
        <w:tabs>
          <w:tab w:leader="none" w:pos="1311"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act complained of, although not beyond the scope of the authority, could be effected if duly authorized by more than the number of votes which have actually been obtained; or</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15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89" w:lineRule="exact"/>
        <w:rPr>
          <w:sz w:val="20"/>
          <w:szCs w:val="20"/>
          <w:color w:val="auto"/>
        </w:rPr>
      </w:pPr>
    </w:p>
    <w:p>
      <w:pPr>
        <w:jc w:val="both"/>
        <w:ind w:left="460" w:right="1199" w:firstLine="432"/>
        <w:spacing w:after="0" w:line="286" w:lineRule="auto"/>
        <w:rPr>
          <w:sz w:val="20"/>
          <w:szCs w:val="20"/>
          <w:color w:val="auto"/>
        </w:rPr>
      </w:pPr>
      <w:r>
        <w:rPr>
          <w:rFonts w:ascii="Arial" w:cs="Arial" w:eastAsia="Arial" w:hAnsi="Arial"/>
          <w:sz w:val="17"/>
          <w:szCs w:val="17"/>
          <w:i w:val="1"/>
          <w:iCs w:val="1"/>
          <w:color w:val="auto"/>
        </w:rPr>
        <w:t xml:space="preserve">Enforcement of Civil Liabilities. </w:t>
      </w:r>
      <w:r>
        <w:rPr>
          <w:rFonts w:ascii="Arial" w:cs="Arial" w:eastAsia="Arial" w:hAnsi="Arial"/>
          <w:sz w:val="17"/>
          <w:szCs w:val="17"/>
          <w:color w:val="auto"/>
        </w:rPr>
        <w:t>The Cayman Islands has a different body of securities laws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United States and provides less protection to investors. Additionally, Cayman Islands companies may not have standing to sue before the Federal courts of the United States.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right="479" w:firstLine="432"/>
        <w:spacing w:after="0" w:line="285"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95"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i w:val="1"/>
          <w:iCs w:val="1"/>
          <w:color w:val="auto"/>
        </w:rPr>
        <w:t xml:space="preserve">Special Considerations for Exempted Companies. </w:t>
      </w:r>
      <w:r>
        <w:rPr>
          <w:rFonts w:ascii="Arial" w:cs="Arial" w:eastAsia="Arial" w:hAnsi="Arial"/>
          <w:sz w:val="17"/>
          <w:szCs w:val="17"/>
          <w:color w:val="auto"/>
        </w:rPr>
        <w:t>We are an exempted company with limited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our public 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10" w:lineRule="exact"/>
        <w:rPr>
          <w:sz w:val="20"/>
          <w:szCs w:val="20"/>
          <w:color w:val="auto"/>
        </w:rPr>
      </w:pPr>
    </w:p>
    <w:p>
      <w:pPr>
        <w:ind w:left="1320" w:right="619" w:hanging="434"/>
        <w:spacing w:after="0" w:line="263"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157"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30 years in the first instance);</w:t>
      </w:r>
    </w:p>
    <w:p>
      <w:pPr>
        <w:spacing w:after="0" w:line="89" w:lineRule="exact"/>
        <w:rPr>
          <w:rFonts w:ascii="Arial" w:cs="Arial" w:eastAsia="Arial" w:hAnsi="Arial"/>
          <w:sz w:val="18"/>
          <w:szCs w:val="18"/>
          <w:color w:val="auto"/>
        </w:rPr>
      </w:pPr>
    </w:p>
    <w:p>
      <w:pPr>
        <w:ind w:left="1320" w:right="1299" w:hanging="434"/>
        <w:spacing w:after="0" w:line="277"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general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general meeting of the company (i.e., the lowest threshold permissible under Cayman Islands law), or by a unanimous written resolution of all of our shareholders.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right="479" w:firstLine="432"/>
        <w:spacing w:after="0" w:line="275" w:lineRule="auto"/>
        <w:rPr>
          <w:sz w:val="20"/>
          <w:szCs w:val="20"/>
          <w:color w:val="auto"/>
        </w:rPr>
      </w:pPr>
      <w:r>
        <w:rPr>
          <w:rFonts w:ascii="Arial" w:cs="Arial" w:eastAsia="Arial" w:hAnsi="Arial"/>
          <w:sz w:val="17"/>
          <w:szCs w:val="17"/>
          <w:color w:val="auto"/>
        </w:rPr>
        <w:t>Our sponsor and its permitted transferees, if any,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95" w:lineRule="exact"/>
        <w:rPr>
          <w:sz w:val="20"/>
          <w:szCs w:val="20"/>
          <w:color w:val="auto"/>
        </w:rPr>
      </w:pPr>
    </w:p>
    <w:p>
      <w:pPr>
        <w:ind w:left="1320" w:right="459" w:hanging="434"/>
        <w:spacing w:after="0" w:line="287" w:lineRule="auto"/>
        <w:tabs>
          <w:tab w:leader="none" w:pos="1311"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we have not consummated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100" w:lineRule="exact"/>
        <w:rPr>
          <w:rFonts w:ascii="Arial" w:cs="Arial" w:eastAsia="Arial" w:hAnsi="Arial"/>
          <w:sz w:val="16"/>
          <w:szCs w:val="16"/>
          <w:color w:val="auto"/>
        </w:rPr>
      </w:pPr>
    </w:p>
    <w:p>
      <w:pPr>
        <w:ind w:left="1320" w:right="479" w:hanging="434"/>
        <w:spacing w:after="0" w:line="291" w:lineRule="auto"/>
        <w:tabs>
          <w:tab w:leader="none" w:pos="1311"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prior to or in connection with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98" w:lineRule="exact"/>
        <w:rPr>
          <w:rFonts w:ascii="Arial" w:cs="Arial" w:eastAsia="Arial" w:hAnsi="Arial"/>
          <w:sz w:val="16"/>
          <w:szCs w:val="16"/>
          <w:color w:val="auto"/>
        </w:rPr>
      </w:pPr>
    </w:p>
    <w:p>
      <w:pPr>
        <w:ind w:left="1320" w:right="499" w:hanging="434"/>
        <w:spacing w:after="0" w:line="255" w:lineRule="auto"/>
        <w:tabs>
          <w:tab w:leader="none" w:pos="13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which is a member of FINRA or an independent accounting firm that such a business combination is fair to our company from a financial point of view;</w:t>
      </w:r>
    </w:p>
    <w:p>
      <w:pPr>
        <w:spacing w:after="0" w:line="111" w:lineRule="exact"/>
        <w:rPr>
          <w:rFonts w:ascii="Arial" w:cs="Arial" w:eastAsia="Arial" w:hAnsi="Arial"/>
          <w:sz w:val="18"/>
          <w:szCs w:val="18"/>
          <w:color w:val="auto"/>
        </w:rPr>
      </w:pPr>
    </w:p>
    <w:p>
      <w:pPr>
        <w:ind w:left="1320" w:right="479" w:hanging="434"/>
        <w:spacing w:after="0" w:line="293" w:lineRule="auto"/>
        <w:tabs>
          <w:tab w:leader="none" w:pos="1311"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96" w:lineRule="exact"/>
        <w:rPr>
          <w:rFonts w:ascii="Arial" w:cs="Arial" w:eastAsia="Arial" w:hAnsi="Arial"/>
          <w:sz w:val="16"/>
          <w:szCs w:val="16"/>
          <w:color w:val="auto"/>
        </w:rPr>
      </w:pPr>
    </w:p>
    <w:p>
      <w:pPr>
        <w:ind w:left="1320" w:right="479" w:hanging="434"/>
        <w:spacing w:after="0" w:line="301" w:lineRule="auto"/>
        <w:tabs>
          <w:tab w:leader="none" w:pos="1311"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p>
      <w:pPr>
        <w:spacing w:after="0" w:line="89" w:lineRule="exact"/>
        <w:rPr>
          <w:rFonts w:ascii="Arial" w:cs="Arial" w:eastAsia="Arial" w:hAnsi="Arial"/>
          <w:sz w:val="16"/>
          <w:szCs w:val="16"/>
          <w:color w:val="auto"/>
        </w:rPr>
      </w:pPr>
    </w:p>
    <w:p>
      <w:pPr>
        <w:ind w:left="1320" w:right="499" w:hanging="434"/>
        <w:spacing w:after="0" w:line="288" w:lineRule="auto"/>
        <w:tabs>
          <w:tab w:leader="none" w:pos="1311"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our shareholders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87" w:lineRule="exact"/>
        <w:rPr>
          <w:rFonts w:ascii="Arial" w:cs="Arial" w:eastAsia="Arial" w:hAnsi="Arial"/>
          <w:sz w:val="16"/>
          <w:szCs w:val="16"/>
          <w:color w:val="auto"/>
        </w:rPr>
      </w:pPr>
    </w:p>
    <w:p>
      <w:pPr>
        <w:ind w:left="1320" w:right="919" w:hanging="434"/>
        <w:spacing w:after="0" w:line="277" w:lineRule="auto"/>
        <w:tabs>
          <w:tab w:leader="none" w:pos="13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jc w:val="both"/>
        <w:ind w:left="460" w:right="519" w:firstLine="432"/>
        <w:spacing w:after="0" w:line="263" w:lineRule="auto"/>
        <w:rPr>
          <w:sz w:val="20"/>
          <w:szCs w:val="20"/>
          <w:color w:val="auto"/>
        </w:rPr>
      </w:pPr>
      <w:r>
        <w:rPr>
          <w:rFonts w:ascii="Arial" w:cs="Arial" w:eastAsia="Arial" w:hAnsi="Arial"/>
          <w:sz w:val="18"/>
          <w:szCs w:val="18"/>
          <w:color w:val="auto"/>
        </w:rPr>
        <w:t>In addition, our amended and restated memorandum and articles of association will provide that under no circumstances will we redeem our public shares in an amount that would cause our net tangible assets to be less than $5,000,001.</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Companies Law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general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Anti-Money Laundering — Cayman Islands</w:t>
      </w:r>
    </w:p>
    <w:p>
      <w:pPr>
        <w:spacing w:after="0" w:line="162" w:lineRule="exact"/>
        <w:rPr>
          <w:sz w:val="20"/>
          <w:szCs w:val="20"/>
          <w:color w:val="auto"/>
        </w:rPr>
      </w:pPr>
    </w:p>
    <w:p>
      <w:pPr>
        <w:ind w:left="460" w:right="679" w:firstLine="432"/>
        <w:spacing w:after="0" w:line="275" w:lineRule="auto"/>
        <w:rPr>
          <w:sz w:val="20"/>
          <w:szCs w:val="20"/>
          <w:color w:val="auto"/>
        </w:rPr>
      </w:pPr>
      <w:r>
        <w:rPr>
          <w:rFonts w:ascii="Arial" w:cs="Arial" w:eastAsia="Arial" w:hAnsi="Arial"/>
          <w:sz w:val="17"/>
          <w:szCs w:val="17"/>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0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“Regulations”). Depending on the circumstances of each application, a detailed verification of identity might not be required where:</w:t>
      </w:r>
    </w:p>
    <w:p>
      <w:pPr>
        <w:spacing w:after="0" w:line="107" w:lineRule="exact"/>
        <w:rPr>
          <w:sz w:val="20"/>
          <w:szCs w:val="20"/>
          <w:color w:val="auto"/>
        </w:rPr>
      </w:pPr>
    </w:p>
    <w:p>
      <w:pPr>
        <w:ind w:left="1320" w:right="619" w:hanging="434"/>
        <w:spacing w:after="0" w:line="342" w:lineRule="auto"/>
        <w:tabs>
          <w:tab w:leader="none" w:pos="1298"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subscriber is a relevant financial business required to comply with the Anti-Money Laundering Regulations (2020 Revision) or is a majority-owned subsidiary of such a business; or</w:t>
      </w:r>
    </w:p>
    <w:p>
      <w:pPr>
        <w:spacing w:after="0" w:line="56" w:lineRule="exact"/>
        <w:rPr>
          <w:rFonts w:ascii="Arial" w:cs="Arial" w:eastAsia="Arial" w:hAnsi="Arial"/>
          <w:sz w:val="16"/>
          <w:szCs w:val="16"/>
          <w:color w:val="auto"/>
        </w:rPr>
      </w:pPr>
    </w:p>
    <w:p>
      <w:pPr>
        <w:ind w:left="1320" w:right="619" w:hanging="434"/>
        <w:spacing w:after="0" w:line="259" w:lineRule="auto"/>
        <w:tabs>
          <w:tab w:leader="none" w:pos="1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subscriber is acting in the course of a business in relation to which a regulatory authority exercises regulatory functions and which is in a country listed by the Cayman Islands Anti-Money Laundering Steering Committee (“Equivalent Jurisdiction”) or is a majority-owned subsidiary of such subscriber; or</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2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subscriber is a central or local government organization, statutory body or agency of government in the Cayman Islands or an Equivalent Jurisdiction; or</w:t>
      </w:r>
    </w:p>
    <w:p>
      <w:pPr>
        <w:spacing w:after="0" w:line="89" w:lineRule="exact"/>
        <w:rPr>
          <w:rFonts w:ascii="Arial" w:cs="Arial" w:eastAsia="Arial" w:hAnsi="Arial"/>
          <w:sz w:val="18"/>
          <w:szCs w:val="18"/>
          <w:color w:val="auto"/>
        </w:rPr>
      </w:pPr>
    </w:p>
    <w:p>
      <w:pPr>
        <w:jc w:val="both"/>
        <w:ind w:left="1320" w:right="599" w:hanging="434"/>
        <w:spacing w:after="0" w:line="263" w:lineRule="auto"/>
        <w:tabs>
          <w:tab w:leader="none" w:pos="1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subscriber is a company that is listed on a recognized stock exchange and subject to disclosure requirements which impose requirements to ensure adequate transparency of beneficial ownership, or is a majority-owned subsidiary of such a company; or</w:t>
      </w:r>
    </w:p>
    <w:p>
      <w:pPr>
        <w:spacing w:after="0" w:line="116" w:lineRule="exact"/>
        <w:rPr>
          <w:rFonts w:ascii="Arial" w:cs="Arial" w:eastAsia="Arial" w:hAnsi="Arial"/>
          <w:sz w:val="18"/>
          <w:szCs w:val="18"/>
          <w:color w:val="auto"/>
        </w:rPr>
      </w:pPr>
    </w:p>
    <w:p>
      <w:pPr>
        <w:ind w:left="1320" w:right="639" w:hanging="434"/>
        <w:spacing w:after="0" w:line="277" w:lineRule="auto"/>
        <w:tabs>
          <w:tab w:leader="none" w:pos="12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subscriber is a pension fund for a professional association, trade union or is acting on behalf of employees of an entity referred to in sub-paragraphs (a) to (d); or</w:t>
      </w:r>
    </w:p>
    <w:p>
      <w:pPr>
        <w:spacing w:after="0" w:line="102" w:lineRule="exact"/>
        <w:rPr>
          <w:rFonts w:ascii="Arial" w:cs="Arial" w:eastAsia="Arial" w:hAnsi="Arial"/>
          <w:sz w:val="18"/>
          <w:szCs w:val="18"/>
          <w:color w:val="auto"/>
        </w:rPr>
      </w:pPr>
    </w:p>
    <w:p>
      <w:pPr>
        <w:ind w:left="1320" w:right="499" w:hanging="434"/>
        <w:spacing w:after="0" w:line="291" w:lineRule="auto"/>
        <w:tabs>
          <w:tab w:leader="none" w:pos="1278"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application is made through an intermediary which falls within one of sub-paragraphs (a) to (e). In this situation the company may rely on a written assurance from the intermediary which confirms</w:t>
      </w:r>
    </w:p>
    <w:p>
      <w:pPr>
        <w:ind w:left="1320" w:right="639"/>
        <w:spacing w:after="0" w:line="253" w:lineRule="auto"/>
        <w:rPr>
          <w:rFonts w:ascii="Arial" w:cs="Arial" w:eastAsia="Arial" w:hAnsi="Arial"/>
          <w:sz w:val="16"/>
          <w:szCs w:val="16"/>
          <w:color w:val="auto"/>
        </w:rPr>
      </w:pPr>
      <w:r>
        <w:rPr>
          <w:rFonts w:ascii="Arial" w:cs="Arial" w:eastAsia="Arial" w:hAnsi="Arial"/>
          <w:sz w:val="18"/>
          <w:szCs w:val="18"/>
          <w:color w:val="auto"/>
        </w:rPr>
        <w:t>(i) that the requisite identification and verification procedures on the applicant for business and its beneficial owners have been carried out; (ii) the nature and intended purpose of the business relationship; (iii) that the intermediary has identified the source of funds of the applicant for business; and (iv) that the intermediary shall make available copies of any identification and verification data or information and relevant documents.</w:t>
      </w:r>
    </w:p>
    <w:p>
      <w:pPr>
        <w:spacing w:after="0" w:line="110"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right="819" w:firstLine="432"/>
        <w:spacing w:after="0" w:line="286"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84"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We also reserve the right to refuse to make any payment to a shareholder if our directors or officers suspect or are advised that the payment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2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(2019 Revision) of the Cayman Islands if the disclosure relates to criminal conduct or money laundering or (ii) a police officer of the rank of constable or higher, or the Financial Reporting Authority, pursuant to the Terrorism Law (2020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Data Protection — Cayman Islands</w:t>
      </w:r>
    </w:p>
    <w:p>
      <w:pPr>
        <w:spacing w:after="0" w:line="162"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We have certain duties under the Data Protection Law, 2017 of the Cayman Islands (the “DPL”) based on internationally accepted principles of data privacy.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Privacy Notice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Introduction</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This privacy notice puts our shareholders on notice that through your investment in the company you will provide us with certain personal information which constitutes personal data within the meaning of the DPL (“personal data”). In the following discussion, the “company” refers to us and our affiliates and/or delegates, except where the context requires otherwise.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Investor Data</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99"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90" w:lineRule="exact"/>
        <w:rPr>
          <w:sz w:val="20"/>
          <w:szCs w:val="20"/>
          <w:color w:val="auto"/>
        </w:rPr>
      </w:pPr>
    </w:p>
    <w:p>
      <w:pPr>
        <w:ind w:left="460" w:right="699" w:firstLine="432"/>
        <w:spacing w:after="0" w:line="255" w:lineRule="auto"/>
        <w:rPr>
          <w:sz w:val="20"/>
          <w:szCs w:val="20"/>
          <w:color w:val="auto"/>
        </w:rPr>
      </w:pPr>
      <w:r>
        <w:rPr>
          <w:rFonts w:ascii="Arial" w:cs="Arial" w:eastAsia="Arial" w:hAnsi="Arial"/>
          <w:sz w:val="18"/>
          <w:szCs w:val="18"/>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i w:val="1"/>
          <w:iCs w:val="1"/>
          <w:color w:val="auto"/>
        </w:rPr>
        <w:t>Who this Affects</w:t>
      </w:r>
    </w:p>
    <w:p>
      <w:pPr>
        <w:spacing w:after="0" w:line="158"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How the Company May Use a Shareholder’s Personal Data</w:t>
      </w:r>
    </w:p>
    <w:p>
      <w:pPr>
        <w:spacing w:after="0" w:line="144" w:lineRule="exact"/>
        <w:rPr>
          <w:sz w:val="20"/>
          <w:szCs w:val="20"/>
          <w:color w:val="auto"/>
        </w:rPr>
      </w:pPr>
    </w:p>
    <w:p>
      <w:pPr>
        <w:ind w:left="460" w:right="1139" w:firstLine="432"/>
        <w:spacing w:after="0" w:line="277" w:lineRule="auto"/>
        <w:rPr>
          <w:sz w:val="20"/>
          <w:szCs w:val="20"/>
          <w:color w:val="auto"/>
        </w:rPr>
      </w:pPr>
      <w:r>
        <w:rPr>
          <w:rFonts w:ascii="Arial" w:cs="Arial" w:eastAsia="Arial" w:hAnsi="Arial"/>
          <w:sz w:val="18"/>
          <w:szCs w:val="18"/>
          <w:color w:val="auto"/>
        </w:rPr>
        <w:t>The company, as the data controller, may collect, store and use personal data for lawful purposes, including, in particular:</w:t>
      </w:r>
    </w:p>
    <w:p>
      <w:pPr>
        <w:spacing w:after="0" w:line="103" w:lineRule="exact"/>
        <w:rPr>
          <w:sz w:val="20"/>
          <w:szCs w:val="20"/>
          <w:color w:val="auto"/>
        </w:rPr>
      </w:pPr>
    </w:p>
    <w:p>
      <w:pPr>
        <w:ind w:left="1320" w:right="1059" w:hanging="434"/>
        <w:spacing w:after="0" w:line="277" w:lineRule="auto"/>
        <w:tabs>
          <w:tab w:leader="none" w:pos="1313"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where this is necessary for the performance of our rights and obligations under any purchase agreements;</w:t>
      </w:r>
    </w:p>
    <w:p>
      <w:pPr>
        <w:spacing w:after="0" w:line="102" w:lineRule="exact"/>
        <w:rPr>
          <w:rFonts w:ascii="Arial" w:cs="Arial" w:eastAsia="Arial" w:hAnsi="Arial"/>
          <w:sz w:val="18"/>
          <w:szCs w:val="18"/>
          <w:color w:val="auto"/>
        </w:rPr>
      </w:pPr>
    </w:p>
    <w:p>
      <w:pPr>
        <w:ind w:left="1320" w:right="459" w:hanging="434"/>
        <w:spacing w:after="0" w:line="308" w:lineRule="auto"/>
        <w:tabs>
          <w:tab w:leader="none" w:pos="1278" w:val="left"/>
        </w:tabs>
        <w:numPr>
          <w:ilvl w:val="0"/>
          <w:numId w:val="74"/>
        </w:numPr>
        <w:rPr>
          <w:rFonts w:ascii="Arial" w:cs="Arial" w:eastAsia="Arial" w:hAnsi="Arial"/>
          <w:sz w:val="17"/>
          <w:szCs w:val="17"/>
          <w:color w:val="auto"/>
        </w:rPr>
      </w:pPr>
      <w:r>
        <w:rPr>
          <w:rFonts w:ascii="Arial" w:cs="Arial" w:eastAsia="Arial" w:hAnsi="Arial"/>
          <w:sz w:val="17"/>
          <w:szCs w:val="17"/>
          <w:color w:val="auto"/>
        </w:rPr>
        <w:t>where this is necessary for compliance with a legal and regulatory obligation to which we are subject (such as compliance with anti-money laundering and FATCA/CRS requirements); and/or</w:t>
      </w:r>
    </w:p>
    <w:p>
      <w:pPr>
        <w:spacing w:after="0" w:line="65" w:lineRule="exact"/>
        <w:rPr>
          <w:rFonts w:ascii="Arial" w:cs="Arial" w:eastAsia="Arial" w:hAnsi="Arial"/>
          <w:sz w:val="17"/>
          <w:szCs w:val="17"/>
          <w:color w:val="auto"/>
        </w:rPr>
      </w:pPr>
    </w:p>
    <w:p>
      <w:pPr>
        <w:ind w:left="1320" w:right="1099" w:hanging="434"/>
        <w:spacing w:after="0" w:line="277" w:lineRule="auto"/>
        <w:tabs>
          <w:tab w:leader="none" w:pos="1313"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where this is necessary for the purposes of our legitimate interests and such interests are not overridden by your interests, fundamental rights or freedoms.</w:t>
      </w:r>
    </w:p>
    <w:p>
      <w:pPr>
        <w:spacing w:after="0" w:line="103"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Should we wish to use personal data for other specific purposes (including, if applicable, any purpose that requires your consent), we will contact you.</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Why We May Transfer Your Personal Data</w:t>
      </w:r>
    </w:p>
    <w:p>
      <w:pPr>
        <w:spacing w:after="0" w:line="158"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06" w:lineRule="exact"/>
        <w:rPr>
          <w:sz w:val="20"/>
          <w:szCs w:val="20"/>
          <w:color w:val="auto"/>
        </w:rPr>
      </w:pPr>
    </w:p>
    <w:p>
      <w:pPr>
        <w:ind w:left="460" w:right="999" w:firstLine="432"/>
        <w:spacing w:after="0" w:line="311" w:lineRule="auto"/>
        <w:rPr>
          <w:sz w:val="20"/>
          <w:szCs w:val="20"/>
          <w:color w:val="auto"/>
        </w:rPr>
      </w:pPr>
      <w:r>
        <w:rPr>
          <w:rFonts w:ascii="Arial" w:cs="Arial" w:eastAsia="Arial" w:hAnsi="Arial"/>
          <w:sz w:val="16"/>
          <w:szCs w:val="16"/>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Data Protection Measures We Take</w:t>
      </w:r>
    </w:p>
    <w:p>
      <w:pPr>
        <w:spacing w:after="0" w:line="158"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Any transfer of personal data by us or our duly authorized affiliates and/or delegates outside of the Cayman Islands shall be in accordance with the requirements of the DPL.</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84" w:lineRule="exact"/>
        <w:rPr>
          <w:sz w:val="20"/>
          <w:szCs w:val="20"/>
          <w:color w:val="auto"/>
        </w:rPr>
      </w:pPr>
    </w:p>
    <w:p>
      <w:pPr>
        <w:ind w:left="460" w:right="899" w:firstLine="432"/>
        <w:spacing w:after="0" w:line="342" w:lineRule="auto"/>
        <w:rPr>
          <w:sz w:val="20"/>
          <w:szCs w:val="20"/>
          <w:color w:val="auto"/>
        </w:rPr>
      </w:pPr>
      <w:r>
        <w:rPr>
          <w:rFonts w:ascii="Arial" w:cs="Arial" w:eastAsia="Arial" w:hAnsi="Arial"/>
          <w:sz w:val="16"/>
          <w:szCs w:val="16"/>
          <w:color w:val="auto"/>
        </w:rPr>
        <w:t>We shall notify you of any personal data breach that is reasonably likely to result in a risk to your interests, fundamental rights or freedoms or those data subjects to whom the relevant personal data relates.</w:t>
      </w:r>
    </w:p>
    <w:p>
      <w:pPr>
        <w:spacing w:after="0" w:line="120" w:lineRule="exact"/>
        <w:rPr>
          <w:sz w:val="20"/>
          <w:szCs w:val="20"/>
          <w:color w:val="auto"/>
        </w:rPr>
      </w:pPr>
    </w:p>
    <w:p>
      <w:pPr>
        <w:ind w:left="460" w:right="1339"/>
        <w:spacing w:after="0" w:line="282" w:lineRule="auto"/>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98"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81"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Our authorized but unissued Class A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6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Immediately after this offering, we will have 37,500,000 Class A ordinary shares (or 43,125,000 Class A ordinary shares if the underwriter’s over-allotment option is exercised in full) issued and outstanding on an as-converted basis. Of these shares, the Class A ordinary shares sold in this offering (30,000,000 Class A ordinary shares if the underwriter’s over-allotment option is not exercised and 34,500,000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(7,500,000 founder shares if the underwriter’s over-allotment option is not exercised and 8,625,000 founder shares if the underwriter’s over-allotment option is exercised in full) and all of the outstanding private placement warrants (10,000,000) will be restricted securities under Rule 144, in that they were issued in private transactions not involving a public offering.</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Rule 144</w:t>
      </w:r>
    </w:p>
    <w:p>
      <w:pPr>
        <w:spacing w:after="0" w:line="144"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1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9" w:lineRule="exact"/>
        <w:rPr>
          <w:sz w:val="20"/>
          <w:szCs w:val="20"/>
          <w:color w:val="auto"/>
        </w:rPr>
      </w:pPr>
    </w:p>
    <w:p>
      <w:pPr>
        <w:ind w:left="1320" w:right="799" w:hanging="434"/>
        <w:spacing w:after="0" w:line="263" w:lineRule="auto"/>
        <w:tabs>
          <w:tab w:leader="none" w:pos="13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1% of the total number of ordinary shares then outstanding, which will equal 375,000 shares immediately after this offering (or 431,250 shares if the underwriter exercises its over-allotment option in full); or</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03" w:lineRule="exact"/>
        <w:rPr>
          <w:sz w:val="20"/>
          <w:szCs w:val="20"/>
          <w:color w:val="auto"/>
        </w:rPr>
      </w:pPr>
    </w:p>
    <w:p>
      <w:pPr>
        <w:ind w:left="460" w:right="1359" w:firstLine="432"/>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68" w:lineRule="exact"/>
        <w:rPr>
          <w:sz w:val="20"/>
          <w:szCs w:val="20"/>
          <w:color w:val="auto"/>
        </w:rPr>
      </w:pPr>
    </w:p>
    <w:p>
      <w:pPr>
        <w:ind w:left="1300" w:hanging="414"/>
        <w:spacing w:after="0"/>
        <w:tabs>
          <w:tab w:leader="none" w:pos="13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80" w:lineRule="exact"/>
        <w:rPr>
          <w:rFonts w:ascii="Arial" w:cs="Arial" w:eastAsia="Arial" w:hAnsi="Arial"/>
          <w:sz w:val="16"/>
          <w:szCs w:val="16"/>
          <w:color w:val="auto"/>
        </w:rPr>
      </w:pPr>
    </w:p>
    <w:p>
      <w:pPr>
        <w:ind w:left="1320" w:right="899" w:hanging="434"/>
        <w:spacing w:after="0" w:line="277" w:lineRule="auto"/>
        <w:tabs>
          <w:tab w:leader="none" w:pos="13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460" w:right="899" w:firstLine="432"/>
        <w:spacing w:after="0" w:line="263" w:lineRule="auto"/>
        <w:rPr>
          <w:sz w:val="20"/>
          <w:szCs w:val="20"/>
          <w:color w:val="auto"/>
        </w:rPr>
      </w:pPr>
      <w:r>
        <w:rPr>
          <w:rFonts w:ascii="Arial" w:cs="Arial" w:eastAsia="Arial" w:hAnsi="Arial"/>
          <w:sz w:val="18"/>
          <w:szCs w:val="18"/>
          <w:color w:val="auto"/>
        </w:rPr>
        <w:t>As a result, our sponsor will be able to sell its founder shares and private placement warrants, as applicable, pursuant to Rule 144 without registration one year after we have completed our initial business combination.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b w:val="1"/>
          <w:bCs w:val="1"/>
          <w:color w:val="auto"/>
        </w:rPr>
        <w:t>Registration and Shareholder Rights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 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9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Except as described herein, our sponsor and our directors and executive officers have agreed not to transfer, assign or sell any of their founder shares until (i) one year after the 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 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1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In addition, pursuant to the registration and shareholder rights agreement, our sponsor, upon consummation of an initial business combination, will be entitled to nominate three individuals for election to our board of directors, as long as the sponsor holds any securities covered by the registration and shareholder rights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intend to apply to have our units listed on the NYSE under the symbol “SOAC.U.” Once the securities comprising the units begin separate trading, we expect that the Class A ordinary shares and warrants will be listed on the NYSE under the symbols “SOAC” and “SOAC WS,” respectively. The units will automatically separate into their component parts and will not be traded following the completion of our initial business combination.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162"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following summary of certain Cayman Islands and U.S. federal income tax consequences of an investment in our units, each consisting of one Class A ordinary share and one-half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97"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Prospective investors should consult their advisors on the possible tax consequences of investing in our securities under the laws of their country of citizenship, residence or domicile.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 Tax Considerations</w:t>
      </w:r>
    </w:p>
    <w:p>
      <w:pPr>
        <w:spacing w:after="0" w:line="162"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 Existing Cayman Islands Laws:</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107"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No stamp duty is payable in respect of the issue of the warrants. An instrument of transfer in respect of a warrant is stampable if executed in or brought into the Cayman Islands.</w:t>
      </w:r>
    </w:p>
    <w:p>
      <w:pPr>
        <w:spacing w:after="0" w:line="103"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No stamp duty is payable in respect of the issue of our Class A ordinary shares or on an instrument of transfer in respect of such shares.</w:t>
      </w:r>
    </w:p>
    <w:p>
      <w:pPr>
        <w:spacing w:after="0" w:line="10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company has been incorporated under the laws of the Cayman Islands as an exempted company with limited liability and, as such, has applied for and expects to obtain after the effectiveness of the registration statement of which this prospectus forms a part an undertaking from the Financial Secretary of the Cayman Islands in the following form:</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Tax Concessions Law</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(2020 Revision)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Undertaking as to Tax Concessions</w:t>
      </w:r>
    </w:p>
    <w:p>
      <w:pPr>
        <w:spacing w:after="0" w:line="130"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accordance with the provision of Section 6 of The Tax Concessions Law (2020 Revision), the Financial Secretary undertakes with Sustainable Opportunities Acquisition Corp. (the “Company”):</w:t>
      </w:r>
    </w:p>
    <w:p>
      <w:pPr>
        <w:spacing w:after="0" w:line="103" w:lineRule="exact"/>
        <w:rPr>
          <w:sz w:val="20"/>
          <w:szCs w:val="20"/>
          <w:color w:val="auto"/>
        </w:rPr>
      </w:pPr>
    </w:p>
    <w:p>
      <w:pPr>
        <w:ind w:left="1320" w:right="979" w:hanging="434"/>
        <w:spacing w:after="0" w:line="308" w:lineRule="auto"/>
        <w:tabs>
          <w:tab w:leader="none" w:pos="129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That no law which is hereafter enacted in the Islands imposing any tax to be levied on profits, income, gains or appreciations shall apply to the Company or its operations; and</w:t>
      </w:r>
    </w:p>
    <w:p>
      <w:pPr>
        <w:spacing w:after="0" w:line="78" w:lineRule="exact"/>
        <w:rPr>
          <w:rFonts w:ascii="Arial" w:cs="Arial" w:eastAsia="Arial" w:hAnsi="Arial"/>
          <w:sz w:val="17"/>
          <w:szCs w:val="17"/>
          <w:color w:val="auto"/>
        </w:rPr>
      </w:pPr>
    </w:p>
    <w:p>
      <w:pPr>
        <w:ind w:left="1320" w:right="879" w:hanging="434"/>
        <w:spacing w:after="0" w:line="277" w:lineRule="auto"/>
        <w:tabs>
          <w:tab w:leader="none" w:pos="1293"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w:t>
      </w:r>
    </w:p>
    <w:p>
      <w:pPr>
        <w:spacing w:after="0" w:line="89" w:lineRule="exact"/>
        <w:rPr>
          <w:sz w:val="20"/>
          <w:szCs w:val="20"/>
          <w:color w:val="auto"/>
        </w:rPr>
      </w:pPr>
    </w:p>
    <w:p>
      <w:pPr>
        <w:ind w:left="1320"/>
        <w:spacing w:after="0"/>
        <w:tabs>
          <w:tab w:leader="none" w:pos="17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On or in respect of the shares, debentures or other obligations of the Company; or</w:t>
      </w:r>
    </w:p>
    <w:p>
      <w:pPr>
        <w:spacing w:after="0" w:line="158" w:lineRule="exact"/>
        <w:rPr>
          <w:sz w:val="20"/>
          <w:szCs w:val="20"/>
          <w:color w:val="auto"/>
        </w:rPr>
      </w:pPr>
    </w:p>
    <w:p>
      <w:pPr>
        <w:ind w:left="1720" w:right="479" w:hanging="431"/>
        <w:spacing w:after="0" w:line="277" w:lineRule="auto"/>
        <w:tabs>
          <w:tab w:leader="none" w:pos="1700" w:val="left"/>
        </w:tabs>
        <w:rPr>
          <w:sz w:val="20"/>
          <w:szCs w:val="20"/>
          <w:color w:val="auto"/>
        </w:rPr>
      </w:pPr>
      <w:r>
        <w:rPr>
          <w:rFonts w:ascii="Arial" w:cs="Arial" w:eastAsia="Arial" w:hAnsi="Arial"/>
          <w:sz w:val="18"/>
          <w:szCs w:val="18"/>
          <w:color w:val="auto"/>
        </w:rPr>
        <w:t>2.2</w:t>
        <w:tab/>
        <w:t>by way of the withholding in whole or part, of any relevant payment as defined in Section 6(3) of the Tax Concessions Law (2020 Revision).</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These concessions shall be for a period of 20 years from the date hereof.</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following discussion summarizes certain U.S. federal income tax considerations generally applicable to the acquisition, ownership and disposition of our units (each consisting of one Class A ordinary share and one-half of one redeemable warrant)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8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113" w:lineRule="exact"/>
        <w:rPr>
          <w:sz w:val="20"/>
          <w:szCs w:val="20"/>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sponsor, Founders, officers or directors;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w:t>
      </w:r>
    </w:p>
    <w:p>
      <w:pPr>
        <w:spacing w:after="0" w:line="157"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78"/>
        </w:numPr>
        <w:rPr>
          <w:rFonts w:ascii="Arial" w:cs="Arial" w:eastAsia="Arial" w:hAnsi="Arial"/>
          <w:sz w:val="16"/>
          <w:szCs w:val="16"/>
          <w:color w:val="auto"/>
        </w:rPr>
      </w:pPr>
      <w:r>
        <w:rPr>
          <w:rFonts w:ascii="Arial" w:cs="Arial" w:eastAsia="Arial" w:hAnsi="Arial"/>
          <w:sz w:val="16"/>
          <w:szCs w:val="16"/>
          <w:color w:val="auto"/>
        </w:rPr>
        <w:t>persons that acquired our securities pursuant to an exercise of employee share options, in connection with employee share incentive plans or otherwise as compensation or in connection with services;</w:t>
      </w:r>
    </w:p>
    <w:p>
      <w:pPr>
        <w:spacing w:after="0" w:line="56" w:lineRule="exact"/>
        <w:rPr>
          <w:rFonts w:ascii="Arial" w:cs="Arial" w:eastAsia="Arial" w:hAnsi="Arial"/>
          <w:sz w:val="16"/>
          <w:szCs w:val="16"/>
          <w:color w:val="auto"/>
        </w:rPr>
      </w:pPr>
    </w:p>
    <w:p>
      <w:pPr>
        <w:ind w:left="1320" w:right="559" w:hanging="434"/>
        <w:spacing w:after="0" w:line="277" w:lineRule="auto"/>
        <w:tabs>
          <w:tab w:leader="none" w:pos="13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that hold our securities as part of a straddle, constructive sale, hedging, conversion or other integrated or similar transaction; 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58"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3" w:name="page134"/>
    <w:bookmarkEnd w:id="133"/>
    <w:p>
      <w:pPr>
        <w:ind w:left="460" w:right="619" w:firstLine="432"/>
        <w:spacing w:after="0" w:line="301" w:lineRule="auto"/>
        <w:rPr>
          <w:sz w:val="20"/>
          <w:szCs w:val="20"/>
          <w:color w:val="auto"/>
        </w:rPr>
      </w:pPr>
      <w:r>
        <w:rPr>
          <w:rFonts w:ascii="Arial" w:cs="Arial" w:eastAsia="Arial" w:hAnsi="Arial"/>
          <w:sz w:val="16"/>
          <w:szCs w:val="16"/>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76" w:lineRule="exact"/>
        <w:rPr>
          <w:sz w:val="20"/>
          <w:szCs w:val="20"/>
          <w:color w:val="auto"/>
        </w:rPr>
      </w:pPr>
    </w:p>
    <w:p>
      <w:pPr>
        <w:ind w:left="460" w:right="679" w:firstLine="432"/>
        <w:spacing w:after="0" w:line="291" w:lineRule="auto"/>
        <w:rPr>
          <w:sz w:val="20"/>
          <w:szCs w:val="20"/>
          <w:color w:val="auto"/>
        </w:rPr>
      </w:pPr>
      <w:r>
        <w:rPr>
          <w:rFonts w:ascii="Arial" w:cs="Arial" w:eastAsia="Arial" w:hAnsi="Arial"/>
          <w:sz w:val="16"/>
          <w:szCs w:val="16"/>
          <w:color w:val="auto"/>
        </w:rPr>
        <w:t>As used herein, the term “U.S. Holder” means a beneficial owner of units, Class A ordinary shares or warrants that is for U.S. federal income tax purposes: (i) an individual citizen or resident of the United States;</w:t>
      </w:r>
    </w:p>
    <w:p>
      <w:pPr>
        <w:ind w:left="460" w:right="499" w:hanging="6"/>
        <w:spacing w:after="0" w:line="290" w:lineRule="auto"/>
        <w:tabs>
          <w:tab w:leader="none" w:pos="725"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96"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This discussion does not consider the tax treatment of partnerships or other pass-through entities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of a partnership holding our securities, we urge you to consult your tax advisor.</w:t>
      </w:r>
    </w:p>
    <w:p>
      <w:pPr>
        <w:spacing w:after="0" w:line="110"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STATE, LOCAL, AND NON-UNITED STATES TAX LAWS.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 of Purchase Price and Characterization of a Unit</w:t>
      </w:r>
    </w:p>
    <w:p>
      <w:pPr>
        <w:spacing w:after="0" w:line="144"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ordinary shares and one-half of one warrant, a whole one of which is exercisable to acquire one share of our Class A ordinary shares. We intend to treat the acquisition of a unit in this manner and, by purchasing a unit, you must adopt such treatment for applicable tax purposes. For U.S. federal income tax purposes, each holder of a unit will agree to allocate the purchase price paid by such holder for such unit between the one Class A ordinary share and the one-half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Class A ordinary share and one-half of one warrant should constitute the shareholder’s initial tax basis in such share or warrant. Any disposition of a unit should be treated for U.S. federal income tax purposes as a disposition of the Class A ordinary share and one-half of one warrant comprising the unit, and the amount realized on the disposition should be allocated between the Class A ordinary share and one-half of one warrant based on their respective relative fair market values at the time of disposition. Neither the separation of the Class A ordinary share and the one-half of one warrant constituting a unit nor the combination of halves of warrants into a single warrant should be a taxable event for U.S. federal income tax purposes.</w:t>
      </w:r>
    </w:p>
    <w:p>
      <w:pPr>
        <w:spacing w:after="0" w:line="104"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The foregoing treatment of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Taxation of Distributions</w:t>
      </w:r>
    </w:p>
    <w:p>
      <w:pPr>
        <w:spacing w:after="0" w:line="158"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Subject to the passive foreign investment company (“PFIC”) rules discussed below, a U.S. Holder generally will be required to include in gross income as dividends the amount of any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 Gain or Loss on Sale, Taxable Exchange or Other Taxable Disposition of Class A Ordinary Shares and Warrants” below).</w:t>
      </w:r>
    </w:p>
    <w:p>
      <w:pPr>
        <w:spacing w:after="0" w:line="87"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 Gain or Loss on Sale, Taxable Exchange or Other Taxable Disposition of Class A Ordinary Shares and Warrants” below) only if our Class A ordinary shares are readily tradable on an established securities market in the United States, the company is not treated as a PFIC at the time the dividend was paid or in the preceding year and provided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185" w:lineRule="exact"/>
        <w:rPr>
          <w:sz w:val="20"/>
          <w:szCs w:val="20"/>
          <w:color w:val="auto"/>
        </w:rPr>
      </w:pPr>
    </w:p>
    <w:p>
      <w:pPr>
        <w:ind w:left="460" w:right="1159"/>
        <w:spacing w:after="0" w:line="277" w:lineRule="auto"/>
        <w:rPr>
          <w:sz w:val="20"/>
          <w:szCs w:val="20"/>
          <w:color w:val="auto"/>
        </w:rPr>
      </w:pPr>
      <w:r>
        <w:rPr>
          <w:rFonts w:ascii="Arial" w:cs="Arial" w:eastAsia="Arial" w:hAnsi="Arial"/>
          <w:sz w:val="18"/>
          <w:szCs w:val="18"/>
          <w:i w:val="1"/>
          <w:iCs w:val="1"/>
          <w:color w:val="auto"/>
        </w:rPr>
        <w:t>Gain or Loss on Sale, Taxable Exchange or Other Taxable Disposition of Class A Ordinary Shares and Warrants</w:t>
      </w:r>
    </w:p>
    <w:p>
      <w:pPr>
        <w:spacing w:after="0" w:line="103"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9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relative fair market values of the Class A ordinary shares and the warrants included in the units) and (ii) the U.S. Holder’s adjusted tax basis in its Class A ordinary shares or warrants so disposed of. A U.S. Holder’s adjusted tax basis in its Class A ordinary shares and warrants generally will equal the U.S. Holder’s acquisition cost (that is, the portion of the purchase price of a unit allocated to a share of Class A ordinary shares or one-half of one warrant, as described above under “— Allocation of Purchase Price and Characterization of a Unit”) reduced by any prior distributions treated as a return of capital. Long-term capital gain realized by a non-corporate U.S. Holder is currently eligible to be taxed at reduced rates. See “— Exercise, Lapse or Redemption of a Warrant” below for a discussion regarding a U.S. Holder’s tax basis in the Class A ordinary share acquired pursuant to the exercise of a warrant. The deduction of capital losses is subject to certain limitations.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144" w:lineRule="exact"/>
        <w:rPr>
          <w:sz w:val="20"/>
          <w:szCs w:val="20"/>
          <w:color w:val="auto"/>
        </w:rPr>
      </w:pPr>
    </w:p>
    <w:p>
      <w:pPr>
        <w:ind w:left="460" w:right="679" w:firstLine="432"/>
        <w:spacing w:after="0" w:line="291" w:lineRule="auto"/>
        <w:rPr>
          <w:sz w:val="20"/>
          <w:szCs w:val="20"/>
          <w:color w:val="auto"/>
        </w:rPr>
      </w:pPr>
      <w:r>
        <w:rPr>
          <w:rFonts w:ascii="Arial" w:cs="Arial" w:eastAsia="Arial" w:hAnsi="Arial"/>
          <w:sz w:val="16"/>
          <w:szCs w:val="16"/>
          <w:color w:val="auto"/>
        </w:rPr>
        <w:t>Subject to the PFIC rules discussed below, in the event that a U.S. Holder’s Class A ordinary shares are redeemed pursuant to the redemption provisions described in this prospectus under “Description of Securities</w:t>
      </w:r>
    </w:p>
    <w:p>
      <w:pPr>
        <w:ind w:left="460" w:right="499"/>
        <w:spacing w:after="0" w:line="253" w:lineRule="auto"/>
        <w:rPr>
          <w:sz w:val="20"/>
          <w:szCs w:val="20"/>
          <w:color w:val="auto"/>
        </w:rPr>
      </w:pPr>
      <w:r>
        <w:rPr>
          <w:rFonts w:ascii="Arial" w:cs="Arial" w:eastAsia="Arial" w:hAnsi="Arial"/>
          <w:sz w:val="18"/>
          <w:szCs w:val="18"/>
          <w:color w:val="auto"/>
        </w:rPr>
        <w:t>— Ordinary Shares” or if we purchase a U.S. Holder’s Class A ordinary shares in an open market transaction (referred to herein 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 Gain or Loss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5" w:name="page136"/>
    <w:bookmarkEnd w:id="135"/>
    <w:p>
      <w:pPr>
        <w:ind w:left="460" w:right="479"/>
        <w:spacing w:after="0" w:line="288" w:lineRule="auto"/>
        <w:rPr>
          <w:sz w:val="20"/>
          <w:szCs w:val="20"/>
          <w:color w:val="auto"/>
        </w:rPr>
      </w:pPr>
      <w:r>
        <w:rPr>
          <w:rFonts w:ascii="Arial" w:cs="Arial" w:eastAsia="Arial" w:hAnsi="Arial"/>
          <w:sz w:val="16"/>
          <w:szCs w:val="16"/>
          <w:color w:val="auto"/>
        </w:rPr>
        <w:t>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87"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our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tax advisors as to the tax consequences of a redemption.</w:t>
      </w:r>
    </w:p>
    <w:p>
      <w:pPr>
        <w:spacing w:after="0" w:line="109"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If none of the foregoing tests are satisfied, then the redemption will be treated as a corporate distribution and the tax effects will be as described under “—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initial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87"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In either situation, a U.S. Holder’s tax basis in the Class A ordinary shares received generally would equal the U.S. Holder’s tax basis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right="519"/>
        <w:spacing w:after="0" w:line="301" w:lineRule="auto"/>
        <w:rPr>
          <w:sz w:val="20"/>
          <w:szCs w:val="20"/>
          <w:color w:val="auto"/>
        </w:rPr>
      </w:pPr>
      <w:r>
        <w:rPr>
          <w:rFonts w:ascii="Arial" w:cs="Arial" w:eastAsia="Arial" w:hAnsi="Arial"/>
          <w:sz w:val="16"/>
          <w:szCs w:val="16"/>
          <w:color w:val="auto"/>
        </w:rPr>
        <w:t>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76"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It is also possible that a cashless exercise may be treated as a taxable exchange in which gain or loss would be recognized. In such event, a U.S. Holder may be deemed to have surrendered a number of warrants having a value equal to the exercise price for the total number of warrants to be exercised. Subject to the PFIC rules discussed below,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exercised (i.e., the portion of the U.S. Holder’s purchase price for the units that is allocated to the warrant, as described above under “—Allocation of Purchase Price and Characterization of a Unit”) and the exercise price of such warrants. It is unclear whether a U.S. Holder’s holding period for the Class A ordinary share would commence on the date of exercise of the warrant or the day following the date of exercise of the warrant.</w:t>
      </w:r>
    </w:p>
    <w:p>
      <w:pPr>
        <w:spacing w:after="0" w:line="11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19"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Subject to the PFIC rules described below, if we redeem warrants for cash pursuant to the redemption provisions described in the section of this prospectus entitled “Description of Securities — Warrants — Public Shareholders’ Warrants — Redemption of warrants” or if we purchase warrants in an open market transaction, such redemption or purchase generally will be treated as a taxable disposition to the U.S. Holder, taxed as described above under “— Gain or Loss on Sale, Taxable Exchange or Other Taxable Disposition of Class A Ordinary Shares and Warrants.”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44"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Class A ordinary shares that would be obtained upon exercise or through a decrease to the exercise price, including, for example, the decrease to the exercise price of the warrants where additional Class A ordinary shares or equity-linked securities are issued in connection with the closing of our initial business combination at an issue price or effective issue price of less than $9.20 per ordinary share, as described under “Description of Securities — Warrants — Public Shareholders’ Warrants — Anti-Dilution Adjustments”) as a result of a distribution of cash or other property to the holders of our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58"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right="519" w:firstLine="432"/>
        <w:spacing w:after="0" w:line="286" w:lineRule="auto"/>
        <w:rPr>
          <w:sz w:val="20"/>
          <w:szCs w:val="20"/>
          <w:color w:val="auto"/>
        </w:rPr>
      </w:pPr>
      <w:r>
        <w:rPr>
          <w:rFonts w:ascii="Arial" w:cs="Arial" w:eastAsia="Arial" w:hAnsi="Arial"/>
          <w:sz w:val="16"/>
          <w:szCs w:val="16"/>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(i) no predecessor of the corporation was a PFIC; (ii) the corporation satisfies the IRS that it will not be a PFIC for either of the two taxable years following the start-up year; and (iii) the corporation is not in fact a PFIC for either of those years. The applicability of the start-up exception to us is uncertain and will not be known until after the close of our current taxable year (or possibly not until after the close of the first two taxable years following our start-up year, as described under the start-up exception).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86"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Although our PFIC status is determined annually, an initial determination that our company is a PFIC will generally apply for subsequent years to a U.S. Holder who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qualified electing fund (“QEF”) election for our first taxable year as a PFIC in which the U.S. Holder held (or was deemed to hold) Class A ordinary shares, a QEF election along with a purging election, or a mark-to-market election, each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Under these rules:</w:t>
      </w:r>
    </w:p>
    <w:p>
      <w:pPr>
        <w:spacing w:after="0" w:line="158" w:lineRule="exact"/>
        <w:rPr>
          <w:sz w:val="20"/>
          <w:szCs w:val="20"/>
          <w:color w:val="auto"/>
        </w:rPr>
      </w:pPr>
    </w:p>
    <w:p>
      <w:pPr>
        <w:ind w:left="1320" w:right="479" w:hanging="434"/>
        <w:spacing w:after="0" w:line="277" w:lineRule="auto"/>
        <w:tabs>
          <w:tab w:leader="none" w:pos="13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89" w:lineRule="exact"/>
        <w:rPr>
          <w:rFonts w:ascii="Arial" w:cs="Arial" w:eastAsia="Arial" w:hAnsi="Arial"/>
          <w:sz w:val="18"/>
          <w:szCs w:val="18"/>
          <w:color w:val="auto"/>
        </w:rPr>
      </w:pPr>
    </w:p>
    <w:p>
      <w:pPr>
        <w:ind w:left="1320" w:right="499" w:hanging="434"/>
        <w:spacing w:after="0" w:line="311" w:lineRule="auto"/>
        <w:tabs>
          <w:tab w:leader="none" w:pos="1311"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1" w:lineRule="exact"/>
        <w:rPr>
          <w:rFonts w:ascii="Arial" w:cs="Arial" w:eastAsia="Arial" w:hAnsi="Arial"/>
          <w:sz w:val="16"/>
          <w:szCs w:val="16"/>
          <w:color w:val="auto"/>
        </w:rPr>
      </w:pPr>
    </w:p>
    <w:p>
      <w:pPr>
        <w:ind w:left="1320" w:right="599" w:hanging="434"/>
        <w:spacing w:after="0" w:line="263" w:lineRule="auto"/>
        <w:tabs>
          <w:tab w:leader="none" w:pos="13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16" w:lineRule="exact"/>
        <w:rPr>
          <w:rFonts w:ascii="Arial" w:cs="Arial" w:eastAsia="Arial" w:hAnsi="Arial"/>
          <w:sz w:val="18"/>
          <w:szCs w:val="18"/>
          <w:color w:val="auto"/>
        </w:rPr>
      </w:pPr>
    </w:p>
    <w:p>
      <w:pPr>
        <w:ind w:left="1320" w:right="459" w:hanging="434"/>
        <w:spacing w:after="0" w:line="263" w:lineRule="auto"/>
        <w:tabs>
          <w:tab w:leader="none" w:pos="13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03"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In general, if we are determined to be a PFIC, a U.S. Holder may avoid the PFIC tax consequences described above in respect of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99"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right="499"/>
        <w:spacing w:after="0" w:line="287" w:lineRule="auto"/>
        <w:rPr>
          <w:sz w:val="20"/>
          <w:szCs w:val="20"/>
          <w:color w:val="auto"/>
        </w:rPr>
      </w:pPr>
      <w:r>
        <w:rPr>
          <w:rFonts w:ascii="Arial" w:cs="Arial" w:eastAsia="Arial" w:hAnsi="Arial"/>
          <w:sz w:val="16"/>
          <w:szCs w:val="16"/>
          <w:color w:val="auto"/>
        </w:rPr>
        <w:t>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w:t>
      </w:r>
    </w:p>
    <w:p>
      <w:pPr>
        <w:spacing w:after="0" w:line="91"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11"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97"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05"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00"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The mark-to-market election is available only for “marketable stock,” generally, stock that is regularly traded on a national securities exchange that is registered with the Securities and Exchange Commission, including the NYSE (on which we intend to list the Class A ordinary shares), or on a foreign exchange or market that the IRS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right="519"/>
        <w:spacing w:after="0" w:line="311" w:lineRule="auto"/>
        <w:rPr>
          <w:sz w:val="20"/>
          <w:szCs w:val="20"/>
          <w:color w:val="auto"/>
        </w:rPr>
      </w:pPr>
      <w:r>
        <w:rPr>
          <w:rFonts w:ascii="Arial" w:cs="Arial" w:eastAsia="Arial" w:hAnsi="Arial"/>
          <w:sz w:val="16"/>
          <w:szCs w:val="16"/>
          <w:color w:val="auto"/>
        </w:rPr>
        <w:t>determines has rules sufficient to ensure that the market price represents a legitimate and sound fair market value. U.S. Holders should consult their tax advisors regarding the availability and tax consequences of a mark-to-market election with respect to our Class A ordinary shares under their particular circumstances.</w:t>
      </w:r>
    </w:p>
    <w:p>
      <w:pPr>
        <w:spacing w:after="0" w:line="68"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01"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04"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our Class A ordinary shares and warrants should consult their tax advisors concerning the application of the PFIC rules to our securities under their particular circumstances.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Reporting</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Potential investors are urged to consult their tax advisors regarding the foreign financial asset and other reporting obligations and their application to an investment in our Class A ordinary shares and warrants.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Non-U.S. Holders</w:t>
      </w:r>
    </w:p>
    <w:p>
      <w:pPr>
        <w:spacing w:after="0" w:line="158"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ordinary shares or warrants (other than a partnership or other entity or arrangement treated as a partnership for U.S. federal income tax purposes) who or that is for U.S. federal income tax purposes:</w:t>
      </w:r>
    </w:p>
    <w:p>
      <w:pPr>
        <w:spacing w:after="0" w:line="119" w:lineRule="exact"/>
        <w:rPr>
          <w:sz w:val="20"/>
          <w:szCs w:val="20"/>
          <w:color w:val="auto"/>
        </w:rPr>
      </w:pPr>
    </w:p>
    <w:p>
      <w:pPr>
        <w:ind w:left="1320" w:right="559" w:hanging="434"/>
        <w:spacing w:after="0" w:line="277" w:lineRule="auto"/>
        <w:tabs>
          <w:tab w:leader="none" w:pos="13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United States subject to U.S. tax as expatriates);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58"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84"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right="479"/>
        <w:spacing w:after="0" w:line="257" w:lineRule="auto"/>
        <w:rPr>
          <w:sz w:val="20"/>
          <w:szCs w:val="20"/>
          <w:color w:val="auto"/>
        </w:rPr>
      </w:pPr>
      <w:r>
        <w:rPr>
          <w:rFonts w:ascii="Arial" w:cs="Arial" w:eastAsia="Arial" w:hAnsi="Arial"/>
          <w:sz w:val="18"/>
          <w:szCs w:val="18"/>
          <w:color w:val="auto"/>
        </w:rPr>
        <w:t>in the United States). In addition, a Non-U.S. Holder generally will not be subject to U.S. federal income tax on any gain attributable to a sale or other taxable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07"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w:t>
      </w:r>
    </w:p>
    <w:p>
      <w:pPr>
        <w:spacing w:after="0" w:line="1" w:lineRule="exact"/>
        <w:rPr>
          <w:sz w:val="20"/>
          <w:szCs w:val="20"/>
          <w:color w:val="auto"/>
        </w:rPr>
      </w:pPr>
    </w:p>
    <w:p>
      <w:pPr>
        <w:ind w:left="460" w:right="699"/>
        <w:spacing w:after="0" w:line="260" w:lineRule="auto"/>
        <w:rPr>
          <w:sz w:val="20"/>
          <w:szCs w:val="20"/>
          <w:color w:val="auto"/>
        </w:rPr>
      </w:pPr>
      <w:r>
        <w:rPr>
          <w:rFonts w:ascii="Arial" w:cs="Arial" w:eastAsia="Arial" w:hAnsi="Arial"/>
          <w:sz w:val="18"/>
          <w:szCs w:val="18"/>
          <w:color w:val="auto"/>
        </w:rPr>
        <w:t>Holder that is a corporation for U.S. federal income tax purposes, also may be subject to an additional branch profits tax at a 30% rate or a lower applicable tax treaty rate.</w:t>
      </w:r>
    </w:p>
    <w:p>
      <w:pPr>
        <w:spacing w:after="0" w:line="118"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 U.S. Holders — 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1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19"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Subject to the terms and conditions of the underwriting agreement, Citigroup Global Markets Inc. has agreed to purchase from us on a firm commitment basis the 30,000,000 units offered by this prospectus at a public offering price less the underwriting discounts and commissions set forth on the cover page of this prospectus.</w:t>
      </w:r>
    </w:p>
    <w:p>
      <w:pPr>
        <w:spacing w:after="0" w:line="106" w:lineRule="exact"/>
        <w:rPr>
          <w:sz w:val="20"/>
          <w:szCs w:val="20"/>
          <w:color w:val="auto"/>
        </w:rPr>
      </w:pPr>
    </w:p>
    <w:p>
      <w:pPr>
        <w:ind w:left="460" w:right="939" w:firstLine="432"/>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 to purchase the units included in this offering are subject to approval of legal matters by counsel and to other conditions. The underwriter is obligated to purchase all of the units (other than those covered by the over-allotment option described below) if it purchases any of the units.</w:t>
      </w:r>
    </w:p>
    <w:p>
      <w:pPr>
        <w:spacing w:after="0" w:line="119" w:lineRule="exact"/>
        <w:rPr>
          <w:sz w:val="20"/>
          <w:szCs w:val="20"/>
          <w:color w:val="auto"/>
        </w:rPr>
      </w:pPr>
    </w:p>
    <w:p>
      <w:pPr>
        <w:jc w:val="both"/>
        <w:ind w:left="460" w:right="639" w:firstLine="432"/>
        <w:spacing w:after="0" w:line="259" w:lineRule="auto"/>
        <w:rPr>
          <w:sz w:val="20"/>
          <w:szCs w:val="20"/>
          <w:color w:val="auto"/>
        </w:rPr>
      </w:pPr>
      <w:r>
        <w:rPr>
          <w:rFonts w:ascii="Arial" w:cs="Arial" w:eastAsia="Arial" w:hAnsi="Arial"/>
          <w:sz w:val="18"/>
          <w:szCs w:val="18"/>
          <w:color w:val="auto"/>
        </w:rPr>
        <w:t>Units sold by the underwriter to the public will initially be offered at the initial public offering price set forth on the cover of this prospectus. If all of the units are not sold at the initial offering price, the underwriter may change the offering price and the other selling terms. Citigroup Global Markets Inc. has advised us that it does not intend to make sales to discretionary accounts.</w:t>
      </w:r>
    </w:p>
    <w:p>
      <w:pPr>
        <w:spacing w:after="0" w:line="119"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If the underwriter sells more units than the total number set forth in the table above, we have granted to the underwriter an option, exercisable for 45 days from the date of this prospectus, to purchase up to 4,500,000 additional units at the public offering price less the underwriting discount. The underwriter may exercise this option solely for the purpose of covering over-allotments, if any, in connection with this offering. To the extent the option is exercised, the underwriter must purchase a number of additional units approximately proportionate to its initial purchase commitment. Any units issued or sold under the option will be issued and sold on the same terms and conditions as the other units that are the subject of this offering.</w:t>
      </w:r>
    </w:p>
    <w:p>
      <w:pPr>
        <w:spacing w:after="0" w:line="85"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Citigroup Global Markets Inc., offer, sell, contract to sell, pledge or otherwise dispose of, directly or indirectly, any units, warrants, Class A ordinary shares or any other securities convertible into, or exercisable, or exchangeable for, Class A ordinary shares; provided, however, that we may (i) issue and sell the private placement warrants, (ii) issue and sell the additional units to cover our underwriter’s over-allotment option (if any), (iii) register with the SEC pursuant to an agreement to be entered into on or prior to the closing of this offering, the resale of the founder shares and the private placement warrants or the warrants and Class A ordinary shares issuable upon exercise of the warrants and (iv) issue securities in connection with an initial business combination. Citigroup Global Markets Inc. in its sole discretion may release any of the securities subject to these lock-up agreements at any time without notice.</w:t>
      </w:r>
    </w:p>
    <w:p>
      <w:pPr>
        <w:spacing w:after="0" w:line="11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initial shareholders have agreed not to transfer, assign or sell any of their founder shares until the earlier to occur of: (i) one year after the 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(except as described herein under “Principal Shareholders — Transfers of Founder Shares and Private Placement Warrants”). Any permitted transferees will be subject to the same restrictions and other agreements of our initial shareholders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11"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assignable or salable until 30 days after the completion of our initial business combination (except with respect to permitted transferees as described herein under “Principal Shareholders — Transfers of Founder Shares and Private Placement Warrants”).</w:t>
      </w:r>
    </w:p>
    <w:p>
      <w:pPr>
        <w:spacing w:after="0" w:line="90"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Prior to this offering, there has been no public market for our securities. Consequently, the initial public offering price for the units was determined by negotiations between us and the underwriter.</w:t>
      </w:r>
    </w:p>
    <w:p>
      <w:pPr>
        <w:spacing w:after="0" w:line="7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w:t>
      </w:r>
    </w:p>
    <w:p>
      <w:pPr>
        <w:sectPr>
          <w:pgSz w:w="11900" w:h="16838" w:orient="portrait"/>
          <w:cols w:equalWidth="0" w:num="1">
            <w:col w:w="9019"/>
          </w:cols>
          <w:pgMar w:left="1440" w:top="337"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42" w:name="page143"/>
    <w:bookmarkEnd w:id="142"/>
    <w:p>
      <w:pPr>
        <w:ind w:left="460" w:right="539"/>
        <w:spacing w:after="0" w:line="257" w:lineRule="auto"/>
        <w:rPr>
          <w:sz w:val="20"/>
          <w:szCs w:val="20"/>
          <w:color w:val="auto"/>
        </w:rPr>
      </w:pPr>
      <w:r>
        <w:rPr>
          <w:rFonts w:ascii="Arial" w:cs="Arial" w:eastAsia="Arial" w:hAnsi="Arial"/>
          <w:sz w:val="18"/>
          <w:szCs w:val="18"/>
          <w:color w:val="auto"/>
        </w:rPr>
        <w:t>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07"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intend to apply to have our units listed on the NYSE under the symbol “SOAC.U” commencing on or promptly after the date of this prospectus. We cannot guarantee that our securities will be approved for listing on the NYSE. Once the securities comprising the units begin separate trading, we expect that the Class A ordinary shares and warrants will be listed on the NYSE under the symbols “SOAC” and “SOAC WS”, respectively.</w:t>
      </w:r>
    </w:p>
    <w:p>
      <w:pPr>
        <w:spacing w:after="0" w:line="120" w:lineRule="exact"/>
        <w:rPr>
          <w:sz w:val="20"/>
          <w:szCs w:val="20"/>
          <w:color w:val="auto"/>
        </w:rPr>
      </w:pPr>
    </w:p>
    <w:p>
      <w:pPr>
        <w:ind w:left="460" w:right="919" w:firstLine="432"/>
        <w:spacing w:after="0" w:line="263"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 in connection with this offering. These amounts are shown assuming both no exercise and full exercise of the underwriter’s over-allotment option.</w:t>
      </w:r>
    </w:p>
    <w:p>
      <w:pPr>
        <w:spacing w:after="0" w:line="144" w:lineRule="exact"/>
        <w:rPr>
          <w:sz w:val="20"/>
          <w:szCs w:val="20"/>
          <w:color w:val="auto"/>
        </w:rPr>
      </w:pPr>
    </w:p>
    <w:p>
      <w:pPr>
        <w:jc w:val="center"/>
        <w:ind w:left="5600"/>
        <w:spacing w:after="0"/>
        <w:rPr>
          <w:sz w:val="20"/>
          <w:szCs w:val="20"/>
          <w:color w:val="auto"/>
        </w:rPr>
      </w:pPr>
      <w:r>
        <w:rPr>
          <w:rFonts w:ascii="Arial" w:cs="Arial" w:eastAsia="Arial" w:hAnsi="Arial"/>
          <w:sz w:val="15"/>
          <w:szCs w:val="15"/>
          <w:b w:val="1"/>
          <w:bCs w:val="1"/>
          <w:color w:val="auto"/>
        </w:rPr>
        <w:t>Paid by Sustainable Opportunities</w:t>
      </w:r>
    </w:p>
    <w:p>
      <w:pPr>
        <w:spacing w:after="0" w:line="38"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7"/>
              </w:rPr>
              <w:t>No Exercise</w:t>
            </w:r>
          </w:p>
        </w:tc>
        <w:tc>
          <w:tcPr>
            <w:tcW w:w="160" w:type="dxa"/>
            <w:vAlign w:val="bottom"/>
          </w:tcPr>
          <w:p>
            <w:pPr>
              <w:spacing w:after="0"/>
              <w:rPr>
                <w:sz w:val="18"/>
                <w:szCs w:val="18"/>
                <w:color w:val="auto"/>
              </w:rPr>
            </w:pPr>
          </w:p>
        </w:tc>
        <w:tc>
          <w:tcPr>
            <w:tcW w:w="1100" w:type="dxa"/>
            <w:vAlign w:val="bottom"/>
          </w:tcPr>
          <w:p>
            <w:pPr>
              <w:jc w:val="right"/>
              <w:ind w:right="93"/>
              <w:spacing w:after="0"/>
              <w:rPr>
                <w:sz w:val="20"/>
                <w:szCs w:val="20"/>
                <w:color w:val="auto"/>
              </w:rPr>
            </w:pPr>
            <w:r>
              <w:rPr>
                <w:rFonts w:ascii="Arial" w:cs="Arial" w:eastAsia="Arial" w:hAnsi="Arial"/>
                <w:sz w:val="16"/>
                <w:szCs w:val="16"/>
                <w:b w:val="1"/>
                <w:bCs w:val="1"/>
                <w:color w:val="auto"/>
                <w:w w:val="91"/>
              </w:rPr>
              <w:t>Full Exercise</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Per Unit</w:t>
            </w:r>
            <w:r>
              <w:rPr>
                <w:rFonts w:ascii="Arial" w:cs="Arial" w:eastAsia="Arial" w:hAnsi="Arial"/>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0"/>
                <w:szCs w:val="20"/>
                <w:color w:val="auto"/>
                <w:vertAlign w:val="superscript"/>
              </w:rPr>
              <w:t>(1)</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18,975,000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67" w:lineRule="exact"/>
        <w:rPr>
          <w:sz w:val="20"/>
          <w:szCs w:val="20"/>
          <w:color w:val="auto"/>
        </w:rPr>
      </w:pPr>
    </w:p>
    <w:p>
      <w:pPr>
        <w:ind w:left="880" w:right="599" w:hanging="426"/>
        <w:spacing w:after="0" w:line="273" w:lineRule="auto"/>
        <w:tabs>
          <w:tab w:leader="none" w:pos="839"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$0.35 per unit, or $10,500,000 in the aggregate (or $12,075,000 in the aggregate if the underwriter’s over-allotment option is exercised in full), payable to the underwriter for deferred underwriting commissions to be placed in a trust account located in the United States as described herein and released to the underwriter only upon the consummation of an initial business combination.</w:t>
      </w:r>
    </w:p>
    <w:p>
      <w:pPr>
        <w:spacing w:after="0" w:line="117" w:lineRule="exact"/>
        <w:rPr>
          <w:sz w:val="20"/>
          <w:szCs w:val="20"/>
          <w:color w:val="auto"/>
        </w:rPr>
      </w:pPr>
    </w:p>
    <w:p>
      <w:pPr>
        <w:ind w:left="460" w:right="799" w:firstLine="432"/>
        <w:spacing w:after="0" w:line="296" w:lineRule="auto"/>
        <w:rPr>
          <w:sz w:val="20"/>
          <w:szCs w:val="20"/>
          <w:color w:val="auto"/>
        </w:rPr>
      </w:pPr>
      <w:r>
        <w:rPr>
          <w:rFonts w:ascii="Arial" w:cs="Arial" w:eastAsia="Arial" w:hAnsi="Arial"/>
          <w:sz w:val="16"/>
          <w:szCs w:val="16"/>
          <w:color w:val="auto"/>
        </w:rPr>
        <w:t>If we do not consummate an initial business combination within 24 months from the closing of this offering, the underwriter has agreed that (i) it will forfeit any rights or claims to its deferred underwriting discounts and commissions, including any accrued interest thereon, then in the trust account and (ii) that the deferred underwriter’s discounts and commissions will be distributed on a pro rata basis, together with any accrued interest thereon (which interest will be net of taxes paid or payable) to the public shareholders.</w:t>
      </w:r>
    </w:p>
    <w:p>
      <w:pPr>
        <w:spacing w:after="0" w:line="80"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In connection with the offering, the underwriter may purchase and sell units in the open market. Purchases and sales in the open market may include short sales, purchases to cover short positions, which may include purchases pursuant to the over-allotment option, and stabilizing purchases.</w:t>
      </w:r>
    </w:p>
    <w:p>
      <w:pPr>
        <w:spacing w:after="0" w:line="116" w:lineRule="exact"/>
        <w:rPr>
          <w:sz w:val="20"/>
          <w:szCs w:val="20"/>
          <w:color w:val="auto"/>
        </w:rPr>
      </w:pPr>
    </w:p>
    <w:p>
      <w:pPr>
        <w:ind w:left="1320" w:right="539" w:hanging="434"/>
        <w:spacing w:after="0" w:line="277"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 of a greater number of units than it is required to purchase in the offering.</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“Covered” short sales are sales of units in an amount up to the number of units represented by the underwriter’s over-allotment option.</w:t>
      </w:r>
    </w:p>
    <w:p>
      <w:pPr>
        <w:spacing w:after="0" w:line="89"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“Naked” short sales are sales of units in an amount in excess of the number of units represented by the underwriter’s over-allotment option.</w:t>
      </w:r>
    </w:p>
    <w:p>
      <w:pPr>
        <w:spacing w:after="0" w:line="102" w:lineRule="exact"/>
        <w:rPr>
          <w:rFonts w:ascii="Arial" w:cs="Arial" w:eastAsia="Arial" w:hAnsi="Arial"/>
          <w:sz w:val="18"/>
          <w:szCs w:val="18"/>
          <w:color w:val="auto"/>
        </w:rPr>
      </w:pPr>
    </w:p>
    <w:p>
      <w:pPr>
        <w:ind w:left="1320" w:right="659" w:hanging="434"/>
        <w:spacing w:after="0" w:line="342" w:lineRule="auto"/>
        <w:tabs>
          <w:tab w:leader="none" w:pos="1311"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Covering transactions involve purchases of units either pursuant to the over-allotment option or in the open market after the distribution has been completed in order to cover short positions.</w:t>
      </w:r>
    </w:p>
    <w:p>
      <w:pPr>
        <w:spacing w:after="0" w:line="56" w:lineRule="exact"/>
        <w:rPr>
          <w:rFonts w:ascii="Arial" w:cs="Arial" w:eastAsia="Arial" w:hAnsi="Arial"/>
          <w:sz w:val="16"/>
          <w:szCs w:val="16"/>
          <w:color w:val="auto"/>
        </w:rPr>
      </w:pPr>
    </w:p>
    <w:p>
      <w:pPr>
        <w:ind w:left="1320" w:right="579" w:hanging="434"/>
        <w:spacing w:after="0" w:line="279" w:lineRule="auto"/>
        <w:tabs>
          <w:tab w:leader="none" w:pos="1311"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close a naked short position, the underwriter must purchase units in the open market after the distribution has been completed. A naked short position is more likely to be created if the underwriter is concerned that there may be downward pressure on the price of the units in the open market after pricing that could adversely affect investors who purchase in the offering.</w:t>
      </w:r>
    </w:p>
    <w:p>
      <w:pPr>
        <w:spacing w:after="0" w:line="90" w:lineRule="exact"/>
        <w:rPr>
          <w:rFonts w:ascii="Arial" w:cs="Arial" w:eastAsia="Arial" w:hAnsi="Arial"/>
          <w:sz w:val="17"/>
          <w:szCs w:val="17"/>
          <w:color w:val="auto"/>
        </w:rPr>
      </w:pPr>
    </w:p>
    <w:p>
      <w:pPr>
        <w:ind w:left="1320" w:right="479" w:hanging="434"/>
        <w:spacing w:after="0" w:line="257"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close a covered short position, the underwriter must purchase units in the open market after the distribution has been completed or must exercise the over-allotment option. In determining the source of units to close the covered short position, the underwriter will consider, among other things, the price of units available for purchase in the open market as compared to the price at which it may purchase units through the over-allotment option.</w:t>
      </w:r>
    </w:p>
    <w:p>
      <w:pPr>
        <w:spacing w:after="0" w:line="120"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3" w:name="page144"/>
    <w:bookmarkEnd w:id="143"/>
    <w:p>
      <w:pPr>
        <w:ind w:left="460" w:right="479" w:firstLine="432"/>
        <w:spacing w:after="0" w:line="255"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 for its own accounts, may have the effect of preventing or retarding a decline in the market price of the units. They may also cause the price of the units to be higher than the price that would otherwise exist in the open market in the absence of these transactions. The underwriter may conduct these transactions in the over-the-counter market or otherwise. If the underwriter commences any of these transactions, it may discontinue them at any time.</w:t>
      </w:r>
    </w:p>
    <w:p>
      <w:pPr>
        <w:spacing w:after="0" w:line="111" w:lineRule="exact"/>
        <w:rPr>
          <w:sz w:val="20"/>
          <w:szCs w:val="20"/>
          <w:color w:val="auto"/>
        </w:rPr>
      </w:pPr>
    </w:p>
    <w:p>
      <w:pPr>
        <w:ind w:left="460" w:right="1259" w:firstLine="432"/>
        <w:spacing w:after="0" w:line="277" w:lineRule="auto"/>
        <w:rPr>
          <w:sz w:val="20"/>
          <w:szCs w:val="20"/>
          <w:color w:val="auto"/>
        </w:rPr>
      </w:pPr>
      <w:r>
        <w:rPr>
          <w:rFonts w:ascii="Arial" w:cs="Arial" w:eastAsia="Arial" w:hAnsi="Arial"/>
          <w:sz w:val="18"/>
          <w:szCs w:val="18"/>
          <w:color w:val="auto"/>
        </w:rPr>
        <w:t>We estimate that the total expenses of this offering payable by us will be $1,000,000, excluding underwriting discounts and commissions.</w:t>
      </w:r>
    </w:p>
    <w:p>
      <w:pPr>
        <w:spacing w:after="0" w:line="103"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or to contribute to payments the underwriter may be required to make because of any of those liabilities. We have also agreed to pay for the FINRA-related fees and expenses of the underwriter’s legal counsel, not to exceed $ .</w:t>
      </w:r>
    </w:p>
    <w:p>
      <w:pPr>
        <w:spacing w:after="0" w:line="119"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are not under any contractual obligation to engage the underwriter to provide any services for us after this offering, and have no present intent to do so. However, the underwriter may introduce us to potential target businesses or assist us in raising additional capital in the future. If the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that is 90 days from the date of this prospectus, unless FINRA determines that such payment would not be deemed underwriter’s compensation in connection with this offering and we may pay the underwriter of this offering or any entity with which it is affiliated a finder’s fee or other compensation for services rendered to us in connection with the completion of a business combination.</w:t>
      </w:r>
    </w:p>
    <w:p>
      <w:pPr>
        <w:spacing w:after="0" w:line="104"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 xml:space="preserve">The units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Securities Act (Ontario), and are permitted clients, as defined in National Instrument 31-103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w:t>
      </w:r>
      <w:r>
        <w:rPr>
          <w:rFonts w:ascii="Arial" w:cs="Arial" w:eastAsia="Arial" w:hAnsi="Arial"/>
          <w:sz w:val="18"/>
          <w:szCs w:val="18"/>
          <w:color w:val="auto"/>
        </w:rPr>
        <w:t>,</w:t>
      </w:r>
      <w:r>
        <w:rPr>
          <w:rFonts w:ascii="Arial" w:cs="Arial" w:eastAsia="Arial" w:hAnsi="Arial"/>
          <w:sz w:val="18"/>
          <w:szCs w:val="18"/>
          <w:i w:val="1"/>
          <w:iCs w:val="1"/>
          <w:color w:val="auto"/>
        </w:rPr>
        <w:t xml:space="preserve"> Exemptions and Ongoing Registrant Obligations</w:t>
      </w:r>
      <w:r>
        <w:rPr>
          <w:rFonts w:ascii="Arial" w:cs="Arial" w:eastAsia="Arial" w:hAnsi="Arial"/>
          <w:sz w:val="18"/>
          <w:szCs w:val="18"/>
          <w:color w:val="auto"/>
        </w:rPr>
        <w:t>. Any resale of the units must be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an exemption from, or in a transaction not subject to, the prospectus requirements of applicable securities laws.</w:t>
      </w:r>
    </w:p>
    <w:p>
      <w:pPr>
        <w:spacing w:after="0" w:line="12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Pursuant to section 3A.3 (or, in the case of securities issued or guaranteed by the government of a non-Canadian jurisdiction, section 3A.4) of National Instrument 33-105 Underwriting Conflicts, or NI 33-105, the underwriter is not required to comply with the disclosure requirements of NI 33-105 regarding underwriter conflicts of interest in connection with this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62"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units have been offered or will be offered to the public in that Relevant State prior to the publication of a prospectus in relation to the units which has been approved by the competent authority in that Relevant State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right="479"/>
        <w:spacing w:after="0" w:line="311" w:lineRule="auto"/>
        <w:rPr>
          <w:sz w:val="20"/>
          <w:szCs w:val="20"/>
          <w:color w:val="auto"/>
        </w:rPr>
      </w:pPr>
      <w:r>
        <w:rPr>
          <w:rFonts w:ascii="Arial" w:cs="Arial" w:eastAsia="Arial" w:hAnsi="Arial"/>
          <w:sz w:val="16"/>
          <w:szCs w:val="16"/>
          <w:color w:val="auto"/>
        </w:rPr>
        <w:t>or, where appropriate, approved in another Relevant State and notified to the competent authority in that Relevant State, all in accordance with the Prospectus Regulation), except that offers of units may be made to the public in that Relevant State at any time under the following exemptions under the Prospectus Regulation:</w:t>
      </w:r>
    </w:p>
    <w:p>
      <w:pPr>
        <w:spacing w:after="0" w:line="68" w:lineRule="exact"/>
        <w:rPr>
          <w:sz w:val="20"/>
          <w:szCs w:val="20"/>
          <w:color w:val="auto"/>
        </w:rPr>
      </w:pPr>
    </w:p>
    <w:p>
      <w:pPr>
        <w:ind w:left="1300" w:hanging="414"/>
        <w:spacing w:after="0"/>
        <w:tabs>
          <w:tab w:leader="none" w:pos="13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169" w:lineRule="exact"/>
        <w:rPr>
          <w:rFonts w:ascii="Arial" w:cs="Arial" w:eastAsia="Arial" w:hAnsi="Arial"/>
          <w:sz w:val="17"/>
          <w:szCs w:val="17"/>
          <w:color w:val="auto"/>
        </w:rPr>
      </w:pPr>
    </w:p>
    <w:p>
      <w:pPr>
        <w:ind w:left="1320" w:right="599" w:hanging="434"/>
        <w:spacing w:after="0" w:line="263" w:lineRule="auto"/>
        <w:tabs>
          <w:tab w:leader="none" w:pos="13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Citigroup Global Markets Inc. for any such offer; or</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460" w:right="899"/>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units shall require us or the underwriter to publish a prospectus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3 of the Prospectus Regulation or supplement a prospectus pursuant to Article 23 of the Prospectus Regulation.</w:t>
      </w:r>
    </w:p>
    <w:p>
      <w:pPr>
        <w:spacing w:after="0" w:line="116" w:lineRule="exact"/>
        <w:rPr>
          <w:sz w:val="20"/>
          <w:szCs w:val="20"/>
          <w:color w:val="auto"/>
        </w:rPr>
      </w:pPr>
    </w:p>
    <w:p>
      <w:pPr>
        <w:ind w:left="460" w:right="619" w:firstLine="432"/>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any Relevant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62"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4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9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2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62"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9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units has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62"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94" w:lineRule="exact"/>
        <w:rPr>
          <w:sz w:val="20"/>
          <w:szCs w:val="20"/>
          <w:color w:val="auto"/>
        </w:rPr>
      </w:pPr>
    </w:p>
    <w:p>
      <w:pPr>
        <w:ind w:left="1300" w:hanging="414"/>
        <w:spacing w:after="0"/>
        <w:tabs>
          <w:tab w:leader="none" w:pos="13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67" w:lineRule="exact"/>
        <w:rPr>
          <w:rFonts w:ascii="Arial" w:cs="Arial" w:eastAsia="Arial" w:hAnsi="Arial"/>
          <w:sz w:val="16"/>
          <w:szCs w:val="16"/>
          <w:color w:val="auto"/>
        </w:rPr>
      </w:pPr>
    </w:p>
    <w:p>
      <w:pPr>
        <w:ind w:left="1320" w:right="639" w:hanging="434"/>
        <w:spacing w:after="0" w:line="277" w:lineRule="auto"/>
        <w:tabs>
          <w:tab w:leader="none" w:pos="13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 Such offers, sales and distributions will be made in France only:</w:t>
      </w:r>
    </w:p>
    <w:p>
      <w:pPr>
        <w:spacing w:after="0" w:line="102" w:lineRule="exact"/>
        <w:rPr>
          <w:rFonts w:ascii="Arial" w:cs="Arial" w:eastAsia="Arial" w:hAnsi="Arial"/>
          <w:sz w:val="18"/>
          <w:szCs w:val="18"/>
          <w:color w:val="auto"/>
        </w:rPr>
      </w:pPr>
    </w:p>
    <w:p>
      <w:pPr>
        <w:ind w:left="1760" w:right="479" w:hanging="442"/>
        <w:spacing w:after="0" w:line="259" w:lineRule="auto"/>
        <w:tabs>
          <w:tab w:leader="none" w:pos="1751"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19" w:lineRule="exact"/>
        <w:rPr>
          <w:rFonts w:ascii="Arial" w:cs="Arial" w:eastAsia="Arial" w:hAnsi="Arial"/>
          <w:sz w:val="18"/>
          <w:szCs w:val="18"/>
          <w:color w:val="auto"/>
        </w:rPr>
      </w:pPr>
    </w:p>
    <w:p>
      <w:pPr>
        <w:ind w:left="1760" w:right="679" w:hanging="442"/>
        <w:spacing w:after="0" w:line="277" w:lineRule="auto"/>
        <w:tabs>
          <w:tab w:leader="none" w:pos="1751"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89" w:lineRule="exact"/>
        <w:rPr>
          <w:rFonts w:ascii="Arial" w:cs="Arial" w:eastAsia="Arial" w:hAnsi="Arial"/>
          <w:sz w:val="18"/>
          <w:szCs w:val="18"/>
          <w:color w:val="auto"/>
        </w:rPr>
      </w:pPr>
    </w:p>
    <w:p>
      <w:pPr>
        <w:ind w:left="1760" w:right="639" w:hanging="442"/>
        <w:spacing w:after="0" w:line="259" w:lineRule="auto"/>
        <w:tabs>
          <w:tab w:leader="none" w:pos="1751"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19"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62"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units and underlying Class A ordinary shares and warrants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will mean any person resident in Japan, including any corporation or other entity organized under the laws of Japan.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48" w:lineRule="exact"/>
        <w:rPr>
          <w:sz w:val="20"/>
          <w:szCs w:val="20"/>
          <w:color w:val="auto"/>
        </w:rPr>
      </w:pPr>
    </w:p>
    <w:p>
      <w:pPr>
        <w:ind w:left="460" w:right="599" w:firstLine="432"/>
        <w:spacing w:after="0" w:line="289"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 the units are subscribed or purchased under Section 275 of the SFA by a relevant person which is:</w:t>
      </w:r>
    </w:p>
    <w:p>
      <w:pPr>
        <w:spacing w:after="0" w:line="181" w:lineRule="exact"/>
        <w:rPr>
          <w:sz w:val="20"/>
          <w:szCs w:val="20"/>
          <w:color w:val="auto"/>
        </w:rPr>
      </w:pPr>
    </w:p>
    <w:p>
      <w:pPr>
        <w:ind w:left="1320" w:right="719" w:hanging="434"/>
        <w:spacing w:after="0" w:line="263" w:lineRule="auto"/>
        <w:tabs>
          <w:tab w:leader="none" w:pos="13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03" w:lineRule="exact"/>
        <w:rPr>
          <w:sz w:val="20"/>
          <w:szCs w:val="20"/>
          <w:color w:val="auto"/>
        </w:rPr>
      </w:pPr>
    </w:p>
    <w:p>
      <w:pPr>
        <w:ind w:left="880" w:right="519"/>
        <w:spacing w:after="0" w:line="311"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will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1320" w:right="539" w:hanging="434"/>
        <w:spacing w:after="0" w:line="272" w:lineRule="auto"/>
        <w:tabs>
          <w:tab w:leader="none" w:pos="1311" w:val="left"/>
        </w:tabs>
        <w:numPr>
          <w:ilvl w:val="0"/>
          <w:numId w:val="88"/>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96" w:lineRule="exact"/>
        <w:rPr>
          <w:rFonts w:ascii="Arial" w:cs="Arial" w:eastAsia="Arial" w:hAnsi="Arial"/>
          <w:sz w:val="17"/>
          <w:szCs w:val="17"/>
          <w:color w:val="auto"/>
        </w:rPr>
      </w:pPr>
    </w:p>
    <w:p>
      <w:pPr>
        <w:ind w:left="1300" w:hanging="41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 offer or invitation to subscribe for shares or units may be made to the public in the Cayman Islands.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Kirkland &amp; Ellis LLP, New York, New York will pass upon the validity of the securities offered in this prospectus with respect to units and warrants. Maples and Calder will pass upon the validity of the securities offered in this prospectus with respect to the ordinary shares and matters of Cayman Islands law. In connection with this offering, Davis Polk &amp; Wardwell LLP advised the underwriter in connection with the offering of the securities.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financial statements of Sustainable Opportunities Acquisition Corp. as of December 31, 2019 and for the period from December 18, 2019 (inception) through December 31, 2019 appearing in this prospectus have been audited by Marcum LLP, independent registered public accounting firm, as set forth in their report thereon (which contains an explanatory paragraph relating to substantial doubt about the ability of Sustainable Opportunities Acquisition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11"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Audited Financial Statements for Sustainable Opportunities Acquisition Corp.:</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28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183"/>
        </w:trPr>
        <w:tc>
          <w:tcPr>
            <w:tcW w:w="7540" w:type="dxa"/>
            <w:vAlign w:val="bottom"/>
            <w:gridSpan w:val="10"/>
            <w:shd w:val="clear" w:color="auto" w:fill="CCEEFF"/>
          </w:tcPr>
          <w:p>
            <w:pPr>
              <w:spacing w:after="0" w:line="182" w:lineRule="exact"/>
              <w:rPr>
                <w:rFonts w:ascii="Arial" w:cs="Arial" w:eastAsia="Arial" w:hAnsi="Arial"/>
                <w:sz w:val="18"/>
                <w:szCs w:val="18"/>
                <w:color w:val="0000EE"/>
              </w:rPr>
            </w:pPr>
            <w:hyperlink w:anchor="page150">
              <w:r>
                <w:rPr>
                  <w:rFonts w:ascii="Arial" w:cs="Arial" w:eastAsia="Arial" w:hAnsi="Arial"/>
                  <w:sz w:val="18"/>
                  <w:szCs w:val="18"/>
                  <w:color w:val="0000EE"/>
                </w:rPr>
                <w:t>Report of Independent Registered Public Accounting Firm</w:t>
              </w:r>
            </w:hyperlink>
          </w:p>
        </w:tc>
        <w:tc>
          <w:tcPr>
            <w:tcW w:w="5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2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r>
      <w:tr>
        <w:trPr>
          <w:trHeight w:val="202"/>
        </w:trPr>
        <w:tc>
          <w:tcPr>
            <w:tcW w:w="7540" w:type="dxa"/>
            <w:vAlign w:val="bottom"/>
            <w:gridSpan w:val="10"/>
          </w:tcPr>
          <w:p>
            <w:pPr>
              <w:spacing w:after="0" w:line="202" w:lineRule="exact"/>
              <w:rPr>
                <w:rFonts w:ascii="Arial" w:cs="Arial" w:eastAsia="Arial" w:hAnsi="Arial"/>
                <w:sz w:val="18"/>
                <w:szCs w:val="18"/>
                <w:color w:val="0000EE"/>
              </w:rPr>
            </w:pPr>
            <w:hyperlink w:anchor="page151">
              <w:r>
                <w:rPr>
                  <w:rFonts w:ascii="Arial" w:cs="Arial" w:eastAsia="Arial" w:hAnsi="Arial"/>
                  <w:sz w:val="18"/>
                  <w:szCs w:val="18"/>
                  <w:color w:val="0000EE"/>
                </w:rPr>
                <w:t>Balance Sheet as of December 31, 2019</w:t>
              </w:r>
            </w:hyperlink>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8"/>
              </w:rPr>
              <w:t>F-3</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3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175"/>
        </w:trPr>
        <w:tc>
          <w:tcPr>
            <w:tcW w:w="7540" w:type="dxa"/>
            <w:vAlign w:val="bottom"/>
            <w:gridSpan w:val="10"/>
            <w:shd w:val="clear" w:color="auto" w:fill="CCEEFF"/>
          </w:tcPr>
          <w:p>
            <w:pPr>
              <w:spacing w:after="0" w:line="176" w:lineRule="exact"/>
              <w:rPr>
                <w:rFonts w:ascii="Arial" w:cs="Arial" w:eastAsia="Arial" w:hAnsi="Arial"/>
                <w:sz w:val="18"/>
                <w:szCs w:val="18"/>
                <w:color w:val="0000EE"/>
                <w:w w:val="95"/>
              </w:rPr>
            </w:pPr>
            <w:hyperlink w:anchor="page152">
              <w:r>
                <w:rPr>
                  <w:rFonts w:ascii="Arial" w:cs="Arial" w:eastAsia="Arial" w:hAnsi="Arial"/>
                  <w:sz w:val="18"/>
                  <w:szCs w:val="18"/>
                  <w:color w:val="0000EE"/>
                  <w:w w:val="95"/>
                </w:rPr>
                <w:t>Statement of Operations for the Period from December 18, 2019 (inception) through December 31,</w:t>
              </w:r>
            </w:hyperlink>
          </w:p>
        </w:tc>
        <w:tc>
          <w:tcPr>
            <w:tcW w:w="560" w:type="dxa"/>
            <w:vAlign w:val="bottom"/>
            <w:shd w:val="clear" w:color="auto" w:fill="CCEEFF"/>
          </w:tcPr>
          <w:p>
            <w:pPr>
              <w:spacing w:after="0"/>
              <w:rPr>
                <w:sz w:val="15"/>
                <w:szCs w:val="15"/>
                <w:color w:val="auto"/>
              </w:rPr>
            </w:pPr>
          </w:p>
        </w:tc>
      </w:tr>
      <w:tr>
        <w:trPr>
          <w:trHeight w:val="196"/>
        </w:trPr>
        <w:tc>
          <w:tcPr>
            <w:tcW w:w="2140" w:type="dxa"/>
            <w:vAlign w:val="bottom"/>
            <w:tcBorders>
              <w:top w:val="single" w:sz="8" w:color="0000EE"/>
            </w:tcBorders>
            <w:gridSpan w:val="3"/>
            <w:shd w:val="clear" w:color="auto" w:fill="CCEEFF"/>
          </w:tcPr>
          <w:p>
            <w:pPr>
              <w:ind w:left="180"/>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2019</w:t>
              </w:r>
            </w:hyperlink>
          </w:p>
        </w:tc>
        <w:tc>
          <w:tcPr>
            <w:tcW w:w="6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1360" w:type="dxa"/>
            <w:vAlign w:val="bottom"/>
            <w:tcBorders>
              <w:top w:val="single" w:sz="8" w:color="0000EE"/>
            </w:tcBorders>
            <w:shd w:val="clear" w:color="auto" w:fill="CCEEFF"/>
          </w:tcPr>
          <w:p>
            <w:pPr>
              <w:spacing w:after="0"/>
              <w:rPr>
                <w:sz w:val="17"/>
                <w:szCs w:val="17"/>
                <w:color w:val="auto"/>
              </w:rPr>
            </w:pPr>
          </w:p>
        </w:tc>
        <w:tc>
          <w:tcPr>
            <w:tcW w:w="28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2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r>
      <w:tr>
        <w:trPr>
          <w:trHeight w:val="175"/>
        </w:trPr>
        <w:tc>
          <w:tcPr>
            <w:tcW w:w="7540" w:type="dxa"/>
            <w:vAlign w:val="bottom"/>
            <w:gridSpan w:val="10"/>
          </w:tcPr>
          <w:p>
            <w:pPr>
              <w:spacing w:after="0" w:line="176" w:lineRule="exact"/>
              <w:rPr>
                <w:rFonts w:ascii="Arial" w:cs="Arial" w:eastAsia="Arial" w:hAnsi="Arial"/>
                <w:sz w:val="18"/>
                <w:szCs w:val="18"/>
                <w:color w:val="0000EE"/>
                <w:w w:val="96"/>
              </w:rPr>
            </w:pPr>
            <w:hyperlink w:anchor="page153">
              <w:r>
                <w:rPr>
                  <w:rFonts w:ascii="Arial" w:cs="Arial" w:eastAsia="Arial" w:hAnsi="Arial"/>
                  <w:sz w:val="18"/>
                  <w:szCs w:val="18"/>
                  <w:color w:val="0000EE"/>
                  <w:w w:val="96"/>
                </w:rPr>
                <w:t>Statement of Changes in Shareholder’s Equity for the Period from December 18, 2019 (inception)</w:t>
              </w:r>
            </w:hyperlink>
          </w:p>
        </w:tc>
        <w:tc>
          <w:tcPr>
            <w:tcW w:w="56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through December 31, 2019</w:t>
              </w:r>
            </w:hyperlink>
          </w:p>
        </w:tc>
        <w:tc>
          <w:tcPr>
            <w:tcW w:w="50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175"/>
        </w:trPr>
        <w:tc>
          <w:tcPr>
            <w:tcW w:w="7540" w:type="dxa"/>
            <w:vAlign w:val="bottom"/>
            <w:gridSpan w:val="10"/>
            <w:shd w:val="clear" w:color="auto" w:fill="CCEEFF"/>
          </w:tcPr>
          <w:p>
            <w:pPr>
              <w:spacing w:after="0" w:line="176" w:lineRule="exact"/>
              <w:rPr>
                <w:rFonts w:ascii="Arial" w:cs="Arial" w:eastAsia="Arial" w:hAnsi="Arial"/>
                <w:sz w:val="18"/>
                <w:szCs w:val="18"/>
                <w:color w:val="0000EE"/>
                <w:w w:val="94"/>
              </w:rPr>
            </w:pPr>
            <w:hyperlink w:anchor="page154">
              <w:r>
                <w:rPr>
                  <w:rFonts w:ascii="Arial" w:cs="Arial" w:eastAsia="Arial" w:hAnsi="Arial"/>
                  <w:sz w:val="18"/>
                  <w:szCs w:val="18"/>
                  <w:color w:val="0000EE"/>
                  <w:w w:val="94"/>
                </w:rPr>
                <w:t>Statement Of Cash Flows for the Period from December 18, 2019 (inception) through December 31,</w:t>
              </w:r>
            </w:hyperlink>
          </w:p>
        </w:tc>
        <w:tc>
          <w:tcPr>
            <w:tcW w:w="560" w:type="dxa"/>
            <w:vAlign w:val="bottom"/>
            <w:shd w:val="clear" w:color="auto" w:fill="CCEEFF"/>
          </w:tcPr>
          <w:p>
            <w:pPr>
              <w:spacing w:after="0"/>
              <w:rPr>
                <w:sz w:val="15"/>
                <w:szCs w:val="15"/>
                <w:color w:val="auto"/>
              </w:rPr>
            </w:pPr>
          </w:p>
        </w:tc>
      </w:tr>
      <w:tr>
        <w:trPr>
          <w:trHeight w:val="196"/>
        </w:trPr>
        <w:tc>
          <w:tcPr>
            <w:tcW w:w="2140" w:type="dxa"/>
            <w:vAlign w:val="bottom"/>
            <w:tcBorders>
              <w:top w:val="single" w:sz="8" w:color="0000EE"/>
            </w:tcBorders>
            <w:gridSpan w:val="3"/>
            <w:shd w:val="clear" w:color="auto" w:fill="CCEEFF"/>
          </w:tcPr>
          <w:p>
            <w:pPr>
              <w:ind w:left="180"/>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2019</w:t>
              </w:r>
            </w:hyperlink>
          </w:p>
        </w:tc>
        <w:tc>
          <w:tcPr>
            <w:tcW w:w="6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1360" w:type="dxa"/>
            <w:vAlign w:val="bottom"/>
            <w:tcBorders>
              <w:top w:val="single" w:sz="8" w:color="0000EE"/>
            </w:tcBorders>
            <w:shd w:val="clear" w:color="auto" w:fill="CCEEFF"/>
          </w:tcPr>
          <w:p>
            <w:pPr>
              <w:spacing w:after="0"/>
              <w:rPr>
                <w:sz w:val="17"/>
                <w:szCs w:val="17"/>
                <w:color w:val="auto"/>
              </w:rPr>
            </w:pPr>
          </w:p>
        </w:tc>
        <w:tc>
          <w:tcPr>
            <w:tcW w:w="28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2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r>
      <w:tr>
        <w:trPr>
          <w:trHeight w:val="203"/>
        </w:trPr>
        <w:tc>
          <w:tcPr>
            <w:tcW w:w="7540" w:type="dxa"/>
            <w:vAlign w:val="bottom"/>
            <w:gridSpan w:val="10"/>
          </w:tcPr>
          <w:p>
            <w:pPr>
              <w:spacing w:after="0" w:line="202" w:lineRule="exact"/>
              <w:rPr>
                <w:rFonts w:ascii="Arial" w:cs="Arial" w:eastAsia="Arial" w:hAnsi="Arial"/>
                <w:sz w:val="18"/>
                <w:szCs w:val="18"/>
                <w:color w:val="0000EE"/>
              </w:rPr>
            </w:pPr>
            <w:hyperlink w:anchor="page155">
              <w:r>
                <w:rPr>
                  <w:rFonts w:ascii="Arial" w:cs="Arial" w:eastAsia="Arial" w:hAnsi="Arial"/>
                  <w:sz w:val="18"/>
                  <w:szCs w:val="18"/>
                  <w:color w:val="0000EE"/>
                </w:rPr>
                <w:t>Notes to Financial Statements</w:t>
              </w:r>
            </w:hyperlink>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8"/>
              </w:rPr>
              <w:t>F-7</w:t>
            </w:r>
          </w:p>
        </w:tc>
      </w:tr>
      <w:tr>
        <w:trPr>
          <w:trHeight w:val="466"/>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0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5"/>
          </w:tcPr>
          <w:p>
            <w:pPr>
              <w:ind w:left="1060"/>
              <w:spacing w:after="0"/>
              <w:rPr>
                <w:sz w:val="20"/>
                <w:szCs w:val="20"/>
                <w:color w:val="auto"/>
              </w:rPr>
            </w:pPr>
            <w:r>
              <w:rPr>
                <w:rFonts w:ascii="Arial" w:cs="Arial" w:eastAsia="Arial" w:hAnsi="Arial"/>
                <w:sz w:val="18"/>
                <w:szCs w:val="18"/>
                <w:color w:val="auto"/>
              </w:rPr>
              <w:t>F-1</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49" w:name="page150"/>
    <w:bookmarkEnd w:id="149"/>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Sustainable Opportunities Acquisition Corp.</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left="460" w:right="499"/>
        <w:spacing w:after="0" w:line="291" w:lineRule="auto"/>
        <w:rPr>
          <w:sz w:val="20"/>
          <w:szCs w:val="20"/>
          <w:color w:val="auto"/>
        </w:rPr>
      </w:pPr>
      <w:r>
        <w:rPr>
          <w:rFonts w:ascii="Arial" w:cs="Arial" w:eastAsia="Arial" w:hAnsi="Arial"/>
          <w:sz w:val="16"/>
          <w:szCs w:val="16"/>
          <w:color w:val="auto"/>
        </w:rPr>
        <w:t>We have audited the accompanying balance sheet of Sustainable Opportunities Acquisition Corp. (the “Company”) as of December 31, 2019 and the related statements of operations, changes in shareholder’s equity and cash flows for the period from December 18,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December 18, 2019 (inception) through December 31, 2019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ind w:left="460" w:right="639"/>
        <w:spacing w:after="0" w:line="272"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1 to the financial statements, the Company’s business plan is dependent on the completion of a financing, and the Company’s cash and working capital as of December 31, 2019 are not sufficient to complete its planned activities. These conditions raise substantial doubt about the Company’s ability to continue as a going concern. Management’s plans in regard to these matters are also described in Notes 1 and 3. The financial statements do not include any adjustments that might result from the outcome of this uncertainty.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47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left="460" w:right="519"/>
        <w:spacing w:after="0" w:line="254"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Marcum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18,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0" w:name="page151"/>
    <w:bookmarkEnd w:id="150"/>
    <w:tbl>
      <w:tblPr>
        <w:tblLayout w:type="fixed"/>
        <w:tblInd w:w="460" w:type="dxa"/>
        <w:tblCellMar>
          <w:top w:w="0" w:type="dxa"/>
          <w:left w:w="0" w:type="dxa"/>
          <w:bottom w:w="0" w:type="dxa"/>
          <w:right w:w="0" w:type="dxa"/>
        </w:tblCellMar>
      </w:tblPr>
      <w:tr>
        <w:trPr>
          <w:trHeight w:val="23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686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December 31, 2019</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140" w:type="dxa"/>
            <w:vAlign w:val="bottom"/>
            <w:gridSpan w:val="2"/>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associated with initial public offering</w:t>
            </w: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103,660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119,621</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372"/>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23,060</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2"/>
                <w:szCs w:val="22"/>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80,600</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103,660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358"/>
        </w:trPr>
        <w:tc>
          <w:tcPr>
            <w:tcW w:w="68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rPr>
              <w:t>Preference shares, $0.0001 par value; 1,000,000 shares authorized; none issued and</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 $0.0001 par value; 300,000,000 shares authorized; none issued and</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1"/>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2"/>
              </w:rPr>
              <w:t>Class B ordinary shares, $0.0001 par value; 30,000,000 shares authorized; 8,625,000 shares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71"/>
        </w:trPr>
        <w:tc>
          <w:tcPr>
            <w:tcW w:w="6860" w:type="dxa"/>
            <w:vAlign w:val="bottom"/>
          </w:tcPr>
          <w:p>
            <w:pPr>
              <w:ind w:left="180"/>
              <w:spacing w:after="0"/>
              <w:rPr>
                <w:sz w:val="20"/>
                <w:szCs w:val="20"/>
                <w:color w:val="auto"/>
              </w:rPr>
            </w:pPr>
            <w:r>
              <w:rPr>
                <w:rFonts w:ascii="Arial" w:cs="Arial" w:eastAsia="Arial" w:hAnsi="Arial"/>
                <w:sz w:val="18"/>
                <w:szCs w:val="18"/>
                <w:color w:val="auto"/>
              </w:rPr>
              <w:t>issued and outstanding</w:t>
            </w:r>
            <w:r>
              <w:rPr>
                <w:rFonts w:ascii="Arial" w:cs="Arial" w:eastAsia="Arial" w:hAnsi="Arial"/>
                <w:sz w:val="20"/>
                <w:szCs w:val="20"/>
                <w:color w:val="auto"/>
                <w:vertAlign w:val="superscript"/>
              </w:rPr>
              <w:t>(1)</w:t>
            </w:r>
          </w:p>
        </w:tc>
        <w:tc>
          <w:tcPr>
            <w:tcW w:w="32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863</w:t>
            </w: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24,137</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2"/>
                <w:szCs w:val="22"/>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(9,039)</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119,621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619" w:hanging="426"/>
        <w:spacing w:after="0" w:line="293" w:lineRule="auto"/>
        <w:tabs>
          <w:tab w:leader="none" w:pos="880" w:val="left"/>
        </w:tabs>
        <w:numPr>
          <w:ilvl w:val="0"/>
          <w:numId w:val="89"/>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includes up to 1,125,000 shares subject to forfeiture if the over-allotment option is not exercised in full or in part by the underwriters (see Note 4).</w:t>
      </w:r>
    </w:p>
    <w:p>
      <w:pPr>
        <w:spacing w:after="0" w:line="86"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December 18, 2019 (inception) through December 31, 2019</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basic and diluted</w:t>
            </w:r>
            <w:r>
              <w:rPr>
                <w:rFonts w:ascii="Arial" w:cs="Arial" w:eastAsia="Arial" w:hAnsi="Arial"/>
                <w:sz w:val="20"/>
                <w:szCs w:val="20"/>
                <w:b w:val="1"/>
                <w:bCs w:val="1"/>
                <w:color w:val="auto"/>
                <w:vertAlign w:val="superscript"/>
              </w:rPr>
              <w:t>(1)</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7"/>
        </w:trPr>
        <w:tc>
          <w:tcPr>
            <w:tcW w:w="6860" w:type="dxa"/>
            <w:vAlign w:val="bottom"/>
            <w:vMerge w:val="continue"/>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619" w:hanging="426"/>
        <w:spacing w:after="0" w:line="293" w:lineRule="auto"/>
        <w:tabs>
          <w:tab w:leader="none" w:pos="88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excludes an aggregate of up to 1,125,000 shares subject to forfeiture if the over-allotment option is not exercised in full or in part by the underwriters (see Note 4).</w:t>
      </w:r>
    </w:p>
    <w:p>
      <w:pPr>
        <w:spacing w:after="0" w:line="86"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December 18, 2019 (inception) through December 31, 2019</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ind w:left="20"/>
              <w:spacing w:after="0"/>
              <w:rPr>
                <w:sz w:val="20"/>
                <w:szCs w:val="20"/>
                <w:color w:val="auto"/>
              </w:rPr>
            </w:pPr>
            <w:r>
              <w:rPr>
                <w:rFonts w:ascii="Arial" w:cs="Arial" w:eastAsia="Arial" w:hAnsi="Arial"/>
                <w:sz w:val="16"/>
                <w:szCs w:val="16"/>
                <w:b w:val="1"/>
                <w:bCs w:val="1"/>
                <w:color w:val="auto"/>
              </w:rPr>
              <w:t>Ordinary Shares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47"/>
        </w:trPr>
        <w:tc>
          <w:tcPr>
            <w:tcW w:w="2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220" w:type="dxa"/>
            <w:vAlign w:val="bottom"/>
          </w:tcPr>
          <w:p>
            <w:pPr>
              <w:spacing w:after="0"/>
              <w:rPr>
                <w:sz w:val="9"/>
                <w:szCs w:val="9"/>
                <w:color w:val="auto"/>
              </w:rPr>
            </w:pPr>
          </w:p>
        </w:tc>
        <w:tc>
          <w:tcPr>
            <w:tcW w:w="132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Class A</w:t>
            </w:r>
          </w:p>
        </w:tc>
        <w:tc>
          <w:tcPr>
            <w:tcW w:w="1080" w:type="dxa"/>
            <w:vAlign w:val="bottom"/>
            <w:gridSpan w:val="3"/>
            <w:vMerge w:val="restart"/>
          </w:tcPr>
          <w:p>
            <w:pPr>
              <w:jc w:val="right"/>
              <w:ind w:right="13"/>
              <w:spacing w:after="0"/>
              <w:rPr>
                <w:sz w:val="20"/>
                <w:szCs w:val="20"/>
                <w:color w:val="auto"/>
              </w:rPr>
            </w:pPr>
            <w:r>
              <w:rPr>
                <w:rFonts w:ascii="Arial" w:cs="Arial" w:eastAsia="Arial" w:hAnsi="Arial"/>
                <w:sz w:val="16"/>
                <w:szCs w:val="16"/>
                <w:b w:val="1"/>
                <w:bCs w:val="1"/>
                <w:color w:val="auto"/>
              </w:rPr>
              <w:t>Class 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22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Paid-in</w:t>
            </w:r>
          </w:p>
        </w:tc>
        <w:tc>
          <w:tcPr>
            <w:tcW w:w="1020" w:type="dxa"/>
            <w:vAlign w:val="bottom"/>
            <w:gridSpan w:val="4"/>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140" w:type="dxa"/>
            <w:vAlign w:val="bottom"/>
            <w:gridSpan w:val="3"/>
            <w:vMerge w:val="restart"/>
          </w:tcPr>
          <w:p>
            <w:pPr>
              <w:jc w:val="center"/>
              <w:spacing w:after="0" w:line="142" w:lineRule="exact"/>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22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72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20"/>
                <w:szCs w:val="20"/>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Deficit</w:t>
            </w:r>
          </w:p>
        </w:tc>
        <w:tc>
          <w:tcPr>
            <w:tcW w:w="2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6"/>
        </w:trPr>
        <w:tc>
          <w:tcPr>
            <w:tcW w:w="22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2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 December 18,</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2019 (Inception)</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2"/>
        </w:trPr>
        <w:tc>
          <w:tcPr>
            <w:tcW w:w="2220" w:type="dxa"/>
            <w:vAlign w:val="bottom"/>
          </w:tcPr>
          <w:p>
            <w:pPr>
              <w:spacing w:after="0" w:line="182" w:lineRule="exact"/>
              <w:rPr>
                <w:sz w:val="20"/>
                <w:szCs w:val="20"/>
                <w:color w:val="auto"/>
              </w:rPr>
            </w:pPr>
            <w:r>
              <w:rPr>
                <w:rFonts w:ascii="Arial" w:cs="Arial" w:eastAsia="Arial" w:hAnsi="Arial"/>
                <w:sz w:val="18"/>
                <w:szCs w:val="18"/>
                <w:color w:val="auto"/>
                <w:w w:val="96"/>
              </w:rPr>
              <w:t>Issuance of Class B ordinary</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220" w:type="dxa"/>
            <w:vAlign w:val="bottom"/>
          </w:tcPr>
          <w:p>
            <w:pPr>
              <w:ind w:left="180"/>
              <w:spacing w:after="0"/>
              <w:rPr>
                <w:sz w:val="20"/>
                <w:szCs w:val="20"/>
                <w:color w:val="auto"/>
              </w:rPr>
            </w:pPr>
            <w:r>
              <w:rPr>
                <w:rFonts w:ascii="Arial" w:cs="Arial" w:eastAsia="Arial" w:hAnsi="Arial"/>
                <w:sz w:val="18"/>
                <w:szCs w:val="18"/>
                <w:color w:val="auto"/>
              </w:rPr>
              <w:t xml:space="preserve">shares to Sponsor </w:t>
            </w:r>
            <w:r>
              <w:rPr>
                <w:rFonts w:ascii="Arial" w:cs="Arial" w:eastAsia="Arial" w:hAnsi="Arial"/>
                <w:sz w:val="20"/>
                <w:szCs w:val="20"/>
                <w:color w:val="auto"/>
                <w:vertAlign w:val="superscript"/>
              </w:rPr>
              <w:t>(1)</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8,625,000</w:t>
            </w:r>
          </w:p>
        </w:tc>
        <w:tc>
          <w:tcPr>
            <w:tcW w:w="240" w:type="dxa"/>
            <w:vAlign w:val="bottom"/>
          </w:tcPr>
          <w:p>
            <w:pPr>
              <w:spacing w:after="0"/>
              <w:rPr>
                <w:sz w:val="23"/>
                <w:szCs w:val="2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24,137</w:t>
            </w:r>
          </w:p>
        </w:tc>
        <w:tc>
          <w:tcPr>
            <w:tcW w:w="180" w:type="dxa"/>
            <w:vAlign w:val="bottom"/>
          </w:tcPr>
          <w:p>
            <w:pPr>
              <w:spacing w:after="0"/>
              <w:rPr>
                <w:sz w:val="23"/>
                <w:szCs w:val="23"/>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(9,039)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178"/>
        </w:trPr>
        <w:tc>
          <w:tcPr>
            <w:tcW w:w="2220" w:type="dxa"/>
            <w:vAlign w:val="bottom"/>
          </w:tcPr>
          <w:p>
            <w:pPr>
              <w:spacing w:after="0" w:line="177" w:lineRule="exact"/>
              <w:rPr>
                <w:sz w:val="20"/>
                <w:szCs w:val="20"/>
                <w:color w:val="auto"/>
              </w:rPr>
            </w:pPr>
            <w:r>
              <w:rPr>
                <w:rFonts w:ascii="Arial" w:cs="Arial" w:eastAsia="Arial" w:hAnsi="Arial"/>
                <w:sz w:val="18"/>
                <w:szCs w:val="18"/>
                <w:b w:val="1"/>
                <w:bCs w:val="1"/>
                <w:color w:val="auto"/>
              </w:rPr>
              <w:t>Balance – December 31,</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60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8,625,000</w:t>
            </w:r>
          </w:p>
        </w:tc>
        <w:tc>
          <w:tcPr>
            <w:tcW w:w="24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863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24,137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(9,039)</w:t>
            </w:r>
          </w:p>
        </w:tc>
        <w:tc>
          <w:tcPr>
            <w:tcW w:w="100" w:type="dxa"/>
            <w:vAlign w:val="bottom"/>
          </w:tcPr>
          <w:p>
            <w:pPr>
              <w:spacing w:after="0"/>
              <w:rPr>
                <w:sz w:val="22"/>
                <w:szCs w:val="22"/>
                <w:color w:val="auto"/>
              </w:rPr>
            </w:pPr>
          </w:p>
        </w:tc>
        <w:tc>
          <w:tcPr>
            <w:tcW w:w="24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15,961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619" w:hanging="426"/>
        <w:spacing w:after="0" w:line="293" w:lineRule="auto"/>
        <w:tabs>
          <w:tab w:leader="none" w:pos="880" w:val="left"/>
        </w:tabs>
        <w:numPr>
          <w:ilvl w:val="0"/>
          <w:numId w:val="91"/>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includes up to 1,125,000 shares subject to forfeiture if the over-allotment option is not exercised in full or in part by the underwriters (see Note 4).</w:t>
      </w:r>
    </w:p>
    <w:p>
      <w:pPr>
        <w:spacing w:after="0" w:line="86"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period from December 18, 2019 (inception) through December 31, 2019</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r>
      <w:tr>
        <w:trPr>
          <w:trHeight w:val="41"/>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385"/>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w w:val="92"/>
              </w:rPr>
              <w:t>General and administrative expenses paid by Sponsor in exchange for issuance of Class B</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4"/>
        </w:trPr>
        <w:tc>
          <w:tcPr>
            <w:tcW w:w="6860" w:type="dxa"/>
            <w:vAlign w:val="bottom"/>
          </w:tcPr>
          <w:p>
            <w:pPr>
              <w:ind w:left="360"/>
              <w:spacing w:after="0"/>
              <w:rPr>
                <w:sz w:val="20"/>
                <w:szCs w:val="20"/>
                <w:color w:val="auto"/>
              </w:rPr>
            </w:pPr>
            <w:r>
              <w:rPr>
                <w:rFonts w:ascii="Arial" w:cs="Arial" w:eastAsia="Arial" w:hAnsi="Arial"/>
                <w:sz w:val="18"/>
                <w:szCs w:val="18"/>
                <w:color w:val="auto"/>
              </w:rPr>
              <w:t>ordinary shares to Sponsor</w:t>
            </w:r>
          </w:p>
        </w:tc>
        <w:tc>
          <w:tcPr>
            <w:tcW w:w="3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9,039</w:t>
            </w: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58"/>
        </w:trPr>
        <w:tc>
          <w:tcPr>
            <w:tcW w:w="686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r>
      <w:tr>
        <w:trPr>
          <w:trHeight w:val="40"/>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405"/>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 end of the period</w:t>
            </w: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r>
      <w:tr>
        <w:trPr>
          <w:trHeight w:val="372"/>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Deferred offering costs included in accounts payable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23,060</w:t>
            </w:r>
          </w:p>
        </w:tc>
      </w:tr>
      <w:tr>
        <w:trPr>
          <w:trHeight w:val="41"/>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 included in accrued expenses</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80,600</w:t>
            </w: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w w:val="98"/>
              </w:rPr>
              <w:t>Deferred offering costs paid by Sponsor in exchange for issuance of Class B ordinary</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860" w:type="dxa"/>
            <w:vAlign w:val="bottom"/>
          </w:tcPr>
          <w:p>
            <w:pPr>
              <w:ind w:left="360"/>
              <w:spacing w:after="0"/>
              <w:rPr>
                <w:sz w:val="20"/>
                <w:szCs w:val="20"/>
                <w:color w:val="auto"/>
              </w:rPr>
            </w:pPr>
            <w:r>
              <w:rPr>
                <w:rFonts w:ascii="Arial" w:cs="Arial" w:eastAsia="Arial" w:hAnsi="Arial"/>
                <w:sz w:val="18"/>
                <w:szCs w:val="18"/>
                <w:color w:val="auto"/>
              </w:rPr>
              <w:t>shares to Sponsor</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15,961</w:t>
            </w:r>
          </w:p>
        </w:tc>
      </w:tr>
    </w:tbl>
    <w:p>
      <w:pPr>
        <w:spacing w:after="0" w:line="215"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Business Operations and Basis of Presentation</w:t>
      </w:r>
    </w:p>
    <w:p>
      <w:pPr>
        <w:spacing w:after="0" w:line="162"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has not selected any Business Combination target and the Company has not, nor has anyone on its behalf, initiated any substantive discussions, directly or indirectly, with any Business Combination target. The Company is an emerging growth company and, as such, the Company is subject to all of the risks associated with emerging growth companies.</w:t>
      </w:r>
    </w:p>
    <w:p>
      <w:pPr>
        <w:spacing w:after="0" w:line="97"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As of December 31, 2019, the Company had not commenced any operations. All activity for the period from December 18, 2019 (inception) through December 31, 2019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97"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Company’s sponsor is Sustainable Opportunities Holdings LLC, a Delaware limited liability company (the “Sponsor”). The Company’s ability to commence operations is contingent upon obtaining adequate financial resources through a proposed public offering (the “Proposed Public Offering”) of 30,000,000 units (each, a “Unit” and collectively, the “Units”) at $10.00 per Unit (or 34,500,000 units if the underwriter’s over-allotment option is exercised in full), which is discussed in Note 3, and the sale of 10,000,000 warrants (each, a “Private Placement Warrant” and collectively, the “Private Placement Warrants”) at a price of $1.00 per Private Placement Warrant in a private placement to the Sponsor that will close simultaneously with the Proposed Public Offering.</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Company’s management has broad discretion with respect to the specific application of the net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proceeds of the Proposed Public Offering and the sale of Private Placement Warrants, although substantially all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the net proceeds are intended to be applied generally toward consummating a Business Combination. There 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assurance that the Company will be able to complete a Business Combination successfully. The Company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must complete one or more initial Business Combinations having an aggregate fair market value of at least 80%</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the assets held in the Trust Account (as defined below) (excluding the deferred underwriting commissions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taxes payable on income earned on the Trust Account) at the time of the signing of the agreement to enter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into the initial Business Combination. However, the Company will only complete a Business Combination if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post-transaction company owns or acquires 50% or more of the outstanding voting securities of the target 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otherwise acquires a controlling interest in the target sufficient for it not to be required to register as an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company under the Investment Company Act 1940, as amended (the “Investment Company Act”).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the closing of the Proposed Public Offering, management has agreed that an amount equal to at least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$10.00 per Unit sold in the Proposed Public Offering, including the proceeds of the Private Placement Warrants,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 be held in a trust account (“Trust Account”), located in the United States at J.P. Morgan Chase Bank, N.A.,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Continental Stock Transfer &amp; Trust Company acting as trustee, and invested only in U.S. government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securities, within the meaning set forth in Section 2(a)(16) of the Investment Company Act, with a maturity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185 days or less or in any open-ended investment company that holds itself out as a money market fund selected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the Company meeting the conditions of paragraphs (d)(2), (d)(3) and (d)(4) of Rule 2a-7 of the Investment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Company Act, as determined by the Company, until the earlier of: (i) the completion of a Business Combination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(ii) the distribution of the Trust Account as described below.</w:t>
      </w:r>
    </w:p>
    <w:p>
      <w:pPr>
        <w:spacing w:after="0" w:line="130"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The Company will provide the holders (the “Public Shareholders”) of its Class A ordinary shares, par value $0.0001 per share sold in the Proposed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67" w:lineRule="auto"/>
        <w:rPr>
          <w:sz w:val="20"/>
          <w:szCs w:val="20"/>
          <w:color w:val="auto"/>
        </w:rPr>
      </w:pPr>
      <w:r>
        <w:rPr>
          <w:rFonts w:ascii="Arial" w:cs="Arial" w:eastAsia="Arial" w:hAnsi="Arial"/>
          <w:sz w:val="17"/>
          <w:szCs w:val="17"/>
          <w:color w:val="auto"/>
        </w:rPr>
        <w:t>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Proposed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will adopt upon the consummation of the Proposed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Proposed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115"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Proposed Public Offering, without the prior consent of the Company.</w:t>
      </w:r>
    </w:p>
    <w:p>
      <w:pPr>
        <w:spacing w:after="0" w:line="110"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our Public Shares the right to have their shares redeemed in connection with our initial business combination or to redeem 100% of its Public Shares if the Company does not complete a Business Combination within 24 months from the closing of the Proposed Public Offering (the “Combination Period”) or (b) with respect to any other provision relating to shareholders’ rights, unless the Company provides the Public Shareholders with the opportunity to redeem their Class A ordinary shares in conjunction with any such amendment.</w:t>
      </w:r>
    </w:p>
    <w:p>
      <w:pPr>
        <w:spacing w:after="0" w:line="9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December 31, 2019, the Company has no cash and a working capital deficit of approximately</w:t>
      </w:r>
    </w:p>
    <w:p>
      <w:pPr>
        <w:spacing w:after="0" w:line="35" w:lineRule="exact"/>
        <w:rPr>
          <w:sz w:val="20"/>
          <w:szCs w:val="20"/>
          <w:color w:val="auto"/>
        </w:rPr>
      </w:pPr>
    </w:p>
    <w:p>
      <w:pPr>
        <w:ind w:left="460" w:right="499"/>
        <w:spacing w:after="0" w:line="268" w:lineRule="auto"/>
        <w:rPr>
          <w:sz w:val="20"/>
          <w:szCs w:val="20"/>
          <w:color w:val="auto"/>
        </w:rPr>
      </w:pPr>
      <w:r>
        <w:rPr>
          <w:rFonts w:ascii="Arial" w:cs="Arial" w:eastAsia="Arial" w:hAnsi="Arial"/>
          <w:sz w:val="17"/>
          <w:szCs w:val="17"/>
          <w:color w:val="auto"/>
        </w:rPr>
        <w:t>$88,000. As a result, the Company does not have sufficient liquidity to meet its anticipated obligations over the next year from the issuance date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consummate a Business Combination will be successful. The Company currently relies on the Sponsor to provide working capital needs until the consummation of the Proposed Public Offering.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19"/>
        <w:spacing w:after="0" w:line="275" w:lineRule="auto"/>
        <w:rPr>
          <w:sz w:val="20"/>
          <w:szCs w:val="20"/>
          <w:color w:val="auto"/>
        </w:rPr>
      </w:pPr>
      <w:r>
        <w:rPr>
          <w:rFonts w:ascii="Arial" w:cs="Arial" w:eastAsia="Arial" w:hAnsi="Arial"/>
          <w:sz w:val="17"/>
          <w:szCs w:val="17"/>
          <w:color w:val="auto"/>
        </w:rPr>
        <w:t>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09"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Company complies with accounting and disclosure requirements of FASB ASC Topic 260, “Earnings Per Share.” Net loss per share is computed by dividing net loss by the weighted average number of ordinary shares outstanding during the period. Weighted average shares were reduced for the effect of an aggregate of 1,125,000 ordinary shares that are subject to forfeiture if the over-allotment option is not exercised by the underwriters. At December 31, 2019,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Coverage of $250,000. At December 31, 2019, the Company has not experienced losses on these accounts and management believes the Company is not exposed to significant risks on such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their short-term nature.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 Associated with the Proposed Public Offering</w:t>
      </w:r>
    </w:p>
    <w:p>
      <w:pPr>
        <w:spacing w:after="0" w:line="144"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additional paid-in capital upon the completion of the Proposed Public Offering. Should the Proposed Public Offering prove to be unsuccessful, these deferred costs, as well as additional expenses to be incurred, will be charged to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9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2019.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for the period from December 18, 2019 (inception) through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8"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is zero for the period presented.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July 2017, the FASB issued ASU 2017-11, Earnings Per Share (Topic 260), Distinguishing Liabilities from Equity (Topic 480) and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Part I of this update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Also, entities must adjust their basic Earnings Per Share (“EPS”) calculation for the effect of the down round provision when triggered (that is, when the exercise price of the related equity-linked financial instrument is adjusted downward because of the down round feature). That effect is treated as a dividend and as a reduction of income available to common shareholders in basic EPS. An entity will also recognize the effect of the trigger within equity. The guidance is effective for fiscal years, and interim periods within those fiscal years, beginning after December 15, 2018. The Company adopted this guidance. The adoption of this guidance is not expected to have a material impact on the Company’s financial position, results of operations, cash flows or disclosures until a trigger event occurs.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are not expected to have an impact on the Company.</w:t>
      </w:r>
    </w:p>
    <w:p>
      <w:pPr>
        <w:spacing w:after="0" w:line="304"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The Company’s management does not believe that any recently issued, but not yet effective, accounting standards, if currently adopted, would have a material effect on the accompanying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62" w:lineRule="exact"/>
        <w:rPr>
          <w:sz w:val="20"/>
          <w:szCs w:val="20"/>
          <w:color w:val="auto"/>
        </w:rPr>
      </w:pPr>
    </w:p>
    <w:p>
      <w:pPr>
        <w:ind w:left="460" w:right="739" w:firstLine="432"/>
        <w:spacing w:after="0" w:line="279" w:lineRule="auto"/>
        <w:rPr>
          <w:sz w:val="20"/>
          <w:szCs w:val="20"/>
          <w:color w:val="auto"/>
        </w:rPr>
      </w:pPr>
      <w:r>
        <w:rPr>
          <w:rFonts w:ascii="Arial" w:cs="Arial" w:eastAsia="Arial" w:hAnsi="Arial"/>
          <w:sz w:val="17"/>
          <w:szCs w:val="17"/>
          <w:color w:val="auto"/>
        </w:rPr>
        <w:t>Pursuant to the Proposed Public Offering, the Company intends to offer for sale 30,000,000 Units at a price of $10.00 per Unit. Each Unit consists of one Class A ordinary share and one-half of one redeemable warrant (each, a “Public Warrant”). Each Public Warrant entitles the holder to purchase one Class A ordinary share at a price of $11.50 per share, subject to adjustment (see Note 6).</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On December 31, 2019, the Sponsor purchased 8,625,000 shares (the “Founder Shares”) of the Company’s Class B ordinary shares, par value $0.0001 for an aggregate price of $25,000. The Founder Shares will automatically convert into Class A ordinary shares at the time of the Company’s initial Business Combination and are subject to certain transfer restrictions, as described in Note 6. The Sponsor has agreed to forfeit up to 1,125,000 Founder Shares to the extent that the over-allotment option is not exercised in full by the underwriter. The forfeiture will be adjusted to the extent that the over-allotment option is not exercised in full by the underwriter so that the Founder Shares will represent 20.0% of the Company’s issued and outstanding shares after the Proposed Public Offering. If the Company increases or decreases the size of the Proposed Public Offering, the Company will effect a share dividend or share contribution back to capital, as applicable, prior to the consummation of the Proposed Public Offering in such amount as to maintain the Founder Share ownership of the Company’s shareholders prior to the Proposed Public Offering at 20% of the Company’s issued and outstanding ordinary shares upon the consummation of the Proposed Public Offering.</w:t>
      </w:r>
    </w:p>
    <w:p>
      <w:pPr>
        <w:spacing w:after="0" w:line="100"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The initial shareholders will agree,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58"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The Sponsor will agree to purchase an aggregate of 10,000,000 Private Placement Warrants at a price of $1.00 per Private Placement Warrant (or $10.0 million in the aggregate) in a private placement that will occur simultaneously with the closing of the Proposed Public Offering. Each Private Placement Warrant is exercisable for one whole Class A ordinary share at a price of $11.50 per share. A portion of the proceeds from the sale of the Private Placement Warrants will be added to the proceeds from the Proposed Public Offering to be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15"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Sponsor and the Company’s officers and directors will agree, subject to limited exceptions, not to transfer, assign or sell any of their Private Placement Warrants until 30 days after the completion of the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5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On December 31, 2019, the Sponsor agreed to loan the Company an aggregate of up to $300,000 to cover expenses related to the Proposed Public Offering pursuant to a promissory note (the “Note”). This loan is non-interest bearing and payable on the earlier of June 30, 2020 or the completion of the Proposed Public Offering. As of December 31, 2019, the Company has not borrowed any amount under the Note.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December 31, 2019, the Company has approximately $23,000 in accounts payable to related parties for certain offering costs and general and administrative expenses as presented in the accompanying balance sheet.</w:t>
      </w:r>
    </w:p>
    <w:p>
      <w:pPr>
        <w:spacing w:after="0" w:line="116"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$1.50 per warrant. The warrants would be identical to the Private Placement Warrants. To date, the Company had no borrowings under the Working Capital Loans.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jc w:val="both"/>
        <w:ind w:left="460" w:right="539" w:firstLine="432"/>
        <w:spacing w:after="0" w:line="311" w:lineRule="auto"/>
        <w:rPr>
          <w:sz w:val="20"/>
          <w:szCs w:val="20"/>
          <w:color w:val="auto"/>
        </w:rPr>
      </w:pPr>
      <w:r>
        <w:rPr>
          <w:rFonts w:ascii="Arial" w:cs="Arial" w:eastAsia="Arial" w:hAnsi="Arial"/>
          <w:sz w:val="16"/>
          <w:szCs w:val="16"/>
          <w:color w:val="auto"/>
        </w:rPr>
        <w:t>The Company has agreed, commencing on the effective date of the Proposed Public Offering through the earlier of the Company’s consummation of a Business Combination and its liquidation, to reimburse an affiliate of the Sponsor a total of $10,000 per month for office space, secretarial and administrative services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44"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to be signed upon consummation of the Proposed Public Offering.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58"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The Company will grant the underwriter a 45-day option from the date of the final prospectus relating to the Proposed Public Offering to purchase up to 4,500,000 additional Units to cover over-allotments, if any, at $10.00 per Unit, less the underwriting discounts and commissions.</w:t>
      </w:r>
    </w:p>
    <w:p>
      <w:pPr>
        <w:spacing w:after="0" w:line="11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underwriter will be entitled to an underwriting discount of $0.20 per unit, or $6.0 million in the aggregate (or approximately $6.9 million in the aggregate if the underwriter’s over-allotment option is exercised in full), payable upon the closing of the Proposed Public Offering. In addition, $0.35 per unit, or $10.5 million in the aggregate (or $12.075 million in the aggregate if the underwriter’s over-allotment option is exercised in full)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Shareholder’s Equity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300,000,000 Class A ordinary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par value of $0.0001 per share. As of December 31, 2019, there were no Class A ordinary shares issued or outstanding.</w:t>
      </w:r>
    </w:p>
    <w:p>
      <w:pPr>
        <w:spacing w:after="0" w:line="103"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30,000,000 Class B ordinary shares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 value of $0.0001 per share. Holders of Class B ordinary shares are entitled to one vote for each share. Of the 8,625,000 Class B ordinary shares outstanding, an aggregate of up to 1,125,000 shares are subject to forfeiture to the Company by the Sponsor for no consideration to the extent that the underwriter’s over-allotment option is not exercised in full or in part, so that the initial shareholders will collectively own 20% of the Company’s issued and outstanding ordinary shares after the Proposed Public Offering.</w:t>
      </w:r>
    </w:p>
    <w:p>
      <w:pPr>
        <w:spacing w:after="0" w:line="97"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Holders of the Class A ordinary shares and holders of the Class B ordinary shares will vote together as a single class on all matters submitted to a vote of the Company’s shareholders except as required by law.</w:t>
      </w:r>
    </w:p>
    <w:p>
      <w:pPr>
        <w:spacing w:after="0" w:line="56" w:lineRule="exact"/>
        <w:rPr>
          <w:sz w:val="20"/>
          <w:szCs w:val="20"/>
          <w:color w:val="auto"/>
        </w:rPr>
      </w:pPr>
    </w:p>
    <w:p>
      <w:pPr>
        <w:ind w:left="460" w:right="579" w:firstLine="432"/>
        <w:spacing w:after="0" w:line="268" w:lineRule="auto"/>
        <w:rPr>
          <w:sz w:val="20"/>
          <w:szCs w:val="20"/>
          <w:color w:val="auto"/>
        </w:rPr>
      </w:pPr>
      <w:r>
        <w:rPr>
          <w:rFonts w:ascii="Arial" w:cs="Arial" w:eastAsia="Arial" w:hAnsi="Arial"/>
          <w:sz w:val="17"/>
          <w:szCs w:val="17"/>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Proposed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05"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b w:val="1"/>
          <w:bCs w:val="1"/>
          <w:i w:val="1"/>
          <w:iCs w:val="1"/>
          <w:color w:val="auto"/>
        </w:rPr>
        <w:t xml:space="preserve">Preference Shares </w:t>
      </w:r>
      <w:r>
        <w:rPr>
          <w:rFonts w:ascii="Arial" w:cs="Arial" w:eastAsia="Arial" w:hAnsi="Arial"/>
          <w:sz w:val="16"/>
          <w:szCs w:val="16"/>
          <w:color w:val="auto"/>
        </w:rPr>
        <w:t>— The Company is authorized to issue 1,000,000 preference shares with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designations, voting and other rights and preferences as may be determined from time to time by the Company’s board of directors. As of December 31, 2019, there were no preference shares issued or outstanding.</w:t>
      </w:r>
    </w:p>
    <w:p>
      <w:pPr>
        <w:spacing w:after="0" w:line="81"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will be issued upon separation of the Units and only whole Public Warrants will trade. The Public Warrants will become exercisable on the later of (a) 30 days after the completion of a Business Combination or</w:t>
      </w:r>
    </w:p>
    <w:p>
      <w:pPr>
        <w:spacing w:after="0" w:line="2" w:lineRule="exact"/>
        <w:rPr>
          <w:sz w:val="20"/>
          <w:szCs w:val="20"/>
          <w:color w:val="auto"/>
        </w:rPr>
      </w:pPr>
    </w:p>
    <w:p>
      <w:pPr>
        <w:ind w:left="460" w:right="519" w:hanging="6"/>
        <w:spacing w:after="0" w:line="282" w:lineRule="auto"/>
        <w:tabs>
          <w:tab w:leader="none" w:pos="7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12 months from the closing of the Proposed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 the Class A ordinary shares issuable upon exercise of the warrants is not effective by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Shareholder’s Equity </w:t>
      </w:r>
      <w:r>
        <w:rPr>
          <w:rFonts w:ascii="Arial" w:cs="Arial" w:eastAsia="Arial" w:hAnsi="Arial"/>
          <w:sz w:val="18"/>
          <w:szCs w:val="18"/>
          <w:color w:val="auto"/>
        </w:rPr>
        <w:t>(cont.)</w:t>
      </w:r>
    </w:p>
    <w:p>
      <w:pPr>
        <w:spacing w:after="0" w:line="189"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122"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103" w:lineRule="exact"/>
        <w:rPr>
          <w:sz w:val="20"/>
          <w:szCs w:val="20"/>
          <w:color w:val="auto"/>
        </w:rPr>
      </w:pPr>
    </w:p>
    <w:p>
      <w:pPr>
        <w:ind w:left="1300" w:hanging="41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57" w:lineRule="exact"/>
        <w:rPr>
          <w:rFonts w:ascii="Arial" w:cs="Arial" w:eastAsia="Arial" w:hAnsi="Arial"/>
          <w:sz w:val="18"/>
          <w:szCs w:val="18"/>
          <w:color w:val="auto"/>
        </w:rPr>
      </w:pPr>
    </w:p>
    <w:p>
      <w:pPr>
        <w:ind w:left="1320" w:right="499" w:hanging="434"/>
        <w:spacing w:after="0" w:line="301" w:lineRule="auto"/>
        <w:tabs>
          <w:tab w:leader="none" w:pos="1311"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7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16"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Proposed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11"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Subsequent Events</w:t>
      </w:r>
    </w:p>
    <w:p>
      <w:pPr>
        <w:spacing w:after="0" w:line="16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Management has evaluated subsequent events and transactions that occurred after the balance sheet date up to February 18, 2020, the date these financial statements were available to be issued. Based upon this review, the Company did not identify any subsequent events that would have required adjustment or disclosure in the financial statements.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1202690</wp:posOffset>
            </wp:positionH>
            <wp:positionV relativeFrom="page">
              <wp:posOffset>363220</wp:posOffset>
            </wp:positionV>
            <wp:extent cx="514350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406400</wp:posOffset>
            </wp:positionV>
            <wp:extent cx="514350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25400"/>
                    </a:xfrm>
                    <a:prstGeom prst="rect">
                      <a:avLst/>
                    </a:prstGeom>
                    <a:noFill/>
                  </pic:spPr>
                </pic:pic>
              </a:graphicData>
            </a:graphic>
          </wp:anchor>
        </w:drawing>
        <w:t>Sustainable Opportunities Acquisition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______________</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w:t>
      </w:r>
    </w:p>
    <w:p>
      <w:pPr>
        <w:spacing w:after="0" w:line="225" w:lineRule="exact"/>
        <w:rPr>
          <w:sz w:val="20"/>
          <w:szCs w:val="20"/>
          <w:color w:val="auto"/>
        </w:rPr>
      </w:pPr>
    </w:p>
    <w:p>
      <w:pPr>
        <w:ind w:left="4360" w:hanging="81"/>
        <w:spacing w:after="0"/>
        <w:tabs>
          <w:tab w:leader="none" w:pos="43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2020</w:t>
      </w:r>
    </w:p>
    <w:p>
      <w:pPr>
        <w:spacing w:after="0" w:line="27" w:lineRule="exact"/>
        <w:rPr>
          <w:rFonts w:ascii="Arial" w:cs="Arial" w:eastAsia="Arial" w:hAnsi="Arial"/>
          <w:sz w:val="18"/>
          <w:szCs w:val="18"/>
          <w:b w:val="1"/>
          <w:bCs w:val="1"/>
          <w:color w:val="auto"/>
        </w:rPr>
      </w:pPr>
    </w:p>
    <w:p>
      <w:pPr>
        <w:ind w:left="3920"/>
        <w:spacing w:after="0"/>
        <w:rPr>
          <w:rFonts w:ascii="Arial" w:cs="Arial" w:eastAsia="Arial" w:hAnsi="Arial"/>
          <w:sz w:val="18"/>
          <w:szCs w:val="18"/>
          <w:b w:val="1"/>
          <w:bCs w:val="1"/>
          <w:color w:val="auto"/>
        </w:rPr>
      </w:pPr>
      <w:r>
        <w:rPr>
          <w:rFonts w:ascii="Arial" w:cs="Arial" w:eastAsia="Arial" w:hAnsi="Arial"/>
          <w:sz w:val="18"/>
          <w:szCs w:val="18"/>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right="499"/>
        <w:spacing w:after="0" w:line="261" w:lineRule="auto"/>
        <w:rPr>
          <w:sz w:val="20"/>
          <w:szCs w:val="20"/>
          <w:color w:val="auto"/>
        </w:rPr>
      </w:pPr>
      <w:r>
        <w:rPr>
          <w:rFonts w:ascii="Arial" w:cs="Arial" w:eastAsia="Arial" w:hAnsi="Arial"/>
          <w:sz w:val="18"/>
          <w:szCs w:val="18"/>
          <w:b w:val="1"/>
          <w:bCs w:val="1"/>
          <w:color w:val="auto"/>
        </w:rPr>
        <w:t>Until , 2020 (25 days after the date of this prospectus), all dealers that buy, sell or trade our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459740</wp:posOffset>
            </wp:positionV>
            <wp:extent cx="514350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502920</wp:posOffset>
            </wp:positionV>
            <wp:extent cx="514350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777240</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077" w:right="1440"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62" w:lineRule="exact"/>
        <w:rPr>
          <w:sz w:val="20"/>
          <w:szCs w:val="20"/>
          <w:color w:val="auto"/>
        </w:rPr>
      </w:pPr>
    </w:p>
    <w:p>
      <w:pPr>
        <w:ind w:left="460" w:right="1039" w:firstLine="432"/>
        <w:spacing w:after="0" w:line="308" w:lineRule="auto"/>
        <w:rPr>
          <w:sz w:val="20"/>
          <w:szCs w:val="20"/>
          <w:color w:val="auto"/>
        </w:rPr>
      </w:pPr>
      <w:r>
        <w:rPr>
          <w:rFonts w:ascii="Arial" w:cs="Arial" w:eastAsia="Arial" w:hAnsi="Arial"/>
          <w:sz w:val="17"/>
          <w:szCs w:val="17"/>
          <w:color w:val="auto"/>
        </w:rPr>
        <w:t>The estimated expenses payable by us in connection with the offering described in this registration statement (other than the underwriting discount and commissions) will be as follows:</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expenses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44,781</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FINRA expenses</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52,250</w:t>
            </w:r>
          </w:p>
        </w:tc>
      </w:tr>
      <w:tr>
        <w:trPr>
          <w:trHeight w:val="41"/>
        </w:trPr>
        <w:tc>
          <w:tcPr>
            <w:tcW w:w="54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40"/>
        </w:trPr>
        <w:tc>
          <w:tcPr>
            <w:tcW w:w="54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Travel and road show expenses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r>
      <w:tr>
        <w:trPr>
          <w:trHeight w:val="40"/>
        </w:trPr>
        <w:tc>
          <w:tcPr>
            <w:tcW w:w="54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r>
      <w:tr>
        <w:trPr>
          <w:trHeight w:val="283"/>
        </w:trPr>
        <w:tc>
          <w:tcPr>
            <w:tcW w:w="5400" w:type="dxa"/>
            <w:vAlign w:val="bottom"/>
          </w:tcPr>
          <w:p>
            <w:pPr>
              <w:spacing w:after="0"/>
              <w:rPr>
                <w:sz w:val="20"/>
                <w:szCs w:val="20"/>
                <w:color w:val="auto"/>
              </w:rPr>
            </w:pPr>
            <w:r>
              <w:rPr>
                <w:rFonts w:ascii="Arial" w:cs="Arial" w:eastAsia="Arial" w:hAnsi="Arial"/>
                <w:sz w:val="18"/>
                <w:szCs w:val="18"/>
                <w:color w:val="auto"/>
              </w:rPr>
              <w:t>Director &amp; Officers liability insurance premiums</w:t>
            </w:r>
            <w:r>
              <w:rPr>
                <w:rFonts w:ascii="Arial" w:cs="Arial" w:eastAsia="Arial" w:hAnsi="Arial"/>
                <w:sz w:val="20"/>
                <w:szCs w:val="20"/>
                <w:color w:val="auto"/>
                <w:vertAlign w:val="superscript"/>
              </w:rPr>
              <w:t>(1)</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26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699" w:hanging="426"/>
        <w:spacing w:after="0" w:line="278" w:lineRule="auto"/>
        <w:tabs>
          <w:tab w:leader="none" w:pos="8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7"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14"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62"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On December 31, 2019, the sponsor paid $25,000, or approximately $0.003 per share, to cover certain of our offering costs in consideration of 8,625,000 Class B ordinary shares, par value $0.0001. Such securities were issued in connection with our organization pursuant to the exemption from registration contained in Section 4(a)(2) of the Securities Act.</w:t>
      </w:r>
    </w:p>
    <w:p>
      <w:pPr>
        <w:spacing w:after="0" w:line="119" w:lineRule="exact"/>
        <w:rPr>
          <w:sz w:val="20"/>
          <w:szCs w:val="20"/>
          <w:color w:val="auto"/>
        </w:rPr>
      </w:pPr>
    </w:p>
    <w:p>
      <w:pPr>
        <w:jc w:val="both"/>
        <w:ind w:left="460" w:right="979" w:firstLine="432"/>
        <w:spacing w:after="0" w:line="286" w:lineRule="auto"/>
        <w:rPr>
          <w:sz w:val="20"/>
          <w:szCs w:val="20"/>
          <w:color w:val="auto"/>
        </w:rPr>
      </w:pPr>
      <w:r>
        <w:rPr>
          <w:rFonts w:ascii="Arial" w:cs="Arial" w:eastAsia="Arial" w:hAnsi="Arial"/>
          <w:sz w:val="17"/>
          <w:szCs w:val="17"/>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w:t>
      </w:r>
    </w:p>
    <w:p>
      <w:pPr>
        <w:spacing w:after="0" w:line="84"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Our sponsor has committed, pursuant to a written agreement, to purchase an aggregate of 10,000,000 private placement warrants, each exercisable to purchase one ordinary share at $11.50 per share, at a price of $1.00 per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6" w:name="page167"/>
    <w:bookmarkEnd w:id="166"/>
    <w:p>
      <w:pPr>
        <w:ind w:left="460" w:right="499"/>
        <w:spacing w:after="0" w:line="263" w:lineRule="auto"/>
        <w:rPr>
          <w:sz w:val="20"/>
          <w:szCs w:val="20"/>
          <w:color w:val="auto"/>
        </w:rPr>
      </w:pPr>
      <w:r>
        <w:rPr>
          <w:rFonts w:ascii="Arial" w:cs="Arial" w:eastAsia="Arial" w:hAnsi="Arial"/>
          <w:sz w:val="18"/>
          <w:szCs w:val="18"/>
          <w:color w:val="auto"/>
        </w:rPr>
        <w:t>warrant ($10,000,000 in the aggregate), in a private placement that will close simultaneously with the closing of this offering. These issuances will be made pursuant to the exemption from registration contained in Section 4(a)(2) of the Securities Act.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62" w:lineRule="exact"/>
        <w:rPr>
          <w:sz w:val="20"/>
          <w:szCs w:val="20"/>
          <w:color w:val="auto"/>
        </w:rPr>
      </w:pPr>
    </w:p>
    <w:p>
      <w:pPr>
        <w:ind w:left="1520" w:hanging="400"/>
        <w:spacing w:after="0"/>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Exhibit Index is incorporated herein by reference.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62" w:lineRule="exact"/>
        <w:rPr>
          <w:sz w:val="20"/>
          <w:szCs w:val="20"/>
          <w:color w:val="auto"/>
        </w:rPr>
      </w:pPr>
    </w:p>
    <w:p>
      <w:pPr>
        <w:ind w:left="1560" w:right="739" w:hanging="440"/>
        <w:spacing w:after="0" w:line="311" w:lineRule="auto"/>
        <w:tabs>
          <w:tab w:leader="none" w:pos="1519"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67" w:lineRule="exact"/>
        <w:rPr>
          <w:rFonts w:ascii="Arial" w:cs="Arial" w:eastAsia="Arial" w:hAnsi="Arial"/>
          <w:sz w:val="16"/>
          <w:szCs w:val="16"/>
          <w:color w:val="auto"/>
        </w:rPr>
      </w:pPr>
    </w:p>
    <w:p>
      <w:pPr>
        <w:ind w:left="1560" w:right="499" w:hanging="440"/>
        <w:spacing w:after="0" w:line="269" w:lineRule="auto"/>
        <w:tabs>
          <w:tab w:leader="none" w:pos="1528"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rFonts w:ascii="Arial" w:cs="Arial" w:eastAsia="Arial" w:hAnsi="Arial"/>
          <w:sz w:val="17"/>
          <w:szCs w:val="17"/>
          <w:color w:val="auto"/>
        </w:rPr>
      </w:pPr>
    </w:p>
    <w:p>
      <w:pPr>
        <w:ind w:left="1520" w:hanging="400"/>
        <w:spacing w:after="0"/>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ind w:left="1980" w:right="539" w:hanging="428"/>
        <w:spacing w:after="0" w:line="275" w:lineRule="auto"/>
        <w:tabs>
          <w:tab w:leader="none" w:pos="1953" w:val="left"/>
        </w:tabs>
        <w:numPr>
          <w:ilvl w:val="1"/>
          <w:numId w:val="9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5" w:lineRule="exact"/>
        <w:rPr>
          <w:rFonts w:ascii="Arial" w:cs="Arial" w:eastAsia="Arial" w:hAnsi="Arial"/>
          <w:sz w:val="17"/>
          <w:szCs w:val="17"/>
          <w:color w:val="auto"/>
        </w:rPr>
      </w:pPr>
    </w:p>
    <w:p>
      <w:pPr>
        <w:ind w:left="1980" w:right="719" w:hanging="428"/>
        <w:spacing w:after="0" w:line="301" w:lineRule="auto"/>
        <w:tabs>
          <w:tab w:leader="none" w:pos="1953" w:val="left"/>
        </w:tabs>
        <w:numPr>
          <w:ilvl w:val="1"/>
          <w:numId w:val="97"/>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7" w:name="page168"/>
    <w:bookmarkEnd w:id="167"/>
    <w:p>
      <w:pPr>
        <w:spacing w:after="0" w:line="396" w:lineRule="exact"/>
        <w:rPr>
          <w:sz w:val="20"/>
          <w:szCs w:val="20"/>
          <w:color w:val="auto"/>
        </w:rPr>
      </w:pPr>
    </w:p>
    <w:p>
      <w:pPr>
        <w:jc w:val="center"/>
        <w:ind w:left="460"/>
        <w:spacing w:after="0"/>
        <w:rPr>
          <w:sz w:val="20"/>
          <w:szCs w:val="20"/>
          <w:color w:val="auto"/>
        </w:rPr>
      </w:pPr>
      <w:r>
        <w:rPr>
          <w:rFonts w:ascii="Arial" w:cs="Arial" w:eastAsia="Arial" w:hAnsi="Arial"/>
          <w:sz w:val="15"/>
          <w:szCs w:val="15"/>
          <w:b w:val="1"/>
          <w:bCs w:val="1"/>
          <w:color w:val="auto"/>
        </w:rPr>
        <w:t>Exhibit</w:t>
      </w:r>
    </w:p>
    <w:p>
      <w:pPr>
        <w:spacing w:after="0" w:line="38"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No.</w:t>
      </w:r>
    </w:p>
    <w:p>
      <w:pPr>
        <w:spacing w:after="0" w:line="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4.1</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4.2</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4.3</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4.4</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5.1</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5.2</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10.2</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10.3</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10.4</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10.5</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10.6</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10.7</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10.8</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10.9</w:t>
      </w:r>
    </w:p>
    <w:p>
      <w:pPr>
        <w:spacing w:after="0" w:line="26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23.1</w:t>
      </w:r>
    </w:p>
    <w:p>
      <w:pPr>
        <w:spacing w:after="0" w:line="7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23.2</w:t>
      </w:r>
    </w:p>
    <w:p>
      <w:pPr>
        <w:spacing w:after="0" w:line="7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23.3</w:t>
      </w:r>
    </w:p>
    <w:p>
      <w:pPr>
        <w:spacing w:after="0" w:line="7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ind w:left="2680"/>
        <w:spacing w:after="0"/>
        <w:rPr>
          <w:sz w:val="20"/>
          <w:szCs w:val="20"/>
          <w:color w:val="auto"/>
        </w:rPr>
      </w:pPr>
      <w:r>
        <w:rPr>
          <w:rFonts w:ascii="Arial" w:cs="Arial" w:eastAsia="Arial" w:hAnsi="Arial"/>
          <w:sz w:val="18"/>
          <w:szCs w:val="18"/>
          <w:b w:val="1"/>
          <w:bCs w:val="1"/>
          <w:color w:val="auto"/>
        </w:rPr>
        <w:t>EXHIBIT INDEX</w:t>
      </w:r>
    </w:p>
    <w:p>
      <w:pPr>
        <w:spacing w:after="0" w:line="392"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46355</wp:posOffset>
            </wp:positionV>
            <wp:extent cx="5143500" cy="179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right="2379"/>
        <w:spacing w:after="0" w:line="328" w:lineRule="auto"/>
        <w:rPr>
          <w:sz w:val="20"/>
          <w:szCs w:val="20"/>
          <w:color w:val="auto"/>
        </w:rPr>
      </w:pPr>
      <w:r>
        <w:rPr>
          <w:rFonts w:ascii="Arial" w:cs="Arial" w:eastAsia="Arial" w:hAnsi="Arial"/>
          <w:sz w:val="18"/>
          <w:szCs w:val="18"/>
          <w:color w:val="auto"/>
        </w:rPr>
        <w:t>Form of Amended and Restated Memorandum and Articles of Association.* Specimen Unit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-6350</wp:posOffset>
            </wp:positionV>
            <wp:extent cx="5143500"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Specimen Class A Ordinary Share Certificate.*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Specimen Warrant Certificate.*</w:t>
      </w:r>
    </w:p>
    <w:p>
      <w:pPr>
        <w:spacing w:after="0" w:line="50" w:lineRule="exact"/>
        <w:rPr>
          <w:sz w:val="20"/>
          <w:szCs w:val="20"/>
          <w:color w:val="auto"/>
        </w:rPr>
      </w:pPr>
    </w:p>
    <w:p>
      <w:pPr>
        <w:ind w:right="1299"/>
        <w:spacing w:after="0" w:line="277" w:lineRule="auto"/>
        <w:rPr>
          <w:sz w:val="20"/>
          <w:szCs w:val="20"/>
          <w:color w:val="auto"/>
        </w:rPr>
      </w:pPr>
      <w:r>
        <w:rPr>
          <w:rFonts w:ascii="Arial" w:cs="Arial" w:eastAsia="Arial" w:hAnsi="Arial"/>
          <w:sz w:val="18"/>
          <w:szCs w:val="18"/>
          <w:color w:val="auto"/>
        </w:rPr>
        <w:t>Form of Warrant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-293370</wp:posOffset>
            </wp:positionV>
            <wp:extent cx="5143500" cy="300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Opinion of 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Opinion of Maples and Calder, Cayman Islands Counsel to the Registrant.*</w:t>
      </w:r>
    </w:p>
    <w:p>
      <w:pPr>
        <w:spacing w:after="0" w:line="50" w:lineRule="exact"/>
        <w:rPr>
          <w:sz w:val="20"/>
          <w:szCs w:val="20"/>
          <w:color w:val="auto"/>
        </w:rPr>
      </w:pPr>
    </w:p>
    <w:p>
      <w:pPr>
        <w:ind w:right="979"/>
        <w:spacing w:after="0" w:line="273" w:lineRule="auto"/>
        <w:rPr>
          <w:sz w:val="20"/>
          <w:szCs w:val="20"/>
          <w:color w:val="auto"/>
        </w:rPr>
      </w:pPr>
      <w:r>
        <w:rPr>
          <w:rFonts w:ascii="Arial" w:cs="Arial" w:eastAsia="Arial" w:hAnsi="Arial"/>
          <w:sz w:val="18"/>
          <w:szCs w:val="18"/>
          <w:color w:val="auto"/>
        </w:rPr>
        <w:t>Form of Investment Management Trust Agreement between Continental Stock Transfer &amp; Trust Company and the Registrant.*</w:t>
      </w:r>
    </w:p>
    <w:p>
      <w:pPr>
        <w:spacing w:after="0" w:line="2" w:lineRule="exact"/>
        <w:rPr>
          <w:sz w:val="20"/>
          <w:szCs w:val="20"/>
          <w:color w:val="auto"/>
        </w:rPr>
      </w:pPr>
    </w:p>
    <w:p>
      <w:pPr>
        <w:ind w:right="699"/>
        <w:spacing w:after="0" w:line="277" w:lineRule="auto"/>
        <w:rPr>
          <w:sz w:val="20"/>
          <w:szCs w:val="20"/>
          <w:color w:val="auto"/>
        </w:rPr>
      </w:pPr>
      <w:r>
        <w:rPr>
          <w:rFonts w:ascii="Arial" w:cs="Arial" w:eastAsia="Arial" w:hAnsi="Arial"/>
          <w:sz w:val="18"/>
          <w:szCs w:val="18"/>
          <w:color w:val="auto"/>
        </w:rPr>
        <w:t>Form of Registration and Shareholder Rights Agreement among the Registrant, the Sponsor and the Holders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-293370</wp:posOffset>
            </wp:positionV>
            <wp:extent cx="5143500" cy="3003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ind w:right="699"/>
        <w:spacing w:after="0" w:line="328" w:lineRule="auto"/>
        <w:rPr>
          <w:sz w:val="20"/>
          <w:szCs w:val="20"/>
          <w:color w:val="auto"/>
        </w:rPr>
      </w:pPr>
      <w:r>
        <w:rPr>
          <w:rFonts w:ascii="Arial" w:cs="Arial" w:eastAsia="Arial" w:hAnsi="Arial"/>
          <w:sz w:val="18"/>
          <w:szCs w:val="18"/>
          <w:color w:val="auto"/>
        </w:rPr>
        <w:t>Form of Private Placement Warrants Purchase Agreement between the Registrant and the Sponsor.* Form of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-186690</wp:posOffset>
            </wp:positionV>
            <wp:extent cx="5143500"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ind w:right="1279"/>
        <w:spacing w:after="0" w:line="352" w:lineRule="auto"/>
        <w:rPr>
          <w:sz w:val="20"/>
          <w:szCs w:val="20"/>
          <w:color w:val="auto"/>
        </w:rPr>
      </w:pPr>
      <w:r>
        <w:rPr>
          <w:rFonts w:ascii="Arial" w:cs="Arial" w:eastAsia="Arial" w:hAnsi="Arial"/>
          <w:sz w:val="16"/>
          <w:szCs w:val="16"/>
          <w:color w:val="auto"/>
        </w:rPr>
        <w:t>Form of Administrative Services Agreement between the Registrant and the Sponsor.* Promissory Note, dated as of December 31, 2019, between the Registrant and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-170180</wp:posOffset>
            </wp:positionV>
            <wp:extent cx="514350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right="1139"/>
        <w:spacing w:after="0" w:line="277" w:lineRule="auto"/>
        <w:rPr>
          <w:sz w:val="20"/>
          <w:szCs w:val="20"/>
          <w:color w:val="auto"/>
        </w:rPr>
      </w:pPr>
      <w:r>
        <w:rPr>
          <w:rFonts w:ascii="Arial" w:cs="Arial" w:eastAsia="Arial" w:hAnsi="Arial"/>
          <w:sz w:val="18"/>
          <w:szCs w:val="18"/>
          <w:color w:val="auto"/>
        </w:rPr>
        <w:t>Securities Subscription Agreement, dated December 31, 2019, between the Registrant and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5715</wp:posOffset>
            </wp:positionV>
            <wp:extent cx="514350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Form of Letter Agreement between the Registrant and the Sponsor.*</w:t>
      </w:r>
    </w:p>
    <w:p>
      <w:pPr>
        <w:spacing w:after="0" w:line="50" w:lineRule="exact"/>
        <w:rPr>
          <w:sz w:val="20"/>
          <w:szCs w:val="20"/>
          <w:color w:val="auto"/>
        </w:rPr>
      </w:pPr>
    </w:p>
    <w:p>
      <w:pPr>
        <w:ind w:right="1099"/>
        <w:spacing w:after="0" w:line="277" w:lineRule="auto"/>
        <w:rPr>
          <w:sz w:val="20"/>
          <w:szCs w:val="20"/>
          <w:color w:val="auto"/>
        </w:rPr>
      </w:pPr>
      <w:r>
        <w:rPr>
          <w:rFonts w:ascii="Arial" w:cs="Arial" w:eastAsia="Arial" w:hAnsi="Arial"/>
          <w:sz w:val="18"/>
          <w:szCs w:val="18"/>
          <w:color w:val="auto"/>
        </w:rPr>
        <w:t>Form of Letter Agreement among the Registrant and each director and executive officer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5715</wp:posOffset>
            </wp:positionV>
            <wp:extent cx="514350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Consent of Marcum LLP.*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Consent of Kirkland &amp; Ellis LLP (included on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Consent of Maples and Calder (included on Exhibit 5.2).*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 (included on signature page).*</w:t>
      </w:r>
    </w:p>
    <w:p>
      <w:pPr>
        <w:spacing w:after="0" w:line="108" w:lineRule="exact"/>
        <w:rPr>
          <w:sz w:val="20"/>
          <w:szCs w:val="20"/>
          <w:color w:val="auto"/>
        </w:rPr>
      </w:pPr>
    </w:p>
    <w:p>
      <w:pPr>
        <w:sectPr>
          <w:pgSz w:w="11900" w:h="16838" w:orient="portrait"/>
          <w:cols w:equalWidth="0" w:num="2">
            <w:col w:w="980" w:space="140"/>
            <w:col w:w="7899"/>
          </w:cols>
          <w:pgMar w:left="1440" w:top="337" w:right="1440" w:bottom="1440" w:gutter="0" w:footer="0" w:header="0"/>
        </w:sect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60" w:hanging="406"/>
        <w:spacing w:after="0"/>
        <w:tabs>
          <w:tab w:leader="none" w:pos="8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w:t>
      </w:r>
    </w:p>
    <w:tbl>
      <w:tblPr>
        <w:tblLayout w:type="fixed"/>
        <w:tblInd w:w="460" w:type="dxa"/>
        <w:tblCellMar>
          <w:top w:w="0" w:type="dxa"/>
          <w:left w:w="0" w:type="dxa"/>
          <w:bottom w:w="0" w:type="dxa"/>
          <w:right w:w="0" w:type="dxa"/>
        </w:tblCellMar>
      </w:tblP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 xml:space="preserve">New York, State of New York, on the   </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w:t>
            </w:r>
          </w:p>
        </w:tc>
        <w:tc>
          <w:tcPr>
            <w:tcW w:w="1440" w:type="dxa"/>
            <w:vAlign w:val="bottom"/>
          </w:tcPr>
          <w:p>
            <w:pPr>
              <w:ind w:left="300"/>
              <w:spacing w:after="0"/>
              <w:rPr>
                <w:sz w:val="20"/>
                <w:szCs w:val="20"/>
                <w:color w:val="auto"/>
              </w:rPr>
            </w:pPr>
            <w:r>
              <w:rPr>
                <w:rFonts w:ascii="Arial" w:cs="Arial" w:eastAsia="Arial" w:hAnsi="Arial"/>
                <w:sz w:val="18"/>
                <w:szCs w:val="18"/>
                <w:color w:val="auto"/>
              </w:rPr>
              <w:t>, 2020.</w:t>
            </w:r>
          </w:p>
        </w:tc>
        <w:tc>
          <w:tcPr>
            <w:tcW w:w="2880" w:type="dxa"/>
            <w:vAlign w:val="bottom"/>
          </w:tcPr>
          <w:p>
            <w:pPr>
              <w:spacing w:after="0"/>
              <w:rPr>
                <w:sz w:val="23"/>
                <w:szCs w:val="23"/>
                <w:color w:val="auto"/>
              </w:rPr>
            </w:pPr>
          </w:p>
        </w:tc>
      </w:tr>
      <w:tr>
        <w:trPr>
          <w:trHeight w:val="319"/>
        </w:trPr>
        <w:tc>
          <w:tcPr>
            <w:tcW w:w="3780" w:type="dxa"/>
            <w:vAlign w:val="bottom"/>
          </w:tcPr>
          <w:p>
            <w:pPr>
              <w:spacing w:after="0"/>
              <w:rPr>
                <w:sz w:val="24"/>
                <w:szCs w:val="24"/>
                <w:color w:val="auto"/>
              </w:rPr>
            </w:pPr>
          </w:p>
        </w:tc>
        <w:tc>
          <w:tcPr>
            <w:tcW w:w="4320" w:type="dxa"/>
            <w:vAlign w:val="bottom"/>
            <w:gridSpan w:val="2"/>
          </w:tcPr>
          <w:p>
            <w:pPr>
              <w:ind w:left="820"/>
              <w:spacing w:after="0"/>
              <w:rPr>
                <w:sz w:val="20"/>
                <w:szCs w:val="20"/>
                <w:color w:val="auto"/>
              </w:rPr>
            </w:pPr>
            <w:r>
              <w:rPr>
                <w:rFonts w:ascii="Arial" w:cs="Arial" w:eastAsia="Arial" w:hAnsi="Arial"/>
                <w:sz w:val="18"/>
                <w:szCs w:val="18"/>
                <w:b w:val="1"/>
                <w:bCs w:val="1"/>
                <w:color w:val="auto"/>
              </w:rPr>
              <w:t>SUSTAINABLE OPPORTUNITIES</w:t>
            </w:r>
          </w:p>
        </w:tc>
      </w:tr>
      <w:tr>
        <w:trPr>
          <w:trHeight w:val="234"/>
        </w:trPr>
        <w:tc>
          <w:tcPr>
            <w:tcW w:w="3780" w:type="dxa"/>
            <w:vAlign w:val="bottom"/>
          </w:tcPr>
          <w:p>
            <w:pPr>
              <w:spacing w:after="0"/>
              <w:rPr>
                <w:sz w:val="20"/>
                <w:szCs w:val="20"/>
                <w:color w:val="auto"/>
              </w:rPr>
            </w:pPr>
          </w:p>
        </w:tc>
        <w:tc>
          <w:tcPr>
            <w:tcW w:w="4320" w:type="dxa"/>
            <w:vAlign w:val="bottom"/>
            <w:gridSpan w:val="2"/>
          </w:tcPr>
          <w:p>
            <w:pPr>
              <w:ind w:left="820"/>
              <w:spacing w:after="0"/>
              <w:rPr>
                <w:sz w:val="20"/>
                <w:szCs w:val="20"/>
                <w:color w:val="auto"/>
              </w:rPr>
            </w:pPr>
            <w:r>
              <w:rPr>
                <w:rFonts w:ascii="Arial" w:cs="Arial" w:eastAsia="Arial" w:hAnsi="Arial"/>
                <w:sz w:val="18"/>
                <w:szCs w:val="18"/>
                <w:b w:val="1"/>
                <w:bCs w:val="1"/>
                <w:color w:val="auto"/>
              </w:rPr>
              <w:t>ACQUISITION CORP.</w:t>
            </w:r>
          </w:p>
        </w:tc>
      </w:tr>
      <w:tr>
        <w:trPr>
          <w:trHeight w:val="405"/>
        </w:trPr>
        <w:tc>
          <w:tcPr>
            <w:tcW w:w="3780" w:type="dxa"/>
            <w:vAlign w:val="bottom"/>
          </w:tcPr>
          <w:p>
            <w:pPr>
              <w:spacing w:after="0"/>
              <w:rPr>
                <w:sz w:val="24"/>
                <w:szCs w:val="24"/>
                <w:color w:val="auto"/>
              </w:rPr>
            </w:pPr>
          </w:p>
        </w:tc>
        <w:tc>
          <w:tcPr>
            <w:tcW w:w="4320" w:type="dxa"/>
            <w:vAlign w:val="bottom"/>
            <w:gridSpan w:val="2"/>
          </w:tcPr>
          <w:p>
            <w:pPr>
              <w:ind w:left="820"/>
              <w:spacing w:after="0"/>
              <w:rPr>
                <w:sz w:val="20"/>
                <w:szCs w:val="20"/>
                <w:color w:val="auto"/>
              </w:rPr>
            </w:pPr>
            <w:r>
              <w:rPr>
                <w:rFonts w:ascii="Arial" w:cs="Arial" w:eastAsia="Arial" w:hAnsi="Arial"/>
                <w:sz w:val="18"/>
                <w:szCs w:val="18"/>
                <w:color w:val="auto"/>
              </w:rPr>
              <w:t>By:</w:t>
            </w:r>
          </w:p>
        </w:tc>
      </w:tr>
      <w:tr>
        <w:trPr>
          <w:trHeight w:val="40"/>
        </w:trPr>
        <w:tc>
          <w:tcPr>
            <w:tcW w:w="3780" w:type="dxa"/>
            <w:vAlign w:val="bottom"/>
          </w:tcPr>
          <w:p>
            <w:pPr>
              <w:spacing w:after="0"/>
              <w:rPr>
                <w:sz w:val="3"/>
                <w:szCs w:val="3"/>
                <w:color w:val="auto"/>
              </w:rPr>
            </w:pPr>
          </w:p>
        </w:tc>
        <w:tc>
          <w:tcPr>
            <w:tcW w:w="4320" w:type="dxa"/>
            <w:vAlign w:val="bottom"/>
            <w:gridSpan w:val="2"/>
          </w:tcPr>
          <w:p>
            <w:pPr>
              <w:spacing w:after="0"/>
              <w:rPr>
                <w:sz w:val="3"/>
                <w:szCs w:val="3"/>
                <w:color w:val="auto"/>
              </w:rPr>
            </w:pPr>
          </w:p>
        </w:tc>
      </w:tr>
      <w:tr>
        <w:trPr>
          <w:trHeight w:val="224"/>
        </w:trPr>
        <w:tc>
          <w:tcPr>
            <w:tcW w:w="3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Scott Leonard</w:t>
            </w:r>
          </w:p>
        </w:tc>
      </w:tr>
      <w:tr>
        <w:trPr>
          <w:trHeight w:val="283"/>
        </w:trPr>
        <w:tc>
          <w:tcPr>
            <w:tcW w:w="3780" w:type="dxa"/>
            <w:vAlign w:val="bottom"/>
          </w:tcPr>
          <w:p>
            <w:pPr>
              <w:spacing w:after="0"/>
              <w:rPr>
                <w:sz w:val="24"/>
                <w:szCs w:val="24"/>
                <w:color w:val="auto"/>
              </w:rPr>
            </w:pPr>
          </w:p>
        </w:tc>
        <w:tc>
          <w:tcPr>
            <w:tcW w:w="4320" w:type="dxa"/>
            <w:vAlign w:val="bottom"/>
            <w:gridSpan w:val="2"/>
          </w:tcPr>
          <w:p>
            <w:pPr>
              <w:ind w:left="1440"/>
              <w:spacing w:after="0"/>
              <w:rPr>
                <w:sz w:val="20"/>
                <w:szCs w:val="20"/>
                <w:color w:val="auto"/>
              </w:rPr>
            </w:pPr>
            <w:r>
              <w:rPr>
                <w:rFonts w:ascii="Arial" w:cs="Arial" w:eastAsia="Arial" w:hAnsi="Arial"/>
                <w:sz w:val="18"/>
                <w:szCs w:val="18"/>
                <w:color w:val="auto"/>
              </w:rPr>
              <w:t>Title: Chief Executive Officer</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KNOW ALL MEN BY THESE PRESENTS, that each of the undersigned constitutes and appoints each of Scott Leonard, Scott Honour and David Quiram, each acting alone, his true and lawful attorneys-in-fact and agents,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01" w:lineRule="exact"/>
        <w:rPr>
          <w:sz w:val="20"/>
          <w:szCs w:val="20"/>
          <w:color w:val="auto"/>
        </w:rPr>
      </w:pPr>
    </w:p>
    <w:p>
      <w:pPr>
        <w:ind w:left="460" w:right="779" w:firstLine="432"/>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80" w:type="dxa"/>
            <w:vAlign w:val="bottom"/>
          </w:tcPr>
          <w:p>
            <w:pPr>
              <w:ind w:left="1060"/>
              <w:spacing w:after="0"/>
              <w:rPr>
                <w:sz w:val="20"/>
                <w:szCs w:val="20"/>
                <w:color w:val="auto"/>
              </w:rPr>
            </w:pPr>
            <w:r>
              <w:rPr>
                <w:rFonts w:ascii="Arial" w:cs="Arial" w:eastAsia="Arial" w:hAnsi="Arial"/>
                <w:sz w:val="16"/>
                <w:szCs w:val="16"/>
                <w:b w:val="1"/>
                <w:bCs w:val="1"/>
                <w:color w:val="auto"/>
              </w:rPr>
              <w:t>Name</w:t>
            </w:r>
          </w:p>
        </w:tc>
        <w:tc>
          <w:tcPr>
            <w:tcW w:w="80" w:type="dxa"/>
            <w:vAlign w:val="bottom"/>
          </w:tcPr>
          <w:p>
            <w:pPr>
              <w:spacing w:after="0"/>
              <w:rPr>
                <w:sz w:val="18"/>
                <w:szCs w:val="18"/>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Position</w:t>
            </w:r>
          </w:p>
        </w:tc>
        <w:tc>
          <w:tcPr>
            <w:tcW w:w="2120" w:type="dxa"/>
            <w:vAlign w:val="bottom"/>
          </w:tcPr>
          <w:p>
            <w:pPr>
              <w:jc w:val="right"/>
              <w:ind w:right="812"/>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46"/>
        </w:trPr>
        <w:tc>
          <w:tcPr>
            <w:tcW w:w="2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Chief Executive Officer and Director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(Principal Executive Officer)</w:t>
            </w:r>
          </w:p>
        </w:tc>
        <w:tc>
          <w:tcPr>
            <w:tcW w:w="2120" w:type="dxa"/>
            <w:vAlign w:val="bottom"/>
            <w:vMerge w:val="restart"/>
          </w:tcPr>
          <w:p>
            <w:pPr>
              <w:jc w:val="right"/>
              <w:ind w:right="512"/>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0"/>
              </w:rPr>
              <w:t>Scott Leonard</w:t>
            </w:r>
          </w:p>
        </w:tc>
        <w:tc>
          <w:tcPr>
            <w:tcW w:w="80" w:type="dxa"/>
            <w:vAlign w:val="bottom"/>
          </w:tcPr>
          <w:p>
            <w:pPr>
              <w:spacing w:after="0"/>
              <w:rPr>
                <w:sz w:val="19"/>
                <w:szCs w:val="19"/>
                <w:color w:val="auto"/>
              </w:rPr>
            </w:pPr>
          </w:p>
        </w:tc>
        <w:tc>
          <w:tcPr>
            <w:tcW w:w="3320" w:type="dxa"/>
            <w:vAlign w:val="bottom"/>
            <w:gridSpan w:val="2"/>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2"/>
              </w:rPr>
              <w:t>Chairman</w:t>
            </w:r>
          </w:p>
        </w:tc>
        <w:tc>
          <w:tcPr>
            <w:tcW w:w="2120" w:type="dxa"/>
            <w:vAlign w:val="bottom"/>
            <w:vMerge w:val="restart"/>
          </w:tcPr>
          <w:p>
            <w:pPr>
              <w:jc w:val="right"/>
              <w:ind w:right="512"/>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1"/>
              </w:rPr>
              <w:t>Scott Honour</w:t>
            </w:r>
          </w:p>
        </w:tc>
        <w:tc>
          <w:tcPr>
            <w:tcW w:w="80" w:type="dxa"/>
            <w:vAlign w:val="bottom"/>
          </w:tcPr>
          <w:p>
            <w:pPr>
              <w:spacing w:after="0"/>
              <w:rPr>
                <w:sz w:val="19"/>
                <w:szCs w:val="19"/>
                <w:color w:val="auto"/>
              </w:rPr>
            </w:pPr>
          </w:p>
        </w:tc>
        <w:tc>
          <w:tcPr>
            <w:tcW w:w="3320" w:type="dxa"/>
            <w:vAlign w:val="bottom"/>
            <w:gridSpan w:val="2"/>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Chief Financial Officer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3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(Principal Financial and Accounting Officer)</w:t>
            </w:r>
          </w:p>
        </w:tc>
        <w:tc>
          <w:tcPr>
            <w:tcW w:w="2120" w:type="dxa"/>
            <w:vAlign w:val="bottom"/>
            <w:vMerge w:val="restart"/>
          </w:tcPr>
          <w:p>
            <w:pPr>
              <w:jc w:val="right"/>
              <w:ind w:right="512"/>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4"/>
              </w:rPr>
              <w:t>David Quiram</w:t>
            </w:r>
          </w:p>
        </w:tc>
        <w:tc>
          <w:tcPr>
            <w:tcW w:w="80" w:type="dxa"/>
            <w:vAlign w:val="bottom"/>
          </w:tcPr>
          <w:p>
            <w:pPr>
              <w:spacing w:after="0"/>
              <w:rPr>
                <w:sz w:val="19"/>
                <w:szCs w:val="19"/>
                <w:color w:val="auto"/>
              </w:rPr>
            </w:pPr>
          </w:p>
        </w:tc>
        <w:tc>
          <w:tcPr>
            <w:tcW w:w="3320" w:type="dxa"/>
            <w:vAlign w:val="bottom"/>
            <w:gridSpan w:val="2"/>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1)"/>
      <w:numFmt w:val="decimal"/>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amp;"/>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1)"/>
      <w:numFmt w:val="decimal"/>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1)"/>
      <w:numFmt w:val="lowerRoman"/>
      <w:start w:val="1"/>
    </w:lvl>
  </w:abstractNum>
  <w:abstractNum w:abstractNumId="16">
    <w:nsid w:val="180115BE"/>
    <w:multiLevelType w:val="hybridMultilevel"/>
    <w:lvl w:ilvl="0">
      <w:lvlJc w:val="left"/>
      <w:lvlText w:val="(%1)"/>
      <w:numFmt w:val="lowerRoman"/>
      <w:start w:val="2"/>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1)"/>
      <w:numFmt w:val="decimal"/>
      <w:start w:val="1"/>
    </w:lvl>
  </w:abstractNum>
  <w:abstractNum w:abstractNumId="28">
    <w:nsid w:val="579BE4F1"/>
    <w:multiLevelType w:val="hybridMultilevel"/>
    <w:lvl w:ilvl="0">
      <w:lvlJc w:val="left"/>
      <w:lvlText w:val="(%1)"/>
      <w:numFmt w:val="decimal"/>
      <w:start w:val="4"/>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1)"/>
      <w:numFmt w:val="decimal"/>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1)"/>
      <w:numFmt w:val="lowerRoman"/>
      <w:start w:val="2"/>
    </w:lvl>
  </w:abstractNum>
  <w:abstractNum w:abstractNumId="48">
    <w:nsid w:val="661E3F1E"/>
    <w:multiLevelType w:val="hybridMultilevel"/>
    <w:lvl w:ilvl="0">
      <w:lvlJc w:val="left"/>
      <w:lvlText w:val="(%1)"/>
      <w:numFmt w:val="lowerRoman"/>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1)"/>
      <w:numFmt w:val="decimal"/>
      <w:start w:val="1"/>
    </w:lvl>
  </w:abstractNum>
  <w:abstractNum w:abstractNumId="60">
    <w:nsid w:val="3B0FD379"/>
    <w:multiLevelType w:val="hybridMultilevel"/>
    <w:lvl w:ilvl="0">
      <w:lvlJc w:val="left"/>
      <w:lvlText w:val="(%1)"/>
      <w:numFmt w:val="decimal"/>
      <w:start w:val="4"/>
    </w:lvl>
  </w:abstractNum>
  <w:abstractNum w:abstractNumId="61">
    <w:nsid w:val="68EB2F63"/>
    <w:multiLevelType w:val="hybridMultilevel"/>
    <w:lvl w:ilvl="0">
      <w:lvlJc w:val="left"/>
      <w:lvlText w:val="(%1)"/>
      <w:numFmt w:val="lowerRoman"/>
      <w:start w:val="10"/>
    </w:lvl>
  </w:abstractNum>
  <w:abstractNum w:abstractNumId="62">
    <w:nsid w:val="4962813B"/>
    <w:multiLevelType w:val="hybridMultilevel"/>
    <w:lvl w:ilvl="0">
      <w:lvlJc w:val="left"/>
      <w:lvlText w:val="(%1)"/>
      <w:numFmt w:val="lowerRoman"/>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1)"/>
      <w:numFmt w:val="lowerRoman"/>
      <w:start w:val="2"/>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1)"/>
      <w:numFmt w:val="lowerLetter"/>
      <w:start w:val="25"/>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1)"/>
      <w:numFmt w:val="lowerLetter"/>
      <w:start w:val="1"/>
    </w:lvl>
  </w:abstractNum>
  <w:abstractNum w:abstractNumId="73">
    <w:nsid w:val="94211F2"/>
    <w:multiLevelType w:val="hybridMultilevel"/>
    <w:lvl w:ilvl="0">
      <w:lvlJc w:val="left"/>
      <w:lvlText w:val="(%1)"/>
      <w:numFmt w:val="lowerLetter"/>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1."/>
      <w:numFmt w:val="decimal"/>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1)"/>
      <w:numFmt w:val="lowerRoman"/>
      <w:start w:val="2"/>
    </w:lvl>
  </w:abstractNum>
  <w:abstractNum w:abstractNumId="79">
    <w:nsid w:val="3222E7CD"/>
    <w:multiLevelType w:val="hybridMultilevel"/>
    <w:lvl w:ilvl="0">
      <w:lvlJc w:val="left"/>
      <w:lvlText w:val="\emdash "/>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1)"/>
      <w:numFmt w:val="decimal"/>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
      <w:numFmt w:val="bullet"/>
      <w:start w:val="1"/>
    </w:lvl>
    <w:lvl w:ilvl="1">
      <w:lvlJc w:val="left"/>
      <w:lvlText w:val="•"/>
      <w:numFmt w:val="bullet"/>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
      <w:numFmt w:val="bullet"/>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1)"/>
      <w:numFmt w:val="lowerLetter"/>
      <w:start w:val="2"/>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lowerRoman"/>
      <w:start w:val="1"/>
    </w:lvl>
  </w:abstractNum>
  <w:abstractNum w:abstractNumId="96">
    <w:nsid w:val="488AC1A"/>
    <w:multiLevelType w:val="hybridMultilevel"/>
    <w:lvl w:ilvl="0">
      <w:lvlJc w:val="left"/>
      <w:lvlText w:val="(%1)"/>
      <w:numFmt w:val="lowerRoman"/>
      <w:start w:val="1"/>
    </w:lvl>
    <w:lvl w:ilvl="1">
      <w:lvlJc w:val="left"/>
      <w:lvlText w:val="%2."/>
      <w:numFmt w:val="decimal"/>
      <w:start w:val="1"/>
    </w:lvl>
  </w:abstractNum>
  <w:abstractNum w:abstractNumId="97">
    <w:nsid w:val="5FB8011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2020-03-17T23:04:16Z</dcterms:created>
  <dcterms:modified xsi:type="dcterms:W3CDTF">2020-03-17T23:04:16Z</dcterms:modified>
</cp:coreProperties>
</file>