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right="459"/>
        <w:spacing w:after="0" w:line="282" w:lineRule="auto"/>
        <w:rPr>
          <w:sz w:val="20"/>
          <w:szCs w:val="20"/>
          <w:color w:val="auto"/>
        </w:rPr>
      </w:pPr>
      <w:r>
        <w:rPr>
          <w:rFonts w:ascii="Arial" w:cs="Arial" w:eastAsia="Arial" w:hAnsi="Arial"/>
          <w:sz w:val="18"/>
          <w:szCs w:val="18"/>
          <w:b w:val="1"/>
          <w:bCs w:val="1"/>
          <w:color w:val="auto"/>
        </w:rPr>
        <w:t>Filed with the U.S. Securities and Exchange Commission on March 17, 2020 under the Securities Act of 1933, as amended.</w:t>
      </w:r>
    </w:p>
    <w:p>
      <w:pPr>
        <w:spacing w:after="0" w:line="81" w:lineRule="exact"/>
        <w:rPr>
          <w:sz w:val="24"/>
          <w:szCs w:val="24"/>
          <w:color w:val="auto"/>
        </w:rPr>
      </w:pPr>
    </w:p>
    <w:tbl>
      <w:tblPr>
        <w:tblLayout w:type="fixed"/>
        <w:tblInd w:w="460" w:type="dxa"/>
        <w:tblCellMar>
          <w:top w:w="0" w:type="dxa"/>
          <w:left w:w="0" w:type="dxa"/>
          <w:bottom w:w="0" w:type="dxa"/>
          <w:right w:w="0" w:type="dxa"/>
        </w:tblCellMar>
      </w:tblPr>
      <w:tr>
        <w:trPr>
          <w:trHeight w:val="234"/>
        </w:trPr>
        <w:tc>
          <w:tcPr>
            <w:tcW w:w="2560" w:type="dxa"/>
            <w:vAlign w:val="bottom"/>
          </w:tcPr>
          <w:p>
            <w:pPr>
              <w:spacing w:after="0"/>
              <w:rPr>
                <w:sz w:val="20"/>
                <w:szCs w:val="20"/>
                <w:color w:val="auto"/>
              </w:rPr>
            </w:pPr>
          </w:p>
        </w:tc>
        <w:tc>
          <w:tcPr>
            <w:tcW w:w="5540" w:type="dxa"/>
            <w:vAlign w:val="bottom"/>
            <w:gridSpan w:val="2"/>
          </w:tcPr>
          <w:p>
            <w:pPr>
              <w:ind w:left="3320"/>
              <w:spacing w:after="0"/>
              <w:rPr>
                <w:sz w:val="20"/>
                <w:szCs w:val="20"/>
                <w:color w:val="auto"/>
              </w:rPr>
            </w:pPr>
            <w:r>
              <w:rPr>
                <w:rFonts w:ascii="Arial" w:cs="Arial" w:eastAsia="Arial" w:hAnsi="Arial"/>
                <w:sz w:val="18"/>
                <w:szCs w:val="18"/>
                <w:b w:val="1"/>
                <w:bCs w:val="1"/>
                <w:color w:val="auto"/>
              </w:rPr>
              <w:t>No. 333-</w:t>
            </w:r>
          </w:p>
        </w:tc>
      </w:tr>
      <w:tr>
        <w:trPr>
          <w:trHeight w:val="102"/>
        </w:trPr>
        <w:tc>
          <w:tcPr>
            <w:tcW w:w="2560" w:type="dxa"/>
            <w:vAlign w:val="bottom"/>
            <w:tcBorders>
              <w:bottom w:val="single" w:sz="8" w:color="auto"/>
            </w:tcBorders>
          </w:tcPr>
          <w:p>
            <w:pPr>
              <w:spacing w:after="0"/>
              <w:rPr>
                <w:sz w:val="8"/>
                <w:szCs w:val="8"/>
                <w:color w:val="auto"/>
              </w:rPr>
            </w:pPr>
          </w:p>
        </w:tc>
        <w:tc>
          <w:tcPr>
            <w:tcW w:w="3460" w:type="dxa"/>
            <w:vAlign w:val="bottom"/>
            <w:tcBorders>
              <w:bottom w:val="single" w:sz="8" w:color="auto"/>
            </w:tcBorders>
          </w:tcPr>
          <w:p>
            <w:pPr>
              <w:spacing w:after="0"/>
              <w:rPr>
                <w:sz w:val="8"/>
                <w:szCs w:val="8"/>
                <w:color w:val="auto"/>
              </w:rPr>
            </w:pPr>
          </w:p>
        </w:tc>
        <w:tc>
          <w:tcPr>
            <w:tcW w:w="2080" w:type="dxa"/>
            <w:vAlign w:val="bottom"/>
            <w:tcBorders>
              <w:bottom w:val="single" w:sz="8" w:color="auto"/>
            </w:tcBorders>
          </w:tcPr>
          <w:p>
            <w:pPr>
              <w:spacing w:after="0"/>
              <w:rPr>
                <w:sz w:val="8"/>
                <w:szCs w:val="8"/>
                <w:color w:val="auto"/>
              </w:rPr>
            </w:pPr>
          </w:p>
        </w:tc>
      </w:tr>
      <w:tr>
        <w:trPr>
          <w:trHeight w:val="48"/>
        </w:trPr>
        <w:tc>
          <w:tcPr>
            <w:tcW w:w="2560" w:type="dxa"/>
            <w:vAlign w:val="bottom"/>
            <w:tcBorders>
              <w:bottom w:val="single" w:sz="8" w:color="auto"/>
            </w:tcBorders>
          </w:tcPr>
          <w:p>
            <w:pPr>
              <w:spacing w:after="0"/>
              <w:rPr>
                <w:sz w:val="4"/>
                <w:szCs w:val="4"/>
                <w:color w:val="auto"/>
              </w:rPr>
            </w:pPr>
          </w:p>
        </w:tc>
        <w:tc>
          <w:tcPr>
            <w:tcW w:w="34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r>
      <w:tr>
        <w:trPr>
          <w:trHeight w:val="373"/>
        </w:trPr>
        <w:tc>
          <w:tcPr>
            <w:tcW w:w="2560" w:type="dxa"/>
            <w:vAlign w:val="bottom"/>
          </w:tcPr>
          <w:p>
            <w:pPr>
              <w:spacing w:after="0"/>
              <w:rPr>
                <w:sz w:val="24"/>
                <w:szCs w:val="24"/>
                <w:color w:val="auto"/>
              </w:rPr>
            </w:pPr>
          </w:p>
        </w:tc>
        <w:tc>
          <w:tcPr>
            <w:tcW w:w="3460" w:type="dxa"/>
            <w:vAlign w:val="bottom"/>
          </w:tcPr>
          <w:p>
            <w:pPr>
              <w:jc w:val="center"/>
              <w:ind w:right="420"/>
              <w:spacing w:after="0"/>
              <w:rPr>
                <w:sz w:val="20"/>
                <w:szCs w:val="20"/>
                <w:color w:val="auto"/>
              </w:rPr>
            </w:pPr>
            <w:r>
              <w:rPr>
                <w:rFonts w:ascii="Arial" w:cs="Arial" w:eastAsia="Arial" w:hAnsi="Arial"/>
                <w:sz w:val="18"/>
                <w:szCs w:val="18"/>
                <w:b w:val="1"/>
                <w:bCs w:val="1"/>
                <w:color w:val="auto"/>
                <w:w w:val="97"/>
              </w:rPr>
              <w:t>UNITED STATES</w:t>
            </w:r>
          </w:p>
        </w:tc>
        <w:tc>
          <w:tcPr>
            <w:tcW w:w="2080" w:type="dxa"/>
            <w:vAlign w:val="bottom"/>
          </w:tcPr>
          <w:p>
            <w:pPr>
              <w:spacing w:after="0"/>
              <w:rPr>
                <w:sz w:val="24"/>
                <w:szCs w:val="24"/>
                <w:color w:val="auto"/>
              </w:rPr>
            </w:pPr>
          </w:p>
        </w:tc>
      </w:tr>
      <w:tr>
        <w:trPr>
          <w:trHeight w:val="216"/>
        </w:trPr>
        <w:tc>
          <w:tcPr>
            <w:tcW w:w="6020" w:type="dxa"/>
            <w:vAlign w:val="bottom"/>
            <w:gridSpan w:val="2"/>
          </w:tcPr>
          <w:p>
            <w:pPr>
              <w:ind w:left="2100"/>
              <w:spacing w:after="0"/>
              <w:rPr>
                <w:sz w:val="20"/>
                <w:szCs w:val="20"/>
                <w:color w:val="auto"/>
              </w:rPr>
            </w:pPr>
            <w:r>
              <w:rPr>
                <w:rFonts w:ascii="Arial" w:cs="Arial" w:eastAsia="Arial" w:hAnsi="Arial"/>
                <w:sz w:val="18"/>
                <w:szCs w:val="18"/>
                <w:b w:val="1"/>
                <w:bCs w:val="1"/>
                <w:color w:val="auto"/>
              </w:rPr>
              <w:t>SECURITIES AND EXCHANGE COMMISSION</w:t>
            </w:r>
          </w:p>
        </w:tc>
        <w:tc>
          <w:tcPr>
            <w:tcW w:w="2080" w:type="dxa"/>
            <w:vAlign w:val="bottom"/>
          </w:tcPr>
          <w:p>
            <w:pPr>
              <w:spacing w:after="0"/>
              <w:rPr>
                <w:sz w:val="18"/>
                <w:szCs w:val="18"/>
                <w:color w:val="auto"/>
              </w:rPr>
            </w:pPr>
          </w:p>
        </w:tc>
      </w:tr>
      <w:tr>
        <w:trPr>
          <w:trHeight w:val="234"/>
        </w:trPr>
        <w:tc>
          <w:tcPr>
            <w:tcW w:w="2560" w:type="dxa"/>
            <w:vAlign w:val="bottom"/>
          </w:tcPr>
          <w:p>
            <w:pPr>
              <w:spacing w:after="0"/>
              <w:rPr>
                <w:sz w:val="20"/>
                <w:szCs w:val="20"/>
                <w:color w:val="auto"/>
              </w:rPr>
            </w:pPr>
          </w:p>
        </w:tc>
        <w:tc>
          <w:tcPr>
            <w:tcW w:w="3460" w:type="dxa"/>
            <w:vAlign w:val="bottom"/>
          </w:tcPr>
          <w:p>
            <w:pPr>
              <w:jc w:val="center"/>
              <w:ind w:right="400"/>
              <w:spacing w:after="0"/>
              <w:rPr>
                <w:sz w:val="20"/>
                <w:szCs w:val="20"/>
                <w:color w:val="auto"/>
              </w:rPr>
            </w:pPr>
            <w:r>
              <w:rPr>
                <w:rFonts w:ascii="Arial" w:cs="Arial" w:eastAsia="Arial" w:hAnsi="Arial"/>
                <w:sz w:val="18"/>
                <w:szCs w:val="18"/>
                <w:b w:val="1"/>
                <w:bCs w:val="1"/>
                <w:color w:val="auto"/>
                <w:w w:val="91"/>
              </w:rPr>
              <w:t>Washington, D.C. 20549</w:t>
            </w:r>
          </w:p>
        </w:tc>
        <w:tc>
          <w:tcPr>
            <w:tcW w:w="2080" w:type="dxa"/>
            <w:vAlign w:val="bottom"/>
          </w:tcPr>
          <w:p>
            <w:pPr>
              <w:spacing w:after="0"/>
              <w:rPr>
                <w:sz w:val="20"/>
                <w:szCs w:val="20"/>
                <w:color w:val="auto"/>
              </w:rPr>
            </w:pPr>
          </w:p>
        </w:tc>
      </w:tr>
      <w:tr>
        <w:trPr>
          <w:trHeight w:val="180"/>
        </w:trPr>
        <w:tc>
          <w:tcPr>
            <w:tcW w:w="2560" w:type="dxa"/>
            <w:vAlign w:val="bottom"/>
          </w:tcPr>
          <w:p>
            <w:pPr>
              <w:spacing w:after="0"/>
              <w:rPr>
                <w:sz w:val="15"/>
                <w:szCs w:val="15"/>
                <w:color w:val="auto"/>
              </w:rPr>
            </w:pPr>
          </w:p>
        </w:tc>
        <w:tc>
          <w:tcPr>
            <w:tcW w:w="3460" w:type="dxa"/>
            <w:vAlign w:val="bottom"/>
          </w:tcPr>
          <w:p>
            <w:pPr>
              <w:jc w:val="center"/>
              <w:ind w:right="400"/>
              <w:spacing w:after="0"/>
              <w:rPr>
                <w:sz w:val="20"/>
                <w:szCs w:val="20"/>
                <w:color w:val="auto"/>
              </w:rPr>
            </w:pPr>
            <w:r>
              <w:rPr>
                <w:rFonts w:ascii="Arial" w:cs="Arial" w:eastAsia="Arial" w:hAnsi="Arial"/>
                <w:sz w:val="11"/>
                <w:szCs w:val="11"/>
                <w:b w:val="1"/>
                <w:bCs w:val="1"/>
                <w:color w:val="auto"/>
                <w:w w:val="87"/>
              </w:rPr>
              <w:t>__________________________________________</w:t>
            </w:r>
          </w:p>
        </w:tc>
        <w:tc>
          <w:tcPr>
            <w:tcW w:w="2080" w:type="dxa"/>
            <w:vAlign w:val="bottom"/>
          </w:tcPr>
          <w:p>
            <w:pPr>
              <w:spacing w:after="0"/>
              <w:rPr>
                <w:sz w:val="15"/>
                <w:szCs w:val="15"/>
                <w:color w:val="auto"/>
              </w:rPr>
            </w:pPr>
          </w:p>
        </w:tc>
      </w:tr>
      <w:tr>
        <w:trPr>
          <w:trHeight w:val="264"/>
        </w:trPr>
        <w:tc>
          <w:tcPr>
            <w:tcW w:w="6020" w:type="dxa"/>
            <w:vAlign w:val="bottom"/>
            <w:gridSpan w:val="2"/>
          </w:tcPr>
          <w:p>
            <w:pPr>
              <w:jc w:val="center"/>
              <w:ind w:left="1922"/>
              <w:spacing w:after="0"/>
              <w:rPr>
                <w:sz w:val="20"/>
                <w:szCs w:val="20"/>
                <w:color w:val="auto"/>
              </w:rPr>
            </w:pPr>
            <w:r>
              <w:rPr>
                <w:rFonts w:ascii="Arial" w:cs="Arial" w:eastAsia="Arial" w:hAnsi="Arial"/>
                <w:sz w:val="18"/>
                <w:szCs w:val="18"/>
                <w:b w:val="1"/>
                <w:bCs w:val="1"/>
                <w:color w:val="auto"/>
              </w:rPr>
              <w:t>FORM S-1 REGISTRATION STATEMENT</w:t>
            </w:r>
          </w:p>
        </w:tc>
        <w:tc>
          <w:tcPr>
            <w:tcW w:w="2080" w:type="dxa"/>
            <w:vAlign w:val="bottom"/>
          </w:tcPr>
          <w:p>
            <w:pPr>
              <w:spacing w:after="0"/>
              <w:rPr>
                <w:sz w:val="22"/>
                <w:szCs w:val="22"/>
                <w:color w:val="auto"/>
              </w:rPr>
            </w:pPr>
          </w:p>
        </w:tc>
      </w:tr>
      <w:tr>
        <w:trPr>
          <w:trHeight w:val="216"/>
        </w:trPr>
        <w:tc>
          <w:tcPr>
            <w:tcW w:w="2560" w:type="dxa"/>
            <w:vAlign w:val="bottom"/>
          </w:tcPr>
          <w:p>
            <w:pPr>
              <w:spacing w:after="0"/>
              <w:rPr>
                <w:sz w:val="18"/>
                <w:szCs w:val="18"/>
                <w:color w:val="auto"/>
              </w:rPr>
            </w:pPr>
          </w:p>
        </w:tc>
        <w:tc>
          <w:tcPr>
            <w:tcW w:w="3460" w:type="dxa"/>
            <w:vAlign w:val="bottom"/>
          </w:tcPr>
          <w:p>
            <w:pPr>
              <w:jc w:val="center"/>
              <w:ind w:right="420"/>
              <w:spacing w:after="0"/>
              <w:rPr>
                <w:sz w:val="20"/>
                <w:szCs w:val="20"/>
                <w:color w:val="auto"/>
              </w:rPr>
            </w:pPr>
            <w:r>
              <w:rPr>
                <w:rFonts w:ascii="Arial" w:cs="Arial" w:eastAsia="Arial" w:hAnsi="Arial"/>
                <w:sz w:val="18"/>
                <w:szCs w:val="18"/>
                <w:b w:val="1"/>
                <w:bCs w:val="1"/>
                <w:i w:val="1"/>
                <w:iCs w:val="1"/>
                <w:color w:val="auto"/>
                <w:w w:val="99"/>
              </w:rPr>
              <w:t>UNDER</w:t>
            </w:r>
          </w:p>
        </w:tc>
        <w:tc>
          <w:tcPr>
            <w:tcW w:w="2080" w:type="dxa"/>
            <w:vAlign w:val="bottom"/>
          </w:tcPr>
          <w:p>
            <w:pPr>
              <w:spacing w:after="0"/>
              <w:rPr>
                <w:sz w:val="18"/>
                <w:szCs w:val="18"/>
                <w:color w:val="auto"/>
              </w:rPr>
            </w:pPr>
          </w:p>
        </w:tc>
      </w:tr>
      <w:tr>
        <w:trPr>
          <w:trHeight w:val="230"/>
        </w:trPr>
        <w:tc>
          <w:tcPr>
            <w:tcW w:w="2560" w:type="dxa"/>
            <w:vAlign w:val="bottom"/>
          </w:tcPr>
          <w:p>
            <w:pPr>
              <w:spacing w:after="0"/>
              <w:rPr>
                <w:sz w:val="20"/>
                <w:szCs w:val="20"/>
                <w:color w:val="auto"/>
              </w:rPr>
            </w:pPr>
          </w:p>
        </w:tc>
        <w:tc>
          <w:tcPr>
            <w:tcW w:w="3460" w:type="dxa"/>
            <w:vAlign w:val="bottom"/>
          </w:tcPr>
          <w:p>
            <w:pPr>
              <w:jc w:val="center"/>
              <w:ind w:right="420"/>
              <w:spacing w:after="0"/>
              <w:rPr>
                <w:sz w:val="20"/>
                <w:szCs w:val="20"/>
                <w:color w:val="auto"/>
              </w:rPr>
            </w:pPr>
            <w:r>
              <w:rPr>
                <w:rFonts w:ascii="Arial" w:cs="Arial" w:eastAsia="Arial" w:hAnsi="Arial"/>
                <w:sz w:val="18"/>
                <w:szCs w:val="18"/>
                <w:b w:val="1"/>
                <w:bCs w:val="1"/>
                <w:i w:val="1"/>
                <w:iCs w:val="1"/>
                <w:color w:val="auto"/>
                <w:w w:val="96"/>
              </w:rPr>
              <w:t>THE SECURITIES ACT OF 1933</w:t>
            </w:r>
          </w:p>
        </w:tc>
        <w:tc>
          <w:tcPr>
            <w:tcW w:w="2080" w:type="dxa"/>
            <w:vAlign w:val="bottom"/>
          </w:tcPr>
          <w:p>
            <w:pPr>
              <w:spacing w:after="0"/>
              <w:rPr>
                <w:sz w:val="20"/>
                <w:szCs w:val="20"/>
                <w:color w:val="auto"/>
              </w:rPr>
            </w:pPr>
          </w:p>
        </w:tc>
      </w:tr>
      <w:tr>
        <w:trPr>
          <w:trHeight w:val="180"/>
        </w:trPr>
        <w:tc>
          <w:tcPr>
            <w:tcW w:w="2560" w:type="dxa"/>
            <w:vAlign w:val="bottom"/>
          </w:tcPr>
          <w:p>
            <w:pPr>
              <w:spacing w:after="0"/>
              <w:rPr>
                <w:sz w:val="15"/>
                <w:szCs w:val="15"/>
                <w:color w:val="auto"/>
              </w:rPr>
            </w:pPr>
          </w:p>
        </w:tc>
        <w:tc>
          <w:tcPr>
            <w:tcW w:w="3460" w:type="dxa"/>
            <w:vAlign w:val="bottom"/>
          </w:tcPr>
          <w:p>
            <w:pPr>
              <w:jc w:val="center"/>
              <w:ind w:right="400"/>
              <w:spacing w:after="0"/>
              <w:rPr>
                <w:sz w:val="20"/>
                <w:szCs w:val="20"/>
                <w:color w:val="auto"/>
              </w:rPr>
            </w:pPr>
            <w:r>
              <w:rPr>
                <w:rFonts w:ascii="Arial" w:cs="Arial" w:eastAsia="Arial" w:hAnsi="Arial"/>
                <w:sz w:val="11"/>
                <w:szCs w:val="11"/>
                <w:b w:val="1"/>
                <w:bCs w:val="1"/>
                <w:color w:val="auto"/>
                <w:w w:val="87"/>
              </w:rPr>
              <w:t>__________________________________________</w:t>
            </w:r>
          </w:p>
        </w:tc>
        <w:tc>
          <w:tcPr>
            <w:tcW w:w="2080" w:type="dxa"/>
            <w:vAlign w:val="bottom"/>
          </w:tcPr>
          <w:p>
            <w:pPr>
              <w:spacing w:after="0"/>
              <w:rPr>
                <w:sz w:val="15"/>
                <w:szCs w:val="15"/>
                <w:color w:val="auto"/>
              </w:rPr>
            </w:pPr>
          </w:p>
        </w:tc>
      </w:tr>
      <w:tr>
        <w:trPr>
          <w:trHeight w:val="399"/>
        </w:trPr>
        <w:tc>
          <w:tcPr>
            <w:tcW w:w="8100" w:type="dxa"/>
            <w:vAlign w:val="bottom"/>
            <w:gridSpan w:val="3"/>
          </w:tcPr>
          <w:p>
            <w:pPr>
              <w:jc w:val="center"/>
              <w:spacing w:after="0"/>
              <w:rPr>
                <w:sz w:val="20"/>
                <w:szCs w:val="20"/>
                <w:color w:val="auto"/>
              </w:rPr>
            </w:pPr>
            <w:r>
              <w:rPr>
                <w:rFonts w:ascii="Arial" w:cs="Arial" w:eastAsia="Arial" w:hAnsi="Arial"/>
                <w:sz w:val="29"/>
                <w:szCs w:val="29"/>
                <w:b w:val="1"/>
                <w:bCs w:val="1"/>
                <w:color w:val="auto"/>
                <w:w w:val="89"/>
              </w:rPr>
              <w:t>Sustainable Opportunities Acquisition Corp.</w:t>
            </w:r>
          </w:p>
        </w:tc>
      </w:tr>
      <w:tr>
        <w:trPr>
          <w:trHeight w:val="217"/>
        </w:trPr>
        <w:tc>
          <w:tcPr>
            <w:tcW w:w="6020" w:type="dxa"/>
            <w:vAlign w:val="bottom"/>
            <w:gridSpan w:val="2"/>
          </w:tcPr>
          <w:p>
            <w:pPr>
              <w:jc w:val="center"/>
              <w:ind w:left="1962"/>
              <w:spacing w:after="0"/>
              <w:rPr>
                <w:sz w:val="20"/>
                <w:szCs w:val="20"/>
                <w:color w:val="auto"/>
              </w:rPr>
            </w:pPr>
            <w:r>
              <w:rPr>
                <w:rFonts w:ascii="Arial" w:cs="Arial" w:eastAsia="Arial" w:hAnsi="Arial"/>
                <w:sz w:val="18"/>
                <w:szCs w:val="18"/>
                <w:color w:val="auto"/>
                <w:w w:val="90"/>
              </w:rPr>
              <w:t>(Exact name of registrant as specified in its charter)</w:t>
            </w:r>
          </w:p>
        </w:tc>
        <w:tc>
          <w:tcPr>
            <w:tcW w:w="2080" w:type="dxa"/>
            <w:vAlign w:val="bottom"/>
          </w:tcPr>
          <w:p>
            <w:pPr>
              <w:spacing w:after="0"/>
              <w:rPr>
                <w:sz w:val="18"/>
                <w:szCs w:val="18"/>
                <w:color w:val="auto"/>
              </w:rPr>
            </w:pPr>
          </w:p>
        </w:tc>
      </w:tr>
      <w:tr>
        <w:trPr>
          <w:trHeight w:val="140"/>
        </w:trPr>
        <w:tc>
          <w:tcPr>
            <w:tcW w:w="2560" w:type="dxa"/>
            <w:vAlign w:val="bottom"/>
          </w:tcPr>
          <w:p>
            <w:pPr>
              <w:spacing w:after="0"/>
              <w:rPr>
                <w:sz w:val="12"/>
                <w:szCs w:val="12"/>
                <w:color w:val="auto"/>
              </w:rPr>
            </w:pPr>
          </w:p>
        </w:tc>
        <w:tc>
          <w:tcPr>
            <w:tcW w:w="3460" w:type="dxa"/>
            <w:vAlign w:val="bottom"/>
          </w:tcPr>
          <w:p>
            <w:pPr>
              <w:jc w:val="center"/>
              <w:ind w:right="400"/>
              <w:spacing w:after="0"/>
              <w:rPr>
                <w:sz w:val="20"/>
                <w:szCs w:val="20"/>
                <w:color w:val="auto"/>
              </w:rPr>
            </w:pPr>
            <w:r>
              <w:rPr>
                <w:rFonts w:ascii="Arial" w:cs="Arial" w:eastAsia="Arial" w:hAnsi="Arial"/>
                <w:sz w:val="11"/>
                <w:szCs w:val="11"/>
                <w:b w:val="1"/>
                <w:bCs w:val="1"/>
                <w:color w:val="auto"/>
                <w:w w:val="87"/>
              </w:rPr>
              <w:t>__________________________________________</w:t>
            </w:r>
          </w:p>
        </w:tc>
        <w:tc>
          <w:tcPr>
            <w:tcW w:w="2080" w:type="dxa"/>
            <w:vAlign w:val="bottom"/>
          </w:tcPr>
          <w:p>
            <w:pPr>
              <w:spacing w:after="0"/>
              <w:rPr>
                <w:sz w:val="12"/>
                <w:szCs w:val="12"/>
                <w:color w:val="auto"/>
              </w:rPr>
            </w:pPr>
          </w:p>
        </w:tc>
      </w:tr>
      <w:tr>
        <w:trPr>
          <w:trHeight w:val="414"/>
        </w:trPr>
        <w:tc>
          <w:tcPr>
            <w:tcW w:w="2560" w:type="dxa"/>
            <w:vAlign w:val="bottom"/>
          </w:tcPr>
          <w:p>
            <w:pPr>
              <w:jc w:val="center"/>
              <w:spacing w:after="0"/>
              <w:rPr>
                <w:sz w:val="20"/>
                <w:szCs w:val="20"/>
                <w:color w:val="auto"/>
              </w:rPr>
            </w:pPr>
            <w:r>
              <w:rPr>
                <w:rFonts w:ascii="Arial" w:cs="Arial" w:eastAsia="Arial" w:hAnsi="Arial"/>
                <w:sz w:val="18"/>
                <w:szCs w:val="18"/>
                <w:b w:val="1"/>
                <w:bCs w:val="1"/>
                <w:color w:val="auto"/>
                <w:w w:val="91"/>
              </w:rPr>
              <w:t>Cayman Islands</w:t>
            </w:r>
          </w:p>
        </w:tc>
        <w:tc>
          <w:tcPr>
            <w:tcW w:w="3460" w:type="dxa"/>
            <w:vAlign w:val="bottom"/>
          </w:tcPr>
          <w:p>
            <w:pPr>
              <w:jc w:val="center"/>
              <w:ind w:right="500"/>
              <w:spacing w:after="0"/>
              <w:rPr>
                <w:sz w:val="20"/>
                <w:szCs w:val="20"/>
                <w:color w:val="auto"/>
              </w:rPr>
            </w:pPr>
            <w:r>
              <w:rPr>
                <w:rFonts w:ascii="Arial" w:cs="Arial" w:eastAsia="Arial" w:hAnsi="Arial"/>
                <w:sz w:val="18"/>
                <w:szCs w:val="18"/>
                <w:b w:val="1"/>
                <w:bCs w:val="1"/>
                <w:color w:val="auto"/>
                <w:w w:val="89"/>
              </w:rPr>
              <w:t>6770</w:t>
            </w:r>
          </w:p>
        </w:tc>
        <w:tc>
          <w:tcPr>
            <w:tcW w:w="2080" w:type="dxa"/>
            <w:vAlign w:val="bottom"/>
          </w:tcPr>
          <w:p>
            <w:pPr>
              <w:jc w:val="center"/>
              <w:ind w:right="550"/>
              <w:spacing w:after="0"/>
              <w:rPr>
                <w:sz w:val="20"/>
                <w:szCs w:val="20"/>
                <w:color w:val="auto"/>
              </w:rPr>
            </w:pPr>
            <w:r>
              <w:rPr>
                <w:rFonts w:ascii="Arial" w:cs="Arial" w:eastAsia="Arial" w:hAnsi="Arial"/>
                <w:sz w:val="18"/>
                <w:szCs w:val="18"/>
                <w:b w:val="1"/>
                <w:bCs w:val="1"/>
                <w:color w:val="auto"/>
                <w:w w:val="91"/>
              </w:rPr>
              <w:t>98-1523768</w:t>
            </w:r>
          </w:p>
        </w:tc>
      </w:tr>
      <w:tr>
        <w:trPr>
          <w:trHeight w:val="242"/>
        </w:trPr>
        <w:tc>
          <w:tcPr>
            <w:tcW w:w="256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w:t>
            </w:r>
          </w:p>
        </w:tc>
        <w:tc>
          <w:tcPr>
            <w:tcW w:w="3460" w:type="dxa"/>
            <w:vAlign w:val="bottom"/>
          </w:tcPr>
          <w:p>
            <w:pPr>
              <w:ind w:left="400"/>
              <w:spacing w:after="0"/>
              <w:rPr>
                <w:sz w:val="20"/>
                <w:szCs w:val="20"/>
                <w:color w:val="auto"/>
              </w:rPr>
            </w:pPr>
            <w:r>
              <w:rPr>
                <w:rFonts w:ascii="Arial" w:cs="Arial" w:eastAsia="Arial" w:hAnsi="Arial"/>
                <w:sz w:val="18"/>
                <w:szCs w:val="18"/>
                <w:color w:val="auto"/>
              </w:rPr>
              <w:t>Primary Standard Industrial</w:t>
            </w:r>
          </w:p>
        </w:tc>
        <w:tc>
          <w:tcPr>
            <w:tcW w:w="2080" w:type="dxa"/>
            <w:vAlign w:val="bottom"/>
          </w:tcPr>
          <w:p>
            <w:pPr>
              <w:jc w:val="center"/>
              <w:ind w:right="610"/>
              <w:spacing w:after="0"/>
              <w:rPr>
                <w:sz w:val="20"/>
                <w:szCs w:val="20"/>
                <w:color w:val="auto"/>
              </w:rPr>
            </w:pPr>
            <w:r>
              <w:rPr>
                <w:rFonts w:ascii="Arial" w:cs="Arial" w:eastAsia="Arial" w:hAnsi="Arial"/>
                <w:sz w:val="18"/>
                <w:szCs w:val="18"/>
                <w:color w:val="auto"/>
                <w:w w:val="92"/>
              </w:rPr>
              <w:t>(I.R.S. Employer</w:t>
            </w:r>
          </w:p>
        </w:tc>
      </w:tr>
      <w:tr>
        <w:trPr>
          <w:trHeight w:val="230"/>
        </w:trPr>
        <w:tc>
          <w:tcPr>
            <w:tcW w:w="2560" w:type="dxa"/>
            <w:vAlign w:val="bottom"/>
          </w:tcPr>
          <w:p>
            <w:pPr>
              <w:jc w:val="center"/>
              <w:spacing w:after="0"/>
              <w:rPr>
                <w:sz w:val="20"/>
                <w:szCs w:val="20"/>
                <w:color w:val="auto"/>
              </w:rPr>
            </w:pPr>
            <w:r>
              <w:rPr>
                <w:rFonts w:ascii="Arial" w:cs="Arial" w:eastAsia="Arial" w:hAnsi="Arial"/>
                <w:sz w:val="18"/>
                <w:szCs w:val="18"/>
                <w:color w:val="auto"/>
                <w:w w:val="92"/>
              </w:rPr>
              <w:t>incorporation or organization)</w:t>
            </w:r>
          </w:p>
        </w:tc>
        <w:tc>
          <w:tcPr>
            <w:tcW w:w="3460" w:type="dxa"/>
            <w:vAlign w:val="bottom"/>
          </w:tcPr>
          <w:p>
            <w:pPr>
              <w:jc w:val="center"/>
              <w:ind w:right="520"/>
              <w:spacing w:after="0"/>
              <w:rPr>
                <w:sz w:val="20"/>
                <w:szCs w:val="20"/>
                <w:color w:val="auto"/>
              </w:rPr>
            </w:pPr>
            <w:r>
              <w:rPr>
                <w:rFonts w:ascii="Arial" w:cs="Arial" w:eastAsia="Arial" w:hAnsi="Arial"/>
                <w:sz w:val="18"/>
                <w:szCs w:val="18"/>
                <w:color w:val="auto"/>
                <w:w w:val="91"/>
              </w:rPr>
              <w:t>Classification Code Number)</w:t>
            </w:r>
          </w:p>
        </w:tc>
        <w:tc>
          <w:tcPr>
            <w:tcW w:w="2080" w:type="dxa"/>
            <w:vAlign w:val="bottom"/>
          </w:tcPr>
          <w:p>
            <w:pPr>
              <w:jc w:val="center"/>
              <w:ind w:right="570"/>
              <w:spacing w:after="0"/>
              <w:rPr>
                <w:sz w:val="20"/>
                <w:szCs w:val="20"/>
                <w:color w:val="auto"/>
              </w:rPr>
            </w:pPr>
            <w:r>
              <w:rPr>
                <w:rFonts w:ascii="Arial" w:cs="Arial" w:eastAsia="Arial" w:hAnsi="Arial"/>
                <w:sz w:val="18"/>
                <w:szCs w:val="18"/>
                <w:color w:val="auto"/>
                <w:w w:val="95"/>
              </w:rPr>
              <w:t>Identification No.)</w:t>
            </w:r>
          </w:p>
        </w:tc>
      </w:tr>
    </w:tbl>
    <w:p>
      <w:pPr>
        <w:spacing w:after="0" w:line="36"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1601 Bryan Street, Suite 4141</w:t>
      </w:r>
    </w:p>
    <w:p>
      <w:pPr>
        <w:spacing w:after="0" w:line="27" w:lineRule="exact"/>
        <w:rPr>
          <w:sz w:val="24"/>
          <w:szCs w:val="24"/>
          <w:color w:val="auto"/>
        </w:rPr>
      </w:pPr>
    </w:p>
    <w:p>
      <w:pPr>
        <w:ind w:left="3680"/>
        <w:spacing w:after="0"/>
        <w:rPr>
          <w:sz w:val="20"/>
          <w:szCs w:val="20"/>
          <w:color w:val="auto"/>
        </w:rPr>
      </w:pPr>
      <w:r>
        <w:rPr>
          <w:rFonts w:ascii="Arial" w:cs="Arial" w:eastAsia="Arial" w:hAnsi="Arial"/>
          <w:sz w:val="18"/>
          <w:szCs w:val="18"/>
          <w:b w:val="1"/>
          <w:bCs w:val="1"/>
          <w:color w:val="auto"/>
        </w:rPr>
        <w:t>Dallas, Texas 75201</w:t>
      </w:r>
    </w:p>
    <w:p>
      <w:pPr>
        <w:spacing w:after="0" w:line="9"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(952) 456-5304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including zip code, and telephone number, including area code, of registrant’s principal</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executive offices)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Scott Leonard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1601 Bryan Street, Suite 4141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456-5304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9" w:lineRule="exact"/>
        <w:rPr>
          <w:sz w:val="24"/>
          <w:szCs w:val="24"/>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w:t>
      </w:r>
    </w:p>
    <w:p>
      <w:pPr>
        <w:spacing w:after="0" w:line="181"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3080" w:type="dxa"/>
            <w:vAlign w:val="bottom"/>
          </w:tcPr>
          <w:p>
            <w:pPr>
              <w:jc w:val="center"/>
              <w:ind w:right="870"/>
              <w:spacing w:after="0"/>
              <w:rPr>
                <w:sz w:val="20"/>
                <w:szCs w:val="20"/>
                <w:color w:val="auto"/>
              </w:rPr>
            </w:pPr>
            <w:r>
              <w:rPr>
                <w:rFonts w:ascii="Arial" w:cs="Arial" w:eastAsia="Arial" w:hAnsi="Arial"/>
                <w:sz w:val="18"/>
                <w:szCs w:val="18"/>
                <w:b w:val="1"/>
                <w:bCs w:val="1"/>
                <w:color w:val="auto"/>
                <w:w w:val="93"/>
              </w:rPr>
              <w:t>Christian O. Nagler</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Derek J. Dostal</w:t>
            </w:r>
          </w:p>
        </w:tc>
      </w:tr>
      <w:tr>
        <w:trPr>
          <w:trHeight w:val="216"/>
        </w:trPr>
        <w:tc>
          <w:tcPr>
            <w:tcW w:w="3080" w:type="dxa"/>
            <w:vAlign w:val="bottom"/>
          </w:tcPr>
          <w:p>
            <w:pPr>
              <w:jc w:val="center"/>
              <w:ind w:right="870"/>
              <w:spacing w:after="0"/>
              <w:rPr>
                <w:sz w:val="20"/>
                <w:szCs w:val="20"/>
                <w:color w:val="auto"/>
              </w:rPr>
            </w:pPr>
            <w:r>
              <w:rPr>
                <w:rFonts w:ascii="Arial" w:cs="Arial" w:eastAsia="Arial" w:hAnsi="Arial"/>
                <w:sz w:val="18"/>
                <w:szCs w:val="18"/>
                <w:b w:val="1"/>
                <w:bCs w:val="1"/>
                <w:color w:val="auto"/>
                <w:w w:val="87"/>
              </w:rPr>
              <w:t>Peter S. Seligson</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96"/>
              </w:rPr>
              <w:t>Deanna L. Kirkpatrick</w:t>
            </w:r>
          </w:p>
        </w:tc>
      </w:tr>
      <w:tr>
        <w:trPr>
          <w:trHeight w:val="216"/>
        </w:trPr>
        <w:tc>
          <w:tcPr>
            <w:tcW w:w="3080" w:type="dxa"/>
            <w:vAlign w:val="bottom"/>
          </w:tcPr>
          <w:p>
            <w:pPr>
              <w:jc w:val="center"/>
              <w:ind w:right="870"/>
              <w:spacing w:after="0"/>
              <w:rPr>
                <w:sz w:val="20"/>
                <w:szCs w:val="20"/>
                <w:color w:val="auto"/>
              </w:rPr>
            </w:pPr>
            <w:r>
              <w:rPr>
                <w:rFonts w:ascii="Arial" w:cs="Arial" w:eastAsia="Arial" w:hAnsi="Arial"/>
                <w:sz w:val="18"/>
                <w:szCs w:val="18"/>
                <w:b w:val="1"/>
                <w:bCs w:val="1"/>
                <w:color w:val="auto"/>
                <w:w w:val="98"/>
              </w:rPr>
              <w:t>Kirkland &amp; Ellis LLP</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95"/>
              </w:rPr>
              <w:t>Davis Polk &amp; Wardwell LLP</w:t>
            </w:r>
          </w:p>
        </w:tc>
      </w:tr>
      <w:tr>
        <w:trPr>
          <w:trHeight w:val="216"/>
        </w:trPr>
        <w:tc>
          <w:tcPr>
            <w:tcW w:w="3080" w:type="dxa"/>
            <w:vAlign w:val="bottom"/>
          </w:tcPr>
          <w:p>
            <w:pPr>
              <w:jc w:val="center"/>
              <w:ind w:right="870"/>
              <w:spacing w:after="0"/>
              <w:rPr>
                <w:sz w:val="20"/>
                <w:szCs w:val="20"/>
                <w:color w:val="auto"/>
              </w:rPr>
            </w:pPr>
            <w:r>
              <w:rPr>
                <w:rFonts w:ascii="Arial" w:cs="Arial" w:eastAsia="Arial" w:hAnsi="Arial"/>
                <w:sz w:val="18"/>
                <w:szCs w:val="18"/>
                <w:b w:val="1"/>
                <w:bCs w:val="1"/>
                <w:color w:val="auto"/>
                <w:w w:val="90"/>
              </w:rPr>
              <w:t>601 Lexington Avenue</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88"/>
              </w:rPr>
              <w:t>450 Lexington Avenue</w:t>
            </w:r>
          </w:p>
        </w:tc>
      </w:tr>
      <w:tr>
        <w:trPr>
          <w:trHeight w:val="216"/>
        </w:trPr>
        <w:tc>
          <w:tcPr>
            <w:tcW w:w="308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New York, New York 10022</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New York, New York 10017</w:t>
            </w:r>
          </w:p>
        </w:tc>
      </w:tr>
      <w:tr>
        <w:trPr>
          <w:trHeight w:val="216"/>
        </w:trPr>
        <w:tc>
          <w:tcPr>
            <w:tcW w:w="308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Tel: (212) 446-4800</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Tel: (212) 450-4000</w:t>
            </w:r>
          </w:p>
        </w:tc>
      </w:tr>
      <w:tr>
        <w:trPr>
          <w:trHeight w:val="234"/>
        </w:trPr>
        <w:tc>
          <w:tcPr>
            <w:tcW w:w="3080" w:type="dxa"/>
            <w:vAlign w:val="bottom"/>
          </w:tcPr>
          <w:p>
            <w:pPr>
              <w:jc w:val="center"/>
              <w:ind w:right="870"/>
              <w:spacing w:after="0"/>
              <w:rPr>
                <w:sz w:val="20"/>
                <w:szCs w:val="20"/>
                <w:color w:val="auto"/>
              </w:rPr>
            </w:pPr>
            <w:r>
              <w:rPr>
                <w:rFonts w:ascii="Arial" w:cs="Arial" w:eastAsia="Arial" w:hAnsi="Arial"/>
                <w:sz w:val="18"/>
                <w:szCs w:val="18"/>
                <w:b w:val="1"/>
                <w:bCs w:val="1"/>
                <w:color w:val="auto"/>
                <w:w w:val="92"/>
              </w:rPr>
              <w:t>Fax: (212) 446-4900</w:t>
            </w:r>
          </w:p>
        </w:tc>
        <w:tc>
          <w:tcPr>
            <w:tcW w:w="3180" w:type="dxa"/>
            <w:vAlign w:val="bottom"/>
          </w:tcPr>
          <w:p>
            <w:pPr>
              <w:jc w:val="center"/>
              <w:ind w:left="850"/>
              <w:spacing w:after="0"/>
              <w:rPr>
                <w:sz w:val="20"/>
                <w:szCs w:val="20"/>
                <w:color w:val="auto"/>
              </w:rPr>
            </w:pPr>
            <w:r>
              <w:rPr>
                <w:rFonts w:ascii="Arial" w:cs="Arial" w:eastAsia="Arial" w:hAnsi="Arial"/>
                <w:sz w:val="18"/>
                <w:szCs w:val="18"/>
                <w:b w:val="1"/>
                <w:bCs w:val="1"/>
                <w:color w:val="auto"/>
                <w:w w:val="92"/>
              </w:rPr>
              <w:t>Fax: (212) 701-5800</w:t>
            </w:r>
          </w:p>
        </w:tc>
      </w:tr>
    </w:tbl>
    <w:p>
      <w:pPr>
        <w:spacing w:after="0" w:line="216" w:lineRule="exact"/>
        <w:rPr>
          <w:sz w:val="24"/>
          <w:szCs w:val="24"/>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58" w:lineRule="exact"/>
        <w:rPr>
          <w:sz w:val="24"/>
          <w:szCs w:val="24"/>
          <w:color w:val="auto"/>
        </w:rPr>
      </w:pPr>
    </w:p>
    <w:p>
      <w:pPr>
        <w:jc w:val="center"/>
        <w:ind w:left="460" w:right="459"/>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 As soon as practicable after the effective date of this registration statement.</w:t>
      </w:r>
    </w:p>
    <w:p>
      <w:pPr>
        <w:spacing w:after="0" w:line="44" w:lineRule="exact"/>
        <w:rPr>
          <w:sz w:val="24"/>
          <w:szCs w:val="24"/>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as amended (the “Securities Act”), check the following box. £</w:t>
      </w:r>
    </w:p>
    <w:p>
      <w:pPr>
        <w:spacing w:after="0" w:line="49" w:lineRule="exact"/>
        <w:rPr>
          <w:sz w:val="24"/>
          <w:szCs w:val="24"/>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62" w:lineRule="exact"/>
        <w:rPr>
          <w:sz w:val="24"/>
          <w:szCs w:val="24"/>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62" w:lineRule="exact"/>
        <w:rPr>
          <w:sz w:val="24"/>
          <w:szCs w:val="24"/>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49" w:lineRule="exact"/>
        <w:rPr>
          <w:sz w:val="24"/>
          <w:szCs w:val="24"/>
          <w:color w:val="auto"/>
        </w:rPr>
      </w:pPr>
    </w:p>
    <w:p>
      <w:pPr>
        <w:ind w:left="460" w:right="779" w:firstLine="432"/>
        <w:spacing w:after="0" w:line="27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(the “Exchange Act”).</w:t>
      </w:r>
    </w:p>
    <w:p>
      <w:pPr>
        <w:spacing w:after="0" w:line="171" w:lineRule="exact"/>
        <w:rPr>
          <w:sz w:val="24"/>
          <w:szCs w:val="24"/>
          <w:color w:val="auto"/>
        </w:rPr>
      </w:pPr>
    </w:p>
    <w:tbl>
      <w:tblPr>
        <w:tblLayout w:type="fixed"/>
        <w:tblInd w:w="820" w:type="dxa"/>
        <w:tblCellMar>
          <w:top w:w="0" w:type="dxa"/>
          <w:left w:w="0" w:type="dxa"/>
          <w:bottom w:w="0" w:type="dxa"/>
          <w:right w:w="0" w:type="dxa"/>
        </w:tblCellMar>
      </w:tblPr>
      <w:tr>
        <w:trPr>
          <w:trHeight w:val="244"/>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040" w:type="dxa"/>
            <w:vAlign w:val="bottom"/>
          </w:tcPr>
          <w:p>
            <w:pPr>
              <w:ind w:left="280"/>
              <w:spacing w:after="0"/>
              <w:rPr>
                <w:sz w:val="20"/>
                <w:szCs w:val="20"/>
                <w:color w:val="auto"/>
              </w:rPr>
            </w:pPr>
            <w:r>
              <w:rPr>
                <w:rFonts w:ascii="Arial" w:cs="Arial" w:eastAsia="Arial" w:hAnsi="Arial"/>
                <w:sz w:val="18"/>
                <w:szCs w:val="18"/>
                <w:color w:val="auto"/>
              </w:rPr>
              <w:t>£</w:t>
            </w:r>
          </w:p>
        </w:tc>
        <w:tc>
          <w:tcPr>
            <w:tcW w:w="300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80"/>
              <w:spacing w:after="0"/>
              <w:rPr>
                <w:sz w:val="20"/>
                <w:szCs w:val="20"/>
                <w:color w:val="auto"/>
              </w:rPr>
            </w:pPr>
            <w:r>
              <w:rPr>
                <w:rFonts w:ascii="Arial" w:cs="Arial" w:eastAsia="Arial" w:hAnsi="Arial"/>
                <w:sz w:val="18"/>
                <w:szCs w:val="18"/>
                <w:color w:val="auto"/>
                <w:w w:val="99"/>
              </w:rPr>
              <w:t>£</w:t>
            </w:r>
          </w:p>
        </w:tc>
      </w:t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1040" w:type="dxa"/>
            <w:vAlign w:val="bottom"/>
          </w:tcPr>
          <w:p>
            <w:pPr>
              <w:ind w:left="280"/>
              <w:spacing w:after="0"/>
              <w:rPr>
                <w:sz w:val="20"/>
                <w:szCs w:val="20"/>
                <w:color w:val="auto"/>
              </w:rPr>
            </w:pPr>
            <w:r>
              <w:rPr>
                <w:rFonts w:ascii="Arial" w:cs="Arial" w:eastAsia="Arial" w:hAnsi="Arial"/>
                <w:sz w:val="18"/>
                <w:szCs w:val="18"/>
                <w:color w:val="auto"/>
              </w:rPr>
              <w:t>S</w:t>
            </w:r>
          </w:p>
        </w:tc>
        <w:tc>
          <w:tcPr>
            <w:tcW w:w="3000" w:type="dxa"/>
            <w:vAlign w:val="bottom"/>
          </w:tcPr>
          <w:p>
            <w:pPr>
              <w:ind w:left="64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80"/>
              <w:spacing w:after="0"/>
              <w:rPr>
                <w:sz w:val="20"/>
                <w:szCs w:val="20"/>
                <w:color w:val="auto"/>
              </w:rPr>
            </w:pPr>
            <w:r>
              <w:rPr>
                <w:rFonts w:ascii="Arial" w:cs="Arial" w:eastAsia="Arial" w:hAnsi="Arial"/>
                <w:sz w:val="18"/>
                <w:szCs w:val="18"/>
                <w:color w:val="auto"/>
                <w:w w:val="82"/>
              </w:rPr>
              <w:t>S</w:t>
            </w:r>
          </w:p>
        </w:tc>
      </w:tr>
      <w:tr>
        <w:trPr>
          <w:trHeight w:val="283"/>
        </w:trPr>
        <w:tc>
          <w:tcPr>
            <w:tcW w:w="1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0" w:type="dxa"/>
            <w:vAlign w:val="bottom"/>
          </w:tcPr>
          <w:p>
            <w:pPr>
              <w:ind w:left="64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80"/>
              <w:spacing w:after="0"/>
              <w:rPr>
                <w:sz w:val="20"/>
                <w:szCs w:val="20"/>
                <w:color w:val="auto"/>
              </w:rPr>
            </w:pPr>
            <w:r>
              <w:rPr>
                <w:rFonts w:ascii="Arial" w:cs="Arial" w:eastAsia="Arial" w:hAnsi="Arial"/>
                <w:sz w:val="18"/>
                <w:szCs w:val="18"/>
                <w:color w:val="auto"/>
                <w:w w:val="82"/>
              </w:rPr>
              <w:t>S</w:t>
            </w:r>
          </w:p>
        </w:tc>
      </w:tr>
    </w:tbl>
    <w:p>
      <w:pPr>
        <w:spacing w:after="0" w:line="188" w:lineRule="exact"/>
        <w:rPr>
          <w:sz w:val="24"/>
          <w:szCs w:val="24"/>
          <w:color w:val="auto"/>
        </w:rPr>
      </w:pPr>
    </w:p>
    <w:p>
      <w:pPr>
        <w:ind w:left="460" w:right="919" w:firstLine="432"/>
        <w:spacing w:after="0" w:line="26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236855</wp:posOffset>
            </wp:positionV>
            <wp:extent cx="5143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0" w:right="1440" w:bottom="294"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i w:val="1"/>
          <w:iCs w:val="1"/>
          <w:color w:val="auto"/>
        </w:rPr>
        <w:t>CALCULATION OF REGISTRATION FEE</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6"/>
              </w:rPr>
              <w:t>Proposed</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6"/>
              </w:rPr>
              <w:t>Proposed</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Maximum</w:t>
            </w:r>
          </w:p>
        </w:tc>
        <w:tc>
          <w:tcPr>
            <w:tcW w:w="11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7"/>
              </w:rPr>
              <w:t>Maximum</w:t>
            </w: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6"/>
              </w:rPr>
              <w:t>Offering</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Aggregate</w:t>
            </w:r>
          </w:p>
        </w:tc>
        <w:tc>
          <w:tcPr>
            <w:tcW w:w="1020" w:type="dxa"/>
            <w:vAlign w:val="bottom"/>
            <w:gridSpan w:val="3"/>
          </w:tcPr>
          <w:p>
            <w:pPr>
              <w:jc w:val="right"/>
              <w:ind w:right="160"/>
              <w:spacing w:after="0"/>
              <w:rPr>
                <w:sz w:val="20"/>
                <w:szCs w:val="20"/>
                <w:color w:val="auto"/>
              </w:rPr>
            </w:pPr>
            <w:r>
              <w:rPr>
                <w:rFonts w:ascii="Arial" w:cs="Arial" w:eastAsia="Arial" w:hAnsi="Arial"/>
                <w:sz w:val="16"/>
                <w:szCs w:val="16"/>
                <w:b w:val="1"/>
                <w:bCs w:val="1"/>
                <w:color w:val="auto"/>
              </w:rPr>
              <w:t>Amount of</w:t>
            </w:r>
          </w:p>
        </w:tc>
        <w:tc>
          <w:tcPr>
            <w:tcW w:w="0" w:type="dxa"/>
            <w:vAlign w:val="bottom"/>
          </w:tcPr>
          <w:p>
            <w:pPr>
              <w:spacing w:after="0"/>
              <w:rPr>
                <w:sz w:val="1"/>
                <w:szCs w:val="1"/>
                <w:color w:val="auto"/>
              </w:rPr>
            </w:pPr>
          </w:p>
        </w:tc>
      </w:tr>
      <w:tr>
        <w:trPr>
          <w:trHeight w:val="202"/>
        </w:trPr>
        <w:tc>
          <w:tcPr>
            <w:tcW w:w="3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1"/>
              </w:rPr>
              <w:t>Amount Being</w:t>
            </w:r>
          </w:p>
        </w:tc>
        <w:tc>
          <w:tcPr>
            <w:tcW w:w="8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Price Per</w:t>
            </w:r>
          </w:p>
        </w:tc>
        <w:tc>
          <w:tcPr>
            <w:tcW w:w="11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Offering</w:t>
            </w:r>
          </w:p>
        </w:tc>
        <w:tc>
          <w:tcPr>
            <w:tcW w:w="1020" w:type="dxa"/>
            <w:vAlign w:val="bottom"/>
            <w:gridSpan w:val="3"/>
          </w:tcPr>
          <w:p>
            <w:pPr>
              <w:ind w:left="60"/>
              <w:spacing w:after="0"/>
              <w:rPr>
                <w:sz w:val="20"/>
                <w:szCs w:val="20"/>
                <w:color w:val="auto"/>
              </w:rPr>
            </w:pPr>
            <w:r>
              <w:rPr>
                <w:rFonts w:ascii="Arial" w:cs="Arial" w:eastAsia="Arial" w:hAnsi="Arial"/>
                <w:sz w:val="16"/>
                <w:szCs w:val="16"/>
                <w:b w:val="1"/>
                <w:bCs w:val="1"/>
                <w:color w:val="auto"/>
              </w:rPr>
              <w:t>Registration</w:t>
            </w:r>
          </w:p>
        </w:tc>
        <w:tc>
          <w:tcPr>
            <w:tcW w:w="0" w:type="dxa"/>
            <w:vAlign w:val="bottom"/>
          </w:tcPr>
          <w:p>
            <w:pPr>
              <w:spacing w:after="0"/>
              <w:rPr>
                <w:sz w:val="1"/>
                <w:szCs w:val="1"/>
                <w:color w:val="auto"/>
              </w:rPr>
            </w:pPr>
          </w:p>
        </w:tc>
      </w:tr>
      <w:tr>
        <w:trPr>
          <w:trHeight w:val="253"/>
        </w:trPr>
        <w:tc>
          <w:tcPr>
            <w:tcW w:w="3580" w:type="dxa"/>
            <w:vAlign w:val="bottom"/>
            <w:gridSpan w:val="2"/>
          </w:tcPr>
          <w:p>
            <w:pPr>
              <w:spacing w:after="0"/>
              <w:rPr>
                <w:sz w:val="20"/>
                <w:szCs w:val="20"/>
                <w:color w:val="auto"/>
              </w:rPr>
            </w:pPr>
            <w:r>
              <w:rPr>
                <w:rFonts w:ascii="Arial" w:cs="Arial" w:eastAsia="Arial" w:hAnsi="Arial"/>
                <w:sz w:val="16"/>
                <w:szCs w:val="16"/>
                <w:b w:val="1"/>
                <w:bCs w:val="1"/>
                <w:color w:val="auto"/>
                <w:w w:val="97"/>
              </w:rPr>
              <w:t>Title of Each Class of Security Being Registered</w:t>
            </w: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Registered</w:t>
            </w:r>
          </w:p>
        </w:tc>
        <w:tc>
          <w:tcPr>
            <w:tcW w:w="8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7"/>
              </w:rPr>
              <w:t>Security</w:t>
            </w:r>
            <w:r>
              <w:rPr>
                <w:rFonts w:ascii="Arial" w:cs="Arial" w:eastAsia="Arial" w:hAnsi="Arial"/>
                <w:sz w:val="18"/>
                <w:szCs w:val="18"/>
                <w:b w:val="1"/>
                <w:bCs w:val="1"/>
                <w:color w:val="auto"/>
                <w:w w:val="87"/>
                <w:vertAlign w:val="superscript"/>
              </w:rPr>
              <w:t>(1)</w:t>
            </w:r>
          </w:p>
        </w:tc>
        <w:tc>
          <w:tcPr>
            <w:tcW w:w="11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5"/>
              </w:rPr>
              <w:t>Price</w:t>
            </w:r>
            <w:r>
              <w:rPr>
                <w:rFonts w:ascii="Arial" w:cs="Arial" w:eastAsia="Arial" w:hAnsi="Arial"/>
                <w:sz w:val="18"/>
                <w:szCs w:val="18"/>
                <w:b w:val="1"/>
                <w:bCs w:val="1"/>
                <w:color w:val="auto"/>
                <w:w w:val="85"/>
                <w:vertAlign w:val="superscript"/>
              </w:rPr>
              <w:t>(1)</w:t>
            </w:r>
          </w:p>
        </w:tc>
        <w:tc>
          <w:tcPr>
            <w:tcW w:w="260" w:type="dxa"/>
            <w:vAlign w:val="bottom"/>
          </w:tcPr>
          <w:p>
            <w:pPr>
              <w:spacing w:after="0"/>
              <w:rPr>
                <w:sz w:val="21"/>
                <w:szCs w:val="21"/>
                <w:color w:val="auto"/>
              </w:rPr>
            </w:pPr>
          </w:p>
        </w:tc>
        <w:tc>
          <w:tcPr>
            <w:tcW w:w="760" w:type="dxa"/>
            <w:vAlign w:val="bottom"/>
            <w:gridSpan w:val="2"/>
          </w:tcPr>
          <w:p>
            <w:pPr>
              <w:ind w:left="120"/>
              <w:spacing w:after="0"/>
              <w:rPr>
                <w:sz w:val="20"/>
                <w:szCs w:val="20"/>
                <w:color w:val="auto"/>
              </w:rPr>
            </w:pPr>
            <w:r>
              <w:rPr>
                <w:rFonts w:ascii="Arial" w:cs="Arial" w:eastAsia="Arial" w:hAnsi="Arial"/>
                <w:sz w:val="16"/>
                <w:szCs w:val="16"/>
                <w:b w:val="1"/>
                <w:bCs w:val="1"/>
                <w:color w:val="auto"/>
              </w:rPr>
              <w:t>Fee</w:t>
            </w:r>
          </w:p>
        </w:tc>
        <w:tc>
          <w:tcPr>
            <w:tcW w:w="0" w:type="dxa"/>
            <w:vAlign w:val="bottom"/>
          </w:tcPr>
          <w:p>
            <w:pPr>
              <w:spacing w:after="0"/>
              <w:rPr>
                <w:sz w:val="1"/>
                <w:szCs w:val="1"/>
                <w:color w:val="auto"/>
              </w:rPr>
            </w:pPr>
          </w:p>
        </w:tc>
      </w:tr>
      <w:tr>
        <w:trPr>
          <w:trHeight w:val="199"/>
        </w:trPr>
        <w:tc>
          <w:tcPr>
            <w:tcW w:w="3480" w:type="dxa"/>
            <w:vAlign w:val="bottom"/>
            <w:tcBorders>
              <w:top w:val="single" w:sz="8" w:color="auto"/>
            </w:tcBorders>
            <w:shd w:val="clear" w:color="auto" w:fill="CCEEFF"/>
          </w:tcPr>
          <w:p>
            <w:pPr>
              <w:spacing w:after="0" w:line="200" w:lineRule="exact"/>
              <w:rPr>
                <w:sz w:val="20"/>
                <w:szCs w:val="20"/>
                <w:color w:val="auto"/>
              </w:rPr>
            </w:pPr>
            <w:r>
              <w:rPr>
                <w:rFonts w:ascii="Arial" w:cs="Arial" w:eastAsia="Arial" w:hAnsi="Arial"/>
                <w:sz w:val="18"/>
                <w:szCs w:val="18"/>
                <w:color w:val="auto"/>
                <w:w w:val="94"/>
              </w:rPr>
              <w:t>Units, each consisting of one Class A ordinary</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$0.0001 par value, and</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one-half of one redeemable warrant</w:t>
            </w:r>
            <w:r>
              <w:rPr>
                <w:rFonts w:ascii="Arial" w:cs="Arial" w:eastAsia="Arial" w:hAnsi="Arial"/>
                <w:sz w:val="20"/>
                <w:szCs w:val="20"/>
                <w:color w:val="auto"/>
                <w:vertAlign w:val="superscript"/>
              </w:rPr>
              <w:t>(2)</w:t>
            </w:r>
          </w:p>
        </w:tc>
        <w:tc>
          <w:tcPr>
            <w:tcW w:w="152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1"/>
              </w:rPr>
              <w:t>34,500,000 Units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10.00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$345,000,000</w:t>
            </w: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44,781</w:t>
            </w:r>
          </w:p>
        </w:tc>
        <w:tc>
          <w:tcPr>
            <w:tcW w:w="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3580" w:type="dxa"/>
            <w:vAlign w:val="bottom"/>
            <w:gridSpan w:val="2"/>
          </w:tcPr>
          <w:p>
            <w:pPr>
              <w:spacing w:after="0" w:line="201" w:lineRule="exact"/>
              <w:rPr>
                <w:sz w:val="20"/>
                <w:szCs w:val="20"/>
                <w:color w:val="auto"/>
              </w:rPr>
            </w:pPr>
            <w:r>
              <w:rPr>
                <w:rFonts w:ascii="Arial" w:cs="Arial" w:eastAsia="Arial" w:hAnsi="Arial"/>
                <w:sz w:val="18"/>
                <w:szCs w:val="18"/>
                <w:color w:val="auto"/>
                <w:w w:val="95"/>
              </w:rPr>
              <w:t>Class A ordinary shares included as part of the</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580" w:type="dxa"/>
            <w:vAlign w:val="bottom"/>
            <w:gridSpan w:val="2"/>
          </w:tcPr>
          <w:p>
            <w:pPr>
              <w:ind w:left="180"/>
              <w:spacing w:after="0"/>
              <w:rPr>
                <w:sz w:val="20"/>
                <w:szCs w:val="20"/>
                <w:color w:val="auto"/>
              </w:rPr>
            </w:pPr>
            <w:r>
              <w:rPr>
                <w:rFonts w:ascii="Arial" w:cs="Arial" w:eastAsia="Arial" w:hAnsi="Arial"/>
                <w:sz w:val="18"/>
                <w:szCs w:val="18"/>
                <w:color w:val="auto"/>
              </w:rPr>
              <w:t>units</w:t>
            </w:r>
            <w:r>
              <w:rPr>
                <w:rFonts w:ascii="Arial" w:cs="Arial" w:eastAsia="Arial" w:hAnsi="Arial"/>
                <w:sz w:val="20"/>
                <w:szCs w:val="20"/>
                <w:color w:val="auto"/>
                <w:vertAlign w:val="superscript"/>
              </w:rPr>
              <w:t>(3)</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34,500,000 Shares</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3"/>
                <w:szCs w:val="23"/>
                <w:color w:val="auto"/>
              </w:rPr>
            </w:pPr>
          </w:p>
        </w:tc>
        <w:tc>
          <w:tcPr>
            <w:tcW w:w="760" w:type="dxa"/>
            <w:vAlign w:val="bottom"/>
            <w:gridSpan w:val="2"/>
          </w:tcPr>
          <w:p>
            <w:pPr>
              <w:ind w:left="420"/>
              <w:spacing w:after="0" w:line="271" w:lineRule="exact"/>
              <w:rPr>
                <w:sz w:val="20"/>
                <w:szCs w:val="20"/>
                <w:color w:val="auto"/>
              </w:rPr>
            </w:pPr>
            <w:r>
              <w:rPr>
                <w:rFonts w:ascii="Arial" w:cs="Arial" w:eastAsia="Arial" w:hAnsi="Arial"/>
                <w:sz w:val="31"/>
                <w:szCs w:val="31"/>
                <w:color w:val="auto"/>
                <w:w w:val="97"/>
                <w:vertAlign w:val="subscript"/>
              </w:rPr>
              <w:t>—</w:t>
            </w:r>
            <w:r>
              <w:rPr>
                <w:rFonts w:ascii="Arial" w:cs="Arial" w:eastAsia="Arial" w:hAnsi="Arial"/>
                <w:sz w:val="10"/>
                <w:szCs w:val="10"/>
                <w:color w:val="auto"/>
                <w:w w:val="97"/>
              </w:rPr>
              <w:t>(4)</w:t>
            </w:r>
          </w:p>
        </w:tc>
        <w:tc>
          <w:tcPr>
            <w:tcW w:w="0" w:type="dxa"/>
            <w:vAlign w:val="bottom"/>
          </w:tcPr>
          <w:p>
            <w:pPr>
              <w:spacing w:after="0"/>
              <w:rPr>
                <w:sz w:val="1"/>
                <w:szCs w:val="1"/>
                <w:color w:val="auto"/>
              </w:rPr>
            </w:pPr>
          </w:p>
        </w:tc>
      </w:tr>
      <w:tr>
        <w:trPr>
          <w:trHeight w:val="202"/>
        </w:trPr>
        <w:tc>
          <w:tcPr>
            <w:tcW w:w="3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Redeemable warrants included as part of the</w:t>
            </w:r>
          </w:p>
        </w:tc>
        <w:tc>
          <w:tcPr>
            <w:tcW w:w="14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0"/>
              </w:rPr>
              <w:t>17,250,000</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units</w:t>
            </w:r>
            <w:r>
              <w:rPr>
                <w:rFonts w:ascii="Arial" w:cs="Arial" w:eastAsia="Arial" w:hAnsi="Arial"/>
                <w:sz w:val="20"/>
                <w:szCs w:val="20"/>
                <w:color w:val="auto"/>
                <w:vertAlign w:val="superscript"/>
              </w:rPr>
              <w:t>(3)</w:t>
            </w:r>
          </w:p>
        </w:tc>
        <w:tc>
          <w:tcPr>
            <w:tcW w:w="15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Warrants</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ind w:left="420"/>
              <w:spacing w:after="0" w:line="271" w:lineRule="exact"/>
              <w:rPr>
                <w:sz w:val="20"/>
                <w:szCs w:val="20"/>
                <w:color w:val="auto"/>
              </w:rPr>
            </w:pPr>
            <w:r>
              <w:rPr>
                <w:rFonts w:ascii="Arial" w:cs="Arial" w:eastAsia="Arial" w:hAnsi="Arial"/>
                <w:sz w:val="31"/>
                <w:szCs w:val="31"/>
                <w:color w:val="auto"/>
                <w:w w:val="97"/>
                <w:vertAlign w:val="subscript"/>
              </w:rPr>
              <w:t>—</w:t>
            </w:r>
            <w:r>
              <w:rPr>
                <w:rFonts w:ascii="Arial" w:cs="Arial" w:eastAsia="Arial" w:hAnsi="Arial"/>
                <w:sz w:val="10"/>
                <w:szCs w:val="10"/>
                <w:color w:val="auto"/>
                <w:w w:val="97"/>
              </w:rPr>
              <w:t>(4)</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gridSpan w:val="2"/>
            <w:vMerge w:val="continue"/>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$345,000,000</w:t>
            </w: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44,781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hanging="426"/>
        <w:spacing w:after="0"/>
        <w:tabs>
          <w:tab w:leader="none" w:pos="88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pursuant to Rule 457(a) under the Securities Act.</w:t>
      </w:r>
    </w:p>
    <w:p>
      <w:pPr>
        <w:spacing w:after="0" w:line="33" w:lineRule="exact"/>
        <w:rPr>
          <w:rFonts w:ascii="Arial" w:cs="Arial" w:eastAsia="Arial" w:hAnsi="Arial"/>
          <w:sz w:val="15"/>
          <w:szCs w:val="15"/>
          <w:color w:val="auto"/>
        </w:rPr>
      </w:pPr>
    </w:p>
    <w:p>
      <w:pPr>
        <w:ind w:left="880" w:right="539" w:hanging="426"/>
        <w:spacing w:after="0" w:line="281" w:lineRule="auto"/>
        <w:tabs>
          <w:tab w:leader="none" w:pos="88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Includes 4,500,000 units, consisting of 4,500,000 Class A ordinary shares and 2,250,000 redeemable warrants, which may be issued upon exercise of a 45-day option granted to the underwriter to cover over-allotments, if any.</w:t>
      </w:r>
    </w:p>
    <w:p>
      <w:pPr>
        <w:spacing w:after="0" w:line="1" w:lineRule="exact"/>
        <w:rPr>
          <w:rFonts w:ascii="Arial" w:cs="Arial" w:eastAsia="Arial" w:hAnsi="Arial"/>
          <w:sz w:val="15"/>
          <w:szCs w:val="15"/>
          <w:color w:val="auto"/>
        </w:rPr>
      </w:pPr>
    </w:p>
    <w:p>
      <w:pPr>
        <w:ind w:left="880" w:right="619" w:hanging="426"/>
        <w:spacing w:after="0" w:line="281" w:lineRule="auto"/>
        <w:tabs>
          <w:tab w:leader="none" w:pos="8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Pursuant to Rule 416(a), there are also being registered an indeterminable number of additional securities as may be offered or issued to prevent dilution resulting from stock splits, stock dividends, or similar transactions.</w:t>
      </w:r>
    </w:p>
    <w:p>
      <w:pPr>
        <w:spacing w:after="0" w:line="1" w:lineRule="exact"/>
        <w:rPr>
          <w:rFonts w:ascii="Arial" w:cs="Arial" w:eastAsia="Arial" w:hAnsi="Arial"/>
          <w:sz w:val="15"/>
          <w:szCs w:val="15"/>
          <w:color w:val="auto"/>
        </w:rPr>
      </w:pP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 fee pursuant to Rule 457(g).</w:t>
      </w:r>
    </w:p>
    <w:p>
      <w:pPr>
        <w:spacing w:after="0" w:line="141" w:lineRule="exact"/>
        <w:rPr>
          <w:sz w:val="20"/>
          <w:szCs w:val="20"/>
          <w:color w:val="auto"/>
        </w:rPr>
      </w:pPr>
    </w:p>
    <w:p>
      <w:pPr>
        <w:ind w:left="460" w:right="479" w:firstLine="432"/>
        <w:spacing w:after="0" w:line="29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246380</wp:posOffset>
            </wp:positionV>
            <wp:extent cx="514350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572135</wp:posOffset>
            </wp:positionV>
            <wp:extent cx="51435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 w:name="page3"/>
    <w:bookmarkEnd w:id="2"/>
    <w:p>
      <w:pPr>
        <w:spacing w:after="0" w:line="9" w:lineRule="exact"/>
        <w:rPr>
          <w:sz w:val="20"/>
          <w:szCs w:val="20"/>
          <w:color w:val="auto"/>
        </w:rPr>
      </w:pPr>
    </w:p>
    <w:p>
      <w:pPr>
        <w:ind w:left="460" w:right="479"/>
        <w:spacing w:after="0" w:line="273" w:lineRule="auto"/>
        <w:rPr>
          <w:sz w:val="20"/>
          <w:szCs w:val="20"/>
          <w:color w:val="auto"/>
        </w:rPr>
      </w:pPr>
      <w:r>
        <w:rPr>
          <w:rFonts w:ascii="Arial" w:cs="Arial" w:eastAsia="Arial" w:hAnsi="Arial"/>
          <w:sz w:val="16"/>
          <w:szCs w:val="16"/>
          <w:color w:val="ED1C24"/>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84" w:lineRule="exact"/>
        <w:rPr>
          <w:sz w:val="20"/>
          <w:szCs w:val="20"/>
          <w:color w:val="auto"/>
        </w:rPr>
      </w:pPr>
    </w:p>
    <w:p>
      <w:pPr>
        <w:ind w:left="2360"/>
        <w:spacing w:after="0"/>
        <w:rPr>
          <w:sz w:val="20"/>
          <w:szCs w:val="20"/>
          <w:color w:val="auto"/>
        </w:rPr>
      </w:pPr>
      <w:r>
        <w:rPr>
          <w:rFonts w:ascii="Arial" w:cs="Arial" w:eastAsia="Arial" w:hAnsi="Arial"/>
          <w:sz w:val="18"/>
          <w:szCs w:val="18"/>
          <w:color w:val="D2232A"/>
        </w:rPr>
        <w:t>SUBJECT TO COMPLETION, DATED MARCH 17, 2020</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PRELIMINARY PROSPECTUS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Sustainable Opportunities Acquisition Corp.</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$300,000,000</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30,000,000 Units</w:t>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______________</w:t>
      </w:r>
    </w:p>
    <w:p>
      <w:pPr>
        <w:spacing w:after="0" w:line="106" w:lineRule="exact"/>
        <w:rPr>
          <w:sz w:val="20"/>
          <w:szCs w:val="20"/>
          <w:color w:val="auto"/>
        </w:rPr>
      </w:pPr>
    </w:p>
    <w:p>
      <w:pPr>
        <w:ind w:left="460" w:right="519" w:firstLine="432"/>
        <w:spacing w:after="0" w:line="313" w:lineRule="auto"/>
        <w:rPr>
          <w:sz w:val="20"/>
          <w:szCs w:val="20"/>
          <w:color w:val="auto"/>
        </w:rPr>
      </w:pPr>
      <w:r>
        <w:rPr>
          <w:rFonts w:ascii="Arial" w:cs="Arial" w:eastAsia="Arial" w:hAnsi="Arial"/>
          <w:sz w:val="14"/>
          <w:szCs w:val="14"/>
          <w:color w:val="auto"/>
        </w:rPr>
        <w:t>Sustainable Opportunities Acquisition Corp. is a newly incorporated blank check company incorporated as a Cayman Islands exempted company and incorporated for the purpose of effecting a merger, share exchange, asset acquisition, share purchase, reorganization or similar business combination with one or more businesses or entities, which we refer to as our initial business combination. We have not selected any business combination target and we have not, nor has anyone on our behalf, initiated any substantive discussions, directly or indirectly, with any business combination target. While we will not be limited to a particular industry or geographic region, given the experience of our management team, our acquisition and value creation strategy will be to identify, acquire, and build a company in the sustainable sector.</w:t>
      </w:r>
    </w:p>
    <w:p>
      <w:pPr>
        <w:spacing w:after="0" w:line="15" w:lineRule="exact"/>
        <w:rPr>
          <w:sz w:val="20"/>
          <w:szCs w:val="20"/>
          <w:color w:val="auto"/>
        </w:rPr>
      </w:pPr>
    </w:p>
    <w:p>
      <w:pPr>
        <w:ind w:left="460" w:right="599" w:firstLine="432"/>
        <w:spacing w:after="0" w:line="271" w:lineRule="auto"/>
        <w:rPr>
          <w:sz w:val="20"/>
          <w:szCs w:val="20"/>
          <w:color w:val="auto"/>
        </w:rPr>
      </w:pPr>
      <w:r>
        <w:rPr>
          <w:rFonts w:ascii="Arial" w:cs="Arial" w:eastAsia="Arial" w:hAnsi="Arial"/>
          <w:sz w:val="16"/>
          <w:szCs w:val="16"/>
          <w:color w:val="auto"/>
        </w:rPr>
        <w:t>This is an initial public offering of our securities. Each unit has an offering price of $10.00 and consists of one Class A ordinary share and one-half of one redeemable warrant. Each whole warrant entitles the holder thereof to purchase one Class A ordinary share at a price of $11.50 per share, subject to adjustment, terms and limitations as described herein. The underwriter has a 45-day option from the date of this prospectus to purchase up to 4,500,000 additional units to cover over-allotments, if any.</w:t>
      </w:r>
    </w:p>
    <w:p>
      <w:pPr>
        <w:spacing w:after="0" w:line="41" w:lineRule="exact"/>
        <w:rPr>
          <w:sz w:val="20"/>
          <w:szCs w:val="20"/>
          <w:color w:val="auto"/>
        </w:rPr>
      </w:pPr>
    </w:p>
    <w:p>
      <w:pPr>
        <w:ind w:left="460" w:right="659" w:firstLine="432"/>
        <w:spacing w:after="0" w:line="297" w:lineRule="auto"/>
        <w:rPr>
          <w:sz w:val="20"/>
          <w:szCs w:val="20"/>
          <w:color w:val="auto"/>
        </w:rPr>
      </w:pPr>
      <w:r>
        <w:rPr>
          <w:rFonts w:ascii="Arial" w:cs="Arial" w:eastAsia="Arial" w:hAnsi="Arial"/>
          <w:sz w:val="15"/>
          <w:szCs w:val="15"/>
          <w:color w:val="auto"/>
        </w:rPr>
        <w:t>We will provide our public shareholders with the opportunity to redeem all or a portion of their Class A ordinary shares upon the completion of our initial business combination, subject to the limitations described herein. If we have not consummated an initial business combination within 24 months from the closing of this offering, we will redeem 100% of the public shares for cash, subject to applicable law and certain conditions as described herein.</w:t>
      </w:r>
    </w:p>
    <w:p>
      <w:pPr>
        <w:spacing w:after="0" w:line="37"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6"/>
          <w:szCs w:val="16"/>
          <w:color w:val="auto"/>
        </w:rPr>
        <w:t>Our sponsor, Sustainable Opportunities Holdings LLC, has agreed to purchase 10,000,000 warrants, each exercisable to purchase one Class A ordinary share at $11.50 per share, at a price of $1.00 per warrant, in a private placement to occur concurrently with the closing of this offering. Our sponsor currently owns 8,625,000 Class B ordinary shares which will automatically convert into Class A ordinary shares at the time of our initial business combination as described herein. Prior to our initial business combination, only holders of our Class B ordinary shares will be entitled to vote on the election of directors.</w:t>
      </w:r>
    </w:p>
    <w:p>
      <w:pPr>
        <w:spacing w:after="0" w:line="45" w:lineRule="exact"/>
        <w:rPr>
          <w:sz w:val="20"/>
          <w:szCs w:val="20"/>
          <w:color w:val="auto"/>
        </w:rPr>
      </w:pPr>
    </w:p>
    <w:p>
      <w:pPr>
        <w:ind w:left="460" w:right="659" w:firstLine="432"/>
        <w:spacing w:after="0" w:line="290" w:lineRule="auto"/>
        <w:rPr>
          <w:sz w:val="20"/>
          <w:szCs w:val="20"/>
          <w:color w:val="auto"/>
        </w:rPr>
      </w:pPr>
      <w:r>
        <w:rPr>
          <w:rFonts w:ascii="Arial" w:cs="Arial" w:eastAsia="Arial" w:hAnsi="Arial"/>
          <w:sz w:val="14"/>
          <w:szCs w:val="14"/>
          <w:color w:val="auto"/>
        </w:rPr>
        <w:t>Currently, there is no public market for our securities. We intend to apply to have our units listed on the New York Stock Exchange, or NYSE, under the symbol “SOAC.U.” We expect that the Class A ordinary shares and warrants comprising the units will begin separate trading on the NYSE under the symbols “SOAC” and “SOAC WS,” respectively, on the 52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day following the date of this prospectus (or if such day is not a business day, the immediately succeeding business day) unless the underwriter permits earlier separate trading and we have satisfied certain conditions.</w:t>
      </w:r>
    </w:p>
    <w:p>
      <w:pPr>
        <w:spacing w:after="0" w:line="2"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______________</w:t>
      </w:r>
    </w:p>
    <w:p>
      <w:pPr>
        <w:spacing w:after="0" w:line="87" w:lineRule="exact"/>
        <w:rPr>
          <w:sz w:val="20"/>
          <w:szCs w:val="20"/>
          <w:color w:val="auto"/>
        </w:rPr>
      </w:pPr>
    </w:p>
    <w:p>
      <w:pPr>
        <w:ind w:left="460" w:right="659" w:firstLine="432"/>
        <w:spacing w:after="0" w:line="245" w:lineRule="auto"/>
        <w:rPr>
          <w:sz w:val="20"/>
          <w:szCs w:val="20"/>
          <w:color w:val="auto"/>
        </w:rPr>
      </w:pPr>
      <w:r>
        <w:rPr>
          <w:rFonts w:ascii="Arial" w:cs="Arial" w:eastAsia="Arial" w:hAnsi="Arial"/>
          <w:sz w:val="20"/>
          <w:szCs w:val="20"/>
          <w:b w:val="1"/>
          <w:bCs w:val="1"/>
          <w:color w:val="auto"/>
        </w:rPr>
        <w:t>We are an “emerging growth company” under applicable federal securities laws and will be subject to reduced public company reporting requirements. Investing in our securities involves a high degree of risk. See “Risk Factors” beginning on page 27 for a discussion of information that should be considered in connection with an investment in our securities. Investors will not be entitled to protections normally afforded to investors in Rule 419 blank check offerings.</w:t>
      </w:r>
    </w:p>
    <w:p>
      <w:pPr>
        <w:spacing w:after="0" w:line="62" w:lineRule="exact"/>
        <w:rPr>
          <w:sz w:val="20"/>
          <w:szCs w:val="20"/>
          <w:color w:val="auto"/>
        </w:rPr>
      </w:pPr>
    </w:p>
    <w:p>
      <w:pPr>
        <w:ind w:left="460" w:right="539" w:firstLine="432"/>
        <w:spacing w:after="0" w:line="265"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______________</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Per Unit</w:t>
            </w:r>
          </w:p>
        </w:tc>
        <w:tc>
          <w:tcPr>
            <w:tcW w:w="22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47"/>
        </w:trPr>
        <w:tc>
          <w:tcPr>
            <w:tcW w:w="58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3"/>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300,000,000</w:t>
            </w:r>
          </w:p>
        </w:tc>
      </w:tr>
      <w:tr>
        <w:trPr>
          <w:trHeight w:val="284"/>
        </w:trPr>
        <w:tc>
          <w:tcPr>
            <w:tcW w:w="582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16,500,000</w:t>
            </w:r>
          </w:p>
        </w:tc>
      </w:tr>
      <w:tr>
        <w:trPr>
          <w:trHeight w:val="26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283,500,000</w:t>
            </w:r>
          </w:p>
        </w:tc>
      </w:tr>
      <w:tr>
        <w:trPr>
          <w:trHeight w:val="250"/>
        </w:trPr>
        <w:tc>
          <w:tcPr>
            <w:tcW w:w="5820" w:type="dxa"/>
            <w:vAlign w:val="bottom"/>
          </w:tcPr>
          <w:p>
            <w:pPr>
              <w:spacing w:after="0"/>
              <w:rPr>
                <w:sz w:val="20"/>
                <w:szCs w:val="20"/>
                <w:color w:val="auto"/>
              </w:rPr>
            </w:pPr>
            <w:r>
              <w:rPr>
                <w:rFonts w:ascii="Arial" w:cs="Arial" w:eastAsia="Arial" w:hAnsi="Arial"/>
                <w:sz w:val="16"/>
                <w:szCs w:val="16"/>
                <w:color w:val="auto"/>
              </w:rPr>
              <w:t>____________</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72" w:lineRule="exact"/>
        <w:rPr>
          <w:sz w:val="20"/>
          <w:szCs w:val="20"/>
          <w:color w:val="auto"/>
        </w:rPr>
      </w:pPr>
    </w:p>
    <w:p>
      <w:pPr>
        <w:ind w:left="880" w:right="599" w:hanging="426"/>
        <w:spacing w:after="0" w:line="271"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$0.35 per unit, or $10,500,000 in the aggregate (or $12,075,000 in the aggregate if the underwriter’s over-allotment option is exercised in full), payable to the underwriter for deferred underwriting commissions to be placed in a trust account located in the United States as described herein and released to the underwriter only upon the consummation of an initial business combination. See also “Underwriting” for a description of compensation and other items of value payable to the underwriter.</w:t>
      </w:r>
    </w:p>
    <w:p>
      <w:pPr>
        <w:spacing w:after="0" w:line="68" w:lineRule="exact"/>
        <w:rPr>
          <w:sz w:val="20"/>
          <w:szCs w:val="20"/>
          <w:color w:val="auto"/>
        </w:rPr>
      </w:pPr>
    </w:p>
    <w:p>
      <w:pPr>
        <w:ind w:left="460" w:right="539" w:firstLine="432"/>
        <w:spacing w:after="0" w:line="305" w:lineRule="auto"/>
        <w:rPr>
          <w:sz w:val="20"/>
          <w:szCs w:val="20"/>
          <w:color w:val="auto"/>
        </w:rPr>
      </w:pPr>
      <w:r>
        <w:rPr>
          <w:rFonts w:ascii="Arial" w:cs="Arial" w:eastAsia="Arial" w:hAnsi="Arial"/>
          <w:sz w:val="15"/>
          <w:szCs w:val="15"/>
          <w:color w:val="auto"/>
        </w:rPr>
        <w:t>Of the proceeds we receive from this offering and the sale of the private placement warrants described in this prospectus, $300,000,000, or $345,000,000 if the underwriter’s over-allotment option is exercised in full ($10.00 per unit in either case), will be deposited into a trust account with Continental Stock Transfer &amp; Trust Company acting as trustee.</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The underwriter is offering the units for sale on a firm commitment basis. The underwriter expects to deliver the units</w:t>
      </w:r>
    </w:p>
    <w:p>
      <w:pPr>
        <w:spacing w:after="0" w:line="45" w:lineRule="exact"/>
        <w:rPr>
          <w:sz w:val="20"/>
          <w:szCs w:val="20"/>
          <w:color w:val="auto"/>
        </w:rPr>
      </w:pPr>
    </w:p>
    <w:p>
      <w:pPr>
        <w:ind w:left="460"/>
        <w:spacing w:after="0"/>
        <w:tabs>
          <w:tab w:leader="none" w:pos="2760" w:val="left"/>
        </w:tabs>
        <w:rPr>
          <w:sz w:val="20"/>
          <w:szCs w:val="20"/>
          <w:color w:val="auto"/>
        </w:rPr>
      </w:pPr>
      <w:r>
        <w:rPr>
          <w:rFonts w:ascii="Arial" w:cs="Arial" w:eastAsia="Arial" w:hAnsi="Arial"/>
          <w:sz w:val="16"/>
          <w:szCs w:val="16"/>
          <w:color w:val="auto"/>
        </w:rPr>
        <w:t>to the purchasers on or about</w:t>
      </w:r>
      <w:r>
        <w:rPr>
          <w:sz w:val="20"/>
          <w:szCs w:val="20"/>
          <w:color w:val="auto"/>
        </w:rPr>
        <w:tab/>
      </w:r>
      <w:r>
        <w:rPr>
          <w:rFonts w:ascii="Arial" w:cs="Arial" w:eastAsia="Arial" w:hAnsi="Arial"/>
          <w:sz w:val="14"/>
          <w:szCs w:val="14"/>
          <w:color w:val="auto"/>
        </w:rPr>
        <w:t>, 2020.</w:t>
      </w:r>
    </w:p>
    <w:p>
      <w:pPr>
        <w:spacing w:after="0" w:line="1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______________</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Citigroup</w:t>
      </w:r>
    </w:p>
    <w:p>
      <w:pPr>
        <w:sectPr>
          <w:pgSz w:w="11900" w:h="16847" w:orient="portrait"/>
          <w:cols w:equalWidth="0" w:num="1">
            <w:col w:w="9019"/>
          </w:cols>
          <w:pgMar w:left="1440" w:top="278" w:right="1440" w:bottom="0" w:gutter="0" w:footer="0" w:header="0"/>
        </w:sectPr>
      </w:pPr>
    </w:p>
    <w:p>
      <w:pPr>
        <w:spacing w:after="0" w:line="3" w:lineRule="exact"/>
        <w:rPr>
          <w:sz w:val="20"/>
          <w:szCs w:val="20"/>
          <w:color w:val="auto"/>
        </w:rPr>
      </w:pPr>
    </w:p>
    <w:p>
      <w:pPr>
        <w:ind w:left="3880"/>
        <w:spacing w:after="0"/>
        <w:rPr>
          <w:sz w:val="20"/>
          <w:szCs w:val="20"/>
          <w:color w:val="auto"/>
        </w:rPr>
      </w:pPr>
      <w:r>
        <w:rPr>
          <w:rFonts w:ascii="Arial" w:cs="Arial" w:eastAsia="Arial" w:hAnsi="Arial"/>
          <w:sz w:val="16"/>
          <w:szCs w:val="16"/>
          <w:color w:val="auto"/>
        </w:rPr>
        <w:t>______________</w:t>
      </w:r>
    </w:p>
    <w:p>
      <w:pPr>
        <w:sectPr>
          <w:pgSz w:w="11900" w:h="16847" w:orient="portrait"/>
          <w:cols w:equalWidth="0" w:num="1">
            <w:col w:w="9019"/>
          </w:cols>
          <w:pgMar w:left="1440" w:top="278" w:right="1440" w:bottom="0" w:gutter="0" w:footer="0" w:header="0"/>
          <w:type w:val="continuous"/>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1202690</wp:posOffset>
            </wp:positionH>
            <wp:positionV relativeFrom="page">
              <wp:posOffset>226060</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180" w:type="dxa"/>
            <w:vAlign w:val="bottom"/>
            <w:tcBorders>
              <w:bottom w:val="single" w:sz="8" w:color="CCEEFF"/>
            </w:tcBorders>
          </w:tcPr>
          <w:p>
            <w:pPr>
              <w:spacing w:after="0"/>
              <w:rPr>
                <w:sz w:val="4"/>
                <w:szCs w:val="4"/>
                <w:color w:val="auto"/>
              </w:rPr>
            </w:pPr>
          </w:p>
        </w:tc>
        <w:tc>
          <w:tcPr>
            <w:tcW w:w="5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54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106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90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183"/>
        </w:trPr>
        <w:tc>
          <w:tcPr>
            <w:tcW w:w="7380" w:type="dxa"/>
            <w:vAlign w:val="bottom"/>
            <w:gridSpan w:val="22"/>
            <w:shd w:val="clear" w:color="auto" w:fill="CCEEFF"/>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SUMMARY</w:t>
              </w:r>
            </w:hyperlink>
          </w:p>
        </w:tc>
        <w:tc>
          <w:tcPr>
            <w:tcW w:w="72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79"/>
              </w:rPr>
              <w:t>1</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31">
              <w:r>
                <w:rPr>
                  <w:rFonts w:ascii="Arial" w:cs="Arial" w:eastAsia="Arial" w:hAnsi="Arial"/>
                  <w:sz w:val="18"/>
                  <w:szCs w:val="18"/>
                  <w:color w:val="0000EE"/>
                </w:rPr>
                <w:t>SUMMARY FINANCIAL DATA</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89"/>
              </w:rPr>
              <w:t>26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32">
              <w:r>
                <w:rPr>
                  <w:rFonts w:ascii="Arial" w:cs="Arial" w:eastAsia="Arial" w:hAnsi="Arial"/>
                  <w:sz w:val="18"/>
                  <w:szCs w:val="18"/>
                  <w:color w:val="0000EE"/>
                </w:rPr>
                <w:t>RISK FACTORS</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27</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64">
              <w:r>
                <w:rPr>
                  <w:rFonts w:ascii="Arial" w:cs="Arial" w:eastAsia="Arial" w:hAnsi="Arial"/>
                  <w:sz w:val="18"/>
                  <w:szCs w:val="18"/>
                  <w:color w:val="0000EE"/>
                </w:rPr>
                <w:t>CAUTIONARY NOTE REGARDING FORWARD-LOOKING STATEMENTS</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89"/>
              </w:rPr>
              <w:t>59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1360" w:type="dxa"/>
            <w:vAlign w:val="bottom"/>
            <w:tcBorders>
              <w:top w:val="single" w:sz="8" w:color="0000EE"/>
            </w:tcBorders>
          </w:tcPr>
          <w:p>
            <w:pPr>
              <w:spacing w:after="0"/>
              <w:rPr>
                <w:sz w:val="5"/>
                <w:szCs w:val="5"/>
                <w:color w:val="auto"/>
              </w:rPr>
            </w:pPr>
          </w:p>
        </w:tc>
        <w:tc>
          <w:tcPr>
            <w:tcW w:w="10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65">
              <w:r>
                <w:rPr>
                  <w:rFonts w:ascii="Arial" w:cs="Arial" w:eastAsia="Arial" w:hAnsi="Arial"/>
                  <w:sz w:val="18"/>
                  <w:szCs w:val="18"/>
                  <w:color w:val="0000EE"/>
                </w:rPr>
                <w:t>USE OF PROCEEDS</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60</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68">
              <w:r>
                <w:rPr>
                  <w:rFonts w:ascii="Arial" w:cs="Arial" w:eastAsia="Arial" w:hAnsi="Arial"/>
                  <w:sz w:val="18"/>
                  <w:szCs w:val="18"/>
                  <w:color w:val="0000EE"/>
                </w:rPr>
                <w:t>DIVIDEND POLICY</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89"/>
              </w:rPr>
              <w:t>63</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69">
              <w:r>
                <w:rPr>
                  <w:rFonts w:ascii="Arial" w:cs="Arial" w:eastAsia="Arial" w:hAnsi="Arial"/>
                  <w:sz w:val="18"/>
                  <w:szCs w:val="18"/>
                  <w:color w:val="0000EE"/>
                </w:rPr>
                <w:t>DILUTION</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64</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71">
              <w:r>
                <w:rPr>
                  <w:rFonts w:ascii="Arial" w:cs="Arial" w:eastAsia="Arial" w:hAnsi="Arial"/>
                  <w:sz w:val="18"/>
                  <w:szCs w:val="18"/>
                  <w:color w:val="0000EE"/>
                </w:rPr>
                <w:t>CAPITALIZATION</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89"/>
              </w:rPr>
              <w:t>66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175"/>
        </w:trPr>
        <w:tc>
          <w:tcPr>
            <w:tcW w:w="6680" w:type="dxa"/>
            <w:vAlign w:val="bottom"/>
            <w:tcBorders>
              <w:bottom w:val="single" w:sz="8" w:color="0000EE"/>
            </w:tcBorders>
            <w:gridSpan w:val="21"/>
            <w:shd w:val="clear" w:color="auto" w:fill="CCEEFF"/>
          </w:tcPr>
          <w:p>
            <w:pPr>
              <w:spacing w:after="0" w:line="176" w:lineRule="exact"/>
              <w:rPr>
                <w:rFonts w:ascii="Arial" w:cs="Arial" w:eastAsia="Arial" w:hAnsi="Arial"/>
                <w:sz w:val="18"/>
                <w:szCs w:val="18"/>
                <w:color w:val="0000EE"/>
                <w:w w:val="98"/>
              </w:rPr>
            </w:pPr>
            <w:hyperlink w:anchor="page72">
              <w:r>
                <w:rPr>
                  <w:rFonts w:ascii="Arial" w:cs="Arial" w:eastAsia="Arial" w:hAnsi="Arial"/>
                  <w:sz w:val="18"/>
                  <w:szCs w:val="18"/>
                  <w:color w:val="0000EE"/>
                  <w:w w:val="98"/>
                </w:rPr>
                <w:t>MANAGEMENT’S DISCUSSION AND ANALYSIS OF FINANCIAL CONDITION AND</w:t>
              </w:r>
            </w:hyperlink>
          </w:p>
        </w:tc>
        <w:tc>
          <w:tcPr>
            <w:tcW w:w="7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200" w:type="dxa"/>
            <w:vAlign w:val="bottom"/>
            <w:gridSpan w:val="21"/>
            <w:shd w:val="clear" w:color="auto" w:fill="CCEEFF"/>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RESULTS OF OPERATIONS</w:t>
              </w:r>
            </w:hyperlink>
          </w:p>
        </w:tc>
        <w:tc>
          <w:tcPr>
            <w:tcW w:w="7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67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PROPOSED BUSINESS</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89"/>
              </w:rPr>
              <w:t>72</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MANAGEMENT</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89"/>
              </w:rPr>
              <w:t>98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111">
              <w:r>
                <w:rPr>
                  <w:rFonts w:ascii="Arial" w:cs="Arial" w:eastAsia="Arial" w:hAnsi="Arial"/>
                  <w:sz w:val="18"/>
                  <w:szCs w:val="18"/>
                  <w:color w:val="0000EE"/>
                </w:rPr>
                <w:t>PRINCIPAL SHAREHOLDERS</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3"/>
              </w:rPr>
              <w:t>106</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113">
              <w:r>
                <w:rPr>
                  <w:rFonts w:ascii="Arial" w:cs="Arial" w:eastAsia="Arial" w:hAnsi="Arial"/>
                  <w:sz w:val="18"/>
                  <w:szCs w:val="18"/>
                  <w:color w:val="0000EE"/>
                </w:rPr>
                <w:t>CERTAIN RELATIONSHIPS AND RELATED PARTY TRANSACTIONS</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108</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115">
              <w:r>
                <w:rPr>
                  <w:rFonts w:ascii="Arial" w:cs="Arial" w:eastAsia="Arial" w:hAnsi="Arial"/>
                  <w:sz w:val="18"/>
                  <w:szCs w:val="18"/>
                  <w:color w:val="0000EE"/>
                </w:rPr>
                <w:t>DESCRIPTION OF SECURITIES</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86"/>
              </w:rPr>
              <w:t>110</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134">
              <w:r>
                <w:rPr>
                  <w:rFonts w:ascii="Arial" w:cs="Arial" w:eastAsia="Arial" w:hAnsi="Arial"/>
                  <w:sz w:val="18"/>
                  <w:szCs w:val="18"/>
                  <w:color w:val="0000EE"/>
                </w:rPr>
                <w:t>TAXATION</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129</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144">
              <w:r>
                <w:rPr>
                  <w:rFonts w:ascii="Arial" w:cs="Arial" w:eastAsia="Arial" w:hAnsi="Arial"/>
                  <w:sz w:val="18"/>
                  <w:szCs w:val="18"/>
                  <w:color w:val="0000EE"/>
                </w:rPr>
                <w:t>UNDERWRITING</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3"/>
              </w:rPr>
              <w:t>139</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150">
              <w:r>
                <w:rPr>
                  <w:rFonts w:ascii="Arial" w:cs="Arial" w:eastAsia="Arial" w:hAnsi="Arial"/>
                  <w:sz w:val="18"/>
                  <w:szCs w:val="18"/>
                  <w:color w:val="0000EE"/>
                </w:rPr>
                <w:t>LEGAL MATTERS</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145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54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7380" w:type="dxa"/>
            <w:vAlign w:val="bottom"/>
            <w:gridSpan w:val="22"/>
          </w:tcPr>
          <w:p>
            <w:pPr>
              <w:spacing w:after="0" w:line="202" w:lineRule="exact"/>
              <w:rPr>
                <w:rFonts w:ascii="Arial" w:cs="Arial" w:eastAsia="Arial" w:hAnsi="Arial"/>
                <w:sz w:val="18"/>
                <w:szCs w:val="18"/>
                <w:color w:val="0000EE"/>
              </w:rPr>
            </w:pPr>
            <w:hyperlink w:anchor="page150">
              <w:r>
                <w:rPr>
                  <w:rFonts w:ascii="Arial" w:cs="Arial" w:eastAsia="Arial" w:hAnsi="Arial"/>
                  <w:sz w:val="18"/>
                  <w:szCs w:val="18"/>
                  <w:color w:val="0000EE"/>
                </w:rPr>
                <w:t>EXPERTS</w:t>
              </w:r>
            </w:hyperlink>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93"/>
              </w:rPr>
              <w:t>145</w:t>
            </w:r>
          </w:p>
        </w:tc>
      </w:tr>
      <w:tr>
        <w:trPr>
          <w:trHeight w:val="61"/>
        </w:trPr>
        <w:tc>
          <w:tcPr>
            <w:tcW w:w="18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13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320" w:type="dxa"/>
            <w:vAlign w:val="bottom"/>
          </w:tcPr>
          <w:p>
            <w:pPr>
              <w:spacing w:after="0"/>
              <w:rPr>
                <w:sz w:val="5"/>
                <w:szCs w:val="5"/>
                <w:color w:val="auto"/>
              </w:rPr>
            </w:pPr>
          </w:p>
        </w:tc>
        <w:tc>
          <w:tcPr>
            <w:tcW w:w="9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r>
      <w:tr>
        <w:trPr>
          <w:trHeight w:val="203"/>
        </w:trPr>
        <w:tc>
          <w:tcPr>
            <w:tcW w:w="7380" w:type="dxa"/>
            <w:vAlign w:val="bottom"/>
            <w:gridSpan w:val="22"/>
            <w:shd w:val="clear" w:color="auto" w:fill="CCEEFF"/>
          </w:tcPr>
          <w:p>
            <w:pPr>
              <w:spacing w:after="0" w:line="202" w:lineRule="exact"/>
              <w:rPr>
                <w:rFonts w:ascii="Arial" w:cs="Arial" w:eastAsia="Arial" w:hAnsi="Arial"/>
                <w:sz w:val="18"/>
                <w:szCs w:val="18"/>
                <w:color w:val="0000EE"/>
              </w:rPr>
            </w:pPr>
            <w:hyperlink w:anchor="page150">
              <w:r>
                <w:rPr>
                  <w:rFonts w:ascii="Arial" w:cs="Arial" w:eastAsia="Arial" w:hAnsi="Arial"/>
                  <w:sz w:val="18"/>
                  <w:szCs w:val="18"/>
                  <w:color w:val="0000EE"/>
                </w:rPr>
                <w:t>WHERE YOU CAN FIND ADDITIONAL INFORMATION</w:t>
              </w:r>
            </w:hyperlink>
          </w:p>
        </w:tc>
        <w:tc>
          <w:tcPr>
            <w:tcW w:w="720" w:type="dxa"/>
            <w:vAlign w:val="bottom"/>
            <w:shd w:val="clear" w:color="auto" w:fill="CCEEFF"/>
          </w:tcPr>
          <w:p>
            <w:pPr>
              <w:jc w:val="center"/>
              <w:spacing w:after="0" w:line="202" w:lineRule="exact"/>
              <w:rPr>
                <w:sz w:val="20"/>
                <w:szCs w:val="20"/>
                <w:color w:val="auto"/>
              </w:rPr>
            </w:pPr>
            <w:r>
              <w:rPr>
                <w:rFonts w:ascii="Arial" w:cs="Arial" w:eastAsia="Arial" w:hAnsi="Arial"/>
                <w:sz w:val="18"/>
                <w:szCs w:val="18"/>
                <w:color w:val="auto"/>
                <w:w w:val="93"/>
              </w:rPr>
              <w:t>145</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20" w:type="dxa"/>
            <w:vAlign w:val="bottom"/>
            <w:tcBorders>
              <w:top w:val="single" w:sz="8" w:color="0000EE"/>
            </w:tcBorders>
            <w:shd w:val="clear" w:color="auto" w:fill="CCEEFF"/>
          </w:tcPr>
          <w:p>
            <w:pPr>
              <w:spacing w:after="0"/>
              <w:rPr>
                <w:sz w:val="5"/>
                <w:szCs w:val="5"/>
                <w:color w:val="auto"/>
              </w:rPr>
            </w:pPr>
          </w:p>
        </w:tc>
        <w:tc>
          <w:tcPr>
            <w:tcW w:w="56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54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106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03"/>
        </w:trPr>
        <w:tc>
          <w:tcPr>
            <w:tcW w:w="3040" w:type="dxa"/>
            <w:vAlign w:val="bottom"/>
            <w:tcBorders>
              <w:bottom w:val="single" w:sz="8" w:color="0000EE"/>
            </w:tcBorders>
            <w:gridSpan w:val="17"/>
          </w:tcPr>
          <w:p>
            <w:pPr>
              <w:spacing w:after="0" w:line="202" w:lineRule="exact"/>
              <w:rPr>
                <w:rFonts w:ascii="Arial" w:cs="Arial" w:eastAsia="Arial" w:hAnsi="Arial"/>
                <w:sz w:val="18"/>
                <w:szCs w:val="18"/>
                <w:color w:val="0000EE"/>
                <w:w w:val="97"/>
              </w:rPr>
            </w:pPr>
            <w:hyperlink w:anchor="page151">
              <w:r>
                <w:rPr>
                  <w:rFonts w:ascii="Arial" w:cs="Arial" w:eastAsia="Arial" w:hAnsi="Arial"/>
                  <w:sz w:val="18"/>
                  <w:szCs w:val="18"/>
                  <w:color w:val="0000EE"/>
                  <w:w w:val="97"/>
                </w:rPr>
                <w:t>INDEX TO FINANCIAL STATEMENTS</w:t>
              </w:r>
            </w:hyperlink>
          </w:p>
        </w:tc>
        <w:tc>
          <w:tcPr>
            <w:tcW w:w="4340" w:type="dxa"/>
            <w:vAlign w:val="bottom"/>
            <w:gridSpan w:val="5"/>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Arial" w:cs="Arial" w:eastAsia="Arial" w:hAnsi="Arial"/>
                <w:sz w:val="18"/>
                <w:szCs w:val="18"/>
                <w:color w:val="auto"/>
                <w:w w:val="88"/>
              </w:rPr>
              <w:t>F-1</w:t>
            </w:r>
          </w:p>
        </w:tc>
      </w:tr>
    </w:tbl>
    <w:p>
      <w:pPr>
        <w:spacing w:after="0" w:line="238" w:lineRule="exact"/>
        <w:rPr>
          <w:sz w:val="20"/>
          <w:szCs w:val="20"/>
          <w:color w:val="auto"/>
        </w:rPr>
      </w:pPr>
    </w:p>
    <w:p>
      <w:pPr>
        <w:ind w:left="460" w:right="519" w:firstLine="432"/>
        <w:spacing w:after="0" w:line="256" w:lineRule="auto"/>
        <w:rPr>
          <w:sz w:val="20"/>
          <w:szCs w:val="20"/>
          <w:color w:val="auto"/>
        </w:rPr>
      </w:pPr>
      <w:r>
        <w:rPr>
          <w:rFonts w:ascii="Arial" w:cs="Arial" w:eastAsia="Arial" w:hAnsi="Arial"/>
          <w:sz w:val="18"/>
          <w:szCs w:val="18"/>
          <w:b w:val="1"/>
          <w:bCs w:val="1"/>
          <w:color w:val="auto"/>
        </w:rPr>
        <w:t>We are responsible for the information contained in this prospectus. We have not authorized anyone to provide you with different information, and we take no responsibility for any other information others may give to you. We are not, and the underwriter is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0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7310" cy="8660130"/>
                    </a:xfrm>
                    <a:prstGeom prst="rect">
                      <a:avLst/>
                    </a:prstGeom>
                    <a:noFill/>
                  </pic:spPr>
                </pic:pic>
              </a:graphicData>
            </a:graphic>
          </wp:anchor>
        </w:drawing>
        <w:t>SUMMARY</w:t>
      </w:r>
    </w:p>
    <w:p>
      <w:pPr>
        <w:spacing w:after="0" w:line="148" w:lineRule="exact"/>
        <w:rPr>
          <w:sz w:val="20"/>
          <w:szCs w:val="20"/>
          <w:color w:val="auto"/>
        </w:rPr>
      </w:pPr>
    </w:p>
    <w:p>
      <w:pPr>
        <w:ind w:left="540" w:right="819" w:firstLine="432"/>
        <w:spacing w:after="0" w:line="311" w:lineRule="auto"/>
        <w:rPr>
          <w:sz w:val="20"/>
          <w:szCs w:val="20"/>
          <w:color w:val="auto"/>
        </w:rPr>
      </w:pPr>
      <w:r>
        <w:rPr>
          <w:rFonts w:ascii="Arial" w:cs="Arial" w:eastAsia="Arial" w:hAnsi="Arial"/>
          <w:sz w:val="16"/>
          <w:szCs w:val="16"/>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58" w:lineRule="exact"/>
        <w:rPr>
          <w:sz w:val="20"/>
          <w:szCs w:val="20"/>
          <w:color w:val="auto"/>
        </w:rPr>
      </w:pPr>
    </w:p>
    <w:p>
      <w:pPr>
        <w:jc w:val="both"/>
        <w:ind w:left="1400" w:right="699" w:hanging="424"/>
        <w:spacing w:after="0" w:line="263"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and restated memorandum and article of association” are to the amended and restated memorandum and articles of association that the company will adopt prior to the consummation of this offering;</w:t>
      </w:r>
    </w:p>
    <w:p>
      <w:pPr>
        <w:spacing w:after="0" w:line="102" w:lineRule="exact"/>
        <w:rPr>
          <w:rFonts w:ascii="Arial" w:cs="Arial" w:eastAsia="Arial" w:hAnsi="Arial"/>
          <w:sz w:val="18"/>
          <w:szCs w:val="18"/>
          <w:color w:val="auto"/>
        </w:rPr>
      </w:pPr>
    </w:p>
    <w:p>
      <w:pPr>
        <w:ind w:left="1400" w:right="619" w:hanging="424"/>
        <w:spacing w:after="0" w:line="27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“Companies Law” are to the Companies Law (2020 Revision) of the Cayman Islands as the same may be amended from time to time;</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“Founders” are to Scott Leonard and Scott Honour;</w:t>
      </w:r>
    </w:p>
    <w:p>
      <w:pPr>
        <w:spacing w:after="0" w:line="157" w:lineRule="exact"/>
        <w:rPr>
          <w:rFonts w:ascii="Arial" w:cs="Arial" w:eastAsia="Arial" w:hAnsi="Arial"/>
          <w:sz w:val="18"/>
          <w:szCs w:val="18"/>
          <w:color w:val="auto"/>
        </w:rPr>
      </w:pPr>
    </w:p>
    <w:p>
      <w:pPr>
        <w:ind w:left="1400" w:right="899" w:hanging="424"/>
        <w:spacing w:after="0" w:line="25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“founder shares” are to our Class B ordinary shares initially issued to our sponsor in a private placement prior to this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106" w:lineRule="exact"/>
        <w:rPr>
          <w:rFonts w:ascii="Arial" w:cs="Arial" w:eastAsia="Arial" w:hAnsi="Arial"/>
          <w:sz w:val="18"/>
          <w:szCs w:val="18"/>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or our “management team” are to our executive officers and directors;</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shares” are to our Class A ordinary shares and our Class B ordinary shares;</w:t>
      </w:r>
    </w:p>
    <w:p>
      <w:pPr>
        <w:spacing w:after="0" w:line="157" w:lineRule="exact"/>
        <w:rPr>
          <w:rFonts w:ascii="Arial" w:cs="Arial" w:eastAsia="Arial" w:hAnsi="Arial"/>
          <w:sz w:val="18"/>
          <w:szCs w:val="18"/>
          <w:color w:val="auto"/>
        </w:rPr>
      </w:pPr>
    </w:p>
    <w:p>
      <w:pPr>
        <w:ind w:left="1400" w:right="1039" w:hanging="424"/>
        <w:spacing w:after="0" w:line="263"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placement warrants” are to the warrants to be issued to our sponsor in a private placement simultaneously with the closing of this offering and upon conversion of working capital loans, if any;</w:t>
      </w:r>
    </w:p>
    <w:p>
      <w:pPr>
        <w:spacing w:after="0" w:line="102" w:lineRule="exact"/>
        <w:rPr>
          <w:rFonts w:ascii="Arial" w:cs="Arial" w:eastAsia="Arial" w:hAnsi="Arial"/>
          <w:sz w:val="18"/>
          <w:szCs w:val="18"/>
          <w:color w:val="auto"/>
        </w:rPr>
      </w:pPr>
    </w:p>
    <w:p>
      <w:pPr>
        <w:ind w:left="1400" w:right="1199" w:hanging="424"/>
        <w:spacing w:after="0" w:line="308" w:lineRule="auto"/>
        <w:tabs>
          <w:tab w:leader="none" w:pos="1391" w:val="left"/>
        </w:tabs>
        <w:numPr>
          <w:ilvl w:val="0"/>
          <w:numId w:val="3"/>
        </w:numPr>
        <w:rPr>
          <w:rFonts w:ascii="Arial" w:cs="Arial" w:eastAsia="Arial" w:hAnsi="Arial"/>
          <w:sz w:val="17"/>
          <w:szCs w:val="17"/>
          <w:color w:val="auto"/>
        </w:rPr>
      </w:pPr>
      <w:r>
        <w:rPr>
          <w:rFonts w:ascii="Arial" w:cs="Arial" w:eastAsia="Arial" w:hAnsi="Arial"/>
          <w:sz w:val="17"/>
          <w:szCs w:val="17"/>
          <w:color w:val="auto"/>
        </w:rPr>
        <w:t>“public shares” are to our Class A ordinary shares sold as part of the units in this offering (whether they are purchased in this offering or thereafter in the open market);</w:t>
      </w:r>
    </w:p>
    <w:p>
      <w:pPr>
        <w:spacing w:after="0" w:line="78" w:lineRule="exact"/>
        <w:rPr>
          <w:rFonts w:ascii="Arial" w:cs="Arial" w:eastAsia="Arial" w:hAnsi="Arial"/>
          <w:sz w:val="17"/>
          <w:szCs w:val="17"/>
          <w:color w:val="auto"/>
        </w:rPr>
      </w:pPr>
    </w:p>
    <w:p>
      <w:pPr>
        <w:ind w:left="1400" w:right="559" w:hanging="424"/>
        <w:spacing w:after="0" w:line="279" w:lineRule="auto"/>
        <w:tabs>
          <w:tab w:leader="none" w:pos="1391" w:val="left"/>
        </w:tabs>
        <w:numPr>
          <w:ilvl w:val="0"/>
          <w:numId w:val="3"/>
        </w:numPr>
        <w:rPr>
          <w:rFonts w:ascii="Arial" w:cs="Arial" w:eastAsia="Arial" w:hAnsi="Arial"/>
          <w:sz w:val="17"/>
          <w:szCs w:val="17"/>
          <w:color w:val="auto"/>
        </w:rPr>
      </w:pPr>
      <w:r>
        <w:rPr>
          <w:rFonts w:ascii="Arial" w:cs="Arial" w:eastAsia="Arial" w:hAnsi="Arial"/>
          <w:sz w:val="17"/>
          <w:szCs w:val="17"/>
          <w:color w:val="auto"/>
        </w:rPr>
        <w:t>“public shareholders” are to the holders of our public shares, including our sponsor and management team to the extent our sponsor and/or members of our management team purchase public shares, provided that our sponsor’s and each member of our management team’s status as a “public shareholder” will only exist with respect to such public shares;</w:t>
      </w:r>
    </w:p>
    <w:p>
      <w:pPr>
        <w:spacing w:after="0" w:line="103" w:lineRule="exact"/>
        <w:rPr>
          <w:rFonts w:ascii="Arial" w:cs="Arial" w:eastAsia="Arial" w:hAnsi="Arial"/>
          <w:sz w:val="17"/>
          <w:szCs w:val="17"/>
          <w:color w:val="auto"/>
        </w:rPr>
      </w:pPr>
    </w:p>
    <w:p>
      <w:pPr>
        <w:ind w:left="1400" w:right="639" w:hanging="424"/>
        <w:spacing w:after="0" w:line="27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 are to Sustainable Opportunities Holdings LLC, a Delaware limited liability company; and</w:t>
      </w:r>
    </w:p>
    <w:p>
      <w:pPr>
        <w:spacing w:after="0" w:line="89" w:lineRule="exact"/>
        <w:rPr>
          <w:rFonts w:ascii="Arial" w:cs="Arial" w:eastAsia="Arial" w:hAnsi="Arial"/>
          <w:sz w:val="18"/>
          <w:szCs w:val="18"/>
          <w:color w:val="auto"/>
        </w:rPr>
      </w:pPr>
    </w:p>
    <w:p>
      <w:pPr>
        <w:ind w:left="1400" w:right="859" w:hanging="424"/>
        <w:spacing w:after="0" w:line="27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“company” or “our company” are to Sustainable Opportunities Acquisition Corp., a Cayman Islands exempted company.</w:t>
      </w:r>
    </w:p>
    <w:p>
      <w:pPr>
        <w:spacing w:after="0" w:line="103" w:lineRule="exact"/>
        <w:rPr>
          <w:sz w:val="20"/>
          <w:szCs w:val="20"/>
          <w:color w:val="auto"/>
        </w:rPr>
      </w:pPr>
    </w:p>
    <w:p>
      <w:pPr>
        <w:ind w:left="540" w:right="579" w:firstLine="432"/>
        <w:spacing w:after="0" w:line="296" w:lineRule="auto"/>
        <w:rPr>
          <w:sz w:val="20"/>
          <w:szCs w:val="20"/>
          <w:color w:val="auto"/>
        </w:rPr>
      </w:pPr>
      <w:r>
        <w:rPr>
          <w:rFonts w:ascii="Arial" w:cs="Arial" w:eastAsia="Arial" w:hAnsi="Arial"/>
          <w:sz w:val="16"/>
          <w:szCs w:val="16"/>
          <w:color w:val="auto"/>
        </w:rPr>
        <w:t>Any forfeiture of shares described in this prospectus will take effect as a surrender of shares for no consideration of such shares as a matter of Cayman Islands law. Any conversion of the Class B ordinary shares described in this prospectus will take effect as a compulsory redemption of Class B ordinary shares and an issuance of Class A ordinary shares as a matter of Cayman Islands law. Any share dividends described in this prospectus will take effect as share capitalizations as a matter of Cayman Islands law.</w:t>
      </w:r>
    </w:p>
    <w:p>
      <w:pPr>
        <w:spacing w:after="0" w:line="94" w:lineRule="exact"/>
        <w:rPr>
          <w:sz w:val="20"/>
          <w:szCs w:val="20"/>
          <w:color w:val="auto"/>
        </w:rPr>
      </w:pPr>
    </w:p>
    <w:p>
      <w:pPr>
        <w:ind w:left="540" w:right="739" w:firstLine="432"/>
        <w:spacing w:after="0" w:line="277" w:lineRule="auto"/>
        <w:rPr>
          <w:sz w:val="20"/>
          <w:szCs w:val="20"/>
          <w:color w:val="auto"/>
        </w:rPr>
      </w:pPr>
      <w:r>
        <w:rPr>
          <w:rFonts w:ascii="Arial" w:cs="Arial" w:eastAsia="Arial" w:hAnsi="Arial"/>
          <w:sz w:val="18"/>
          <w:szCs w:val="18"/>
          <w:color w:val="auto"/>
        </w:rPr>
        <w:t>Unless we tell you otherwise, the information in this prospectus assumes that the underwriter will not exercise its over-allotment option.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Company</w:t>
      </w:r>
    </w:p>
    <w:p>
      <w:pPr>
        <w:spacing w:after="0" w:line="148" w:lineRule="exact"/>
        <w:rPr>
          <w:sz w:val="20"/>
          <w:szCs w:val="20"/>
          <w:color w:val="auto"/>
        </w:rPr>
      </w:pPr>
    </w:p>
    <w:p>
      <w:pPr>
        <w:ind w:left="540" w:right="579" w:firstLine="432"/>
        <w:spacing w:after="0" w:line="255" w:lineRule="auto"/>
        <w:rPr>
          <w:sz w:val="20"/>
          <w:szCs w:val="20"/>
          <w:color w:val="auto"/>
        </w:rPr>
      </w:pPr>
      <w:r>
        <w:rPr>
          <w:rFonts w:ascii="Arial" w:cs="Arial" w:eastAsia="Arial" w:hAnsi="Arial"/>
          <w:sz w:val="18"/>
          <w:szCs w:val="18"/>
          <w:color w:val="auto"/>
        </w:rPr>
        <w:t>We are a blank check company newly incorporated as a Cayman Islands exempted company for the purpose of effecting a merger, share exchange, asset acquisition, share purchase, reorganization or similar business combination with one or more businesses or entities, which we refer to throughout this prospectus as our initial business combination. We have not selected any business combination target and we have not, nor has anyone on our behalf, initiated any substantive discussions, directly or indirectly, with any business combination target.</w:t>
      </w:r>
    </w:p>
    <w:p>
      <w:pPr>
        <w:spacing w:after="0" w:line="125" w:lineRule="exact"/>
        <w:rPr>
          <w:sz w:val="20"/>
          <w:szCs w:val="20"/>
          <w:color w:val="auto"/>
        </w:rPr>
      </w:pPr>
    </w:p>
    <w:p>
      <w:pPr>
        <w:jc w:val="both"/>
        <w:ind w:left="540" w:right="599" w:firstLine="432"/>
        <w:spacing w:after="0" w:line="263" w:lineRule="auto"/>
        <w:rPr>
          <w:sz w:val="20"/>
          <w:szCs w:val="20"/>
          <w:color w:val="auto"/>
        </w:rPr>
      </w:pPr>
      <w:r>
        <w:rPr>
          <w:rFonts w:ascii="Arial" w:cs="Arial" w:eastAsia="Arial" w:hAnsi="Arial"/>
          <w:sz w:val="18"/>
          <w:szCs w:val="18"/>
          <w:color w:val="auto"/>
        </w:rPr>
        <w:t>We believe that there are significant, attractive investment opportunities that exist within industries that benefit from strong Environmental, Social and Governance (“ESG”) profiles. While investing in ESG covers a broad range</w:t>
      </w:r>
    </w:p>
    <w:p>
      <w:pPr>
        <w:sectPr>
          <w:pgSz w:w="11900" w:h="16838" w:orient="portrait"/>
          <w:cols w:equalWidth="0" w:num="1">
            <w:col w:w="9019"/>
          </w:cols>
          <w:pgMar w:left="1440" w:top="540" w:right="1440"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6" w:name="page7"/>
    <w:bookmarkEnd w:id="6"/>
    <w:p>
      <w:pPr>
        <w:ind w:left="540" w:right="559"/>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11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7310" cy="8711565"/>
                    </a:xfrm>
                    <a:prstGeom prst="rect">
                      <a:avLst/>
                    </a:prstGeom>
                    <a:noFill/>
                  </pic:spPr>
                </pic:pic>
              </a:graphicData>
            </a:graphic>
          </wp:anchor>
        </w:drawing>
        <w:t>of themes, we are focused on evaluating suitable targets that have existing environmental sustainability practices or that may benefit, both operationally and economically, from our management team’s commitment and expertise in executing such practices. We believe our management team’s experience allows us to evaluate targets in industries such as manufacturing (including auto, building materials), chemicals, services (including waste, environmental, construction), logistics (including transportation, distribution), technology (hardware, software, devices), agriculture (including biofuels) and energy (with focus on renewable generation, utility services, energy efficiency/management), among others. Furthermore, our target universe could include companies undergoing a transition to increase their environmental sustainability profiles, reflecting an opportunity to bring environmentally sustainable practices to companies that may not have historically been focused on environmental sustainability. We believe there is a wide array of companies poised to undergo this “brown-to-green” transition in our target universe. Companies in our target universe tend to have stable growth rates and would greatly benefit from access to public market capital.</w:t>
      </w:r>
    </w:p>
    <w:p>
      <w:pPr>
        <w:spacing w:after="0" w:line="100" w:lineRule="exact"/>
        <w:rPr>
          <w:sz w:val="20"/>
          <w:szCs w:val="20"/>
          <w:color w:val="auto"/>
        </w:rPr>
      </w:pPr>
    </w:p>
    <w:p>
      <w:pPr>
        <w:ind w:left="540" w:right="599" w:firstLine="432"/>
        <w:spacing w:after="0" w:line="287" w:lineRule="auto"/>
        <w:rPr>
          <w:sz w:val="20"/>
          <w:szCs w:val="20"/>
          <w:color w:val="auto"/>
        </w:rPr>
      </w:pPr>
      <w:r>
        <w:rPr>
          <w:rFonts w:ascii="Arial" w:cs="Arial" w:eastAsia="Arial" w:hAnsi="Arial"/>
          <w:sz w:val="16"/>
          <w:szCs w:val="16"/>
          <w:color w:val="auto"/>
        </w:rPr>
        <w:t>We believe in the ability of our management team to add significant value to a target company from a commercial, operating, strategic and sustainability perspective. In particular, we intend to identify and acquire a business that could benefit from a hands-on owner with extensive operational experience and the public company expertise our management team possesses, or that relies on the target’s executive and operational expertise but presents potential for an attractive risk-adjusted return profile under our stewardship. Even fundamentally sound companies can often underperform their potential due to underinvestment, a temporary period of dislocation in the markets in which they operate, over-levered capital structures, excessive cost structures, incomplete management teams and/or inappropriate business strategies. Our management team has extensive experience in identifying and executing such strategies. In addition, our team has significant hands-on experience working with private companies in preparing for and executing an initial public offering and serving as active owners and directors by working closely with these companies to continue their transformations and help create value in the public markets.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162" w:lineRule="exact"/>
        <w:rPr>
          <w:sz w:val="20"/>
          <w:szCs w:val="20"/>
          <w:color w:val="auto"/>
        </w:rPr>
      </w:pPr>
    </w:p>
    <w:p>
      <w:pPr>
        <w:ind w:left="540" w:right="659" w:firstLine="432"/>
        <w:spacing w:after="0" w:line="283" w:lineRule="auto"/>
        <w:rPr>
          <w:sz w:val="20"/>
          <w:szCs w:val="20"/>
          <w:color w:val="auto"/>
        </w:rPr>
      </w:pPr>
      <w:r>
        <w:rPr>
          <w:rFonts w:ascii="Arial" w:cs="Arial" w:eastAsia="Arial" w:hAnsi="Arial"/>
          <w:sz w:val="16"/>
          <w:szCs w:val="16"/>
          <w:color w:val="auto"/>
        </w:rPr>
        <w:t>Scott Leonard serves as our Chief Executive Officer and on our board of directors. Mr. Leonard has over 15 years of experience leading highly successful business transformations and transitions. Mr. Leonard also has deep expertise over the past 8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w:t>
      </w:r>
    </w:p>
    <w:p>
      <w:pPr>
        <w:spacing w:after="0" w:line="5" w:lineRule="exact"/>
        <w:rPr>
          <w:sz w:val="20"/>
          <w:szCs w:val="20"/>
          <w:color w:val="auto"/>
        </w:rPr>
      </w:pPr>
    </w:p>
    <w:p>
      <w:pPr>
        <w:ind w:left="540" w:right="559" w:firstLine="4"/>
        <w:spacing w:after="0" w:line="288" w:lineRule="auto"/>
        <w:tabs>
          <w:tab w:leader="none" w:pos="725" w:val="left"/>
        </w:tabs>
        <w:numPr>
          <w:ilvl w:val="0"/>
          <w:numId w:val="4"/>
        </w:numPr>
        <w:rPr>
          <w:rFonts w:ascii="Arial" w:cs="Arial" w:eastAsia="Arial" w:hAnsi="Arial"/>
          <w:sz w:val="16"/>
          <w:szCs w:val="16"/>
          <w:color w:val="auto"/>
        </w:rPr>
      </w:pPr>
      <w:r>
        <w:rPr>
          <w:rFonts w:ascii="Arial" w:cs="Arial" w:eastAsia="Arial" w:hAnsi="Arial"/>
          <w:sz w:val="16"/>
          <w:szCs w:val="16"/>
          <w:color w:val="auto"/>
        </w:rPr>
        <w:t>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Mr. Leonard earned a B.S. with Highest Honors from Georgia Tech, and an M.B.A. with Distinction from The Kellogg Graduate School of Management at Northwestern.</w:t>
      </w:r>
    </w:p>
    <w:p>
      <w:pPr>
        <w:spacing w:after="0" w:line="87" w:lineRule="exact"/>
        <w:rPr>
          <w:sz w:val="20"/>
          <w:szCs w:val="20"/>
          <w:color w:val="auto"/>
        </w:rPr>
      </w:pPr>
    </w:p>
    <w:p>
      <w:pPr>
        <w:ind w:left="540" w:right="559" w:firstLine="432"/>
        <w:spacing w:after="0" w:line="265" w:lineRule="auto"/>
        <w:rPr>
          <w:sz w:val="20"/>
          <w:szCs w:val="20"/>
          <w:color w:val="auto"/>
        </w:rPr>
      </w:pPr>
      <w:r>
        <w:rPr>
          <w:rFonts w:ascii="Arial" w:cs="Arial" w:eastAsia="Arial" w:hAnsi="Arial"/>
          <w:sz w:val="17"/>
          <w:szCs w:val="17"/>
          <w:color w:val="auto"/>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(“NPG”), a private equity firm, which he co-founded in 2012. Prior to that, Mr. Honour was at The Gores Group, a Los Angeles based private equity firm, for 10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 numerous public and private companies including Solar Spectrum Holdings LLC, Anthem Sports &amp; Entertainment Inc., 1</w:t>
      </w:r>
      <w:r>
        <w:rPr>
          <w:rFonts w:ascii="Arial" w:cs="Arial" w:eastAsia="Arial" w:hAnsi="Arial"/>
          <w:sz w:val="19"/>
          <w:szCs w:val="19"/>
          <w:color w:val="auto"/>
          <w:vertAlign w:val="superscript"/>
        </w:rPr>
        <w:t>st</w:t>
      </w:r>
      <w:r>
        <w:rPr>
          <w:rFonts w:ascii="Arial" w:cs="Arial" w:eastAsia="Arial" w:hAnsi="Arial"/>
          <w:sz w:val="17"/>
          <w:szCs w:val="17"/>
          <w:color w:val="auto"/>
        </w:rPr>
        <w:t xml:space="preserve"> Choice Delivery, LLC, United Language Group, Inc., Renters Warehouse LLC, Real Dolmen (REM:BB) and Westwood One, Inc. (formerly Nasdaq: WWON), and is a co-founder of Titan CNG LLC and YapStone Inc. Mr. Honour earned a B.S. and B.A., </w:t>
      </w:r>
      <w:r>
        <w:rPr>
          <w:rFonts w:ascii="Arial" w:cs="Arial" w:eastAsia="Arial" w:hAnsi="Arial"/>
          <w:sz w:val="17"/>
          <w:szCs w:val="17"/>
          <w:i w:val="1"/>
          <w:iCs w:val="1"/>
          <w:color w:val="auto"/>
        </w:rPr>
        <w:t>cum laude</w:t>
      </w:r>
      <w:r>
        <w:rPr>
          <w:rFonts w:ascii="Arial" w:cs="Arial" w:eastAsia="Arial" w:hAnsi="Arial"/>
          <w:sz w:val="17"/>
          <w:szCs w:val="17"/>
          <w:color w:val="auto"/>
        </w:rPr>
        <w:t>, in Business Administration and Economics from Pepperdine University and an M.B.A. in Finance and Marketing from the Wharton School of the University of Pennsylvania.</w:t>
      </w:r>
    </w:p>
    <w:p>
      <w:pPr>
        <w:sectPr>
          <w:pgSz w:w="11900" w:h="16838" w:orient="portrait"/>
          <w:cols w:equalWidth="0" w:num="1">
            <w:col w:w="9019"/>
          </w:cols>
          <w:pgMar w:left="1440" w:top="463" w:right="1440"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7" w:name="page8"/>
    <w:bookmarkEnd w:id="7"/>
    <w:p>
      <w:pPr>
        <w:ind w:left="540" w:right="559" w:firstLine="432"/>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94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7310" cy="8394700"/>
                    </a:xfrm>
                    <a:prstGeom prst="rect">
                      <a:avLst/>
                    </a:prstGeom>
                    <a:noFill/>
                  </pic:spPr>
                </pic:pic>
              </a:graphicData>
            </a:graphic>
          </wp:anchor>
        </w:drawing>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 pricing and hedging for TXU Energy’s retail portfolio. Dr. Quiram began his career at McKinsey &amp; Co where he worked as an Engagement Manager from 2001 until 2005, and as a Research Scientist at DuPont (NYSE: DD) from 1998 to 2001. Dr. Quiram earned a B.S. in Chemical Engineering with Highest Distinction from the University of Virginia, and an M.S. and Ph.D. in Chemical Engineering from the Massachusetts Institute of Technology.</w:t>
      </w:r>
    </w:p>
    <w:p>
      <w:pPr>
        <w:spacing w:after="0" w:line="100" w:lineRule="exact"/>
        <w:rPr>
          <w:sz w:val="20"/>
          <w:szCs w:val="20"/>
          <w:color w:val="auto"/>
        </w:rPr>
      </w:pPr>
    </w:p>
    <w:p>
      <w:pPr>
        <w:ind w:left="540" w:right="559" w:firstLine="432"/>
        <w:spacing w:after="0" w:line="287" w:lineRule="auto"/>
        <w:rPr>
          <w:sz w:val="20"/>
          <w:szCs w:val="20"/>
          <w:color w:val="auto"/>
        </w:rPr>
      </w:pPr>
      <w:r>
        <w:rPr>
          <w:rFonts w:ascii="Arial" w:cs="Arial" w:eastAsia="Arial" w:hAnsi="Arial"/>
          <w:sz w:val="16"/>
          <w:szCs w:val="16"/>
          <w:color w:val="auto"/>
        </w:rPr>
        <w:t>Rick Gaenzle has agreed to serve on our board of directors. Mr. Gaenzle has over 30 years of private equity investment and corporate finance experience; he is the founder and currently serves as a Managing Director of Gilbert Global Equity Capital, L.L.C., the principal investment advisor to Gilbert Global Equity Partners, L.P. and related entities, a $1.2 billion leveraged buyout and private equity fund. Mr. Gaenzle has spent the last twenty-eight years at Gilbert Global and its predecessor entity, completing over 110 direct equity investments, co-investments and add-on acquisitions for portfolio companies. Previously, Mr. Gaenzle was a Principal of Soros Capital L.P., the principal venture capital and leveraged equity entity of the Quantum Group of Funds and a principal advisor to Quantum Industrial Holdings Ltd. Prior to joining Soros Capital, Mr. Gaenzle held various positions at PaineWebber Inc. Mr. Gaenzle currently serves as a Senior Advisor to Impact Delta, an impact-investing and impact-measurement advisory firm; an Operating Partner of NPG; and Chairman of Lake Street Homes, a single-family rental investment vehicle. Mr. Gaenzle holds a B.A. from Hartwick College and an M.B.A. from Fordham University.</w:t>
      </w:r>
    </w:p>
    <w:p>
      <w:pPr>
        <w:spacing w:after="0" w:line="100" w:lineRule="exact"/>
        <w:rPr>
          <w:sz w:val="20"/>
          <w:szCs w:val="20"/>
          <w:color w:val="auto"/>
        </w:rPr>
      </w:pPr>
    </w:p>
    <w:p>
      <w:pPr>
        <w:ind w:left="540" w:right="599" w:firstLine="432"/>
        <w:spacing w:after="0" w:line="286" w:lineRule="auto"/>
        <w:rPr>
          <w:sz w:val="20"/>
          <w:szCs w:val="20"/>
          <w:color w:val="auto"/>
        </w:rPr>
      </w:pPr>
      <w:r>
        <w:rPr>
          <w:rFonts w:ascii="Arial" w:cs="Arial" w:eastAsia="Arial" w:hAnsi="Arial"/>
          <w:sz w:val="16"/>
          <w:szCs w:val="16"/>
          <w:color w:val="auto"/>
        </w:rPr>
        <w:t>Isaac Barchas has agreed to serve on our board of directors. Mr. Barchas is the President and Chief Executive Officer of Research Bridge Partners (“RBP”), a socially-driven investment company, which he founded in 2016. RBP uses both concessionary and nonconcessionary investment to create startup companies based on university research and advance those companies into the venture capital markets. Prior to founding RBP, Mr. Barchas led the Austin Technology Incubator (“ATI”) at The University of Texas at Austin from 2006 to 2016. ATI’s Clean Energy Incubator was the first university clean tech incubation program in the United States. During Mr. Barchas’ leadership, ATI companies raised over $1 billion in the capital markets. Mr. Barchas joined the university from McKinsey &amp; Co., where he worked in the Chicago, Sydney, Auckland, and Dallas offices, from 1996 to 2006 and served on the leadership teams of McKinsey’s North American Healthcare Practice and Global Organization Practice. Mr. Barchas has served on multiple private company boards and on philanthropic boards including Pecan Street Inc., the largest analytically-focused clean energy and climate data consortium in the United States, where he was a founding board member. Mr. Barchas earned a J.D. (honors) and M.A. (Century Fellowship) from The University of Chicago. He received an A.B. from Stanford University (honors and Phi Beta Kappa).</w:t>
      </w:r>
    </w:p>
    <w:p>
      <w:pPr>
        <w:spacing w:after="0" w:line="90" w:lineRule="exact"/>
        <w:rPr>
          <w:sz w:val="20"/>
          <w:szCs w:val="20"/>
          <w:color w:val="auto"/>
        </w:rPr>
      </w:pPr>
    </w:p>
    <w:p>
      <w:pPr>
        <w:ind w:left="540" w:right="679" w:firstLine="432"/>
        <w:spacing w:after="0" w:line="257" w:lineRule="auto"/>
        <w:rPr>
          <w:sz w:val="20"/>
          <w:szCs w:val="20"/>
          <w:color w:val="auto"/>
        </w:rPr>
      </w:pPr>
      <w:r>
        <w:rPr>
          <w:rFonts w:ascii="Arial" w:cs="Arial" w:eastAsia="Arial" w:hAnsi="Arial"/>
          <w:sz w:val="18"/>
          <w:szCs w:val="18"/>
          <w:color w:val="auto"/>
        </w:rPr>
        <w:t>We will further be supported by our team of advisors comprised of former senior executives from leading global companies with experience in a wide range of sub-sectors and functional areas, who have previously worked together over the last decade or more. They will provide us with access to their expertise and extensive industry networks from which we intend to source and evaluate targets as well as devise plans to optimize any business that we acquire.</w:t>
      </w:r>
    </w:p>
    <w:p>
      <w:pPr>
        <w:spacing w:after="0" w:line="120" w:lineRule="exact"/>
        <w:rPr>
          <w:sz w:val="20"/>
          <w:szCs w:val="20"/>
          <w:color w:val="auto"/>
        </w:rPr>
      </w:pPr>
    </w:p>
    <w:p>
      <w:pPr>
        <w:ind w:left="540" w:right="619" w:firstLine="432"/>
        <w:spacing w:after="0" w:line="284" w:lineRule="auto"/>
        <w:rPr>
          <w:sz w:val="20"/>
          <w:szCs w:val="20"/>
          <w:color w:val="auto"/>
        </w:rPr>
      </w:pPr>
      <w:r>
        <w:rPr>
          <w:rFonts w:ascii="Arial" w:cs="Arial" w:eastAsia="Arial" w:hAnsi="Arial"/>
          <w:sz w:val="16"/>
          <w:szCs w:val="16"/>
          <w:color w:val="auto"/>
        </w:rPr>
        <w:t>Our management team will be supported by NPG, a technology and business services focused private equity firm based in Wayzata, Minnesota. NPG has considerable experience investing in ESG related portfolio companies with community impact, workplace diversity and integrity, and environmental resource management acting as cornerstones to key investment decisions. NPG has offset its carbon footprint to net zero, achieving CarbonNeutral</w:t>
      </w:r>
      <w:r>
        <w:rPr>
          <w:rFonts w:ascii="Arial" w:cs="Arial" w:eastAsia="Arial" w:hAnsi="Arial"/>
          <w:sz w:val="18"/>
          <w:szCs w:val="18"/>
          <w:color w:val="auto"/>
          <w:vertAlign w:val="superscript"/>
        </w:rPr>
        <w:t>®</w:t>
      </w:r>
      <w:r>
        <w:rPr>
          <w:rFonts w:ascii="Arial" w:cs="Arial" w:eastAsia="Arial" w:hAnsi="Arial"/>
          <w:sz w:val="16"/>
          <w:szCs w:val="16"/>
          <w:color w:val="auto"/>
        </w:rPr>
        <w:t xml:space="preserve"> status. The partners of NPG have been involved in acquisitions, financings and advisory transactions totaling over $20 billion in transaction value and have significant experience investing across a variety of economic cycles and a track record of identifying high-quality assets, businesses and management teams with significant resources, capital and optimization potential. NPG is strategically focused on sponsoring and supporting blank check companies either as a direct sponsor or under its portfolio companies. We believe that we will benefit from NPG’s prior experience.</w:t>
      </w:r>
    </w:p>
    <w:p>
      <w:pPr>
        <w:sectPr>
          <w:pgSz w:w="11900" w:h="16838" w:orient="portrait"/>
          <w:cols w:equalWidth="0" w:num="1">
            <w:col w:w="9019"/>
          </w:cols>
          <w:pgMar w:left="1440" w:top="463" w:right="1440" w:bottom="1440" w:gutter="0" w:footer="0" w:header="0"/>
        </w:sect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8" w:name="page9"/>
    <w:bookmarkEnd w:id="8"/>
    <w:p>
      <w:pPr>
        <w:ind w:left="540" w:right="619" w:firstLine="432"/>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3000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7310" cy="8300085"/>
                    </a:xfrm>
                    <a:prstGeom prst="rect">
                      <a:avLst/>
                    </a:prstGeom>
                    <a:noFill/>
                  </pic:spPr>
                </pic:pic>
              </a:graphicData>
            </a:graphic>
          </wp:anchor>
        </w:drawing>
        <w:t>With respect to the above, past performance of our management team is not a guarantee of either (i) success with respect to a business combination that may be consummated or (ii) the ability to successfully identify and execute a transaction. You should not rely on the historical record of management or their respective affiliates as indicative of future performance. See “Risk Factors — 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 For a list of our executive officers and entities for which a conflict of interest may or does exist between such officers and the company, please refer to “Management — Conflicts of Interest.”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jc w:val="both"/>
        <w:ind w:left="540" w:right="579" w:firstLine="432"/>
        <w:spacing w:after="0" w:line="311" w:lineRule="auto"/>
        <w:rPr>
          <w:sz w:val="20"/>
          <w:szCs w:val="20"/>
          <w:color w:val="auto"/>
        </w:rPr>
      </w:pPr>
      <w:r>
        <w:rPr>
          <w:rFonts w:ascii="Arial" w:cs="Arial" w:eastAsia="Arial" w:hAnsi="Arial"/>
          <w:sz w:val="16"/>
          <w:szCs w:val="16"/>
          <w:color w:val="auto"/>
        </w:rPr>
        <w:t>Our acquisition and value creation strategy is to identify and complete our initial business combination with a company in an industry that complements the experience and expertise of our management team and is focused on, or could benefit from, environmentally sustainable business practices. We will seek to:</w:t>
      </w:r>
    </w:p>
    <w:p>
      <w:pPr>
        <w:spacing w:after="0" w:line="81" w:lineRule="exact"/>
        <w:rPr>
          <w:sz w:val="20"/>
          <w:szCs w:val="20"/>
          <w:color w:val="auto"/>
        </w:rPr>
      </w:pPr>
    </w:p>
    <w:p>
      <w:pPr>
        <w:ind w:left="1400" w:right="57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management team and sponsor to bring advice and attention to potential targets;</w:t>
      </w:r>
    </w:p>
    <w:p>
      <w:pPr>
        <w:spacing w:after="0" w:line="89" w:lineRule="exact"/>
        <w:rPr>
          <w:rFonts w:ascii="Arial" w:cs="Arial" w:eastAsia="Arial" w:hAnsi="Arial"/>
          <w:sz w:val="18"/>
          <w:szCs w:val="18"/>
          <w:color w:val="auto"/>
        </w:rPr>
      </w:pPr>
    </w:p>
    <w:p>
      <w:pPr>
        <w:ind w:left="1400" w:right="57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Drive value creation through support of a strong environmental sustainability profile or a “brown-to-green” transition;</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w:t>
      </w:r>
    </w:p>
    <w:p>
      <w:pPr>
        <w:spacing w:after="0" w:line="157" w:lineRule="exact"/>
        <w:rPr>
          <w:rFonts w:ascii="Arial" w:cs="Arial" w:eastAsia="Arial" w:hAnsi="Arial"/>
          <w:sz w:val="18"/>
          <w:szCs w:val="18"/>
          <w:color w:val="auto"/>
        </w:rPr>
      </w:pPr>
    </w:p>
    <w:p>
      <w:pPr>
        <w:ind w:left="1400" w:right="71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 including assistance with public company readiness; and</w:t>
      </w:r>
    </w:p>
    <w:p>
      <w:pPr>
        <w:spacing w:after="0" w:line="89" w:lineRule="exact"/>
        <w:rPr>
          <w:rFonts w:ascii="Arial" w:cs="Arial" w:eastAsia="Arial" w:hAnsi="Arial"/>
          <w:sz w:val="18"/>
          <w:szCs w:val="18"/>
          <w:color w:val="auto"/>
        </w:rPr>
      </w:pPr>
    </w:p>
    <w:p>
      <w:pPr>
        <w:ind w:left="1400" w:right="81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Remove economic or environmental waste through environmentally sustainable operational or commercial improvements.</w:t>
      </w:r>
    </w:p>
    <w:p>
      <w:pPr>
        <w:spacing w:after="0" w:line="103" w:lineRule="exact"/>
        <w:rPr>
          <w:sz w:val="20"/>
          <w:szCs w:val="20"/>
          <w:color w:val="auto"/>
        </w:rPr>
      </w:pPr>
    </w:p>
    <w:p>
      <w:pPr>
        <w:ind w:left="540" w:right="639" w:firstLine="432"/>
        <w:spacing w:after="0" w:line="287" w:lineRule="auto"/>
        <w:rPr>
          <w:sz w:val="20"/>
          <w:szCs w:val="20"/>
          <w:color w:val="auto"/>
        </w:rPr>
      </w:pPr>
      <w:r>
        <w:rPr>
          <w:rFonts w:ascii="Arial" w:cs="Arial" w:eastAsia="Arial" w:hAnsi="Arial"/>
          <w:sz w:val="16"/>
          <w:szCs w:val="16"/>
          <w:color w:val="auto"/>
        </w:rPr>
        <w:t>Our selection process in choosing an attractive investment opportunity will leverage our management team’s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a catalyst to transform a target company and can help accelerate the target’s growth, performance and sustainability profile. Upon completion of this offering, members of our management team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104"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members of our management team have experience in:</w:t>
      </w:r>
    </w:p>
    <w:p>
      <w:pPr>
        <w:spacing w:after="0" w:line="144" w:lineRule="exact"/>
        <w:rPr>
          <w:sz w:val="20"/>
          <w:szCs w:val="20"/>
          <w:color w:val="auto"/>
        </w:rPr>
      </w:pPr>
    </w:p>
    <w:p>
      <w:pPr>
        <w:ind w:left="1400" w:right="101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and investing in companies with a focus on decarbonization and environmentally sustainable business practices;</w:t>
      </w:r>
    </w:p>
    <w:p>
      <w:pPr>
        <w:spacing w:after="0" w:line="102" w:lineRule="exact"/>
        <w:rPr>
          <w:rFonts w:ascii="Arial" w:cs="Arial" w:eastAsia="Arial" w:hAnsi="Arial"/>
          <w:sz w:val="18"/>
          <w:szCs w:val="18"/>
          <w:color w:val="auto"/>
        </w:rPr>
      </w:pPr>
    </w:p>
    <w:p>
      <w:pPr>
        <w:ind w:left="1400" w:right="71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companies, setting and enacting strategies, and identifying, monitoring and recruiting world-class talent;</w:t>
      </w:r>
    </w:p>
    <w:p>
      <w:pPr>
        <w:spacing w:after="0" w:line="102" w:lineRule="exact"/>
        <w:rPr>
          <w:rFonts w:ascii="Arial" w:cs="Arial" w:eastAsia="Arial" w:hAnsi="Arial"/>
          <w:sz w:val="18"/>
          <w:szCs w:val="18"/>
          <w:color w:val="auto"/>
        </w:rPr>
      </w:pPr>
    </w:p>
    <w:p>
      <w:pPr>
        <w:jc w:val="both"/>
        <w:ind w:left="1400" w:right="95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57" w:lineRule="exact"/>
        <w:rPr>
          <w:rFonts w:ascii="Arial" w:cs="Arial" w:eastAsia="Arial" w:hAnsi="Arial"/>
          <w:sz w:val="18"/>
          <w:szCs w:val="18"/>
          <w:color w:val="auto"/>
        </w:rPr>
      </w:pPr>
    </w:p>
    <w:p>
      <w:pPr>
        <w:ind w:left="1400" w:right="55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7"/>
          <w:szCs w:val="17"/>
          <w:color w:val="auto"/>
        </w:rPr>
      </w:pPr>
      <w:r>
        <w:rPr>
          <w:rFonts w:ascii="Arial" w:cs="Arial" w:eastAsia="Arial" w:hAnsi="Arial"/>
          <w:sz w:val="17"/>
          <w:szCs w:val="17"/>
          <w:color w:val="auto"/>
        </w:rPr>
        <w:t>Fostering relationships with sellers, capital providers and target management teams; and</w:t>
      </w:r>
    </w:p>
    <w:p>
      <w:pPr>
        <w:spacing w:after="0" w:line="155" w:lineRule="exact"/>
        <w:rPr>
          <w:rFonts w:ascii="Arial" w:cs="Arial" w:eastAsia="Arial" w:hAnsi="Arial"/>
          <w:sz w:val="17"/>
          <w:szCs w:val="17"/>
          <w:color w:val="auto"/>
        </w:rPr>
      </w:pPr>
    </w:p>
    <w:p>
      <w:pPr>
        <w:ind w:left="1400" w:right="129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Executing transactions and business plans under various economic and financial market conditions.</w:t>
      </w:r>
    </w:p>
    <w:p>
      <w:pPr>
        <w:sectPr>
          <w:pgSz w:w="11900" w:h="16838" w:orient="portrait"/>
          <w:cols w:equalWidth="0" w:num="1">
            <w:col w:w="9019"/>
          </w:cols>
          <w:pgMar w:left="1440" w:top="463" w:right="1440" w:bottom="1440" w:gutter="0" w:footer="0" w:header="0"/>
        </w:sect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9" w:name="page10"/>
    <w:bookmarkEnd w:id="9"/>
    <w:p>
      <w:pPr>
        <w:ind w:left="5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80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7310" cy="8780145"/>
                    </a:xfrm>
                    <a:prstGeom prst="rect">
                      <a:avLst/>
                    </a:prstGeom>
                    <a:noFill/>
                  </pic:spPr>
                </pic:pic>
              </a:graphicData>
            </a:graphic>
          </wp:anchor>
        </w:drawing>
        <w:t>Competitive Strengths</w:t>
      </w:r>
    </w:p>
    <w:p>
      <w:pPr>
        <w:spacing w:after="0" w:line="148" w:lineRule="exact"/>
        <w:rPr>
          <w:sz w:val="20"/>
          <w:szCs w:val="20"/>
          <w:color w:val="auto"/>
        </w:rPr>
      </w:pPr>
    </w:p>
    <w:p>
      <w:pPr>
        <w:ind w:left="540" w:right="579" w:firstLine="432"/>
        <w:spacing w:after="0" w:line="263" w:lineRule="auto"/>
        <w:rPr>
          <w:sz w:val="20"/>
          <w:szCs w:val="20"/>
          <w:color w:val="auto"/>
        </w:rPr>
      </w:pPr>
      <w:r>
        <w:rPr>
          <w:rFonts w:ascii="Arial" w:cs="Arial" w:eastAsia="Arial" w:hAnsi="Arial"/>
          <w:sz w:val="18"/>
          <w:szCs w:val="18"/>
          <w:color w:val="auto"/>
        </w:rPr>
        <w:t>The sourcing, valuation, diligence and execution capabilities of our management team will provide us with a significant pipeline of opportunities from which to evaluate and select a business that will benefit from our expertise. Our competitive strengths include the following:</w:t>
      </w:r>
    </w:p>
    <w:p>
      <w:pPr>
        <w:spacing w:after="0" w:line="103" w:lineRule="exact"/>
        <w:rPr>
          <w:sz w:val="20"/>
          <w:szCs w:val="20"/>
          <w:color w:val="auto"/>
        </w:rPr>
      </w:pPr>
    </w:p>
    <w:p>
      <w:pPr>
        <w:ind w:left="1400" w:right="679" w:hanging="424"/>
        <w:spacing w:after="0" w:line="273" w:lineRule="auto"/>
        <w:tabs>
          <w:tab w:leader="none" w:pos="1391"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Management Team and Sponsorship. </w:t>
      </w:r>
      <w:r>
        <w:rPr>
          <w:rFonts w:ascii="Arial" w:cs="Arial" w:eastAsia="Arial" w:hAnsi="Arial"/>
          <w:sz w:val="17"/>
          <w:szCs w:val="17"/>
          <w:color w:val="auto"/>
        </w:rPr>
        <w:t>We believe that our sponsor and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team, with its decade long proven ability to execute and simultaneously improve both financial metrics and sustainability, the strong track record of our management team focused on environmental sustainability will be viewed favorably by target businesses in need of professionalized management, ESG guidance, improved operating processes and controls, better access to industry relationships and strategic planning.</w:t>
      </w:r>
    </w:p>
    <w:p>
      <w:pPr>
        <w:spacing w:after="0" w:line="83" w:lineRule="exact"/>
        <w:rPr>
          <w:rFonts w:ascii="Arial" w:cs="Arial" w:eastAsia="Arial" w:hAnsi="Arial"/>
          <w:sz w:val="17"/>
          <w:szCs w:val="17"/>
          <w:color w:val="auto"/>
        </w:rPr>
      </w:pPr>
    </w:p>
    <w:p>
      <w:pPr>
        <w:ind w:left="1400" w:right="899" w:hanging="424"/>
        <w:spacing w:after="0" w:line="25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Experience in Decarbonization and Environmentally Sustainable Practices.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significant experience in decarbonization through the retirement and management of carbon intensive facilities as well as investment into new technologies. Our sponsor has an extensive track record of investment in companies with an environmental sustainability focus.</w:t>
      </w:r>
    </w:p>
    <w:p>
      <w:pPr>
        <w:spacing w:after="0" w:line="93" w:lineRule="exact"/>
        <w:rPr>
          <w:rFonts w:ascii="Arial" w:cs="Arial" w:eastAsia="Arial" w:hAnsi="Arial"/>
          <w:sz w:val="18"/>
          <w:szCs w:val="18"/>
          <w:color w:val="auto"/>
        </w:rPr>
      </w:pPr>
    </w:p>
    <w:p>
      <w:pPr>
        <w:ind w:left="1400" w:right="599" w:hanging="424"/>
        <w:spacing w:after="0" w:line="275" w:lineRule="auto"/>
        <w:tabs>
          <w:tab w:leader="none" w:pos="1391"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Sourcing Channels and Leading Industry Relationships. </w:t>
      </w:r>
      <w:r>
        <w:rPr>
          <w:rFonts w:ascii="Arial" w:cs="Arial" w:eastAsia="Arial" w:hAnsi="Arial"/>
          <w:sz w:val="17"/>
          <w:szCs w:val="17"/>
          <w:color w:val="auto"/>
        </w:rPr>
        <w:t>We believe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capabilities and connections associated with our management team and sponsor will provide us with a differentiated pipeline of merger opportunities that would be difficult for other participants in the market to replicate. We expect these sourcing capabilities will be further bolstered by our management team’s reputation and deep industry relationships.</w:t>
      </w:r>
    </w:p>
    <w:p>
      <w:pPr>
        <w:spacing w:after="0" w:line="95" w:lineRule="exact"/>
        <w:rPr>
          <w:rFonts w:ascii="Arial" w:cs="Arial" w:eastAsia="Arial" w:hAnsi="Arial"/>
          <w:sz w:val="17"/>
          <w:szCs w:val="17"/>
          <w:color w:val="auto"/>
        </w:rPr>
      </w:pPr>
    </w:p>
    <w:p>
      <w:pPr>
        <w:ind w:left="1400" w:right="839" w:hanging="424"/>
        <w:spacing w:after="0" w:line="311" w:lineRule="auto"/>
        <w:tabs>
          <w:tab w:leader="none" w:pos="1391" w:val="left"/>
        </w:tabs>
        <w:numPr>
          <w:ilvl w:val="0"/>
          <w:numId w:val="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Experience. </w:t>
      </w:r>
      <w:r>
        <w:rPr>
          <w:rFonts w:ascii="Arial" w:cs="Arial" w:eastAsia="Arial" w:hAnsi="Arial"/>
          <w:sz w:val="16"/>
          <w:szCs w:val="16"/>
          <w:color w:val="auto"/>
        </w:rPr>
        <w:t>We believe that our management and sponsor’s track record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identifying and sourcing transactions positions us well to evaluate potential investment targets and select one that will be well received by the public markets and our shareholders.</w:t>
      </w:r>
    </w:p>
    <w:p>
      <w:pPr>
        <w:spacing w:after="0" w:line="54" w:lineRule="exact"/>
        <w:rPr>
          <w:rFonts w:ascii="Arial" w:cs="Arial" w:eastAsia="Arial" w:hAnsi="Arial"/>
          <w:sz w:val="16"/>
          <w:szCs w:val="16"/>
          <w:color w:val="auto"/>
        </w:rPr>
      </w:pPr>
    </w:p>
    <w:p>
      <w:pPr>
        <w:ind w:left="1400" w:right="699" w:hanging="424"/>
        <w:spacing w:after="0" w:line="271" w:lineRule="auto"/>
        <w:tabs>
          <w:tab w:leader="none" w:pos="1391"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Execution and Structuring Capability. </w:t>
      </w:r>
      <w:r>
        <w:rPr>
          <w:rFonts w:ascii="Arial" w:cs="Arial" w:eastAsia="Arial" w:hAnsi="Arial"/>
          <w:sz w:val="17"/>
          <w:szCs w:val="17"/>
          <w:color w:val="auto"/>
        </w:rPr>
        <w:t>We believe that our management team’s and sponsor’s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combined industry expertise and reputation will allow them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Investment Criteria</w:t>
      </w:r>
    </w:p>
    <w:p>
      <w:pPr>
        <w:spacing w:after="0" w:line="162" w:lineRule="exact"/>
        <w:rPr>
          <w:sz w:val="20"/>
          <w:szCs w:val="20"/>
          <w:color w:val="auto"/>
        </w:rPr>
      </w:pPr>
    </w:p>
    <w:p>
      <w:pPr>
        <w:jc w:val="both"/>
        <w:ind w:left="540" w:right="639" w:firstLine="432"/>
        <w:spacing w:after="0" w:line="257" w:lineRule="auto"/>
        <w:rPr>
          <w:sz w:val="20"/>
          <w:szCs w:val="20"/>
          <w:color w:val="auto"/>
        </w:rPr>
      </w:pPr>
      <w:r>
        <w:rPr>
          <w:rFonts w:ascii="Arial" w:cs="Arial" w:eastAsia="Arial" w:hAnsi="Arial"/>
          <w:sz w:val="18"/>
          <w:szCs w:val="18"/>
          <w:color w:val="auto"/>
        </w:rPr>
        <w:t>Consistent with our strategy, we have identified the following general criteria and guidelines which we believe are important in evaluating prospective target businesses. We will use these criteria and guidelines in evaluating acquisition opportunities, but we may decide to enter into our initial business combination with a target business that does not meet these criteria and guidelines. We intend to acquire one or more businesses or entities that we believe:</w:t>
      </w:r>
    </w:p>
    <w:p>
      <w:pPr>
        <w:spacing w:after="0" w:line="93" w:lineRule="exact"/>
        <w:rPr>
          <w:sz w:val="20"/>
          <w:szCs w:val="20"/>
          <w:color w:val="auto"/>
        </w:rPr>
      </w:pPr>
    </w:p>
    <w:p>
      <w:pPr>
        <w:ind w:left="1400" w:right="759" w:hanging="424"/>
        <w:spacing w:after="0" w:line="301" w:lineRule="auto"/>
        <w:tabs>
          <w:tab w:leader="none" w:pos="1391"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Benefits from Environmentally Sustainable Business Practices. </w:t>
      </w:r>
      <w:r>
        <w:rPr>
          <w:rFonts w:ascii="Arial" w:cs="Arial" w:eastAsia="Arial" w:hAnsi="Arial"/>
          <w:sz w:val="16"/>
          <w:szCs w:val="16"/>
          <w:color w:val="auto"/>
        </w:rPr>
        <w:t>We will seek to acquire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that (i) has existing operating practices that promote and profit from environmental sustainability or (ii) would benefit from implementing environmentally sustainable commercial and operating practices leveraging the expertise of our management team and sponsor.</w:t>
      </w:r>
    </w:p>
    <w:p>
      <w:pPr>
        <w:spacing w:after="0" w:line="62" w:lineRule="exact"/>
        <w:rPr>
          <w:rFonts w:ascii="Arial" w:cs="Arial" w:eastAsia="Arial" w:hAnsi="Arial"/>
          <w:sz w:val="16"/>
          <w:szCs w:val="16"/>
          <w:color w:val="auto"/>
        </w:rPr>
      </w:pPr>
    </w:p>
    <w:p>
      <w:pPr>
        <w:ind w:left="1400" w:right="639" w:hanging="424"/>
        <w:spacing w:after="0" w:line="263"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Defensible Market Position. </w:t>
      </w:r>
      <w:r>
        <w:rPr>
          <w:rFonts w:ascii="Arial" w:cs="Arial" w:eastAsia="Arial" w:hAnsi="Arial"/>
          <w:sz w:val="18"/>
          <w:szCs w:val="18"/>
          <w:color w:val="auto"/>
        </w:rPr>
        <w:t>We will seek to acquire a business that has a defensible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within a target market as a result of a differentiated technology, distribution capabilities, customer service or other competitive advantages.</w:t>
      </w:r>
    </w:p>
    <w:p>
      <w:pPr>
        <w:spacing w:after="0" w:line="102" w:lineRule="exact"/>
        <w:rPr>
          <w:rFonts w:ascii="Arial" w:cs="Arial" w:eastAsia="Arial" w:hAnsi="Arial"/>
          <w:sz w:val="18"/>
          <w:szCs w:val="18"/>
          <w:color w:val="auto"/>
        </w:rPr>
      </w:pPr>
    </w:p>
    <w:p>
      <w:pPr>
        <w:ind w:left="1400" w:right="1199" w:hanging="424"/>
        <w:spacing w:after="0" w:line="263"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an Attractive Financial Profile. </w:t>
      </w:r>
      <w:r>
        <w:rPr>
          <w:rFonts w:ascii="Arial" w:cs="Arial" w:eastAsia="Arial" w:hAnsi="Arial"/>
          <w:sz w:val="18"/>
          <w:szCs w:val="18"/>
          <w:color w:val="auto"/>
        </w:rPr>
        <w:t>We will seek to acquire a business that has highly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recurring, stable cash flows and operating leverage and may benefit from optimizing or delevering the capital structure.</w:t>
      </w:r>
    </w:p>
    <w:p>
      <w:pPr>
        <w:spacing w:after="0" w:line="89" w:lineRule="exact"/>
        <w:rPr>
          <w:rFonts w:ascii="Arial" w:cs="Arial" w:eastAsia="Arial" w:hAnsi="Arial"/>
          <w:sz w:val="18"/>
          <w:szCs w:val="18"/>
          <w:color w:val="auto"/>
        </w:rPr>
      </w:pPr>
    </w:p>
    <w:p>
      <w:pPr>
        <w:jc w:val="both"/>
        <w:ind w:left="1400" w:right="719" w:hanging="424"/>
        <w:spacing w:after="0" w:line="263"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pacing w:after="0" w:line="89" w:lineRule="exact"/>
        <w:rPr>
          <w:rFonts w:ascii="Arial" w:cs="Arial" w:eastAsia="Arial" w:hAnsi="Arial"/>
          <w:sz w:val="18"/>
          <w:szCs w:val="18"/>
          <w:color w:val="auto"/>
        </w:rPr>
      </w:pPr>
    </w:p>
    <w:p>
      <w:pPr>
        <w:ind w:left="1400" w:right="579" w:hanging="424"/>
        <w:spacing w:after="0" w:line="263" w:lineRule="auto"/>
        <w:tabs>
          <w:tab w:leader="none" w:pos="1391" w:val="left"/>
        </w:tabs>
        <w:numPr>
          <w:ilvl w:val="0"/>
          <w:numId w:val="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Is Sourced Through our Proprietary Channels. </w:t>
      </w:r>
      <w:r>
        <w:rPr>
          <w:rFonts w:ascii="Arial" w:cs="Arial" w:eastAsia="Arial" w:hAnsi="Arial"/>
          <w:sz w:val="18"/>
          <w:szCs w:val="18"/>
          <w:color w:val="auto"/>
        </w:rPr>
        <w:t>We will aim to leverage our extensive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source our business combination and do not expect to rely on broadly marketed processes to find a business combination target.</w:t>
      </w:r>
    </w:p>
    <w:p>
      <w:pPr>
        <w:sectPr>
          <w:pgSz w:w="11900" w:h="16838" w:orient="portrait"/>
          <w:cols w:equalWidth="0" w:num="1">
            <w:col w:w="9019"/>
          </w:cols>
          <w:pgMar w:left="1440" w:top="540" w:right="1440"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0" w:name="page11"/>
    <w:bookmarkEnd w:id="10"/>
    <w:p>
      <w:pPr>
        <w:ind w:left="1400" w:right="699" w:hanging="424"/>
        <w:spacing w:after="0" w:line="296" w:lineRule="auto"/>
        <w:tabs>
          <w:tab w:leader="none" w:pos="1391" w:val="left"/>
        </w:tabs>
        <w:numPr>
          <w:ilvl w:val="0"/>
          <w:numId w:val="9"/>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4715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7310" cy="8471535"/>
                    </a:xfrm>
                    <a:prstGeom prst="rect">
                      <a:avLst/>
                    </a:prstGeom>
                    <a:noFill/>
                  </pic:spPr>
                </pic:pic>
              </a:graphicData>
            </a:graphic>
          </wp:anchor>
        </w:drawing>
        <w:t xml:space="preserve">Has a Committed and Capable Management Team. </w:t>
      </w:r>
      <w:r>
        <w:rPr>
          <w:rFonts w:ascii="Arial" w:cs="Arial" w:eastAsia="Arial" w:hAnsi="Arial"/>
          <w:sz w:val="16"/>
          <w:szCs w:val="16"/>
          <w:color w:val="auto"/>
        </w:rPr>
        <w:t>We will seek to acquire a business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management team whose interests are aligned with those of our investors and complement the expertise of our management team and sponsor. Where necessary, we may also look to complement and enhance the capabilities of the target business’s management team by recruiting additional talent through our network of contacts.</w:t>
      </w:r>
    </w:p>
    <w:p>
      <w:pPr>
        <w:spacing w:after="0" w:line="93" w:lineRule="exact"/>
        <w:rPr>
          <w:rFonts w:ascii="Arial" w:cs="Arial" w:eastAsia="Arial" w:hAnsi="Arial"/>
          <w:sz w:val="16"/>
          <w:szCs w:val="16"/>
          <w:b w:val="1"/>
          <w:bCs w:val="1"/>
          <w:i w:val="1"/>
          <w:iCs w:val="1"/>
          <w:color w:val="auto"/>
        </w:rPr>
      </w:pPr>
    </w:p>
    <w:p>
      <w:pPr>
        <w:ind w:left="1400" w:right="739" w:hanging="424"/>
        <w:spacing w:after="0" w:line="263" w:lineRule="auto"/>
        <w:tabs>
          <w:tab w:leader="none" w:pos="139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the Potential to Grow Organically or Through Additional Acquisitions. </w:t>
      </w:r>
      <w:r>
        <w:rPr>
          <w:rFonts w:ascii="Arial" w:cs="Arial" w:eastAsia="Arial" w:hAnsi="Arial"/>
          <w:sz w:val="18"/>
          <w:szCs w:val="18"/>
          <w:color w:val="auto"/>
        </w:rPr>
        <w:t>We will seek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 a business that has the potential to grow both organically through market expansion or increased market share as well as through external acquisitions.</w:t>
      </w:r>
    </w:p>
    <w:p>
      <w:pPr>
        <w:spacing w:after="0" w:line="116" w:lineRule="exact"/>
        <w:rPr>
          <w:sz w:val="20"/>
          <w:szCs w:val="20"/>
          <w:color w:val="auto"/>
        </w:rPr>
      </w:pPr>
    </w:p>
    <w:p>
      <w:pPr>
        <w:ind w:left="540" w:right="619" w:firstLine="432"/>
        <w:spacing w:after="0" w:line="291"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tender offer documents or proxy solicitation materials that we would file with the SEC.</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Acquisition Process</w:t>
      </w:r>
    </w:p>
    <w:p>
      <w:pPr>
        <w:spacing w:after="0" w:line="135" w:lineRule="exact"/>
        <w:rPr>
          <w:sz w:val="20"/>
          <w:szCs w:val="20"/>
          <w:color w:val="auto"/>
        </w:rPr>
      </w:pPr>
    </w:p>
    <w:p>
      <w:pPr>
        <w:ind w:left="540" w:right="599" w:firstLine="432"/>
        <w:spacing w:after="0" w:line="301" w:lineRule="auto"/>
        <w:rPr>
          <w:sz w:val="20"/>
          <w:szCs w:val="20"/>
          <w:color w:val="auto"/>
        </w:rPr>
      </w:pPr>
      <w:r>
        <w:rPr>
          <w:rFonts w:ascii="Arial" w:cs="Arial" w:eastAsia="Arial" w:hAnsi="Arial"/>
          <w:sz w:val="16"/>
          <w:szCs w:val="16"/>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 We will also utilize our operational and capital planning experience.</w:t>
      </w:r>
    </w:p>
    <w:p>
      <w:pPr>
        <w:spacing w:after="0" w:line="63" w:lineRule="exact"/>
        <w:rPr>
          <w:sz w:val="20"/>
          <w:szCs w:val="20"/>
          <w:color w:val="auto"/>
        </w:rPr>
      </w:pPr>
    </w:p>
    <w:p>
      <w:pPr>
        <w:ind w:left="540" w:right="599" w:firstLine="432"/>
        <w:spacing w:after="0" w:line="293" w:lineRule="auto"/>
        <w:rPr>
          <w:sz w:val="20"/>
          <w:szCs w:val="20"/>
          <w:color w:val="auto"/>
        </w:rPr>
      </w:pPr>
      <w:r>
        <w:rPr>
          <w:rFonts w:ascii="Arial" w:cs="Arial" w:eastAsia="Arial" w:hAnsi="Arial"/>
          <w:sz w:val="16"/>
          <w:szCs w:val="16"/>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that our initial business combination is fair to our company from a financial point of view from either an independent investment banking firm that is a member of the Financial Industry Regulatory Authority, Inc. (“FINRA”) or an independent accounting firm.</w:t>
      </w:r>
    </w:p>
    <w:p>
      <w:pPr>
        <w:spacing w:after="0" w:line="83" w:lineRule="exact"/>
        <w:rPr>
          <w:sz w:val="20"/>
          <w:szCs w:val="20"/>
          <w:color w:val="auto"/>
        </w:rPr>
      </w:pPr>
    </w:p>
    <w:p>
      <w:pPr>
        <w:ind w:left="540" w:right="679" w:firstLine="432"/>
        <w:spacing w:after="0" w:line="254" w:lineRule="auto"/>
        <w:rPr>
          <w:sz w:val="20"/>
          <w:szCs w:val="20"/>
          <w:color w:val="auto"/>
        </w:rPr>
      </w:pPr>
      <w:r>
        <w:rPr>
          <w:rFonts w:ascii="Arial" w:cs="Arial" w:eastAsia="Arial" w:hAnsi="Arial"/>
          <w:sz w:val="18"/>
          <w:szCs w:val="18"/>
          <w:color w:val="auto"/>
        </w:rPr>
        <w:t>Members of our management team may directly or indirectly own our ordinary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Business Combination</w:t>
      </w:r>
    </w:p>
    <w:p>
      <w:pPr>
        <w:spacing w:after="0" w:line="135" w:lineRule="exact"/>
        <w:rPr>
          <w:sz w:val="20"/>
          <w:szCs w:val="20"/>
          <w:color w:val="auto"/>
        </w:rPr>
      </w:pPr>
    </w:p>
    <w:p>
      <w:pPr>
        <w:ind w:left="540" w:right="559" w:firstLine="432"/>
        <w:spacing w:after="0" w:line="269"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with respect to the satisfaction of such criteria from an independent investment banking firm that is a member of FINRA or an independent valuation or accounting firm. We do not intend to purchase multiple businesses in unrelated industries in conjunction with our initial business combination. Subject to this requirement, our management will have virtually unrestricted flexibility in identifying and selecting one or more prospective businesses, although we will not be permitted to effectuate our initial business combination with another blank check company or a similar company with nominal operations.</w:t>
      </w:r>
    </w:p>
    <w:p>
      <w:pPr>
        <w:spacing w:after="0" w:line="84" w:lineRule="exact"/>
        <w:rPr>
          <w:sz w:val="20"/>
          <w:szCs w:val="20"/>
          <w:color w:val="auto"/>
        </w:rPr>
      </w:pPr>
    </w:p>
    <w:p>
      <w:pPr>
        <w:ind w:left="540" w:right="559" w:firstLine="432"/>
        <w:spacing w:after="0" w:line="272"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shareholders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shareholders or for other reasons, but we will only complete such business combination if the post-transaction company owns or acquires 50% or more of</w:t>
      </w:r>
    </w:p>
    <w:p>
      <w:pPr>
        <w:sectPr>
          <w:pgSz w:w="11900" w:h="16838" w:orient="portrait"/>
          <w:cols w:equalWidth="0" w:num="1">
            <w:col w:w="9019"/>
          </w:cols>
          <w:pgMar w:left="1440" w:top="463" w:right="1440"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11" w:name="page12"/>
    <w:bookmarkEnd w:id="11"/>
    <w:p>
      <w:pPr>
        <w:ind w:left="540" w:right="559"/>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861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7310" cy="8686165"/>
                    </a:xfrm>
                    <a:prstGeom prst="rect">
                      <a:avLst/>
                    </a:prstGeom>
                    <a:noFill/>
                  </pic:spPr>
                </pic:pic>
              </a:graphicData>
            </a:graphic>
          </wp:anchor>
        </w:drawing>
        <w:t>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spacing w:after="0" w:line="322" w:lineRule="exact"/>
        <w:rPr>
          <w:sz w:val="20"/>
          <w:szCs w:val="20"/>
          <w:color w:val="auto"/>
        </w:rPr>
      </w:pPr>
    </w:p>
    <w:p>
      <w:pPr>
        <w:ind w:left="540" w:right="619" w:firstLine="432"/>
        <w:spacing w:after="0" w:line="257"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07" w:lineRule="exact"/>
        <w:rPr>
          <w:sz w:val="20"/>
          <w:szCs w:val="20"/>
          <w:color w:val="auto"/>
        </w:rPr>
      </w:pPr>
    </w:p>
    <w:p>
      <w:pPr>
        <w:ind w:left="540" w:right="599" w:firstLine="432"/>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119" w:lineRule="exact"/>
        <w:rPr>
          <w:sz w:val="20"/>
          <w:szCs w:val="20"/>
          <w:color w:val="auto"/>
        </w:rPr>
      </w:pPr>
    </w:p>
    <w:p>
      <w:pPr>
        <w:ind w:left="540" w:right="579" w:firstLine="432"/>
        <w:spacing w:after="0" w:line="296"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Other Considerations</w:t>
      </w:r>
    </w:p>
    <w:p>
      <w:pPr>
        <w:spacing w:after="0" w:line="162" w:lineRule="exact"/>
        <w:rPr>
          <w:sz w:val="20"/>
          <w:szCs w:val="20"/>
          <w:color w:val="auto"/>
        </w:rPr>
      </w:pPr>
    </w:p>
    <w:p>
      <w:pPr>
        <w:ind w:left="540" w:right="639" w:firstLine="432"/>
        <w:spacing w:after="0" w:line="272"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our sponsor, Founders, officers or directors. In the event we seek to complete our initial business combination or, subject to certain exceptions, subsequent material transactions with a company that is affiliated with our sponsor or any of our Founders, officers or directors, we, or a committee of independent directors, will obtain an opinion from an independent investment banking firm which is a member of FINRA or an independent accounting firm that such initial business combination or transaction is fair to our company from a financial point of view.</w:t>
      </w:r>
    </w:p>
    <w:p>
      <w:pPr>
        <w:spacing w:after="0" w:line="96" w:lineRule="exact"/>
        <w:rPr>
          <w:sz w:val="20"/>
          <w:szCs w:val="20"/>
          <w:color w:val="auto"/>
        </w:rPr>
      </w:pPr>
    </w:p>
    <w:p>
      <w:pPr>
        <w:ind w:left="540" w:right="619" w:firstLine="432"/>
        <w:spacing w:after="0" w:line="272" w:lineRule="auto"/>
        <w:rPr>
          <w:sz w:val="20"/>
          <w:szCs w:val="20"/>
          <w:color w:val="auto"/>
        </w:rPr>
      </w:pPr>
      <w:r>
        <w:rPr>
          <w:rFonts w:ascii="Arial" w:cs="Arial" w:eastAsia="Arial" w:hAnsi="Arial"/>
          <w:sz w:val="17"/>
          <w:szCs w:val="17"/>
          <w:color w:val="auto"/>
        </w:rPr>
        <w:t>We currently do not have any specific business combination under consideration. Our officers and directors have neither individually identified nor considered a target business nor have they had any substantive discussions regarding possible target businesses among themselves or with our underwriter or other advisors. Our management team is continuously made aware of potential business opportunities, one or more of which we may desire to pursue for a business combination, but we have not selected any business combination target and we have not, nor has anyone on our behalf, initiated any substantive discussions, directly or indirectly, with any business combination target.</w:t>
      </w:r>
    </w:p>
    <w:p>
      <w:pPr>
        <w:spacing w:after="0" w:line="96" w:lineRule="exact"/>
        <w:rPr>
          <w:sz w:val="20"/>
          <w:szCs w:val="20"/>
          <w:color w:val="auto"/>
        </w:rPr>
      </w:pPr>
    </w:p>
    <w:p>
      <w:pPr>
        <w:ind w:left="540" w:right="579" w:firstLine="432"/>
        <w:spacing w:after="0" w:line="270" w:lineRule="auto"/>
        <w:rPr>
          <w:sz w:val="20"/>
          <w:szCs w:val="20"/>
          <w:color w:val="auto"/>
        </w:rPr>
      </w:pPr>
      <w:r>
        <w:rPr>
          <w:rFonts w:ascii="Arial" w:cs="Arial" w:eastAsia="Arial" w:hAnsi="Arial"/>
          <w:sz w:val="17"/>
          <w:szCs w:val="17"/>
          <w:color w:val="auto"/>
        </w:rPr>
        <w:t>In addition, certain of our Founders, officers and directors presently have, and any of them in the future may have additional, fiduciary and contractual duties to other entities. As a result, if any of our Founders,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Our amended and restated memorandum and articles</w:t>
      </w:r>
    </w:p>
    <w:p>
      <w:pPr>
        <w:sectPr>
          <w:pgSz w:w="11900" w:h="16838" w:orient="portrait"/>
          <w:cols w:equalWidth="0" w:num="1">
            <w:col w:w="9019"/>
          </w:cols>
          <w:pgMar w:left="1440" w:top="449" w:right="1440"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12" w:name="page13"/>
    <w:bookmarkEnd w:id="12"/>
    <w:p>
      <w:pPr>
        <w:ind w:left="540" w:right="559"/>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744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7310" cy="8574405"/>
                    </a:xfrm>
                    <a:prstGeom prst="rect">
                      <a:avLst/>
                    </a:prstGeom>
                    <a:noFill/>
                  </pic:spPr>
                </pic:pic>
              </a:graphicData>
            </a:graphic>
          </wp:anchor>
        </w:drawing>
        <w:t>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54" w:lineRule="exact"/>
        <w:rPr>
          <w:sz w:val="20"/>
          <w:szCs w:val="20"/>
          <w:color w:val="auto"/>
        </w:rPr>
      </w:pPr>
    </w:p>
    <w:p>
      <w:pPr>
        <w:ind w:left="540" w:right="699" w:firstLine="432"/>
        <w:spacing w:after="0" w:line="253" w:lineRule="auto"/>
        <w:rPr>
          <w:sz w:val="20"/>
          <w:szCs w:val="20"/>
          <w:color w:val="auto"/>
        </w:rPr>
      </w:pPr>
      <w:r>
        <w:rPr>
          <w:rFonts w:ascii="Arial" w:cs="Arial" w:eastAsia="Arial" w:hAnsi="Arial"/>
          <w:sz w:val="18"/>
          <w:szCs w:val="18"/>
          <w:color w:val="auto"/>
        </w:rPr>
        <w:t>Our sponsor, directors and officers may sponsor, form or participate in other blank check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 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executive offices are located at 1601 Bryan Street, Suite 4141, Dallas, Texas 75201.</w:t>
      </w:r>
    </w:p>
    <w:p>
      <w:pPr>
        <w:spacing w:after="0" w:line="131" w:lineRule="exact"/>
        <w:rPr>
          <w:sz w:val="20"/>
          <w:szCs w:val="20"/>
          <w:color w:val="auto"/>
        </w:rPr>
      </w:pPr>
    </w:p>
    <w:p>
      <w:pPr>
        <w:ind w:left="540" w:right="579" w:firstLine="432"/>
        <w:spacing w:after="0" w:line="287" w:lineRule="auto"/>
        <w:rPr>
          <w:sz w:val="20"/>
          <w:szCs w:val="20"/>
          <w:color w:val="auto"/>
        </w:rPr>
      </w:pPr>
      <w:r>
        <w:rPr>
          <w:rFonts w:ascii="Arial" w:cs="Arial" w:eastAsia="Arial" w:hAnsi="Arial"/>
          <w:sz w:val="16"/>
          <w:szCs w:val="16"/>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 of which this prospectus forms a part, a tax exemption undertaking from the Cayman Islands government that, in accordance with Section 6 of the Tax Concessions Law (2020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73" w:lineRule="exact"/>
        <w:rPr>
          <w:sz w:val="20"/>
          <w:szCs w:val="20"/>
          <w:color w:val="auto"/>
        </w:rPr>
      </w:pPr>
    </w:p>
    <w:p>
      <w:pPr>
        <w:ind w:left="540" w:right="579" w:firstLine="432"/>
        <w:spacing w:after="0" w:line="288"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87" w:lineRule="exact"/>
        <w:rPr>
          <w:sz w:val="20"/>
          <w:szCs w:val="20"/>
          <w:color w:val="auto"/>
        </w:rPr>
      </w:pPr>
    </w:p>
    <w:p>
      <w:pPr>
        <w:ind w:left="540" w:right="779" w:firstLine="432"/>
        <w:spacing w:after="0" w:line="296"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67" w:lineRule="exact"/>
        <w:rPr>
          <w:sz w:val="20"/>
          <w:szCs w:val="20"/>
          <w:color w:val="auto"/>
        </w:rPr>
      </w:pPr>
    </w:p>
    <w:p>
      <w:pPr>
        <w:ind w:left="540" w:right="579" w:firstLine="432"/>
        <w:spacing w:after="0" w:line="254"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during the prior three-year period. References herein to “emerging growth company” have the meaning associated with it in the JOBS Act.</w:t>
      </w:r>
    </w:p>
    <w:p>
      <w:pPr>
        <w:spacing w:after="0" w:line="100" w:lineRule="exact"/>
        <w:rPr>
          <w:sz w:val="20"/>
          <w:szCs w:val="20"/>
          <w:color w:val="auto"/>
        </w:rPr>
      </w:pPr>
    </w:p>
    <w:p>
      <w:pPr>
        <w:ind w:left="540" w:right="619" w:firstLine="432"/>
        <w:spacing w:after="0" w:line="27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sectPr>
          <w:pgSz w:w="11900" w:h="16838" w:orient="portrait"/>
          <w:cols w:equalWidth="0" w:num="1">
            <w:col w:w="9019"/>
          </w:cols>
          <w:pgMar w:left="1440" w:top="449" w:right="1440"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772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7310" cy="8677275"/>
                    </a:xfrm>
                    <a:prstGeom prst="rect">
                      <a:avLst/>
                    </a:prstGeom>
                    <a:noFill/>
                  </pic:spPr>
                </pic:pic>
              </a:graphicData>
            </a:graphic>
          </wp:anchor>
        </w:drawing>
        <w:t>The Offering</w:t>
      </w:r>
    </w:p>
    <w:p>
      <w:pPr>
        <w:spacing w:after="0" w:line="148" w:lineRule="exact"/>
        <w:rPr>
          <w:sz w:val="20"/>
          <w:szCs w:val="20"/>
          <w:color w:val="auto"/>
        </w:rPr>
      </w:pPr>
    </w:p>
    <w:p>
      <w:pPr>
        <w:ind w:left="540" w:right="559" w:firstLine="432"/>
        <w:spacing w:after="0" w:line="255" w:lineRule="auto"/>
        <w:rPr>
          <w:sz w:val="20"/>
          <w:szCs w:val="20"/>
          <w:color w:val="auto"/>
        </w:rPr>
      </w:pPr>
      <w:r>
        <w:rPr>
          <w:rFonts w:ascii="Arial" w:cs="Arial" w:eastAsia="Arial" w:hAnsi="Arial"/>
          <w:sz w:val="18"/>
          <w:szCs w:val="18"/>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ectPr>
          <w:pgSz w:w="11900" w:h="16838" w:orient="portrait"/>
          <w:cols w:equalWidth="0" w:num="1">
            <w:col w:w="9019"/>
          </w:cols>
          <w:pgMar w:left="1440" w:top="540" w:right="1440" w:bottom="1440" w:gutter="0" w:footer="0" w:header="0"/>
        </w:sectPr>
      </w:pP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Proposed NYSE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20" w:right="40" w:hanging="179"/>
        <w:spacing w:after="0" w:line="263" w:lineRule="auto"/>
        <w:rPr>
          <w:sz w:val="20"/>
          <w:szCs w:val="20"/>
          <w:color w:val="auto"/>
        </w:rPr>
      </w:pPr>
      <w:r>
        <w:rPr>
          <w:rFonts w:ascii="Arial" w:cs="Arial" w:eastAsia="Arial" w:hAnsi="Arial"/>
          <w:sz w:val="18"/>
          <w:szCs w:val="18"/>
          <w:color w:val="auto"/>
        </w:rPr>
        <w:t>Trading commencement and separation of 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20" w:hanging="179"/>
        <w:spacing w:after="0" w:line="259" w:lineRule="auto"/>
        <w:rPr>
          <w:sz w:val="20"/>
          <w:szCs w:val="20"/>
          <w:color w:val="auto"/>
        </w:rPr>
      </w:pPr>
      <w:r>
        <w:rPr>
          <w:rFonts w:ascii="Arial" w:cs="Arial" w:eastAsia="Arial" w:hAnsi="Arial"/>
          <w:sz w:val="18"/>
          <w:szCs w:val="18"/>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579"/>
        <w:spacing w:after="0" w:line="263" w:lineRule="auto"/>
        <w:rPr>
          <w:sz w:val="20"/>
          <w:szCs w:val="20"/>
          <w:color w:val="auto"/>
        </w:rPr>
      </w:pPr>
      <w:r>
        <w:rPr>
          <w:rFonts w:ascii="Arial" w:cs="Arial" w:eastAsia="Arial" w:hAnsi="Arial"/>
          <w:sz w:val="18"/>
          <w:szCs w:val="18"/>
          <w:color w:val="auto"/>
        </w:rPr>
        <w:t>30,000,000 units (or 34,500,000 units if the underwriter’s over-allotment option is exercised in full), at $10.00 per unit, each unit consisting of:</w:t>
      </w:r>
    </w:p>
    <w:p>
      <w:pPr>
        <w:spacing w:after="0" w:line="103" w:lineRule="exact"/>
        <w:rPr>
          <w:sz w:val="20"/>
          <w:szCs w:val="20"/>
          <w:color w:val="auto"/>
        </w:rPr>
      </w:pPr>
    </w:p>
    <w:p>
      <w:pPr>
        <w:ind w:left="420" w:hanging="194"/>
        <w:spacing w:after="0"/>
        <w:tabs>
          <w:tab w:leader="none" w:pos="4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Class A ordinary share; and</w:t>
      </w:r>
    </w:p>
    <w:p>
      <w:pPr>
        <w:spacing w:after="0" w:line="157" w:lineRule="exact"/>
        <w:rPr>
          <w:rFonts w:ascii="Arial" w:cs="Arial" w:eastAsia="Arial" w:hAnsi="Arial"/>
          <w:sz w:val="18"/>
          <w:szCs w:val="18"/>
          <w:color w:val="auto"/>
        </w:rPr>
      </w:pPr>
    </w:p>
    <w:p>
      <w:pPr>
        <w:ind w:right="2259" w:firstLine="226"/>
        <w:spacing w:after="0" w:line="438" w:lineRule="auto"/>
        <w:tabs>
          <w:tab w:leader="none" w:pos="414"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one-half of one redeemable warrant. Units: “SOAC.U”</w:t>
      </w:r>
    </w:p>
    <w:p>
      <w:pPr>
        <w:spacing w:after="0"/>
        <w:rPr>
          <w:rFonts w:ascii="Arial" w:cs="Arial" w:eastAsia="Arial" w:hAnsi="Arial"/>
          <w:sz w:val="18"/>
          <w:szCs w:val="18"/>
          <w:color w:val="auto"/>
        </w:rPr>
      </w:pPr>
      <w:r>
        <w:rPr>
          <w:rFonts w:ascii="Arial" w:cs="Arial" w:eastAsia="Arial" w:hAnsi="Arial"/>
          <w:sz w:val="18"/>
          <w:szCs w:val="18"/>
          <w:color w:val="auto"/>
        </w:rPr>
        <w:t>Class A ordinary shares: “SOAC”</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Warrants: “SOAC 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79"/>
        <w:spacing w:after="0" w:line="283" w:lineRule="auto"/>
        <w:rPr>
          <w:sz w:val="20"/>
          <w:szCs w:val="20"/>
          <w:color w:val="auto"/>
        </w:rPr>
      </w:pPr>
      <w:r>
        <w:rPr>
          <w:rFonts w:ascii="Arial" w:cs="Arial" w:eastAsia="Arial" w:hAnsi="Arial"/>
          <w:sz w:val="16"/>
          <w:szCs w:val="16"/>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8"/>
          <w:szCs w:val="18"/>
          <w:color w:val="auto"/>
          <w:vertAlign w:val="superscript"/>
        </w:rPr>
        <w:t>nd</w:t>
      </w:r>
      <w:r>
        <w:rPr>
          <w:rFonts w:ascii="Arial" w:cs="Arial" w:eastAsia="Arial" w:hAnsi="Arial"/>
          <w:sz w:val="16"/>
          <w:szCs w:val="16"/>
          <w:color w:val="auto"/>
        </w:rPr>
        <w:t xml:space="preserve"> day following the date of this prospectus (or if such day is not a business day, the immediately succeeding business day) unless Citigroup Global Markets Inc.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04" w:lineRule="exact"/>
        <w:rPr>
          <w:sz w:val="20"/>
          <w:szCs w:val="20"/>
          <w:color w:val="auto"/>
        </w:rPr>
      </w:pPr>
    </w:p>
    <w:p>
      <w:pPr>
        <w:ind w:right="779"/>
        <w:spacing w:after="0" w:line="263"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99"/>
        <w:spacing w:after="0" w:line="269" w:lineRule="auto"/>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reflecting our receipt of the gross proceeds at the closing of this offering. We will file the Current Report on Form 8-K promptly after the closing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3460" w:space="260"/>
            <w:col w:w="5299"/>
          </w:cols>
          <w:pgMar w:left="1440" w:top="540" w:right="1440" w:bottom="1440" w:gutter="0" w:footer="0" w:header="0"/>
          <w:type w:val="continuous"/>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4" w:name="page15"/>
    <w:bookmarkEnd w:id="14"/>
    <w:tbl>
      <w:tblPr>
        <w:tblLayout w:type="fixed"/>
        <w:tblInd w:w="54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Units:</w:t>
            </w:r>
          </w:p>
        </w:tc>
        <w:tc>
          <w:tcPr>
            <w:tcW w:w="1080" w:type="dxa"/>
            <w:vAlign w:val="bottom"/>
          </w:tcPr>
          <w:p>
            <w:pPr>
              <w:spacing w:after="0"/>
              <w:rPr>
                <w:sz w:val="20"/>
                <w:szCs w:val="20"/>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w w:val="95"/>
              </w:rPr>
              <w:t>Number outstanding before this offering</w:t>
            </w:r>
          </w:p>
        </w:tc>
        <w:tc>
          <w:tcPr>
            <w:tcW w:w="1080" w:type="dxa"/>
            <w:vAlign w:val="bottom"/>
          </w:tcPr>
          <w:p>
            <w:pPr>
              <w:ind w:left="140"/>
              <w:spacing w:after="0"/>
              <w:rPr>
                <w:sz w:val="20"/>
                <w:szCs w:val="20"/>
                <w:color w:val="auto"/>
              </w:rPr>
            </w:pPr>
            <w:r>
              <w:rPr>
                <w:rFonts w:ascii="Arial" w:cs="Arial" w:eastAsia="Arial" w:hAnsi="Arial"/>
                <w:sz w:val="18"/>
                <w:szCs w:val="18"/>
                <w:color w:val="auto"/>
              </w:rPr>
              <w:t>0</w:t>
            </w:r>
          </w:p>
        </w:tc>
      </w:tr>
      <w:tr>
        <w:trPr>
          <w:trHeight w:val="453"/>
        </w:trPr>
        <w:tc>
          <w:tcPr>
            <w:tcW w:w="304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1080" w:type="dxa"/>
            <w:vAlign w:val="bottom"/>
          </w:tcPr>
          <w:p>
            <w:pPr>
              <w:ind w:left="140"/>
              <w:spacing w:after="0"/>
              <w:rPr>
                <w:sz w:val="20"/>
                <w:szCs w:val="20"/>
                <w:color w:val="auto"/>
              </w:rPr>
            </w:pPr>
            <w:r>
              <w:rPr>
                <w:rFonts w:ascii="Arial" w:cs="Arial" w:eastAsia="Arial" w:hAnsi="Arial"/>
                <w:sz w:val="18"/>
                <w:szCs w:val="18"/>
                <w:color w:val="auto"/>
                <w:w w:val="86"/>
              </w:rPr>
              <w:t>30,000,000</w:t>
            </w:r>
            <w:r>
              <w:rPr>
                <w:rFonts w:ascii="Arial" w:cs="Arial" w:eastAsia="Arial" w:hAnsi="Arial"/>
                <w:sz w:val="20"/>
                <w:szCs w:val="20"/>
                <w:color w:val="auto"/>
                <w:w w:val="86"/>
                <w:vertAlign w:val="superscript"/>
              </w:rPr>
              <w:t>(1)</w:t>
            </w:r>
          </w:p>
        </w:tc>
      </w:tr>
      <w:tr>
        <w:trPr>
          <w:trHeight w:val="357"/>
        </w:trPr>
        <w:tc>
          <w:tcPr>
            <w:tcW w:w="3040" w:type="dxa"/>
            <w:vAlign w:val="bottom"/>
          </w:tcPr>
          <w:p>
            <w:pPr>
              <w:spacing w:after="0"/>
              <w:rPr>
                <w:sz w:val="20"/>
                <w:szCs w:val="20"/>
                <w:color w:val="auto"/>
              </w:rPr>
            </w:pPr>
            <w:r>
              <w:rPr>
                <w:rFonts w:ascii="Arial" w:cs="Arial" w:eastAsia="Arial" w:hAnsi="Arial"/>
                <w:sz w:val="18"/>
                <w:szCs w:val="18"/>
                <w:b w:val="1"/>
                <w:bCs w:val="1"/>
                <w:color w:val="auto"/>
              </w:rPr>
              <w:t>Ordinary shares:</w:t>
            </w:r>
          </w:p>
        </w:tc>
        <w:tc>
          <w:tcPr>
            <w:tcW w:w="1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499" w:right="1440" w:bottom="1440" w:gutter="0" w:footer="0" w:header="0"/>
        </w:sect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200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7310" cy="6200140"/>
                    </a:xfrm>
                    <a:prstGeom prst="rect">
                      <a:avLst/>
                    </a:prstGeom>
                    <a:noFill/>
                  </pic:spPr>
                </pic:pic>
              </a:graphicData>
            </a:graphic>
          </wp:anchor>
        </w:drawing>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Number outstanding before this offering</w:t>
      </w:r>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Number outstanding after this offering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Warrants:</w:t>
      </w:r>
    </w:p>
    <w:p>
      <w:pPr>
        <w:spacing w:after="0" w:line="202" w:lineRule="exact"/>
        <w:rPr>
          <w:sz w:val="20"/>
          <w:szCs w:val="20"/>
          <w:color w:val="auto"/>
        </w:rPr>
      </w:pPr>
    </w:p>
    <w:p>
      <w:pPr>
        <w:ind w:left="720" w:right="120" w:hanging="179"/>
        <w:spacing w:after="0" w:line="286" w:lineRule="auto"/>
        <w:rPr>
          <w:sz w:val="20"/>
          <w:szCs w:val="20"/>
          <w:color w:val="auto"/>
        </w:rPr>
      </w:pPr>
      <w:r>
        <w:rPr>
          <w:rFonts w:ascii="Arial" w:cs="Arial" w:eastAsia="Arial" w:hAnsi="Arial"/>
          <w:sz w:val="17"/>
          <w:szCs w:val="17"/>
          <w:color w:val="auto"/>
        </w:rPr>
        <w:t>Number of private placement warrants to be sold in a private placement simultaneously with this offering</w:t>
      </w:r>
    </w:p>
    <w:p>
      <w:pPr>
        <w:spacing w:after="0" w:line="138" w:lineRule="exact"/>
        <w:rPr>
          <w:sz w:val="20"/>
          <w:szCs w:val="20"/>
          <w:color w:val="auto"/>
        </w:rPr>
      </w:pPr>
    </w:p>
    <w:p>
      <w:pPr>
        <w:ind w:left="720" w:hanging="179"/>
        <w:spacing w:after="0" w:line="263" w:lineRule="auto"/>
        <w:rPr>
          <w:sz w:val="20"/>
          <w:szCs w:val="20"/>
          <w:color w:val="auto"/>
        </w:rPr>
      </w:pPr>
      <w:r>
        <w:rPr>
          <w:rFonts w:ascii="Arial" w:cs="Arial" w:eastAsia="Arial" w:hAnsi="Arial"/>
          <w:sz w:val="18"/>
          <w:szCs w:val="18"/>
          <w:color w:val="auto"/>
        </w:rPr>
        <w:t>Number of warrants to be outstanding after this offering and the sale of private placement warrants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8,625,000</w:t>
      </w:r>
      <w:r>
        <w:rPr>
          <w:rFonts w:ascii="Arial" w:cs="Arial" w:eastAsia="Arial" w:hAnsi="Arial"/>
          <w:sz w:val="20"/>
          <w:szCs w:val="20"/>
          <w:color w:val="auto"/>
          <w:vertAlign w:val="superscript"/>
        </w:rPr>
        <w:t>(2)(3)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37,500,000</w:t>
      </w:r>
      <w:r>
        <w:rPr>
          <w:rFonts w:ascii="Arial" w:cs="Arial" w:eastAsia="Arial" w:hAnsi="Arial"/>
          <w:sz w:val="20"/>
          <w:szCs w:val="20"/>
          <w:color w:val="auto"/>
          <w:vertAlign w:val="superscript"/>
        </w:rPr>
        <w:t>(1)(2)(4)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10,000,000</w:t>
      </w:r>
      <w:r>
        <w:rPr>
          <w:rFonts w:ascii="Arial" w:cs="Arial" w:eastAsia="Arial" w:hAnsi="Arial"/>
          <w:sz w:val="20"/>
          <w:szCs w:val="20"/>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25,000,000</w:t>
      </w:r>
      <w:r>
        <w:rPr>
          <w:rFonts w:ascii="Arial" w:cs="Arial" w:eastAsia="Arial" w:hAnsi="Arial"/>
          <w:sz w:val="20"/>
          <w:szCs w:val="20"/>
          <w:color w:val="auto"/>
          <w:vertAlign w:val="superscript"/>
        </w:rPr>
        <w:t>(1)</w:t>
      </w:r>
    </w:p>
    <w:p>
      <w:pPr>
        <w:spacing w:after="0" w:line="175" w:lineRule="exact"/>
        <w:rPr>
          <w:sz w:val="20"/>
          <w:szCs w:val="20"/>
          <w:color w:val="auto"/>
        </w:rPr>
      </w:pPr>
    </w:p>
    <w:p>
      <w:pPr>
        <w:ind w:right="839"/>
        <w:spacing w:after="0" w:line="311" w:lineRule="auto"/>
        <w:rPr>
          <w:sz w:val="20"/>
          <w:szCs w:val="20"/>
          <w:color w:val="auto"/>
        </w:rPr>
      </w:pPr>
      <w:r>
        <w:rPr>
          <w:rFonts w:ascii="Arial" w:cs="Arial" w:eastAsia="Arial" w:hAnsi="Arial"/>
          <w:sz w:val="16"/>
          <w:szCs w:val="16"/>
          <w:color w:val="auto"/>
        </w:rPr>
        <w:t>Each whole warrant sold in this offering is exercisable to purchase one Class A ordinary share, subject to adjustment as described herein. Only whole warrants are exercisable.</w:t>
      </w:r>
    </w:p>
    <w:p>
      <w:pPr>
        <w:spacing w:after="0" w:line="68" w:lineRule="exact"/>
        <w:rPr>
          <w:sz w:val="20"/>
          <w:szCs w:val="20"/>
          <w:color w:val="auto"/>
        </w:rPr>
      </w:pPr>
    </w:p>
    <w:p>
      <w:pPr>
        <w:ind w:right="619"/>
        <w:spacing w:after="0" w:line="289" w:lineRule="auto"/>
        <w:rPr>
          <w:sz w:val="20"/>
          <w:szCs w:val="20"/>
          <w:color w:val="auto"/>
        </w:rPr>
      </w:pPr>
      <w:r>
        <w:rPr>
          <w:rFonts w:ascii="Arial" w:cs="Arial" w:eastAsia="Arial" w:hAnsi="Arial"/>
          <w:sz w:val="16"/>
          <w:szCs w:val="16"/>
          <w:color w:val="auto"/>
        </w:rPr>
        <w:t>We structured each unit to contain one-half of one warrant, with each whole warrant exercisable for one Class A ordinary share, as compared to units issued by some other similar blank check companies which contain whole warrants exercisable for one whole share, in order to reduce the dilutive effect of the warrants upon completion of a business combination as compared to units that each contain a warrant to purchase one whole share, thus making us, we believe, a more attractive business combination partner for target businesses.</w:t>
      </w:r>
    </w:p>
    <w:p>
      <w:pPr>
        <w:spacing w:after="0" w:line="255" w:lineRule="exact"/>
        <w:rPr>
          <w:sz w:val="20"/>
          <w:szCs w:val="20"/>
          <w:color w:val="auto"/>
        </w:rPr>
      </w:pPr>
    </w:p>
    <w:p>
      <w:pPr>
        <w:sectPr>
          <w:pgSz w:w="11900" w:h="16838" w:orient="portrait"/>
          <w:cols w:equalWidth="0" w:num="2">
            <w:col w:w="3620" w:space="100"/>
            <w:col w:w="5299"/>
          </w:cols>
          <w:pgMar w:left="1440" w:top="499" w:right="1440" w:bottom="1440" w:gutter="0" w:footer="0" w:header="0"/>
          <w:type w:val="continuous"/>
        </w:sectPr>
      </w:pPr>
    </w:p>
    <w:p>
      <w:pPr>
        <w:ind w:left="960" w:hanging="416"/>
        <w:spacing w:after="0"/>
        <w:tabs>
          <w:tab w:leader="none" w:pos="9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w:t>
      </w:r>
    </w:p>
    <w:p>
      <w:pPr>
        <w:spacing w:after="0" w:line="18" w:lineRule="exact"/>
        <w:rPr>
          <w:rFonts w:ascii="Arial" w:cs="Arial" w:eastAsia="Arial" w:hAnsi="Arial"/>
          <w:sz w:val="16"/>
          <w:szCs w:val="16"/>
          <w:color w:val="auto"/>
        </w:rPr>
      </w:pPr>
    </w:p>
    <w:p>
      <w:pPr>
        <w:ind w:left="980" w:right="599" w:hanging="436"/>
        <w:spacing w:after="0" w:line="264"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Founder shares are currently classified as Class B ordinary shares, which shares will automatically convert into Class A ordinary shares at the time of our initial business combination as described below adjacent to the caption “Founder shares conversion and anti-dilution rights” and in our amended and restated memorandum and articles of association.</w:t>
      </w:r>
    </w:p>
    <w:p>
      <w:pPr>
        <w:ind w:left="980" w:hanging="436"/>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1,125,000 founder shares that are subject to forfeiture.</w:t>
      </w:r>
    </w:p>
    <w:p>
      <w:pPr>
        <w:spacing w:after="0" w:line="18" w:lineRule="exact"/>
        <w:rPr>
          <w:rFonts w:ascii="Arial" w:cs="Arial" w:eastAsia="Arial" w:hAnsi="Arial"/>
          <w:sz w:val="16"/>
          <w:szCs w:val="16"/>
          <w:color w:val="auto"/>
        </w:rPr>
      </w:pPr>
    </w:p>
    <w:p>
      <w:pPr>
        <w:ind w:left="980" w:right="819" w:hanging="436"/>
        <w:spacing w:after="0" w:line="288" w:lineRule="auto"/>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Includes 30,000,000 public shares and 7,500,000 founder shares, assuming 1,125,000 founder shares have been forfeited.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5" w:name="page16"/>
    <w:bookmarkEnd w:id="15"/>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9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7310" cy="8669020"/>
                    </a:xfrm>
                    <a:prstGeom prst="rect">
                      <a:avLst/>
                    </a:prstGeom>
                    <a:noFill/>
                  </pic:spPr>
                </pic:pic>
              </a:graphicData>
            </a:graphic>
          </wp:anchor>
        </w:drawing>
        <w:t>Exercise price</w:t>
      </w:r>
      <w:r>
        <w:rPr>
          <w:sz w:val="20"/>
          <w:szCs w:val="20"/>
          <w:color w:val="auto"/>
        </w:rPr>
        <w:tab/>
      </w:r>
      <w:r>
        <w:rPr>
          <w:rFonts w:ascii="Arial" w:cs="Arial" w:eastAsia="Arial" w:hAnsi="Arial"/>
          <w:sz w:val="15"/>
          <w:szCs w:val="15"/>
          <w:color w:val="auto"/>
        </w:rPr>
        <w:t>$11.50 per whole share, subject to adjustments as described</w:t>
      </w:r>
    </w:p>
    <w:p>
      <w:pPr>
        <w:spacing w:after="0" w:line="23" w:lineRule="exact"/>
        <w:rPr>
          <w:sz w:val="20"/>
          <w:szCs w:val="20"/>
          <w:color w:val="auto"/>
        </w:rPr>
      </w:pPr>
    </w:p>
    <w:p>
      <w:pPr>
        <w:ind w:left="3720" w:right="579"/>
        <w:spacing w:after="0" w:line="283" w:lineRule="auto"/>
        <w:rPr>
          <w:sz w:val="20"/>
          <w:szCs w:val="20"/>
          <w:color w:val="auto"/>
        </w:rPr>
      </w:pPr>
      <w:r>
        <w:rPr>
          <w:rFonts w:ascii="Arial" w:cs="Arial" w:eastAsia="Arial" w:hAnsi="Arial"/>
          <w:sz w:val="16"/>
          <w:szCs w:val="16"/>
          <w:color w:val="auto"/>
        </w:rPr>
        <w:t>herein. 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us and, (i) in the case of any such issuance to our sponsor or its affiliates, without taking into account any founder shares held by our sponsor or such affiliates, as applicable, prior to such issuance, and (ii) without taking into account the transfer of founder shares or private placement warrants (including if such transfer is effectuated as a surrender to us and subsequent reissuance by us) by our sponsor in connection with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adjacent to “Redemption of warrants” will be adjusted (to the nearest cent) to be equal to 180% of the higher of the Market Value and the Newly Issued Price.</w:t>
      </w:r>
    </w:p>
    <w:p>
      <w:pPr>
        <w:spacing w:after="0" w:line="148"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Exercise period</w:t>
      </w:r>
      <w:r>
        <w:rPr>
          <w:sz w:val="20"/>
          <w:szCs w:val="20"/>
          <w:color w:val="auto"/>
        </w:rPr>
        <w:tab/>
      </w:r>
      <w:r>
        <w:rPr>
          <w:rFonts w:ascii="Arial" w:cs="Arial" w:eastAsia="Arial" w:hAnsi="Arial"/>
          <w:sz w:val="16"/>
          <w:szCs w:val="16"/>
          <w:color w:val="auto"/>
        </w:rPr>
        <w:t>The warrants will become exercisable on the later of:</w:t>
      </w:r>
    </w:p>
    <w:p>
      <w:pPr>
        <w:spacing w:after="0" w:line="14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30 days after the completion of our initial business</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combination; and</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twelve months from the closing of this offering;</w:t>
      </w:r>
    </w:p>
    <w:p>
      <w:pPr>
        <w:spacing w:after="0" w:line="158" w:lineRule="exact"/>
        <w:rPr>
          <w:sz w:val="20"/>
          <w:szCs w:val="20"/>
          <w:color w:val="auto"/>
        </w:rPr>
      </w:pPr>
    </w:p>
    <w:p>
      <w:pPr>
        <w:ind w:left="3720" w:right="599"/>
        <w:spacing w:after="0" w:line="26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in each case that we have an effective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If and when the warrants become redeemable by us, we may exercise our redemption right even if we are unable to register or qualify the underlying securities for sale under all applicable state securities laws.</w:t>
      </w:r>
    </w:p>
    <w:p>
      <w:pPr>
        <w:spacing w:after="0" w:line="98" w:lineRule="exact"/>
        <w:rPr>
          <w:sz w:val="20"/>
          <w:szCs w:val="20"/>
          <w:color w:val="auto"/>
        </w:rPr>
      </w:pPr>
    </w:p>
    <w:p>
      <w:pPr>
        <w:ind w:left="3720" w:right="619"/>
        <w:spacing w:after="0" w:line="287" w:lineRule="auto"/>
        <w:rPr>
          <w:sz w:val="20"/>
          <w:szCs w:val="20"/>
          <w:color w:val="auto"/>
        </w:rPr>
      </w:pPr>
      <w:r>
        <w:rPr>
          <w:rFonts w:ascii="Arial" w:cs="Arial" w:eastAsia="Arial" w:hAnsi="Arial"/>
          <w:sz w:val="16"/>
          <w:szCs w:val="16"/>
          <w:color w:val="auto"/>
        </w:rPr>
        <w:t>We are not registering the Class A ordinary shares issuable upon exercise of the warrants at this time. However, we have agreed that as soon as practicable, but in no event later than 20 business days after the closing of our initial business combination, we will use our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16" w:name="page17"/>
    <w:bookmarkEnd w:id="16"/>
    <w:tbl>
      <w:tblPr>
        <w:tblLayout w:type="fixed"/>
        <w:tblInd w:w="470" w:type="dxa"/>
        <w:tblCellMar>
          <w:top w:w="0" w:type="dxa"/>
          <w:left w:w="0" w:type="dxa"/>
          <w:bottom w:w="0" w:type="dxa"/>
          <w:right w:w="0" w:type="dxa"/>
        </w:tblCellMar>
      </w:tblPr>
      <w:tr>
        <w:trPr>
          <w:trHeight w:val="688"/>
        </w:trPr>
        <w:tc>
          <w:tcPr>
            <w:tcW w:w="2540" w:type="dxa"/>
            <w:vAlign w:val="bottom"/>
            <w:tcBorders>
              <w:top w:val="single" w:sz="8" w:color="auto"/>
              <w:left w:val="single" w:sz="8" w:color="auto"/>
            </w:tcBorders>
          </w:tcPr>
          <w:p>
            <w:pPr>
              <w:spacing w:after="0"/>
              <w:rPr>
                <w:sz w:val="24"/>
                <w:szCs w:val="24"/>
                <w:color w:val="auto"/>
              </w:rPr>
            </w:pPr>
          </w:p>
        </w:tc>
        <w:tc>
          <w:tcPr>
            <w:tcW w:w="556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8"/>
                <w:szCs w:val="18"/>
                <w:color w:val="auto"/>
                <w:w w:val="94"/>
              </w:rPr>
              <w:t>shares issuable upon exercise of the warrants is not effective by</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line="216" w:lineRule="exact"/>
              <w:rPr>
                <w:sz w:val="20"/>
                <w:szCs w:val="20"/>
                <w:color w:val="auto"/>
              </w:rPr>
            </w:pPr>
            <w:r>
              <w:rPr>
                <w:rFonts w:ascii="Arial" w:cs="Arial" w:eastAsia="Arial" w:hAnsi="Arial"/>
                <w:sz w:val="18"/>
                <w:szCs w:val="18"/>
                <w:color w:val="auto"/>
                <w:w w:val="94"/>
              </w:rPr>
              <w:t>the 60</w:t>
            </w:r>
            <w:r>
              <w:rPr>
                <w:rFonts w:ascii="Arial" w:cs="Arial" w:eastAsia="Arial" w:hAnsi="Arial"/>
                <w:sz w:val="20"/>
                <w:szCs w:val="20"/>
                <w:color w:val="auto"/>
                <w:w w:val="94"/>
                <w:vertAlign w:val="superscript"/>
              </w:rPr>
              <w:t>th</w:t>
            </w:r>
            <w:r>
              <w:rPr>
                <w:rFonts w:ascii="Arial" w:cs="Arial" w:eastAsia="Arial" w:hAnsi="Arial"/>
                <w:sz w:val="18"/>
                <w:szCs w:val="18"/>
                <w:color w:val="auto"/>
                <w:w w:val="94"/>
              </w:rPr>
              <w:t xml:space="preserve"> day after the closing of the initial business combination,</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warrant holders may, until such time as there is an effective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registration statement and during any period when we will have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failed to maintain an effective registration statement, exercise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warrants on a “cashless basis” in accordance with Section 3(a)(9)</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of the Securities Act or another exemption.</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The warrants will expire at 5:00 p.m., New York City time, five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years after the completion of our initial business combination or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earlier upon redemption or liquidation. On the exercise of any</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warrant, the warrant exercise price will be paid directly to us and</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not placed in the trust account.</w:t>
            </w:r>
          </w:p>
        </w:tc>
      </w:tr>
      <w:tr>
        <w:trPr>
          <w:trHeight w:val="350"/>
        </w:trPr>
        <w:tc>
          <w:tcPr>
            <w:tcW w:w="25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Redemption of warrants</w:t>
            </w: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Once the warrants become exercisable, we may redeem the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outstanding warrants (except as described herein with respect to</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private placement warrants):</w:t>
            </w:r>
          </w:p>
        </w:tc>
      </w:tr>
      <w:tr>
        <w:trPr>
          <w:trHeight w:val="324"/>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in whole and not in part;</w:t>
            </w:r>
          </w:p>
        </w:tc>
      </w:tr>
      <w:tr>
        <w:trPr>
          <w:trHeight w:val="324"/>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at a price of $0.01 per warrant;</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upon a minimum of 30 days’ prior written notice of</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redemption, which we refer to as the “30-day redemption</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period”; and</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if, and only if, the closing price of our ordinary shares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equals or exceeds $18.00 per share (as adjusted for share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subdivisions, share capitalizations, reorganizations,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recapitalizations and the like) for any 20 trading days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within a 30-trading day period ending on the third trading</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day prior to the date on which we send the notice of</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redemption to the warrant holders.</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We will not redeem the warrants as described above unless an</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effective registration statement under the Securities Act covering</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Class A ordinary shares issuable upon exercise of the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warrants is effective and a current prospectus relating to those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Class A ordinary shares is available throughout the 30-day</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redemption period, except if the warrants may be exercised on a</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cashless basis and such cashless exercise is exempt from</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registration under the Securities Act.</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If we call the warrants for redemption as described above, our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management will have the option to require all holders that wish</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to exercise warrants to do so on a “cashless basis.” In</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determining whether to require all holders to exercise their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warrants on a “cashless basis,” our management will consider,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among other factors, our cash position, the number of warrants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that are outstanding and the dilutive effect on our shareholders of</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1"/>
              </w:rPr>
              <w:t>issuing the maximum number of Class A ordinary shares issuable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upon the exercise of our warrants. In such event, each holder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would pay the exercise price by surrendering the warrants for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that number of Class A ordinary shares equal to the quotient</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obtained by dividing (x) the product of the number of Class A</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ordinary shares underlying the warrants, multiplied by the excess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of the “fair market value” (defined below) over the exercise price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of the warrants by (y) the fair market value. The “fair market</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value” shall mean the average reported closing price of the Class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A ordinary shares for the 10 trading days ending on the third</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trading day prior to the date on which the notice of redemption is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sent to the holders of warrants. Please see “Description of</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Securities — Warrants — Public Shareholders’ Warrants” for</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additional information.</w:t>
            </w:r>
          </w:p>
        </w:tc>
      </w:tr>
      <w:tr>
        <w:trPr>
          <w:trHeight w:val="402"/>
        </w:trPr>
        <w:tc>
          <w:tcPr>
            <w:tcW w:w="2540" w:type="dxa"/>
            <w:vAlign w:val="bottom"/>
            <w:tcBorders>
              <w:left w:val="single" w:sz="8" w:color="auto"/>
              <w:bottom w:val="single" w:sz="8" w:color="auto"/>
            </w:tcBorders>
          </w:tcPr>
          <w:p>
            <w:pPr>
              <w:spacing w:after="0"/>
              <w:rPr>
                <w:sz w:val="24"/>
                <w:szCs w:val="24"/>
                <w:color w:val="auto"/>
              </w:rPr>
            </w:pPr>
          </w:p>
        </w:tc>
        <w:tc>
          <w:tcPr>
            <w:tcW w:w="5560" w:type="dxa"/>
            <w:vAlign w:val="bottom"/>
            <w:tcBorders>
              <w:bottom w:val="single" w:sz="8" w:color="auto"/>
              <w:right w:val="single" w:sz="8" w:color="auto"/>
            </w:tcBorders>
          </w:tcPr>
          <w:p>
            <w:pPr>
              <w:spacing w:after="0"/>
              <w:rPr>
                <w:sz w:val="24"/>
                <w:szCs w:val="24"/>
                <w:color w:val="auto"/>
              </w:rPr>
            </w:pPr>
          </w:p>
        </w:tc>
      </w:tr>
      <w:tr>
        <w:trPr>
          <w:trHeight w:val="388"/>
        </w:trPr>
        <w:tc>
          <w:tcPr>
            <w:tcW w:w="25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9019"/>
          </w:cols>
          <w:pgMar w:left="1440" w:top="120" w:right="1440"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02906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7310" cy="9029065"/>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0"/>
              </w:rPr>
              <w:t>None of the private placement warrants will be redeemable by us</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so long as they are held by our sponsor or its permitted</w:t>
            </w:r>
          </w:p>
        </w:tc>
      </w:tr>
      <w:tr>
        <w:trPr>
          <w:trHeight w:val="230"/>
        </w:trPr>
        <w:tc>
          <w:tcPr>
            <w:tcW w:w="2140" w:type="dxa"/>
            <w:vAlign w:val="bottom"/>
          </w:tcPr>
          <w:p>
            <w:pPr>
              <w:spacing w:after="0"/>
              <w:rPr>
                <w:sz w:val="20"/>
                <w:szCs w:val="20"/>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transferees.</w:t>
            </w:r>
          </w:p>
        </w:tc>
      </w:tr>
      <w:tr>
        <w:trPr>
          <w:trHeight w:val="364"/>
        </w:trPr>
        <w:tc>
          <w:tcPr>
            <w:tcW w:w="2140" w:type="dxa"/>
            <w:vAlign w:val="bottom"/>
          </w:tcPr>
          <w:p>
            <w:pPr>
              <w:spacing w:after="0"/>
              <w:rPr>
                <w:sz w:val="20"/>
                <w:szCs w:val="20"/>
                <w:color w:val="auto"/>
              </w:rPr>
            </w:pPr>
            <w:r>
              <w:rPr>
                <w:rFonts w:ascii="Arial" w:cs="Arial" w:eastAsia="Arial" w:hAnsi="Arial"/>
                <w:sz w:val="18"/>
                <w:szCs w:val="18"/>
                <w:color w:val="auto"/>
              </w:rPr>
              <w:t>Founder shares</w:t>
            </w:r>
          </w:p>
        </w:tc>
        <w:tc>
          <w:tcPr>
            <w:tcW w:w="5740" w:type="dxa"/>
            <w:vAlign w:val="bottom"/>
          </w:tcPr>
          <w:p>
            <w:pPr>
              <w:ind w:left="1040"/>
              <w:spacing w:after="0"/>
              <w:rPr>
                <w:sz w:val="20"/>
                <w:szCs w:val="20"/>
                <w:color w:val="auto"/>
              </w:rPr>
            </w:pPr>
            <w:r>
              <w:rPr>
                <w:rFonts w:ascii="Arial" w:cs="Arial" w:eastAsia="Arial" w:hAnsi="Arial"/>
                <w:sz w:val="18"/>
                <w:szCs w:val="18"/>
                <w:color w:val="auto"/>
              </w:rPr>
              <w:t>On December 31, 2019, the sponsor paid $25,000, or</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3"/>
              </w:rPr>
              <w:t>approximately $0.003 per share, to cover certain of our offering</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1"/>
              </w:rPr>
              <w:t>costs in consideration of 8,625,000 Class B ordinary shares, par</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4"/>
              </w:rPr>
              <w:t>value $0.0001. In March 2020, our sponsor transferred 30,000</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8"/>
              </w:rPr>
              <w:t>founder shares to each of our independent directors. These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4"/>
              </w:rPr>
              <w:t>60,000 shares shall not be subject to forfeiture in the event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2"/>
              </w:rPr>
              <w:t>underwriter’s over-allotment option is not exercised. Prior to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2"/>
              </w:rPr>
              <w:t>initial investment in the company of $25,000 by the sponsor,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5"/>
              </w:rPr>
              <w:t>company had no assets, tangible or intangible. The per share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price of the founder shares was determined by dividing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5"/>
              </w:rPr>
              <w:t>amount contributed to the company by the number of founder</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89"/>
              </w:rPr>
              <w:t>shares issued. If we increase or decrease the size of this offering,</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we will effect a share capitalization or a share surrender or</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2"/>
              </w:rPr>
              <w:t>redemption or other appropriate mechanism, as applicable, with</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3"/>
              </w:rPr>
              <w:t>respect to our Class B ordinary shares immediately prior to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1"/>
              </w:rPr>
              <w:t>consummation of this offering in such amount as to maintain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3"/>
              </w:rPr>
              <w:t>ownership of our sponsor (and its permitted transferees), on an</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as-converted basis, at 20% of our issued and outstanding</w:t>
            </w:r>
          </w:p>
        </w:tc>
      </w:tr>
      <w:tr>
        <w:trPr>
          <w:trHeight w:val="230"/>
        </w:trPr>
        <w:tc>
          <w:tcPr>
            <w:tcW w:w="2140" w:type="dxa"/>
            <w:vAlign w:val="bottom"/>
          </w:tcPr>
          <w:p>
            <w:pPr>
              <w:spacing w:after="0"/>
              <w:rPr>
                <w:sz w:val="20"/>
                <w:szCs w:val="20"/>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ordinary shares upon the consummation of this offering.</w:t>
            </w:r>
          </w:p>
        </w:tc>
      </w:tr>
      <w:tr>
        <w:trPr>
          <w:trHeight w:val="337"/>
        </w:trPr>
        <w:tc>
          <w:tcPr>
            <w:tcW w:w="2140" w:type="dxa"/>
            <w:vAlign w:val="bottom"/>
          </w:tcPr>
          <w:p>
            <w:pPr>
              <w:spacing w:after="0"/>
              <w:rPr>
                <w:sz w:val="24"/>
                <w:szCs w:val="24"/>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2"/>
              </w:rPr>
              <w:t>The founder shares are identical to the Class A ordinary shares</w:t>
            </w:r>
          </w:p>
        </w:tc>
      </w:tr>
      <w:tr>
        <w:trPr>
          <w:trHeight w:val="230"/>
        </w:trPr>
        <w:tc>
          <w:tcPr>
            <w:tcW w:w="2140" w:type="dxa"/>
            <w:vAlign w:val="bottom"/>
          </w:tcPr>
          <w:p>
            <w:pPr>
              <w:spacing w:after="0"/>
              <w:rPr>
                <w:sz w:val="20"/>
                <w:szCs w:val="20"/>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included in the units being sold in this offering, except that:</w:t>
            </w:r>
          </w:p>
        </w:tc>
      </w:tr>
      <w:tr>
        <w:trPr>
          <w:trHeight w:val="323"/>
        </w:trPr>
        <w:tc>
          <w:tcPr>
            <w:tcW w:w="2140" w:type="dxa"/>
            <w:vAlign w:val="bottom"/>
          </w:tcPr>
          <w:p>
            <w:pPr>
              <w:spacing w:after="0"/>
              <w:rPr>
                <w:sz w:val="24"/>
                <w:szCs w:val="24"/>
                <w:color w:val="auto"/>
              </w:rPr>
            </w:pPr>
          </w:p>
        </w:tc>
        <w:tc>
          <w:tcPr>
            <w:tcW w:w="5740" w:type="dxa"/>
            <w:vAlign w:val="bottom"/>
          </w:tcPr>
          <w:p>
            <w:pPr>
              <w:ind w:left="1260"/>
              <w:spacing w:after="0"/>
              <w:rPr>
                <w:sz w:val="20"/>
                <w:szCs w:val="20"/>
                <w:color w:val="auto"/>
              </w:rPr>
            </w:pPr>
            <w:r>
              <w:rPr>
                <w:rFonts w:ascii="Arial" w:cs="Arial" w:eastAsia="Arial" w:hAnsi="Arial"/>
                <w:sz w:val="18"/>
                <w:szCs w:val="18"/>
                <w:color w:val="auto"/>
                <w:w w:val="91"/>
              </w:rPr>
              <w:t>•  only holders of the founder shares have the right to vote on</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the election of directors prior to our initial business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combination and holders of a majority of our founder</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1"/>
              </w:rPr>
              <w:t>shares may remove a member of the board of directors for</w:t>
            </w:r>
          </w:p>
        </w:tc>
      </w:tr>
      <w:tr>
        <w:trPr>
          <w:trHeight w:val="230"/>
        </w:trPr>
        <w:tc>
          <w:tcPr>
            <w:tcW w:w="2140" w:type="dxa"/>
            <w:vAlign w:val="bottom"/>
          </w:tcPr>
          <w:p>
            <w:pPr>
              <w:spacing w:after="0"/>
              <w:rPr>
                <w:sz w:val="20"/>
                <w:szCs w:val="20"/>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any reason;</w:t>
            </w:r>
          </w:p>
        </w:tc>
      </w:tr>
      <w:tr>
        <w:trPr>
          <w:trHeight w:val="323"/>
        </w:trPr>
        <w:tc>
          <w:tcPr>
            <w:tcW w:w="2140" w:type="dxa"/>
            <w:vAlign w:val="bottom"/>
          </w:tcPr>
          <w:p>
            <w:pPr>
              <w:spacing w:after="0"/>
              <w:rPr>
                <w:sz w:val="24"/>
                <w:szCs w:val="24"/>
                <w:color w:val="auto"/>
              </w:rPr>
            </w:pPr>
          </w:p>
        </w:tc>
        <w:tc>
          <w:tcPr>
            <w:tcW w:w="5740" w:type="dxa"/>
            <w:vAlign w:val="bottom"/>
          </w:tcPr>
          <w:p>
            <w:pPr>
              <w:ind w:left="1260"/>
              <w:spacing w:after="0"/>
              <w:rPr>
                <w:sz w:val="20"/>
                <w:szCs w:val="20"/>
                <w:color w:val="auto"/>
              </w:rPr>
            </w:pPr>
            <w:r>
              <w:rPr>
                <w:rFonts w:ascii="Arial" w:cs="Arial" w:eastAsia="Arial" w:hAnsi="Arial"/>
                <w:sz w:val="18"/>
                <w:szCs w:val="18"/>
                <w:color w:val="auto"/>
              </w:rPr>
              <w:t>•  the founder shares are subject to certain transfer</w:t>
            </w:r>
          </w:p>
        </w:tc>
      </w:tr>
      <w:tr>
        <w:trPr>
          <w:trHeight w:val="230"/>
        </w:trPr>
        <w:tc>
          <w:tcPr>
            <w:tcW w:w="2140" w:type="dxa"/>
            <w:vAlign w:val="bottom"/>
          </w:tcPr>
          <w:p>
            <w:pPr>
              <w:spacing w:after="0"/>
              <w:rPr>
                <w:sz w:val="20"/>
                <w:szCs w:val="20"/>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restrictions, as described in more detail below;</w:t>
            </w:r>
          </w:p>
        </w:tc>
      </w:tr>
      <w:tr>
        <w:trPr>
          <w:trHeight w:val="337"/>
        </w:trPr>
        <w:tc>
          <w:tcPr>
            <w:tcW w:w="2140" w:type="dxa"/>
            <w:vAlign w:val="bottom"/>
          </w:tcPr>
          <w:p>
            <w:pPr>
              <w:spacing w:after="0"/>
              <w:rPr>
                <w:sz w:val="24"/>
                <w:szCs w:val="24"/>
                <w:color w:val="auto"/>
              </w:rPr>
            </w:pPr>
          </w:p>
        </w:tc>
        <w:tc>
          <w:tcPr>
            <w:tcW w:w="5740" w:type="dxa"/>
            <w:vAlign w:val="bottom"/>
          </w:tcPr>
          <w:p>
            <w:pPr>
              <w:ind w:left="1260"/>
              <w:spacing w:after="0"/>
              <w:rPr>
                <w:sz w:val="20"/>
                <w:szCs w:val="20"/>
                <w:color w:val="auto"/>
              </w:rPr>
            </w:pPr>
            <w:r>
              <w:rPr>
                <w:rFonts w:ascii="Arial" w:cs="Arial" w:eastAsia="Arial" w:hAnsi="Arial"/>
                <w:sz w:val="18"/>
                <w:szCs w:val="18"/>
                <w:color w:val="auto"/>
              </w:rPr>
              <w:t>•  our sponsor, our Founders and each member of our</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89"/>
              </w:rPr>
              <w:t>management team have entered into an agreement with us,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pursuant to which they have agreed to (i) waive their</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8"/>
              </w:rPr>
              <w:t>redemption rights with respect to their founder shares,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(ii) waive their redemption rights with respect to their</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8"/>
              </w:rPr>
              <w:t>founder shares and public shares in connection with a</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88"/>
              </w:rPr>
              <w:t>shareholder vote to approve an amendment to our amended</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1"/>
              </w:rPr>
              <w:t>and restated memorandum and articles of association that</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6"/>
              </w:rPr>
              <w:t>would affect the substance or timing of our obligation to</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2"/>
              </w:rPr>
              <w:t>provide holders of our Class A ordinary shares the right to</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4"/>
              </w:rPr>
              <w:t>have their shares redeemed in connection with our initial</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7"/>
              </w:rPr>
              <w:t>business combination or to redeem 100% of our public</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shares if we do not consummate an initial business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combination within 24 months from the closing of this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offering and (iii) waive their rights to liquidating</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7"/>
              </w:rPr>
              <w:t>distributions from the trust account with respect to their</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1"/>
              </w:rPr>
              <w:t>founder shares if we fail to consummate an initial business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combination within 24 months from the closing of this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offering (although they will be entitled to liquidating</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8"/>
              </w:rPr>
              <w:t>distributions from the trust account with respect to any</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8"/>
              </w:rPr>
              <w:t>public shares they hold if we fail to complete our initial</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2"/>
              </w:rPr>
              <w:t>business combination within the prescribed time frame). If</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6"/>
              </w:rPr>
              <w:t>we submit our initial business combination to our public</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6"/>
              </w:rPr>
              <w:t>shareholders for a vote, our sponsor, our Founders and</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88"/>
              </w:rPr>
              <w:t>each member of our management team have agreed to vote</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8"/>
              </w:rPr>
              <w:t>their founder shares and any public shares purchased</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4"/>
              </w:rPr>
              <w:t>during or after this offering in favor of our initial business</w:t>
            </w:r>
          </w:p>
        </w:tc>
      </w:tr>
      <w:tr>
        <w:trPr>
          <w:trHeight w:val="230"/>
        </w:trPr>
        <w:tc>
          <w:tcPr>
            <w:tcW w:w="2140" w:type="dxa"/>
            <w:vAlign w:val="bottom"/>
          </w:tcPr>
          <w:p>
            <w:pPr>
              <w:spacing w:after="0"/>
              <w:rPr>
                <w:sz w:val="20"/>
                <w:szCs w:val="20"/>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combination.</w:t>
            </w:r>
          </w:p>
        </w:tc>
      </w:tr>
    </w:tbl>
    <w:p>
      <w:pPr>
        <w:spacing w:after="0" w:line="200" w:lineRule="exact"/>
        <w:rPr>
          <w:sz w:val="20"/>
          <w:szCs w:val="20"/>
          <w:color w:val="auto"/>
        </w:rPr>
      </w:pPr>
    </w:p>
    <w:p>
      <w:pPr>
        <w:sectPr>
          <w:pgSz w:w="11900" w:h="16838" w:orient="portrait"/>
          <w:cols w:equalWidth="0" w:num="1">
            <w:col w:w="9019"/>
          </w:cols>
          <w:pgMar w:left="1440" w:top="50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Transfer restrictions on founder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20" w:right="160" w:hanging="179"/>
        <w:spacing w:after="0" w:line="277" w:lineRule="auto"/>
        <w:rPr>
          <w:sz w:val="20"/>
          <w:szCs w:val="20"/>
          <w:color w:val="auto"/>
        </w:rPr>
      </w:pPr>
      <w:r>
        <w:rPr>
          <w:rFonts w:ascii="Arial" w:cs="Arial" w:eastAsia="Arial" w:hAnsi="Arial"/>
          <w:sz w:val="18"/>
          <w:szCs w:val="18"/>
          <w:color w:val="auto"/>
        </w:rPr>
        <w:t>Founder shares conversion and anti-dilution rights</w:t>
      </w:r>
    </w:p>
    <w:p>
      <w:pPr>
        <w:spacing w:after="0" w:line="20" w:lineRule="exact"/>
        <w:rPr>
          <w:sz w:val="20"/>
          <w:szCs w:val="20"/>
          <w:color w:val="auto"/>
        </w:rPr>
      </w:pPr>
      <w:r>
        <w:rPr>
          <w:sz w:val="20"/>
          <w:szCs w:val="20"/>
          <w:color w:val="auto"/>
        </w:rPr>
        <w:br w:type="column"/>
      </w:r>
    </w:p>
    <w:p>
      <w:pPr>
        <w:ind w:left="440" w:right="619"/>
        <w:spacing w:after="0" w:line="269" w:lineRule="auto"/>
        <w:rPr>
          <w:sz w:val="20"/>
          <w:szCs w:val="20"/>
          <w:color w:val="auto"/>
        </w:rPr>
      </w:pPr>
      <w:r>
        <w:rPr>
          <w:rFonts w:ascii="Arial" w:cs="Arial" w:eastAsia="Arial" w:hAnsi="Arial"/>
          <w:sz w:val="17"/>
          <w:szCs w:val="17"/>
          <w:color w:val="auto"/>
        </w:rPr>
        <w:t>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-1715770</wp:posOffset>
            </wp:positionV>
            <wp:extent cx="5147310" cy="92690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7310" cy="9269095"/>
                    </a:xfrm>
                    <a:prstGeom prst="rect">
                      <a:avLst/>
                    </a:prstGeom>
                    <a:noFill/>
                  </pic:spPr>
                </pic:pic>
              </a:graphicData>
            </a:graphic>
          </wp:anchor>
        </w:drawing>
      </w:r>
    </w:p>
    <w:p>
      <w:pPr>
        <w:spacing w:after="0" w:line="84" w:lineRule="exact"/>
        <w:rPr>
          <w:sz w:val="20"/>
          <w:szCs w:val="20"/>
          <w:color w:val="auto"/>
        </w:rPr>
      </w:pPr>
    </w:p>
    <w:p>
      <w:pPr>
        <w:ind w:left="440" w:right="579" w:hanging="214"/>
        <w:spacing w:after="0" w:line="255" w:lineRule="auto"/>
        <w:tabs>
          <w:tab w:leader="none" w:pos="42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will automatically convert into our Class A ordinary shares at the time of our initial business combination as described below adjacent to the caption “Founder shares conversion and anti-dilution rights” and in our amended and restated memorandum and articles of association; and</w:t>
      </w:r>
    </w:p>
    <w:p>
      <w:pPr>
        <w:spacing w:after="0" w:line="124" w:lineRule="exact"/>
        <w:rPr>
          <w:rFonts w:ascii="Arial" w:cs="Arial" w:eastAsia="Arial" w:hAnsi="Arial"/>
          <w:sz w:val="18"/>
          <w:szCs w:val="18"/>
          <w:color w:val="auto"/>
        </w:rPr>
      </w:pPr>
    </w:p>
    <w:p>
      <w:pPr>
        <w:ind w:left="420" w:hanging="194"/>
        <w:spacing w:after="0"/>
        <w:tabs>
          <w:tab w:leader="none" w:pos="4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w:t>
      </w:r>
    </w:p>
    <w:p>
      <w:pPr>
        <w:spacing w:after="0" w:line="158" w:lineRule="exact"/>
        <w:rPr>
          <w:sz w:val="20"/>
          <w:szCs w:val="20"/>
          <w:color w:val="auto"/>
        </w:rPr>
      </w:pPr>
    </w:p>
    <w:p>
      <w:pPr>
        <w:ind w:right="619"/>
        <w:spacing w:after="0" w:line="283" w:lineRule="auto"/>
        <w:rPr>
          <w:sz w:val="20"/>
          <w:szCs w:val="20"/>
          <w:color w:val="auto"/>
        </w:rPr>
      </w:pPr>
      <w:r>
        <w:rPr>
          <w:rFonts w:ascii="Arial" w:cs="Arial" w:eastAsia="Arial" w:hAnsi="Arial"/>
          <w:sz w:val="16"/>
          <w:szCs w:val="16"/>
          <w:color w:val="auto"/>
        </w:rPr>
        <w:t>Except as described herein, our sponsor and our directors and executive officers have agreed not to transfer, assign or sell any of their founder shares until the earliest of (A) one year after the completion of our initial business combination or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w:t>
      </w:r>
    </w:p>
    <w:p>
      <w:pPr>
        <w:spacing w:after="0" w:line="6" w:lineRule="exact"/>
        <w:rPr>
          <w:sz w:val="20"/>
          <w:szCs w:val="20"/>
          <w:color w:val="auto"/>
        </w:rPr>
      </w:pPr>
    </w:p>
    <w:p>
      <w:pPr>
        <w:ind w:right="599"/>
        <w:spacing w:after="0" w:line="253" w:lineRule="auto"/>
        <w:rPr>
          <w:sz w:val="20"/>
          <w:szCs w:val="20"/>
          <w:color w:val="auto"/>
        </w:rPr>
      </w:pPr>
      <w:r>
        <w:rPr>
          <w:rFonts w:ascii="Arial" w:cs="Arial" w:eastAsia="Arial" w:hAnsi="Arial"/>
          <w:sz w:val="18"/>
          <w:szCs w:val="18"/>
          <w:color w:val="auto"/>
        </w:rPr>
        <w:t>150 days after our initial business combination, or (y) the date on which we complete a liquidation, merger, share exchange or other similar transaction that results in all of our shareholders having the right to exchange their ordinary shares for cash, securities or other property.</w:t>
      </w:r>
    </w:p>
    <w:p>
      <w:pPr>
        <w:spacing w:after="0" w:line="339"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The founder shares are designated as Class B ordinary shares and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(as defined herein)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Any conversion of Class B ordinary shares described herein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286" w:lineRule="exact"/>
        <w:rPr>
          <w:sz w:val="20"/>
          <w:szCs w:val="20"/>
          <w:color w:val="auto"/>
        </w:rPr>
      </w:pPr>
    </w:p>
    <w:p>
      <w:pPr>
        <w:jc w:val="both"/>
        <w:ind w:right="699"/>
        <w:spacing w:after="0" w:line="296" w:lineRule="auto"/>
        <w:rPr>
          <w:sz w:val="20"/>
          <w:szCs w:val="20"/>
          <w:color w:val="auto"/>
        </w:rPr>
      </w:pPr>
      <w:r>
        <w:rPr>
          <w:rFonts w:ascii="Arial" w:cs="Arial" w:eastAsia="Arial" w:hAnsi="Arial"/>
          <w:sz w:val="16"/>
          <w:szCs w:val="16"/>
          <w:color w:val="auto"/>
        </w:rPr>
        <w:t>The term “equity-linked securities” refers to any debt or equity securities that are convertible, exercisable or exchangeable for our Class A ordinary shares issued in a financing transaction in connection with our initial business combination, including, but not limited to, a private placement of equity or debt.</w:t>
      </w:r>
    </w:p>
    <w:p>
      <w:pPr>
        <w:spacing w:after="0" w:line="200" w:lineRule="exact"/>
        <w:rPr>
          <w:sz w:val="20"/>
          <w:szCs w:val="20"/>
          <w:color w:val="auto"/>
        </w:rPr>
      </w:pPr>
    </w:p>
    <w:p>
      <w:pPr>
        <w:sectPr>
          <w:pgSz w:w="11900" w:h="16838" w:orient="portrait"/>
          <w:cols w:equalWidth="0" w:num="2">
            <w:col w:w="3320" w:space="400"/>
            <w:col w:w="5299"/>
          </w:cols>
          <w:pgMar w:left="1440" w:top="652" w:right="1440"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19" w:name="page20"/>
    <w:bookmarkEnd w:id="19"/>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37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7310" cy="8137525"/>
                    </a:xfrm>
                    <a:prstGeom prst="rect">
                      <a:avLst/>
                    </a:prstGeom>
                    <a:noFill/>
                  </pic:spPr>
                </pic:pic>
              </a:graphicData>
            </a:graphic>
          </wp:anchor>
        </w:drawing>
        <w:t>Election of directors; voting rights</w:t>
      </w:r>
      <w:r>
        <w:rPr>
          <w:sz w:val="20"/>
          <w:szCs w:val="20"/>
          <w:color w:val="auto"/>
        </w:rPr>
        <w:tab/>
      </w:r>
      <w:r>
        <w:rPr>
          <w:rFonts w:ascii="Arial" w:cs="Arial" w:eastAsia="Arial" w:hAnsi="Arial"/>
          <w:sz w:val="16"/>
          <w:szCs w:val="16"/>
          <w:color w:val="auto"/>
        </w:rPr>
        <w:t>Prior to our initial business combination, only holders of our</w:t>
      </w:r>
    </w:p>
    <w:p>
      <w:pPr>
        <w:spacing w:after="0" w:line="23" w:lineRule="exact"/>
        <w:rPr>
          <w:sz w:val="20"/>
          <w:szCs w:val="20"/>
          <w:color w:val="auto"/>
        </w:rPr>
      </w:pPr>
    </w:p>
    <w:p>
      <w:pPr>
        <w:ind w:left="3720" w:right="599"/>
        <w:spacing w:after="0" w:line="284" w:lineRule="auto"/>
        <w:rPr>
          <w:sz w:val="20"/>
          <w:szCs w:val="20"/>
          <w:color w:val="auto"/>
        </w:rPr>
      </w:pPr>
      <w:r>
        <w:rPr>
          <w:rFonts w:ascii="Arial" w:cs="Arial" w:eastAsia="Arial" w:hAnsi="Arial"/>
          <w:sz w:val="16"/>
          <w:szCs w:val="16"/>
          <w:color w:val="auto"/>
        </w:rPr>
        <w:t>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not less than two-thirds of our ordinary shares who attend and vote at our shareholder meeting which shall include the affirmative vote of a simple majority of our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147"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Private placement warrants</w:t>
      </w:r>
      <w:r>
        <w:rPr>
          <w:sz w:val="20"/>
          <w:szCs w:val="20"/>
          <w:color w:val="auto"/>
        </w:rPr>
        <w:tab/>
      </w:r>
      <w:r>
        <w:rPr>
          <w:rFonts w:ascii="Arial" w:cs="Arial" w:eastAsia="Arial" w:hAnsi="Arial"/>
          <w:sz w:val="16"/>
          <w:szCs w:val="16"/>
          <w:color w:val="auto"/>
        </w:rPr>
        <w:t>Our sponsor has committed, pursuant to a written agreement, to</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purchase an aggregate of 10,000,000 private placement warrants,</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each exercisable to purchase one Class A ordinary share at</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$11.50 per share, at a price of $1.00 per warrant ($10,000,000 in</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the aggregate), in a private placement that will close</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simultaneously with the closing of this offering. If we do not</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consummate an initial business combination within 24 months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from the closing of this offering, the private placement warrants</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will expire worthless. The private placement warrants will be</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non-redeemable and exercisable on a cashless basis so long as</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they are held by our sponsor or its permitted transferees (see</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“Description of Securities — Warrants — Private Placement</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Warrants”). If the private placement warrants are held by holders</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other than our sponsor or its permitted transferees, the private</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placement warrants will be redeemable by us and exercisable by</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the holders on the same basis as the warrants included in the</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units being sold in this offering.</w:t>
      </w:r>
    </w:p>
    <w:p>
      <w:pPr>
        <w:sectPr>
          <w:pgSz w:w="11900" w:h="16838" w:orient="portrait"/>
          <w:cols w:equalWidth="0" w:num="1">
            <w:col w:w="9019"/>
          </w:cols>
          <w:pgMar w:left="1440" w:top="503" w:right="1440" w:bottom="1440" w:gutter="0" w:footer="0" w:header="0"/>
        </w:sectPr>
      </w:pPr>
    </w:p>
    <w:p>
      <w:pPr>
        <w:spacing w:after="0" w:line="184"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Transfer restrictions on private placement warrants</w:t>
      </w:r>
    </w:p>
    <w:p>
      <w:pPr>
        <w:spacing w:after="0" w:line="20" w:lineRule="exact"/>
        <w:rPr>
          <w:sz w:val="20"/>
          <w:szCs w:val="20"/>
          <w:color w:val="auto"/>
        </w:rPr>
      </w:pPr>
      <w:r>
        <w:rPr>
          <w:sz w:val="20"/>
          <w:szCs w:val="20"/>
          <w:color w:val="auto"/>
        </w:rPr>
        <w:br w:type="column"/>
      </w:r>
    </w:p>
    <w:p>
      <w:pPr>
        <w:spacing w:after="0" w:line="380" w:lineRule="exact"/>
        <w:rPr>
          <w:sz w:val="20"/>
          <w:szCs w:val="20"/>
          <w:color w:val="auto"/>
        </w:rPr>
      </w:pPr>
    </w:p>
    <w:p>
      <w:pPr>
        <w:ind w:right="659"/>
        <w:spacing w:after="0" w:line="293" w:lineRule="auto"/>
        <w:rPr>
          <w:sz w:val="20"/>
          <w:szCs w:val="20"/>
          <w:color w:val="auto"/>
        </w:rPr>
      </w:pPr>
      <w:r>
        <w:rPr>
          <w:rFonts w:ascii="Arial" w:cs="Arial" w:eastAsia="Arial" w:hAnsi="Arial"/>
          <w:sz w:val="16"/>
          <w:szCs w:val="16"/>
          <w:color w:val="auto"/>
        </w:rPr>
        <w:t>The private placement warrants (including the Class A ordinary shares issuable upon exercise of the private placement warrants) will not be transferable, assignable or salable until 30 days after the completion of our initial business combination, except as described herein under “Principal Shareholders — Transfers of Founder Shares and Private Placement Warrants.”</w:t>
      </w:r>
    </w:p>
    <w:p>
      <w:pPr>
        <w:spacing w:after="0" w:line="137" w:lineRule="exact"/>
        <w:rPr>
          <w:sz w:val="20"/>
          <w:szCs w:val="20"/>
          <w:color w:val="auto"/>
        </w:rPr>
      </w:pPr>
    </w:p>
    <w:p>
      <w:pPr>
        <w:sectPr>
          <w:pgSz w:w="11900" w:h="16838" w:orient="portrait"/>
          <w:cols w:equalWidth="0" w:num="2">
            <w:col w:w="3540" w:space="180"/>
            <w:col w:w="5299"/>
          </w:cols>
          <w:pgMar w:left="1440" w:top="503"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2960" w:type="dxa"/>
            <w:vAlign w:val="bottom"/>
          </w:tcPr>
          <w:p>
            <w:pPr>
              <w:ind w:left="80"/>
              <w:spacing w:after="0"/>
              <w:rPr>
                <w:sz w:val="20"/>
                <w:szCs w:val="20"/>
                <w:color w:val="auto"/>
              </w:rPr>
            </w:pPr>
            <w:r>
              <w:rPr>
                <w:rFonts w:ascii="Arial" w:cs="Arial" w:eastAsia="Arial" w:hAnsi="Arial"/>
                <w:sz w:val="18"/>
                <w:szCs w:val="18"/>
                <w:color w:val="auto"/>
                <w:w w:val="99"/>
              </w:rPr>
              <w:t>Proceeds to be held in trust account</w:t>
            </w:r>
          </w:p>
        </w:tc>
        <w:tc>
          <w:tcPr>
            <w:tcW w:w="5140" w:type="dxa"/>
            <w:vAlign w:val="bottom"/>
          </w:tcPr>
          <w:p>
            <w:pPr>
              <w:ind w:left="300"/>
              <w:spacing w:after="0"/>
              <w:rPr>
                <w:sz w:val="20"/>
                <w:szCs w:val="20"/>
                <w:color w:val="auto"/>
              </w:rPr>
            </w:pPr>
            <w:r>
              <w:rPr>
                <w:rFonts w:ascii="Arial" w:cs="Arial" w:eastAsia="Arial" w:hAnsi="Arial"/>
                <w:sz w:val="18"/>
                <w:szCs w:val="18"/>
                <w:color w:val="auto"/>
                <w:w w:val="94"/>
              </w:rPr>
              <w:t>Of the proceeds we will receive from this offering and the sale of</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the private placement warrants described in this prospectus,</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$300,000,000, or $345,000,000 if the underwriter’s over-</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allotment option is exercised in full ($10.00 per unit in either</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2"/>
              </w:rPr>
              <w:t>case), will be deposited into a segregated trust account located in</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the United States at J.P. Morgan Chase Bank, N.A. with</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7"/>
              </w:rPr>
              <w:t>Continental Stock Transfer &amp; Trust Company acting as trustee</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4"/>
              </w:rPr>
              <w:t>and $4,000,000 will be used to pay expenses in connection with</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6"/>
              </w:rPr>
              <w:t>the closing of this offering and for working capital following this</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5"/>
              </w:rPr>
              <w:t>offering. The proceeds to be placed in the trust account include</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5"/>
              </w:rPr>
              <w:t>$10,500,000 (or $12,075,000 if the underwriter’s over-allotment</w:t>
            </w:r>
          </w:p>
        </w:tc>
      </w:tr>
      <w:tr>
        <w:trPr>
          <w:trHeight w:val="230"/>
        </w:trPr>
        <w:tc>
          <w:tcPr>
            <w:tcW w:w="296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4"/>
              </w:rPr>
              <w:t>option is exercised in full) in deferred underwriting commissions.</w:t>
            </w:r>
          </w:p>
        </w:tc>
      </w:tr>
      <w:tr>
        <w:trPr>
          <w:trHeight w:val="402"/>
        </w:trPr>
        <w:tc>
          <w:tcPr>
            <w:tcW w:w="29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388"/>
        </w:trPr>
        <w:tc>
          <w:tcPr>
            <w:tcW w:w="29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9019"/>
          </w:cols>
          <w:pgMar w:left="1440" w:top="503" w:right="1440" w:bottom="1440" w:gutter="0" w:footer="0" w:header="0"/>
          <w:type w:val="continuous"/>
        </w:sectPr>
      </w:pPr>
    </w:p>
    <w:bookmarkStart w:id="20" w:name="page21"/>
    <w:bookmarkEnd w:id="20"/>
    <w:p>
      <w:pPr>
        <w:ind w:left="3720" w:right="579"/>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448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9448800"/>
                    </a:xfrm>
                    <a:prstGeom prst="rect">
                      <a:avLst/>
                    </a:prstGeom>
                    <a:noFill/>
                  </pic:spPr>
                </pic:pic>
              </a:graphicData>
            </a:graphic>
          </wp:anchor>
        </w:drawing>
        <w:t>Except with respect to interest earned on the funds held in the trust account that may be released to us to pay our income taxes, if any, our amended and restated memorandum and articles of association, as discussed below and subject to the requirements of law and regulation, will provide that the proceeds from this offering and the sale of the private placement warrants will not be released from the trust account (1) to us, until the completion of our initial business combination, or (2) to our public shareholders, until the earliest of (a) the completion of our initial business combination, and then only in connection with those Class A ordinary shares that such shareholder properly elected to redeem, subject to the limitations described herein, (b) the redemption of any public shares properly tendered in connection with a shareholder vote to amend our amended and restated memorandum and articles of association (i) to modify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or (ii) with respect to any other provisions relating to the rights of holders of our Class A ordinary shares, and (c) the redemption of our public shares if we are unable to complete our business combination within 24 months from the closing of this offering, subject to applicable law. Public shareholders who redeem their Class A ordinary shares in connection with a shareholder vote described in clause (b) in the preceding sentence shall not be entitled to funds from the trust account upon the subsequent completion of an initial business combination or liquidation if we are unable to complete an initial business combination within 24 months from the closing of this offering, with respect to such Class A ordinary shares so redeemed. The proceeds deposited in the trust account could become subject to the claims of our creditors, if any, which could have priority over the claims of our public shareholders.</w:t>
      </w:r>
    </w:p>
    <w:p>
      <w:pPr>
        <w:spacing w:after="0" w:line="156"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Anticipated expenses and funding sources</w:t>
      </w:r>
      <w:r>
        <w:rPr>
          <w:sz w:val="20"/>
          <w:szCs w:val="20"/>
          <w:color w:val="auto"/>
        </w:rPr>
        <w:tab/>
      </w:r>
      <w:r>
        <w:rPr>
          <w:rFonts w:ascii="Arial" w:cs="Arial" w:eastAsia="Arial" w:hAnsi="Arial"/>
          <w:sz w:val="16"/>
          <w:szCs w:val="16"/>
          <w:color w:val="auto"/>
        </w:rPr>
        <w:t>Except as described above with respect to the payment of taxes,</w:t>
      </w:r>
    </w:p>
    <w:p>
      <w:pPr>
        <w:spacing w:after="0" w:line="23"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unless and until we complete our initial business combination, no</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proceeds held in the trust account will be available for our use.</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The proceeds held in the trust account will be invested only in</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U.S. government treasury obligations with a maturity of 185 days</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or less or in money market funds meeting certain conditions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under Rule 2a-7 under the Investment Company Act which</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invest only in direct U.S. government treasury obligations.</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Assuming an interest rate of 1.0% per year, we estimate the</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interest earned on the trust account will be approximately</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$3,000,000 per year; however, we can provide no assurances</w:t>
      </w:r>
    </w:p>
    <w:p>
      <w:pPr>
        <w:spacing w:after="0" w:line="21" w:lineRule="exact"/>
        <w:rPr>
          <w:sz w:val="20"/>
          <w:szCs w:val="20"/>
          <w:color w:val="auto"/>
        </w:rPr>
      </w:pPr>
    </w:p>
    <w:p>
      <w:pPr>
        <w:ind w:left="3720"/>
        <w:spacing w:after="0"/>
        <w:rPr>
          <w:sz w:val="20"/>
          <w:szCs w:val="20"/>
          <w:color w:val="auto"/>
        </w:rPr>
      </w:pPr>
      <w:r>
        <w:rPr>
          <w:rFonts w:ascii="Arial" w:cs="Arial" w:eastAsia="Arial" w:hAnsi="Arial"/>
          <w:sz w:val="16"/>
          <w:szCs w:val="16"/>
          <w:color w:val="auto"/>
        </w:rPr>
        <w:t>regarding this amount. The trust account’s earnings will be lower</w:t>
      </w:r>
    </w:p>
    <w:p>
      <w:pPr>
        <w:spacing w:after="0" w:line="32"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as interest rates on short-term U.S. government treasury</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8"/>
          <w:szCs w:val="18"/>
          <w:color w:val="auto"/>
        </w:rPr>
        <w:t>obligations decline. Unless and until we complete our initial</w:t>
      </w:r>
    </w:p>
    <w:p>
      <w:pPr>
        <w:spacing w:after="0" w:line="9" w:lineRule="exact"/>
        <w:rPr>
          <w:sz w:val="20"/>
          <w:szCs w:val="20"/>
          <w:color w:val="auto"/>
        </w:rPr>
      </w:pPr>
    </w:p>
    <w:p>
      <w:pPr>
        <w:ind w:left="3720"/>
        <w:spacing w:after="0"/>
        <w:rPr>
          <w:sz w:val="20"/>
          <w:szCs w:val="20"/>
          <w:color w:val="auto"/>
        </w:rPr>
      </w:pPr>
      <w:r>
        <w:rPr>
          <w:rFonts w:ascii="Arial" w:cs="Arial" w:eastAsia="Arial" w:hAnsi="Arial"/>
          <w:sz w:val="17"/>
          <w:szCs w:val="17"/>
          <w:color w:val="auto"/>
        </w:rPr>
        <w:t>business combination, we may pay our expenses only from:</w:t>
      </w:r>
    </w:p>
    <w:p>
      <w:pPr>
        <w:spacing w:after="0" w:line="74" w:lineRule="exact"/>
        <w:rPr>
          <w:sz w:val="20"/>
          <w:szCs w:val="20"/>
          <w:color w:val="auto"/>
        </w:rPr>
      </w:pPr>
    </w:p>
    <w:p>
      <w:pPr>
        <w:ind w:left="4160" w:right="659" w:hanging="214"/>
        <w:spacing w:after="0" w:line="293" w:lineRule="auto"/>
        <w:tabs>
          <w:tab w:leader="none" w:pos="4142"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net proceeds of this offering and the sale of the private placement warrants not held in the trust account, which will be approximately $3,000,000 (or $2,100,000 if the underwriter’s over-allotment option is exercised in full) in working capital after the payment of approximately $1,000,000 in expenses relating to this offering; and</w:t>
      </w:r>
    </w:p>
    <w:p>
      <w:pPr>
        <w:spacing w:after="0" w:line="15" w:lineRule="exact"/>
        <w:rPr>
          <w:rFonts w:ascii="Arial" w:cs="Arial" w:eastAsia="Arial" w:hAnsi="Arial"/>
          <w:sz w:val="16"/>
          <w:szCs w:val="16"/>
          <w:color w:val="auto"/>
        </w:rPr>
      </w:pPr>
    </w:p>
    <w:p>
      <w:pPr>
        <w:ind w:left="4160" w:right="599" w:hanging="214"/>
        <w:spacing w:after="0" w:line="272" w:lineRule="auto"/>
        <w:tabs>
          <w:tab w:leader="none" w:pos="4142"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any loans or additional investments from our sponsor or an affiliate of our sponsor or certain of our officers and directors, although they are under no obligation to advance funds or invest in us, and provided any such loans will not have any claim on the proceeds held in the trust account unless such proceeds are released to us upon completion of our initial business combination.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889" w:gutter="0" w:footer="0" w:header="0"/>
        </w:sectPr>
      </w:pPr>
    </w:p>
    <w:bookmarkStart w:id="21" w:name="page22"/>
    <w:bookmarkEnd w:id="21"/>
    <w:p>
      <w:pPr>
        <w:ind w:left="720" w:right="360" w:hanging="179"/>
        <w:spacing w:after="0" w:line="277" w:lineRule="auto"/>
        <w:rPr>
          <w:sz w:val="20"/>
          <w:szCs w:val="20"/>
          <w:color w:val="auto"/>
        </w:rPr>
      </w:pPr>
      <w:r>
        <w:rPr>
          <w:rFonts w:ascii="Arial" w:cs="Arial" w:eastAsia="Arial" w:hAnsi="Arial"/>
          <w:sz w:val="18"/>
          <w:szCs w:val="18"/>
          <w:color w:val="auto"/>
        </w:rPr>
        <w:t>Conditions to completing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0" w:hanging="179"/>
        <w:spacing w:after="0" w:line="308" w:lineRule="auto"/>
        <w:rPr>
          <w:sz w:val="20"/>
          <w:szCs w:val="20"/>
          <w:color w:val="auto"/>
        </w:rPr>
      </w:pPr>
      <w:r>
        <w:rPr>
          <w:rFonts w:ascii="Arial" w:cs="Arial" w:eastAsia="Arial" w:hAnsi="Arial"/>
          <w:sz w:val="17"/>
          <w:szCs w:val="17"/>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559"/>
        <w:spacing w:after="0" w:line="286" w:lineRule="auto"/>
        <w:rPr>
          <w:sz w:val="20"/>
          <w:szCs w:val="20"/>
          <w:color w:val="auto"/>
        </w:rPr>
      </w:pPr>
      <w:r>
        <w:rPr>
          <w:rFonts w:ascii="Arial" w:cs="Arial" w:eastAsia="Arial" w:hAnsi="Arial"/>
          <w:sz w:val="16"/>
          <w:szCs w:val="16"/>
          <w:color w:val="auto"/>
        </w:rPr>
        <w:t>NYSE rules require that 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income earned on the trust account) at the time of our signing a definitive agreement in connection with our initial business combination. If our board of directors is not able to independently determine the fair market value of the target business or businesses, we will obtain an opinion from an independent investment banking firm which is a member of FINRA or a valuation or appraisal firm. Our shareholders may not be provided with a copy of such opinion nor will they be able to rely on such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-2271395</wp:posOffset>
            </wp:positionV>
            <wp:extent cx="5147310" cy="93116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7310" cy="9311640"/>
                    </a:xfrm>
                    <a:prstGeom prst="rect">
                      <a:avLst/>
                    </a:prstGeom>
                    <a:noFill/>
                  </pic:spPr>
                </pic:pic>
              </a:graphicData>
            </a:graphic>
          </wp:anchor>
        </w:drawing>
      </w:r>
    </w:p>
    <w:p>
      <w:pPr>
        <w:spacing w:after="0" w:line="73" w:lineRule="exact"/>
        <w:rPr>
          <w:sz w:val="20"/>
          <w:szCs w:val="20"/>
          <w:color w:val="auto"/>
        </w:rPr>
      </w:pPr>
    </w:p>
    <w:p>
      <w:pPr>
        <w:ind w:right="599"/>
        <w:spacing w:after="0" w:line="284" w:lineRule="auto"/>
        <w:rPr>
          <w:sz w:val="20"/>
          <w:szCs w:val="20"/>
          <w:color w:val="auto"/>
        </w:rPr>
      </w:pPr>
      <w:r>
        <w:rPr>
          <w:rFonts w:ascii="Arial" w:cs="Arial" w:eastAsia="Arial" w:hAnsi="Arial"/>
          <w:sz w:val="16"/>
          <w:szCs w:val="16"/>
          <w:color w:val="auto"/>
        </w:rPr>
        <w:t xml:space="preserve">We will complete our initial business combination only if the post-transaction company in which our public shareholders own shares will own or acquire 50% or more of the outstanding voting securities of the target or is otherwise not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post-business combination company, depending on valuations ascribed to the target and us in the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of net assets test,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369"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held in the trust account will be used to purchase public shares or warrants in such transactions. If they engage in such transactions, they will not make any such purchases when they are in possession of any material nonpublic information not disclosed to the seller or if such purchases are prohibited by Regulation M under the Securities Exchange Act of 1934, as amended, or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w:t>
      </w:r>
    </w:p>
    <w:p>
      <w:pPr>
        <w:spacing w:after="0" w:line="200" w:lineRule="exact"/>
        <w:rPr>
          <w:sz w:val="20"/>
          <w:szCs w:val="20"/>
          <w:color w:val="auto"/>
        </w:rPr>
      </w:pPr>
    </w:p>
    <w:p>
      <w:pPr>
        <w:sectPr>
          <w:pgSz w:w="11900" w:h="16838" w:orient="portrait"/>
          <w:cols w:equalWidth="0" w:num="2">
            <w:col w:w="3480" w:space="240"/>
            <w:col w:w="5299"/>
          </w:cols>
          <w:pgMar w:left="1440" w:top="652" w:right="1440" w:bottom="1128"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52" w:right="1440" w:bottom="1128"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720" w:hanging="179"/>
        <w:spacing w:after="0" w:line="263" w:lineRule="auto"/>
        <w:rPr>
          <w:sz w:val="20"/>
          <w:szCs w:val="20"/>
          <w:color w:val="auto"/>
        </w:rPr>
      </w:pPr>
      <w:r>
        <w:rPr>
          <w:rFonts w:ascii="Arial" w:cs="Arial" w:eastAsia="Arial" w:hAnsi="Arial"/>
          <w:sz w:val="18"/>
          <w:szCs w:val="18"/>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ind w:right="799"/>
        <w:spacing w:after="0" w:line="257" w:lineRule="auto"/>
        <w:rPr>
          <w:sz w:val="20"/>
          <w:szCs w:val="20"/>
          <w:color w:val="auto"/>
        </w:rPr>
      </w:pPr>
      <w:r>
        <w:rPr>
          <w:rFonts w:ascii="Arial" w:cs="Arial" w:eastAsia="Arial" w:hAnsi="Arial"/>
          <w:sz w:val="18"/>
          <w:szCs w:val="18"/>
          <w:color w:val="auto"/>
        </w:rPr>
        <w:t>See “Proposed Business — Permitted Purchases of Our Securities” for a description of how our sponsor, directors, executive officers, advisors or any of their affiliates will select which shareholders to purchase securities from in any private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-1028065</wp:posOffset>
            </wp:positionV>
            <wp:extent cx="5147310" cy="7665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7310" cy="7665720"/>
                    </a:xfrm>
                    <a:prstGeom prst="rect">
                      <a:avLst/>
                    </a:prstGeom>
                    <a:noFill/>
                  </pic:spPr>
                </pic:pic>
              </a:graphicData>
            </a:graphic>
          </wp:anchor>
        </w:drawing>
      </w:r>
    </w:p>
    <w:p>
      <w:pPr>
        <w:spacing w:after="0" w:line="87" w:lineRule="exact"/>
        <w:rPr>
          <w:sz w:val="20"/>
          <w:szCs w:val="20"/>
          <w:color w:val="auto"/>
        </w:rPr>
      </w:pPr>
    </w:p>
    <w:p>
      <w:pPr>
        <w:ind w:right="639"/>
        <w:spacing w:after="0" w:line="267" w:lineRule="auto"/>
        <w:rPr>
          <w:sz w:val="20"/>
          <w:szCs w:val="20"/>
          <w:color w:val="auto"/>
        </w:rPr>
      </w:pPr>
      <w:r>
        <w:rPr>
          <w:rFonts w:ascii="Arial" w:cs="Arial" w:eastAsia="Arial" w:hAnsi="Arial"/>
          <w:sz w:val="17"/>
          <w:szCs w:val="17"/>
          <w:color w:val="auto"/>
        </w:rPr>
        <w:t>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pacing w:after="0" w:line="392"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approximately $10.00 per public share. The per share amount we will distribute to investors who properly redeem their shares will not be reduced by the deferred underwriting commissions we will pay to the underwriter. The redemption rights will include the requirement that a beneficial holder must identify itself in order to validly redeem its shares. There will be no redemption rights upon the completion of our initial business combination with respect to our warrants. Our sponsor and each member of our management team have entered into agreements with us, pursuant to which they have agreed to waive their redemption rights with respect to any founder shares and any public shares in connection with the completion of our initial business combination.</w:t>
      </w:r>
    </w:p>
    <w:p>
      <w:pPr>
        <w:spacing w:after="0" w:line="200" w:lineRule="exact"/>
        <w:rPr>
          <w:sz w:val="20"/>
          <w:szCs w:val="20"/>
          <w:color w:val="auto"/>
        </w:rPr>
      </w:pPr>
    </w:p>
    <w:p>
      <w:pPr>
        <w:sectPr>
          <w:pgSz w:w="11900" w:h="16838" w:orient="portrait"/>
          <w:cols w:equalWidth="0" w:num="2">
            <w:col w:w="3580" w:space="140"/>
            <w:col w:w="5299"/>
          </w:cols>
          <w:pgMar w:left="1440" w:top="652" w:right="1440"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23" w:name="page24"/>
    <w:bookmarkEnd w:id="23"/>
    <w:tbl>
      <w:tblPr>
        <w:tblLayout w:type="fixed"/>
        <w:tblInd w:w="470" w:type="dxa"/>
        <w:tblCellMar>
          <w:top w:w="0" w:type="dxa"/>
          <w:left w:w="0" w:type="dxa"/>
          <w:bottom w:w="0" w:type="dxa"/>
          <w:right w:w="0" w:type="dxa"/>
        </w:tblCellMar>
      </w:tblPr>
      <w:tr>
        <w:trPr>
          <w:trHeight w:val="580"/>
        </w:trPr>
        <w:tc>
          <w:tcPr>
            <w:tcW w:w="294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Limitations on redemptions</w:t>
            </w:r>
          </w:p>
        </w:tc>
        <w:tc>
          <w:tcPr>
            <w:tcW w:w="5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Our amended and restated memorandum and articles of</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association will provide that in no event will we redeem our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public shares in an amount that would cause our net tangible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89"/>
              </w:rPr>
              <w:t>assets to be less than $5,000,001 (so that we are not subject to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SEC’s “penny stock” rules). However, a greater net tangible asset</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or cash requirement may be contained in the agreement relating</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to our initial business combination. For example, the proposed</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business combination may require: (i) cash consideration to be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paid to the target or its owners, (ii) cash to be transferred to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target for working capital or other general corporate purposes or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(iii) the retention of cash to satisfy other conditions in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accordance with the terms of the proposed business combination.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Furthermore, although we will not redeem shares in an amount</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that would cause our net tangible assets to fall below $5,000,001,</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we do not have a maximum redemption threshold based on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percentage of shares sold in this offering, as many blank check</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companies do. In the event the aggregate cash consideration we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would be required to pay for all Class A ordinary shares that are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validly submitted for redemption plus any amount required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satisfy cash conditions pursuant to the terms of the proposed</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business combination exceed the aggregate amount of cash</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available to us, we will not complete the business combination or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redeem any shares, and all Class A ordinary shares submitted for</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redemption will be returned to the holders thereof.</w:t>
            </w:r>
          </w:p>
        </w:tc>
      </w:tr>
      <w:tr>
        <w:trPr>
          <w:trHeight w:val="391"/>
        </w:trPr>
        <w:tc>
          <w:tcPr>
            <w:tcW w:w="29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Manner of conducting redemptions</w:t>
            </w: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We will provide our public shareholders with the opportunity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redeem all or a portion of their public shares upon the completion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of our initial business combination either (i) in connection with a</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shareholder meeting called to approve the business combination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or (ii) by means of a tender offer. The decision as to whether we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will seek shareholder approval of a proposed business</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combination or conduct a tender offer will be made by us, solely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in our discretion, and will be based on a variety of factors such as</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the timing of the transaction and whether the terms of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transaction would require us to seek shareholder approval under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applicable law or stock exchange listing requirement. Asset</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acquisitions and share purchases would not typically require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shareholder approval, while direct mergers with our company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where we do not survive and any transactions where we issue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more than 20% of our outstanding ordinary shares or seek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amend our amended and restated memorandum and articles of</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association would require shareholder approval. We currently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intend to conduct redemptions in connection with a shareholder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vote unless shareholder approval is not required by applicable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law or stock exchange listing requirement and we choose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conduct redemptions pursuant to the tender offer rules of the</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SEC for business or other legal reasons.</w:t>
            </w:r>
          </w:p>
        </w:tc>
      </w:tr>
      <w:tr>
        <w:trPr>
          <w:trHeight w:val="337"/>
        </w:trPr>
        <w:tc>
          <w:tcPr>
            <w:tcW w:w="2940" w:type="dxa"/>
            <w:vAlign w:val="bottom"/>
            <w:tcBorders>
              <w:left w:val="single" w:sz="8" w:color="auto"/>
            </w:tcBorders>
          </w:tcPr>
          <w:p>
            <w:pPr>
              <w:spacing w:after="0"/>
              <w:rPr>
                <w:sz w:val="24"/>
                <w:szCs w:val="24"/>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If we hold a shareholder vote to approve our initial business</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combination, we will:</w:t>
            </w:r>
          </w:p>
        </w:tc>
      </w:tr>
      <w:tr>
        <w:trPr>
          <w:trHeight w:val="350"/>
        </w:trPr>
        <w:tc>
          <w:tcPr>
            <w:tcW w:w="2940" w:type="dxa"/>
            <w:vAlign w:val="bottom"/>
            <w:tcBorders>
              <w:left w:val="single" w:sz="8" w:color="auto"/>
            </w:tcBorders>
          </w:tcPr>
          <w:p>
            <w:pPr>
              <w:spacing w:after="0"/>
              <w:rPr>
                <w:sz w:val="24"/>
                <w:szCs w:val="24"/>
                <w:color w:val="auto"/>
              </w:rPr>
            </w:pPr>
          </w:p>
        </w:tc>
        <w:tc>
          <w:tcPr>
            <w:tcW w:w="5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  conduct the redemptions in conjunction with a proxy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8"/>
              </w:rPr>
              <w:t>solicitation pursuant to Regulation 14A of the Exchange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Act, which regulates the solicitation of proxies, and not</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pursuant to the tender offer rules; and</w:t>
            </w:r>
          </w:p>
        </w:tc>
      </w:tr>
      <w:tr>
        <w:trPr>
          <w:trHeight w:val="364"/>
        </w:trPr>
        <w:tc>
          <w:tcPr>
            <w:tcW w:w="2940" w:type="dxa"/>
            <w:vAlign w:val="bottom"/>
            <w:tcBorders>
              <w:left w:val="single" w:sz="8" w:color="auto"/>
            </w:tcBorders>
          </w:tcPr>
          <w:p>
            <w:pPr>
              <w:spacing w:after="0"/>
              <w:rPr>
                <w:sz w:val="24"/>
                <w:szCs w:val="24"/>
                <w:color w:val="auto"/>
              </w:rPr>
            </w:pPr>
          </w:p>
        </w:tc>
        <w:tc>
          <w:tcPr>
            <w:tcW w:w="5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  file proxy materials with the SEC.</w:t>
            </w:r>
          </w:p>
        </w:tc>
      </w:tr>
      <w:tr>
        <w:trPr>
          <w:trHeight w:val="402"/>
        </w:trPr>
        <w:tc>
          <w:tcPr>
            <w:tcW w:w="2940" w:type="dxa"/>
            <w:vAlign w:val="bottom"/>
            <w:tcBorders>
              <w:left w:val="single" w:sz="8" w:color="auto"/>
              <w:bottom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r>
      <w:tr>
        <w:trPr>
          <w:trHeight w:val="388"/>
        </w:trPr>
        <w:tc>
          <w:tcPr>
            <w:tcW w:w="29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9019"/>
          </w:cols>
          <w:pgMar w:left="1440" w:top="120" w:right="1440" w:bottom="1440" w:gutter="0" w:footer="0" w:header="0"/>
        </w:sectPr>
      </w:pPr>
    </w:p>
    <w:bookmarkStart w:id="24" w:name="page25"/>
    <w:bookmarkEnd w:id="24"/>
    <w:p>
      <w:pPr>
        <w:ind w:left="3720" w:right="599"/>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914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7310" cy="7914640"/>
                    </a:xfrm>
                    <a:prstGeom prst="rect">
                      <a:avLst/>
                    </a:prstGeom>
                    <a:noFill/>
                  </pic:spPr>
                </pic:pic>
              </a:graphicData>
            </a:graphic>
          </wp:anchor>
        </w:drawing>
        <w:t>If we seek shareholder approval, we will complete our initial business combination only if a majority of the ordinary shares, represented in person or by proxy and entitled to vote thereon, voted at a shareholder meeting vote in favor of the business combination. In such case, our sponsor and each member of our management team have agreed to vote their founder shares and any public shares purchased during or after this offering in favor of our initial business combination. 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Each public shareholder may elect to redeem their public shares irrespective of whether they vote for or against the proposed transaction or vote at all. Our amended and restated memorandum and articles of association will require that at least five days’ notice will be given of any such shareholder meeting.</w:t>
      </w:r>
    </w:p>
    <w:p>
      <w:pPr>
        <w:spacing w:after="0" w:line="99" w:lineRule="exact"/>
        <w:rPr>
          <w:sz w:val="20"/>
          <w:szCs w:val="20"/>
          <w:color w:val="auto"/>
        </w:rPr>
      </w:pPr>
    </w:p>
    <w:p>
      <w:pPr>
        <w:ind w:left="3720" w:right="779"/>
        <w:spacing w:after="0" w:line="263"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116" w:lineRule="exact"/>
        <w:rPr>
          <w:sz w:val="20"/>
          <w:szCs w:val="20"/>
          <w:color w:val="auto"/>
        </w:rPr>
      </w:pPr>
    </w:p>
    <w:p>
      <w:pPr>
        <w:ind w:left="4160" w:right="599" w:hanging="214"/>
        <w:spacing w:after="0" w:line="263" w:lineRule="auto"/>
        <w:tabs>
          <w:tab w:leader="none" w:pos="4142"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16" w:lineRule="exact"/>
        <w:rPr>
          <w:rFonts w:ascii="Arial" w:cs="Arial" w:eastAsia="Arial" w:hAnsi="Arial"/>
          <w:sz w:val="18"/>
          <w:szCs w:val="18"/>
          <w:color w:val="auto"/>
        </w:rPr>
      </w:pPr>
    </w:p>
    <w:p>
      <w:pPr>
        <w:ind w:left="4160" w:right="579" w:hanging="214"/>
        <w:spacing w:after="0" w:line="293" w:lineRule="auto"/>
        <w:tabs>
          <w:tab w:leader="none" w:pos="41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83" w:lineRule="exact"/>
        <w:rPr>
          <w:sz w:val="20"/>
          <w:szCs w:val="20"/>
          <w:color w:val="auto"/>
        </w:rPr>
      </w:pPr>
    </w:p>
    <w:p>
      <w:pPr>
        <w:ind w:left="3720" w:right="699"/>
        <w:spacing w:after="0" w:line="273" w:lineRule="auto"/>
        <w:rPr>
          <w:sz w:val="20"/>
          <w:szCs w:val="20"/>
          <w:color w:val="auto"/>
        </w:rPr>
      </w:pPr>
      <w:r>
        <w:rPr>
          <w:rFonts w:ascii="Arial" w:cs="Arial" w:eastAsia="Arial" w:hAnsi="Arial"/>
          <w:sz w:val="17"/>
          <w:szCs w:val="17"/>
          <w:color w:val="auto"/>
        </w:rPr>
        <w:t>Upon the public announcement of our initial business combination, if we elect to conduct redemptions pursuant to the tender offer rules, we or our sponsor will terminate any plan established in accordance with Rule 10b5-1 to purchase our Class A ordinary shares in the open market, in order to comply with Rule 14e-5 under the Exchange Act.</w:t>
      </w:r>
    </w:p>
    <w:p>
      <w:pPr>
        <w:spacing w:after="0" w:line="110" w:lineRule="exact"/>
        <w:rPr>
          <w:sz w:val="20"/>
          <w:szCs w:val="20"/>
          <w:color w:val="auto"/>
        </w:rPr>
      </w:pPr>
    </w:p>
    <w:p>
      <w:pPr>
        <w:ind w:left="3720" w:right="559"/>
        <w:spacing w:after="0" w:line="269"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25" w:name="page26"/>
    <w:bookmarkEnd w:id="25"/>
    <w:p>
      <w:pPr>
        <w:ind w:left="720" w:right="20" w:hanging="179"/>
        <w:spacing w:after="0" w:line="259" w:lineRule="auto"/>
        <w:rPr>
          <w:sz w:val="20"/>
          <w:szCs w:val="20"/>
          <w:color w:val="auto"/>
        </w:rPr>
      </w:pPr>
      <w:r>
        <w:rPr>
          <w:rFonts w:ascii="Arial" w:cs="Arial" w:eastAsia="Arial" w:hAnsi="Arial"/>
          <w:sz w:val="18"/>
          <w:szCs w:val="18"/>
          <w:color w:val="auto"/>
        </w:rPr>
        <w:t>Limitation on redemption rights of shareholders holding more than 15% of the shares sold in this offering if we hold shareholder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20" w:hanging="179"/>
        <w:spacing w:after="0" w:line="342" w:lineRule="auto"/>
        <w:rPr>
          <w:sz w:val="20"/>
          <w:szCs w:val="20"/>
          <w:color w:val="auto"/>
        </w:rPr>
      </w:pPr>
      <w:r>
        <w:rPr>
          <w:rFonts w:ascii="Arial" w:cs="Arial" w:eastAsia="Arial" w:hAnsi="Arial"/>
          <w:sz w:val="16"/>
          <w:szCs w:val="16"/>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59"/>
        <w:spacing w:after="0" w:line="283"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-5050155</wp:posOffset>
            </wp:positionV>
            <wp:extent cx="5147310" cy="85832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7310" cy="858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599"/>
        <w:spacing w:after="0" w:line="284" w:lineRule="auto"/>
        <w:rPr>
          <w:sz w:val="20"/>
          <w:szCs w:val="20"/>
          <w:color w:val="auto"/>
        </w:rPr>
      </w:pPr>
      <w:r>
        <w:rPr>
          <w:rFonts w:ascii="Arial" w:cs="Arial" w:eastAsia="Arial" w:hAnsi="Arial"/>
          <w:sz w:val="16"/>
          <w:szCs w:val="16"/>
          <w:color w:val="auto"/>
        </w:rPr>
        <w:t>On the completion of our initial business combination, the funds held in the trust account will be disbursed directly by the trustee to pay amounts due to any public shareholders who exercise their redemption rights as described above adjacent to the caption “Redemption rights for public shareholders upon completion of our initial business combination,” to pay the underwriter its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3680" w:space="100"/>
            <w:col w:w="5239"/>
          </w:cols>
          <w:pgMar w:left="1440" w:top="503" w:right="1440"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26" w:name="page27"/>
    <w:bookmarkEnd w:id="26"/>
    <w:p>
      <w:pPr>
        <w:ind w:left="720" w:hanging="179"/>
        <w:spacing w:after="0" w:line="263" w:lineRule="auto"/>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Our amended and restated memorandum and articles of association will provide that we will have only 24 months from the closing of this offering to consummate our initial business combination. If we have not consummated an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consummate an initial business combination within 24 months from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-4193540</wp:posOffset>
            </wp:positionV>
            <wp:extent cx="5147310" cy="92430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7310" cy="9243060"/>
                    </a:xfrm>
                    <a:prstGeom prst="rect">
                      <a:avLst/>
                    </a:prstGeom>
                    <a:noFill/>
                  </pic:spPr>
                </pic:pic>
              </a:graphicData>
            </a:graphic>
          </wp:anchor>
        </w:drawing>
      </w:r>
    </w:p>
    <w:p>
      <w:pPr>
        <w:spacing w:after="0" w:line="70" w:lineRule="exact"/>
        <w:rPr>
          <w:sz w:val="20"/>
          <w:szCs w:val="20"/>
          <w:color w:val="auto"/>
        </w:rPr>
      </w:pPr>
    </w:p>
    <w:p>
      <w:pPr>
        <w:ind w:right="579"/>
        <w:spacing w:after="0" w:line="269" w:lineRule="auto"/>
        <w:rPr>
          <w:sz w:val="20"/>
          <w:szCs w:val="20"/>
          <w:color w:val="auto"/>
        </w:rPr>
      </w:pPr>
      <w:r>
        <w:rPr>
          <w:rFonts w:ascii="Arial" w:cs="Arial" w:eastAsia="Arial" w:hAnsi="Arial"/>
          <w:sz w:val="17"/>
          <w:szCs w:val="17"/>
          <w:color w:val="auto"/>
        </w:rPr>
        <w:t>Our sponsor, directors and members of our management team have entered into agreements with us, pursuant to which they have waived their rights to liquidating distributions from the trust account with respect to their founder shares if we fail to consummate an initial business combination within 24 months from the closing of this offering. However, if our sponsor, directors or members of our management team acquire public shares in or after this offering, they will be entitled to liquidating distributions from the trust account with respect to such public shares if we fail to consummate an initial business combination within 24 months from the closing of this offering.</w:t>
      </w:r>
    </w:p>
    <w:p>
      <w:pPr>
        <w:spacing w:after="0" w:line="114" w:lineRule="exact"/>
        <w:rPr>
          <w:sz w:val="20"/>
          <w:szCs w:val="20"/>
          <w:color w:val="auto"/>
        </w:rPr>
      </w:pPr>
    </w:p>
    <w:p>
      <w:pPr>
        <w:ind w:right="579"/>
        <w:spacing w:after="0" w:line="293" w:lineRule="auto"/>
        <w:rPr>
          <w:sz w:val="20"/>
          <w:szCs w:val="20"/>
          <w:color w:val="auto"/>
        </w:rPr>
      </w:pPr>
      <w:r>
        <w:rPr>
          <w:rFonts w:ascii="Arial" w:cs="Arial" w:eastAsia="Arial" w:hAnsi="Arial"/>
          <w:sz w:val="16"/>
          <w:szCs w:val="16"/>
          <w:color w:val="auto"/>
        </w:rPr>
        <w:t>The underwriter has agreed to waive their rights to their deferred underwriting commission held in the trust account in the event we do not consummate an initial business combination within 24 months from the closing of this offering and, in such event, such amounts will be included with the funds held in the trust account that will be available to fund the redemption of our public shares.</w:t>
      </w:r>
    </w:p>
    <w:p>
      <w:pPr>
        <w:spacing w:after="0" w:line="97" w:lineRule="exact"/>
        <w:rPr>
          <w:sz w:val="20"/>
          <w:szCs w:val="20"/>
          <w:color w:val="auto"/>
        </w:rPr>
      </w:pPr>
    </w:p>
    <w:p>
      <w:pPr>
        <w:ind w:right="639"/>
        <w:spacing w:after="0" w:line="285" w:lineRule="auto"/>
        <w:rPr>
          <w:sz w:val="20"/>
          <w:szCs w:val="20"/>
          <w:color w:val="auto"/>
        </w:rPr>
      </w:pPr>
      <w:r>
        <w:rPr>
          <w:rFonts w:ascii="Arial" w:cs="Arial" w:eastAsia="Arial" w:hAnsi="Arial"/>
          <w:sz w:val="16"/>
          <w:szCs w:val="16"/>
          <w:color w:val="auto"/>
        </w:rPr>
        <w:t>Our sponsor, executive officers, directors and director nominees have agreed, pursuant to a written agreement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w:t>
      </w:r>
    </w:p>
    <w:p>
      <w:pPr>
        <w:spacing w:after="0" w:line="200" w:lineRule="exact"/>
        <w:rPr>
          <w:sz w:val="20"/>
          <w:szCs w:val="20"/>
          <w:color w:val="auto"/>
        </w:rPr>
      </w:pPr>
    </w:p>
    <w:p>
      <w:pPr>
        <w:sectPr>
          <w:pgSz w:w="11900" w:h="16838" w:orient="portrait"/>
          <w:cols w:equalWidth="0" w:num="2">
            <w:col w:w="3520" w:space="200"/>
            <w:col w:w="5299"/>
          </w:cols>
          <w:pgMar w:left="1440" w:top="652"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27" w:name="page28"/>
    <w:bookmarkEnd w:id="27"/>
    <w:p>
      <w:pPr>
        <w:ind w:left="3720" w:right="639"/>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832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7310" cy="8583295"/>
                    </a:xfrm>
                    <a:prstGeom prst="rect">
                      <a:avLst/>
                    </a:prstGeom>
                    <a:noFill/>
                  </pic:spPr>
                </pic:pic>
              </a:graphicData>
            </a:graphic>
          </wp:anchor>
        </w:drawing>
        <w:t>by the number of the then-outstanding public shares, subject to the limitations described above adjacent to the caption “Limitations on redemptions.” For example, our board of directors may propose such an amendment if it determines that additional time is necessary to complete our initial business combination. In such event, we will conduct a proxy solicitation and distribute proxy materials pursuant to Regulation 14A of the Exchange Act seeking shareholder approval of such proposal and, in connection therewith, provide our public shareholders with the redemption rights described above upon shareholder approval of such amendment. This redemption right shall apply in the event of the approval of any such amendment, whether proposed by our sponsor, any executive officer, director or director nominee, or any other person.</w:t>
      </w:r>
    </w:p>
    <w:p>
      <w:pPr>
        <w:spacing w:after="0" w:line="103" w:lineRule="exact"/>
        <w:rPr>
          <w:sz w:val="20"/>
          <w:szCs w:val="20"/>
          <w:color w:val="auto"/>
        </w:rPr>
      </w:pPr>
    </w:p>
    <w:p>
      <w:pPr>
        <w:ind w:left="3720" w:right="579"/>
        <w:spacing w:after="0" w:line="254" w:lineRule="auto"/>
        <w:rPr>
          <w:sz w:val="20"/>
          <w:szCs w:val="20"/>
          <w:color w:val="auto"/>
        </w:rPr>
      </w:pPr>
      <w:r>
        <w:rPr>
          <w:rFonts w:ascii="Arial" w:cs="Arial" w:eastAsia="Arial" w:hAnsi="Arial"/>
          <w:sz w:val="18"/>
          <w:szCs w:val="18"/>
          <w:color w:val="auto"/>
        </w:rPr>
        <w:t>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68"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Limited payments to insiders</w:t>
      </w:r>
      <w:r>
        <w:rPr>
          <w:sz w:val="20"/>
          <w:szCs w:val="20"/>
          <w:color w:val="auto"/>
        </w:rPr>
        <w:tab/>
      </w:r>
      <w:r>
        <w:rPr>
          <w:rFonts w:ascii="Arial" w:cs="Arial" w:eastAsia="Arial" w:hAnsi="Arial"/>
          <w:sz w:val="16"/>
          <w:szCs w:val="16"/>
          <w:color w:val="auto"/>
        </w:rPr>
        <w:t>There will be no finder’s fees, reimbursements or cash payments</w:t>
      </w:r>
    </w:p>
    <w:p>
      <w:pPr>
        <w:spacing w:after="0" w:line="23" w:lineRule="exact"/>
        <w:rPr>
          <w:sz w:val="20"/>
          <w:szCs w:val="20"/>
          <w:color w:val="auto"/>
        </w:rPr>
      </w:pPr>
    </w:p>
    <w:p>
      <w:pPr>
        <w:ind w:left="3720" w:right="599"/>
        <w:spacing w:after="0" w:line="252" w:lineRule="auto"/>
        <w:rPr>
          <w:sz w:val="20"/>
          <w:szCs w:val="20"/>
          <w:color w:val="auto"/>
        </w:rPr>
      </w:pPr>
      <w:r>
        <w:rPr>
          <w:rFonts w:ascii="Arial" w:cs="Arial" w:eastAsia="Arial" w:hAnsi="Arial"/>
          <w:sz w:val="18"/>
          <w:szCs w:val="18"/>
          <w:color w:val="auto"/>
        </w:rPr>
        <w:t>made by the company to our sponsor, officers or directors, or our or their affiliates, for services rendered to us prior to or in connection with the completion of our initial business combination, other than the following payments, none of which will be made from the proceeds of this offering held in the trust account prior to the completion of our initial business combination:</w:t>
      </w:r>
    </w:p>
    <w:p>
      <w:pPr>
        <w:spacing w:after="0" w:line="11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  repayment of up to an aggregate of $300,000 in loans made</w:t>
      </w:r>
    </w:p>
    <w:p>
      <w:pPr>
        <w:spacing w:after="0" w:line="4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to us by our sponsor to cover offering-related and</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organizational expenses;</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reimbursement for office space, secretarial and</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administrative services provided to us by an affiliate of our</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sponsor, in the amount of $10,000 per month;</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  reimbursement for any out-of-pocket expenses related to</w:t>
      </w:r>
    </w:p>
    <w:p>
      <w:pPr>
        <w:spacing w:after="0" w:line="35"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identifying, investigating, negotiating and completing an</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initial business combination; and</w:t>
      </w:r>
    </w:p>
    <w:p>
      <w:pPr>
        <w:spacing w:after="0" w:line="130"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  repayment of loans which may be made by our sponsor or</w:t>
      </w:r>
    </w:p>
    <w:p>
      <w:pPr>
        <w:spacing w:after="0" w:line="46"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an affiliate of our sponsor or certain of our officers and</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directors to finance transaction costs in connection with an</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intended initial business combination. Up to $1,500,000 of</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such loans may be convertible into warrants of the post</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business combination entity at a price of $1.00 per warrant</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at the option of the lender. The warrants would be identical</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to the private placement warrants. Except for the</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foregoing, the terms of such loans, if any, have not been</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determined and no written agreements exist with respect to</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such loans.</w:t>
      </w:r>
    </w:p>
    <w:p>
      <w:pPr>
        <w:spacing w:after="0" w:line="143" w:lineRule="exact"/>
        <w:rPr>
          <w:sz w:val="20"/>
          <w:szCs w:val="20"/>
          <w:color w:val="auto"/>
        </w:rPr>
      </w:pPr>
    </w:p>
    <w:p>
      <w:pPr>
        <w:ind w:left="3720" w:right="579"/>
        <w:spacing w:after="0" w:line="257" w:lineRule="auto"/>
        <w:rPr>
          <w:sz w:val="20"/>
          <w:szCs w:val="20"/>
          <w:color w:val="auto"/>
        </w:rPr>
      </w:pPr>
      <w:r>
        <w:rPr>
          <w:rFonts w:ascii="Arial" w:cs="Arial" w:eastAsia="Arial" w:hAnsi="Arial"/>
          <w:sz w:val="18"/>
          <w:szCs w:val="18"/>
          <w:color w:val="auto"/>
        </w:rPr>
        <w:t>Any such payments will be made either (i) prior to our initial business combination using proceeds of this offering held outside the trust account or from loans made to us by our sponsor or (ii) in connection with or after the consummation of our initial business combination.</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28" w:name="page29"/>
    <w:bookmarkEnd w:id="28"/>
    <w:tbl>
      <w:tblPr>
        <w:tblLayout w:type="fixed"/>
        <w:tblInd w:w="470" w:type="dxa"/>
        <w:tblCellMar>
          <w:top w:w="0" w:type="dxa"/>
          <w:left w:w="0" w:type="dxa"/>
          <w:bottom w:w="0" w:type="dxa"/>
          <w:right w:w="0" w:type="dxa"/>
        </w:tblCellMar>
      </w:tblPr>
      <w:tr>
        <w:trPr>
          <w:trHeight w:val="728"/>
        </w:trPr>
        <w:tc>
          <w:tcPr>
            <w:tcW w:w="22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Audit committee</w:t>
            </w:r>
          </w:p>
        </w:tc>
        <w:tc>
          <w:tcPr>
            <w:tcW w:w="582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color w:val="auto"/>
                <w:w w:val="94"/>
              </w:rPr>
              <w:t>We will establish and maintain an audit committee, which will be</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composed entirely of independent directors. Among its</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8"/>
              </w:rPr>
              <w:t>responsibilities, the audit committee will review on a quarterly</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8"/>
              </w:rPr>
              <w:t>basis all payments that were made to our sponsor, officers or</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directors, or our or their affiliates and monitor compliance with</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the other terms relating to this offering. If any noncompliance is</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identified, then the audit committee will be charged with the</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responsibility to promptly take all action necessary to rectify</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such noncompliance or otherwise to cause compliance with the</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terms of this offering. For more information, see the section</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6"/>
              </w:rPr>
              <w:t>entitled “Management — Committees of the Board of Directors</w:t>
            </w:r>
          </w:p>
        </w:tc>
      </w:tr>
      <w:tr>
        <w:trPr>
          <w:trHeight w:val="230"/>
        </w:trPr>
        <w:tc>
          <w:tcPr>
            <w:tcW w:w="2280" w:type="dxa"/>
            <w:vAlign w:val="bottom"/>
            <w:tcBorders>
              <w:left w:val="single" w:sz="8" w:color="auto"/>
            </w:tcBorders>
          </w:tcPr>
          <w:p>
            <w:pPr>
              <w:spacing w:after="0"/>
              <w:rPr>
                <w:sz w:val="20"/>
                <w:szCs w:val="20"/>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 Audit Committee.”</w:t>
            </w:r>
          </w:p>
        </w:tc>
      </w:tr>
      <w:tr>
        <w:trPr>
          <w:trHeight w:val="402"/>
        </w:trPr>
        <w:tc>
          <w:tcPr>
            <w:tcW w:w="2280" w:type="dxa"/>
            <w:vAlign w:val="bottom"/>
            <w:tcBorders>
              <w:left w:val="single" w:sz="8" w:color="auto"/>
              <w:bottom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spacing w:after="0"/>
              <w:rPr>
                <w:sz w:val="24"/>
                <w:szCs w:val="24"/>
                <w:color w:val="auto"/>
              </w:rPr>
            </w:pPr>
          </w:p>
        </w:tc>
      </w:tr>
      <w:tr>
        <w:trPr>
          <w:trHeight w:val="388"/>
        </w:trPr>
        <w:tc>
          <w:tcPr>
            <w:tcW w:w="22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9019"/>
          </w:cols>
          <w:pgMar w:left="1440" w:top="120" w:right="1440"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19907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7310" cy="1990725"/>
                    </a:xfrm>
                    <a:prstGeom prst="rect">
                      <a:avLst/>
                    </a:prstGeom>
                    <a:noFill/>
                  </pic:spPr>
                </pic:pic>
              </a:graphicData>
            </a:graphic>
          </wp:anchor>
        </w:drawing>
        <w:t>Risks</w:t>
      </w:r>
    </w:p>
    <w:p>
      <w:pPr>
        <w:spacing w:after="0" w:line="148" w:lineRule="exact"/>
        <w:rPr>
          <w:sz w:val="20"/>
          <w:szCs w:val="20"/>
          <w:color w:val="auto"/>
        </w:rPr>
      </w:pPr>
    </w:p>
    <w:p>
      <w:pPr>
        <w:ind w:left="540" w:right="579" w:firstLine="432"/>
        <w:spacing w:after="0" w:line="269" w:lineRule="auto"/>
        <w:rPr>
          <w:sz w:val="20"/>
          <w:szCs w:val="20"/>
          <w:color w:val="auto"/>
        </w:rPr>
      </w:pPr>
      <w:r>
        <w:rPr>
          <w:rFonts w:ascii="Arial" w:cs="Arial" w:eastAsia="Arial" w:hAnsi="Arial"/>
          <w:sz w:val="17"/>
          <w:szCs w:val="17"/>
          <w:color w:val="auto"/>
        </w:rPr>
        <w:t>We are a newly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of This Offering to Those of Blank Check Companies Subject to Rule 419.” You should carefully consider these and the other risks set forth in the section entitled “Risk Factors” of this prospectus.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6339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7310" cy="2633980"/>
                    </a:xfrm>
                    <a:prstGeom prst="rect">
                      <a:avLst/>
                    </a:prstGeom>
                    <a:noFill/>
                  </pic:spPr>
                </pic:pic>
              </a:graphicData>
            </a:graphic>
          </wp:anchor>
        </w:drawing>
        <w:t>SUMMARY FINANCIAL DATA</w:t>
      </w:r>
    </w:p>
    <w:p>
      <w:pPr>
        <w:spacing w:after="0" w:line="148" w:lineRule="exact"/>
        <w:rPr>
          <w:sz w:val="20"/>
          <w:szCs w:val="20"/>
          <w:color w:val="auto"/>
        </w:rPr>
      </w:pPr>
    </w:p>
    <w:p>
      <w:pPr>
        <w:ind w:left="540" w:right="559" w:firstLine="432"/>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320" w:type="dxa"/>
            <w:vAlign w:val="bottom"/>
            <w:gridSpan w:val="3"/>
          </w:tcPr>
          <w:p>
            <w:pPr>
              <w:ind w:left="120"/>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46"/>
        </w:trPr>
        <w:tc>
          <w:tcPr>
            <w:tcW w:w="678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80" w:type="dxa"/>
            <w:vAlign w:val="bottom"/>
          </w:tcPr>
          <w:p>
            <w:pPr>
              <w:spacing w:after="0"/>
              <w:rPr>
                <w:sz w:val="22"/>
                <w:szCs w:val="22"/>
                <w:color w:val="auto"/>
              </w:rPr>
            </w:pPr>
          </w:p>
        </w:tc>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780" w:type="dxa"/>
            <w:vAlign w:val="bottom"/>
            <w:gridSpan w:val="2"/>
          </w:tcPr>
          <w:p>
            <w:pPr>
              <w:ind w:left="80"/>
              <w:spacing w:after="0"/>
              <w:rPr>
                <w:sz w:val="20"/>
                <w:szCs w:val="20"/>
                <w:color w:val="auto"/>
              </w:rPr>
            </w:pPr>
            <w:r>
              <w:rPr>
                <w:rFonts w:ascii="Arial" w:cs="Arial" w:eastAsia="Arial" w:hAnsi="Arial"/>
                <w:sz w:val="18"/>
                <w:szCs w:val="18"/>
                <w:color w:val="auto"/>
              </w:rPr>
              <w:t>Working capital (deficiency)</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(87,699)</w:t>
            </w:r>
          </w:p>
        </w:tc>
        <w:tc>
          <w:tcPr>
            <w:tcW w:w="100" w:type="dxa"/>
            <w:vAlign w:val="bottom"/>
          </w:tcPr>
          <w:p>
            <w:pPr>
              <w:spacing w:after="0"/>
              <w:rPr>
                <w:sz w:val="21"/>
                <w:szCs w:val="21"/>
                <w:color w:val="auto"/>
              </w:rPr>
            </w:pPr>
          </w:p>
        </w:tc>
      </w:tr>
      <w:tr>
        <w:trPr>
          <w:trHeight w:val="41"/>
        </w:trPr>
        <w:tc>
          <w:tcPr>
            <w:tcW w:w="67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119,621</w:t>
            </w:r>
          </w:p>
        </w:tc>
        <w:tc>
          <w:tcPr>
            <w:tcW w:w="100" w:type="dxa"/>
            <w:vAlign w:val="bottom"/>
          </w:tcPr>
          <w:p>
            <w:pPr>
              <w:spacing w:after="0"/>
              <w:rPr>
                <w:sz w:val="22"/>
                <w:szCs w:val="22"/>
                <w:color w:val="auto"/>
              </w:rPr>
            </w:pPr>
          </w:p>
        </w:tc>
      </w:tr>
      <w:tr>
        <w:trPr>
          <w:trHeight w:val="243"/>
        </w:trPr>
        <w:tc>
          <w:tcPr>
            <w:tcW w:w="678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103,660</w:t>
            </w:r>
          </w:p>
        </w:tc>
        <w:tc>
          <w:tcPr>
            <w:tcW w:w="100" w:type="dxa"/>
            <w:vAlign w:val="bottom"/>
          </w:tcPr>
          <w:p>
            <w:pPr>
              <w:spacing w:after="0"/>
              <w:rPr>
                <w:sz w:val="21"/>
                <w:szCs w:val="21"/>
                <w:color w:val="auto"/>
              </w:rPr>
            </w:pPr>
          </w:p>
        </w:tc>
      </w:tr>
      <w:tr>
        <w:trPr>
          <w:trHeight w:val="40"/>
        </w:trPr>
        <w:tc>
          <w:tcPr>
            <w:tcW w:w="67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 of Class A ordinary shares subject to possible redemption</w:t>
            </w:r>
          </w:p>
        </w:tc>
        <w:tc>
          <w:tcPr>
            <w:tcW w:w="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43"/>
        </w:trPr>
        <w:tc>
          <w:tcPr>
            <w:tcW w:w="6780" w:type="dxa"/>
            <w:vAlign w:val="bottom"/>
            <w:gridSpan w:val="2"/>
          </w:tcPr>
          <w:p>
            <w:pPr>
              <w:ind w:left="8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15,961</w:t>
            </w:r>
          </w:p>
        </w:tc>
        <w:tc>
          <w:tcPr>
            <w:tcW w:w="100" w:type="dxa"/>
            <w:vAlign w:val="bottom"/>
          </w:tcPr>
          <w:p>
            <w:pPr>
              <w:spacing w:after="0"/>
              <w:rPr>
                <w:sz w:val="21"/>
                <w:szCs w:val="2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88"/>
        </w:trPr>
        <w:tc>
          <w:tcPr>
            <w:tcW w:w="6780" w:type="dxa"/>
            <w:vAlign w:val="bottom"/>
            <w:tcBorders>
              <w:bottom w:val="single" w:sz="8" w:color="auto"/>
            </w:tcBorders>
            <w:gridSpan w:val="2"/>
          </w:tcPr>
          <w:p>
            <w:pPr>
              <w:jc w:val="right"/>
              <w:ind w:right="2550"/>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4" w:lineRule="exact"/>
        <w:rPr>
          <w:sz w:val="20"/>
          <w:szCs w:val="20"/>
          <w:color w:val="auto"/>
        </w:rPr>
      </w:pPr>
    </w:p>
    <w:p>
      <w:pPr>
        <w:ind w:left="460" w:right="819"/>
        <w:spacing w:after="0" w:line="282" w:lineRule="auto"/>
        <w:rPr>
          <w:sz w:val="20"/>
          <w:szCs w:val="20"/>
          <w:color w:val="auto"/>
        </w:rPr>
      </w:pPr>
      <w:r>
        <w:rPr>
          <w:rFonts w:ascii="Arial" w:cs="Arial" w:eastAsia="Arial" w:hAnsi="Arial"/>
          <w:sz w:val="18"/>
          <w:szCs w:val="18"/>
          <w:b w:val="1"/>
          <w:bCs w:val="1"/>
          <w:color w:val="auto"/>
        </w:rPr>
        <w:t>We are a recently incorporated company with no operating history and no revenues, and you have no basis on which to evaluate our ability to achieve our business objective.</w:t>
      </w:r>
    </w:p>
    <w:p>
      <w:pPr>
        <w:spacing w:after="0" w:line="85"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We are a recently incorporated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73" w:lineRule="exact"/>
        <w:rPr>
          <w:sz w:val="20"/>
          <w:szCs w:val="20"/>
          <w:color w:val="auto"/>
        </w:rPr>
      </w:pPr>
    </w:p>
    <w:p>
      <w:pPr>
        <w:ind w:left="460" w:right="899"/>
        <w:spacing w:after="0" w:line="312" w:lineRule="auto"/>
        <w:rPr>
          <w:sz w:val="20"/>
          <w:szCs w:val="20"/>
          <w:color w:val="auto"/>
        </w:rPr>
      </w:pPr>
      <w:r>
        <w:rPr>
          <w:rFonts w:ascii="Arial" w:cs="Arial" w:eastAsia="Arial" w:hAnsi="Arial"/>
          <w:sz w:val="17"/>
          <w:szCs w:val="17"/>
          <w:b w:val="1"/>
          <w:bCs w:val="1"/>
          <w:color w:val="auto"/>
        </w:rPr>
        <w:t>Our independent registered public accounting firm’s report contains an explanatory paragraph that expresses substantial doubt about our ability to continue as a “going concern.”</w:t>
      </w:r>
    </w:p>
    <w:p>
      <w:pPr>
        <w:spacing w:after="0" w:line="76"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As of December 31, 2019, we had no cash and a working capital deficiency of approximately $88,000. Further, we have incurred and expect to continue to incur significant costs in pursuit of our financing and acquisition plans. Management’s plans to address this need for capital through this offering are discussed in the section of this prospectus entitled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92" w:lineRule="exact"/>
        <w:rPr>
          <w:sz w:val="20"/>
          <w:szCs w:val="20"/>
          <w:color w:val="auto"/>
        </w:rPr>
      </w:pPr>
    </w:p>
    <w:p>
      <w:pPr>
        <w:ind w:left="460" w:right="619"/>
        <w:spacing w:after="0" w:line="314" w:lineRule="auto"/>
        <w:rPr>
          <w:sz w:val="20"/>
          <w:szCs w:val="20"/>
          <w:color w:val="auto"/>
        </w:rPr>
      </w:pPr>
      <w:r>
        <w:rPr>
          <w:rFonts w:ascii="Arial" w:cs="Arial" w:eastAsia="Arial" w:hAnsi="Arial"/>
          <w:sz w:val="16"/>
          <w:szCs w:val="16"/>
          <w:b w:val="1"/>
          <w:bCs w:val="1"/>
          <w:color w:val="auto"/>
        </w:rPr>
        <w:t>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w:t>
      </w:r>
    </w:p>
    <w:p>
      <w:pPr>
        <w:spacing w:after="0" w:line="7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Information regarding performance is presented for informational purposes only. Any past experience and performance of our management team is not a guarantee either: (1) that we will be able to successfully identify a suitable candidate for our initial business combination; or (2) of any results with respect to any initial business combination we may consummate. You should not rely on the historical record of our management team’s performance as indicative of the future performance of an investment in us, including whether we can provide an attractive return to our shareholders, or as indicative of every prior investment by each of our founders and the members of our management team. The market price of our securities may be influenced by numerous factors, many of which are beyond our control, and our shareholders may experience losses on their investment in our securities.</w:t>
      </w:r>
    </w:p>
    <w:p>
      <w:pPr>
        <w:spacing w:after="0" w:line="177" w:lineRule="exact"/>
        <w:rPr>
          <w:sz w:val="20"/>
          <w:szCs w:val="20"/>
          <w:color w:val="auto"/>
        </w:rPr>
      </w:pPr>
    </w:p>
    <w:p>
      <w:pPr>
        <w:ind w:left="460" w:right="639"/>
        <w:spacing w:after="0" w:line="266" w:lineRule="auto"/>
        <w:rPr>
          <w:sz w:val="20"/>
          <w:szCs w:val="20"/>
          <w:color w:val="auto"/>
        </w:rPr>
      </w:pPr>
      <w:r>
        <w:rPr>
          <w:rFonts w:ascii="Arial" w:cs="Arial" w:eastAsia="Arial" w:hAnsi="Arial"/>
          <w:sz w:val="18"/>
          <w:szCs w:val="18"/>
          <w:b w:val="1"/>
          <w:b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99"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We may choose not to hold a shareholder vote before we complete our initial business combination if the business combination would not require shareholder approval under applicable law or stock exchange listing requirement. For instance, if we were seeking to acquire a target business where the consideration we were paying in the transaction was all cash, we would not be required to seek shareholder approval to complete such a transaction. Except for as required by applicable law or stock exchange requirement,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complete our initial business combination even if holders of a majority of our ordinary shares do not approve of the business combination we complete.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2" w:name="page33"/>
    <w:bookmarkEnd w:id="32"/>
    <w:p>
      <w:pPr>
        <w:ind w:left="460" w:right="519" w:firstLine="432"/>
        <w:spacing w:after="0" w:line="277" w:lineRule="auto"/>
        <w:rPr>
          <w:sz w:val="20"/>
          <w:szCs w:val="20"/>
          <w:color w:val="auto"/>
        </w:rPr>
      </w:pPr>
      <w:r>
        <w:rPr>
          <w:rFonts w:ascii="Arial" w:cs="Arial" w:eastAsia="Arial" w:hAnsi="Arial"/>
          <w:sz w:val="18"/>
          <w:szCs w:val="18"/>
          <w:color w:val="auto"/>
        </w:rPr>
        <w:t>Please see the section entitled “Proposed Business — Shareholders May Not Have the Ability to Approve Our Initial Business Combination” for additional information.</w:t>
      </w:r>
    </w:p>
    <w:p>
      <w:pPr>
        <w:spacing w:after="0" w:line="166" w:lineRule="exact"/>
        <w:rPr>
          <w:sz w:val="20"/>
          <w:szCs w:val="20"/>
          <w:color w:val="auto"/>
        </w:rPr>
      </w:pPr>
    </w:p>
    <w:p>
      <w:pPr>
        <w:ind w:left="460" w:right="619"/>
        <w:spacing w:after="0" w:line="312" w:lineRule="auto"/>
        <w:rPr>
          <w:sz w:val="20"/>
          <w:szCs w:val="20"/>
          <w:color w:val="auto"/>
        </w:rPr>
      </w:pPr>
      <w:r>
        <w:rPr>
          <w:rFonts w:ascii="Arial" w:cs="Arial" w:eastAsia="Arial" w:hAnsi="Arial"/>
          <w:sz w:val="17"/>
          <w:szCs w:val="17"/>
          <w:b w:val="1"/>
          <w:bCs w:val="1"/>
          <w:color w:val="auto"/>
        </w:rPr>
        <w:t>Your only opportunity to affect the investment decision regarding a potential business combination may be limited to the exercise of your right to redeem your shares from us for cash.</w:t>
      </w:r>
    </w:p>
    <w:p>
      <w:pPr>
        <w:spacing w:after="0" w:line="6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62" w:lineRule="exact"/>
        <w:rPr>
          <w:sz w:val="20"/>
          <w:szCs w:val="20"/>
          <w:color w:val="auto"/>
        </w:rPr>
      </w:pPr>
    </w:p>
    <w:p>
      <w:pPr>
        <w:jc w:val="both"/>
        <w:ind w:left="460" w:right="759"/>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11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Our sponsor will own, on an as-converted basis, 20% of our outstanding ordinary shares immediately following the completion of this offering. Our sponsor and members of our management team also may from time to time purchase Class A ordinary shares prior to our initial business combination. Our amended and restated memorandum and articles of association will provide that, if we seek shareholder approval, we will complete our initial business combination only if a majority of the ordinary shares, represented in person or by proxy and entitled to vote thereon, voted at a shareholder meeting vote in favor of the business combination, including the founder shares. 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Accordingly, if we seek shareholder approval of our initial business combination, the agreement by our sponsor and each member of our management team to vote in favor of our initial business combination will increase the likelihood that we will receive the requisite shareholder approval for such initial business combination.</w:t>
      </w:r>
    </w:p>
    <w:p>
      <w:pPr>
        <w:spacing w:after="0" w:line="167" w:lineRule="exact"/>
        <w:rPr>
          <w:sz w:val="20"/>
          <w:szCs w:val="20"/>
          <w:color w:val="auto"/>
        </w:rPr>
      </w:pPr>
    </w:p>
    <w:p>
      <w:pPr>
        <w:jc w:val="both"/>
        <w:ind w:left="460" w:right="619"/>
        <w:spacing w:after="0" w:line="266" w:lineRule="auto"/>
        <w:rPr>
          <w:sz w:val="20"/>
          <w:szCs w:val="20"/>
          <w:color w:val="auto"/>
        </w:rPr>
      </w:pPr>
      <w:r>
        <w:rPr>
          <w:rFonts w:ascii="Arial" w:cs="Arial" w:eastAsia="Arial" w:hAnsi="Arial"/>
          <w:sz w:val="18"/>
          <w:szCs w:val="18"/>
          <w:b w:val="1"/>
          <w:b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12"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(so that we are not subject to the SEC’s “penny stock” rules).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64" w:lineRule="exact"/>
        <w:rPr>
          <w:sz w:val="20"/>
          <w:szCs w:val="20"/>
          <w:color w:val="auto"/>
        </w:rPr>
      </w:pPr>
    </w:p>
    <w:p>
      <w:pPr>
        <w:ind w:left="460" w:right="479"/>
        <w:spacing w:after="0" w:line="266" w:lineRule="auto"/>
        <w:rPr>
          <w:sz w:val="20"/>
          <w:szCs w:val="20"/>
          <w:color w:val="auto"/>
        </w:rPr>
      </w:pPr>
      <w:r>
        <w:rPr>
          <w:rFonts w:ascii="Arial" w:cs="Arial" w:eastAsia="Arial" w:hAnsi="Arial"/>
          <w:sz w:val="18"/>
          <w:szCs w:val="18"/>
          <w:b w:val="1"/>
          <w:b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99"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are submitted for redemption</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right="499"/>
        <w:spacing w:after="0" w:line="289" w:lineRule="auto"/>
        <w:rPr>
          <w:sz w:val="20"/>
          <w:szCs w:val="20"/>
          <w:color w:val="auto"/>
        </w:rPr>
      </w:pPr>
      <w:r>
        <w:rPr>
          <w:rFonts w:ascii="Arial" w:cs="Arial" w:eastAsia="Arial" w:hAnsi="Arial"/>
          <w:sz w:val="16"/>
          <w:szCs w:val="16"/>
          <w:color w:val="auto"/>
        </w:rPr>
        <w:t>than we initially expected, we may need to restructure the transaction to reserve a greater portion of the cash in the trust account or arrange for additional third-party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underwriter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spacing w:after="0" w:line="162"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7"/>
          <w:szCs w:val="17"/>
          <w:b w:val="1"/>
          <w:b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81"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161" w:lineRule="exact"/>
        <w:rPr>
          <w:sz w:val="20"/>
          <w:szCs w:val="20"/>
          <w:color w:val="auto"/>
        </w:rPr>
      </w:pPr>
    </w:p>
    <w:p>
      <w:pPr>
        <w:ind w:left="460" w:right="579"/>
        <w:spacing w:after="0" w:line="298" w:lineRule="auto"/>
        <w:rPr>
          <w:sz w:val="20"/>
          <w:szCs w:val="20"/>
          <w:color w:val="auto"/>
        </w:rPr>
      </w:pPr>
      <w:r>
        <w:rPr>
          <w:rFonts w:ascii="Arial" w:cs="Arial" w:eastAsia="Arial" w:hAnsi="Arial"/>
          <w:sz w:val="16"/>
          <w:szCs w:val="16"/>
          <w:b w:val="1"/>
          <w:bCs w:val="1"/>
          <w:color w:val="auto"/>
        </w:rPr>
        <w:t>The requirement that we consummate an initial business combination within 24 months after the closing of this offering may give potential target businesses leverage over us in negotiating a business combination and may limit the time we have in which to conduct due diligence on potential business combination targets as we approach our dissolution deadline, which could undermine our ability to complete our initial business combination on terms that would produce value for our shareholders.</w:t>
      </w:r>
    </w:p>
    <w:p>
      <w:pPr>
        <w:spacing w:after="0" w:line="90"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consummate an initial business combination within 24 months from the closing of this offering. Consequently, such target business may obtain leverage over us in negotiating a business combination, knowing that if we do not consummate an initial business combination with that particular target business, we may be unable to complete our initial business combination with any target business. This risk will increase as we get closer to the time frame described above. In addition, we may have limited time to conduct due diligence and may enter into our initial business combination on terms that we would have rejected upon a more comprehensive investigation.</w:t>
      </w:r>
    </w:p>
    <w:p>
      <w:pPr>
        <w:spacing w:after="0" w:line="174" w:lineRule="exact"/>
        <w:rPr>
          <w:sz w:val="20"/>
          <w:szCs w:val="20"/>
          <w:color w:val="auto"/>
        </w:rPr>
      </w:pPr>
    </w:p>
    <w:p>
      <w:pPr>
        <w:ind w:left="460" w:right="579"/>
        <w:spacing w:after="0" w:line="266" w:lineRule="auto"/>
        <w:rPr>
          <w:sz w:val="20"/>
          <w:szCs w:val="20"/>
          <w:color w:val="auto"/>
        </w:rPr>
      </w:pPr>
      <w:r>
        <w:rPr>
          <w:rFonts w:ascii="Arial" w:cs="Arial" w:eastAsia="Arial" w:hAnsi="Arial"/>
          <w:sz w:val="18"/>
          <w:szCs w:val="18"/>
          <w:b w:val="1"/>
          <w:bCs w:val="1"/>
          <w:color w:val="auto"/>
        </w:rPr>
        <w:t>We may not be able to consummate an initial business combination within 24 months after the closing of this offering, in which case we would cease all operations except for the purpose of winding up and we would redeem our public shares and liquidate.</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may not be able to find a suitable target business and consummate an initial business combination</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within 24 months after the closing of this offering. Our ability to complete our initial business combination may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be negatively impacted by general market conditions, volatility in the capital and debt markets and the other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risks described herein. If we have not consummated an initial business combination within such applicable time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period, we will: (i) cease all operations except for the purpose of winding up; (ii) as promptly as reasonably</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possible but not more than ten business days thereafter, redeem the public shares, at a per-share price, payable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cash, equal to the aggregate amount then on deposit in the trust account, including interest earned on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funds held in the trust account and not previously released to us to pay our income taxes, if any, (less up to</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$100,000 of interest to pay dissolution expenses) divided by the number of the then-outstanding public shares,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 redemption will completely extinguish public shareholders’ rights as shareholders (including the right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receive further liquidation distributions, if any); and (iii) as promptly as reasonably possible following such</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redemption, subject to the approval of our remaining shareholders and our board of directors, liquidate and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dissolve, subject in the case of clauses (ii) and (iii), to our obligations under Cayman Islands law to provide for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claims of creditors and in all cases subject to the other requirements of applicable law. Our amended and</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restated memorandum and articles of association will provide that, if we wind up for any other reason prior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consummation of our initial business combination, we will follow the foregoing procedures with respect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liquidation of the trust account as promptly as reasonably possible but not more than ten business days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thereafter, subject to applicable Cayman Islands law.</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4" w:name="page35"/>
    <w:bookmarkEnd w:id="34"/>
    <w:p>
      <w:pPr>
        <w:ind w:left="460" w:right="859"/>
        <w:spacing w:after="0" w:line="261" w:lineRule="auto"/>
        <w:rPr>
          <w:sz w:val="20"/>
          <w:szCs w:val="20"/>
          <w:color w:val="auto"/>
        </w:rPr>
      </w:pPr>
      <w:r>
        <w:rPr>
          <w:rFonts w:ascii="Arial" w:cs="Arial" w:eastAsia="Arial" w:hAnsi="Arial"/>
          <w:sz w:val="18"/>
          <w:szCs w:val="18"/>
          <w:b w:val="1"/>
          <w:bCs w:val="1"/>
          <w:color w:val="auto"/>
        </w:rPr>
        <w:t>If we seek shareholder approval of our initial business combination, our sponsor, directors, executive officers, advisors and their affiliates may elect to purchase public shares or warrants from public shareholders, which may influence a vote on a proposed business combination and reduce the public “float” of our Class A ordinary shares.</w:t>
      </w:r>
    </w:p>
    <w:p>
      <w:pPr>
        <w:spacing w:after="0" w:line="116"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although they are under no obligation to do so. However, other than as expressly stated herein, they have no current commitments, plans or intentions to engage in such transactions and have not formulated any terms or conditions for any such transactions. None of the funds in the trust account will be used to purchase public shares or warrants in such transactions.</w:t>
      </w:r>
    </w:p>
    <w:p>
      <w:pPr>
        <w:spacing w:after="0" w:line="97"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 See “Proposed Business — Permitted Purchases of Our Securities” for a description of how our sponsor, directors, executive officers, advisors or any of their affiliates will select which shareholders to purchase securities from in any private transaction.</w:t>
      </w:r>
    </w:p>
    <w:p>
      <w:pPr>
        <w:spacing w:after="0" w:line="100"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spacing w:after="0" w:line="145" w:lineRule="exact"/>
        <w:rPr>
          <w:sz w:val="20"/>
          <w:szCs w:val="20"/>
          <w:color w:val="auto"/>
        </w:rPr>
      </w:pPr>
    </w:p>
    <w:p>
      <w:pPr>
        <w:ind w:left="460" w:right="639"/>
        <w:spacing w:after="0" w:line="266" w:lineRule="auto"/>
        <w:rPr>
          <w:sz w:val="20"/>
          <w:szCs w:val="20"/>
          <w:color w:val="auto"/>
        </w:rPr>
      </w:pPr>
      <w:r>
        <w:rPr>
          <w:rFonts w:ascii="Arial" w:cs="Arial" w:eastAsia="Arial" w:hAnsi="Arial"/>
          <w:sz w:val="18"/>
          <w:szCs w:val="18"/>
          <w:b w:val="1"/>
          <w:b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112"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redeem its shares. In addition, the proxy solicitation or tender offer materials, as applicable, that we will furnish to holders of our public shares in connection with our initial business combination will describe the various procedures that must be complied with in order to validly redeem or tender public shares. In the event that a shareholder fails to comply with these procedures, its shares may not be redeemed. See “Proposed Business — Business Strategy — Tendering Share Certificates in Connection with a Tender Offer or Redemption Rights.”</w:t>
      </w:r>
    </w:p>
    <w:p>
      <w:pPr>
        <w:spacing w:after="0" w:line="177" w:lineRule="exact"/>
        <w:rPr>
          <w:sz w:val="20"/>
          <w:szCs w:val="20"/>
          <w:color w:val="auto"/>
        </w:rPr>
      </w:pPr>
    </w:p>
    <w:p>
      <w:pPr>
        <w:ind w:left="460" w:right="699"/>
        <w:spacing w:after="0" w:line="266"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99" w:lineRule="exact"/>
        <w:rPr>
          <w:sz w:val="20"/>
          <w:szCs w:val="20"/>
          <w:color w:val="auto"/>
        </w:rPr>
      </w:pPr>
    </w:p>
    <w:p>
      <w:pPr>
        <w:ind w:left="460" w:right="519" w:firstLine="432"/>
        <w:spacing w:after="0" w:line="287"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earlier to occur of: (i) our completion of an initial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or (B) with respect to any other provisions relating to the rights of our Class A ordinary shares; and (iii) the redemption of our public shares if we have not consummated an initial business within 24 months from the closing of this offering, subject to applicable law and as further described herein. Public</w:t>
      </w:r>
    </w:p>
    <w:p>
      <w:pPr>
        <w:sectPr>
          <w:pgSz w:w="11900" w:h="16838" w:orient="portrait"/>
          <w:cols w:equalWidth="0" w:num="1">
            <w:col w:w="9019"/>
          </w:cols>
          <w:pgMar w:left="1440" w:top="337"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5" w:name="page36"/>
    <w:bookmarkEnd w:id="35"/>
    <w:p>
      <w:pPr>
        <w:ind w:left="460" w:right="519"/>
        <w:spacing w:after="0" w:line="271" w:lineRule="auto"/>
        <w:rPr>
          <w:sz w:val="20"/>
          <w:szCs w:val="20"/>
          <w:color w:val="auto"/>
        </w:rPr>
      </w:pPr>
      <w:r>
        <w:rPr>
          <w:rFonts w:ascii="Arial" w:cs="Arial" w:eastAsia="Arial" w:hAnsi="Arial"/>
          <w:sz w:val="17"/>
          <w:szCs w:val="17"/>
          <w:color w:val="auto"/>
        </w:rPr>
        <w:t>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are unable to complete an initial business combination within 24 months from the closing of this offering, with respect to such Class A ordinary shares so redeemed.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74" w:lineRule="exact"/>
        <w:rPr>
          <w:sz w:val="20"/>
          <w:szCs w:val="20"/>
          <w:color w:val="auto"/>
        </w:rPr>
      </w:pPr>
    </w:p>
    <w:p>
      <w:pPr>
        <w:ind w:left="460" w:right="519"/>
        <w:spacing w:after="0" w:line="282" w:lineRule="auto"/>
        <w:rPr>
          <w:sz w:val="20"/>
          <w:szCs w:val="20"/>
          <w:color w:val="auto"/>
        </w:rPr>
      </w:pPr>
      <w:r>
        <w:rPr>
          <w:rFonts w:ascii="Arial" w:cs="Arial" w:eastAsia="Arial" w:hAnsi="Arial"/>
          <w:sz w:val="18"/>
          <w:szCs w:val="18"/>
          <w:b w:val="1"/>
          <w:bCs w:val="1"/>
          <w:color w:val="auto"/>
        </w:rPr>
        <w:t>NYSE may delist our securities from trading on its exchange, which could limit investors’ ability to make transactions in our securities and subject us to additional trading restrictions.</w:t>
      </w:r>
    </w:p>
    <w:p>
      <w:pPr>
        <w:spacing w:after="0" w:line="85"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We intend to apply to have our units listed on the NYSE on the date of this prospectus and our Class A ordinary shares and warrants on or promptly after their date of separation. Although after giving effect to this offering we expect to meet, on a pro forma basis, the minimum initial listing standards set forth in the NYSE listing standards, we cannot assure you that our securities will be, or will continue to be, listed on the NYSE in the future or prior to our initial business combination. In order to continue listing our securities on the NYSE prior to our initial business combination, we must maintain certain financial, distribution and share price levels. Generally, we must maintain a minimum market capitalization (generally $50,000,000) and a minimum number of holders of our securities (generally 400 public holders).</w:t>
      </w:r>
    </w:p>
    <w:p>
      <w:pPr>
        <w:spacing w:after="0" w:line="111" w:lineRule="exact"/>
        <w:rPr>
          <w:sz w:val="20"/>
          <w:szCs w:val="20"/>
          <w:color w:val="auto"/>
        </w:rPr>
      </w:pPr>
    </w:p>
    <w:p>
      <w:pPr>
        <w:ind w:left="460" w:right="699" w:firstLine="432"/>
        <w:spacing w:after="0" w:line="279" w:lineRule="auto"/>
        <w:rPr>
          <w:sz w:val="20"/>
          <w:szCs w:val="20"/>
          <w:color w:val="auto"/>
        </w:rPr>
      </w:pPr>
      <w:r>
        <w:rPr>
          <w:rFonts w:ascii="Arial" w:cs="Arial" w:eastAsia="Arial" w:hAnsi="Arial"/>
          <w:sz w:val="17"/>
          <w:szCs w:val="17"/>
          <w:color w:val="auto"/>
        </w:rPr>
        <w:t>Additionally, our units will not be traded after completion of our initial business combination and, in connection with our initial business combination, we will be required to demonstrate compliance with the NYSE initial listing requirements, which are more rigorous than the NYSE continued listing requirements, in order to continue to maintain the listing of our securities on the NYSE.</w:t>
      </w:r>
    </w:p>
    <w:p>
      <w:pPr>
        <w:spacing w:after="0" w:line="104"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For instance, in order for our shares to be listed upon the consummation of our business combination, at such time our share price would generally be required to be at least $4.00 per share, our total market capitalization would be required to be at least $200.0 million, the greatest market value of publicly held shares would be required to be at least $100.0 million and we would be required to have at least 400 round lot shareholders. We cannot assure you that we will be able to meet those listing requirements at that time.</w:t>
      </w:r>
    </w:p>
    <w:p>
      <w:pPr>
        <w:spacing w:after="0" w:line="80"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If the NYSE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1" w:lineRule="exact"/>
        <w:rPr>
          <w:sz w:val="20"/>
          <w:szCs w:val="20"/>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44" w:lineRule="exact"/>
        <w:rPr>
          <w:rFonts w:ascii="Arial" w:cs="Arial" w:eastAsia="Arial" w:hAnsi="Arial"/>
          <w:sz w:val="18"/>
          <w:szCs w:val="18"/>
          <w:color w:val="auto"/>
        </w:rPr>
      </w:pPr>
    </w:p>
    <w:p>
      <w:pPr>
        <w:jc w:val="both"/>
        <w:ind w:left="1320" w:right="819" w:hanging="434"/>
        <w:spacing w:after="0" w:line="311" w:lineRule="auto"/>
        <w:tabs>
          <w:tab w:leader="none" w:pos="1311"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81" w:lineRule="exact"/>
        <w:rPr>
          <w:rFonts w:ascii="Arial" w:cs="Arial" w:eastAsia="Arial" w:hAnsi="Arial"/>
          <w:sz w:val="16"/>
          <w:szCs w:val="16"/>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44"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the NYSE, our units, Class A ordinary shares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 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the statute and we would be subject to regulation in each state in which we offer our securities.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right="1219"/>
        <w:spacing w:after="0" w:line="282"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9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180" w:lineRule="exact"/>
        <w:rPr>
          <w:sz w:val="20"/>
          <w:szCs w:val="20"/>
          <w:color w:val="auto"/>
        </w:rPr>
      </w:pPr>
    </w:p>
    <w:p>
      <w:pPr>
        <w:ind w:left="460" w:right="479"/>
        <w:spacing w:after="0" w:line="261" w:lineRule="auto"/>
        <w:rPr>
          <w:sz w:val="20"/>
          <w:szCs w:val="20"/>
          <w:color w:val="auto"/>
        </w:rPr>
      </w:pPr>
      <w:r>
        <w:rPr>
          <w:rFonts w:ascii="Arial" w:cs="Arial" w:eastAsia="Arial" w:hAnsi="Arial"/>
          <w:sz w:val="18"/>
          <w:szCs w:val="18"/>
          <w:b w:val="1"/>
          <w:b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0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80" w:lineRule="exact"/>
        <w:rPr>
          <w:sz w:val="20"/>
          <w:szCs w:val="20"/>
          <w:color w:val="auto"/>
        </w:rPr>
      </w:pPr>
    </w:p>
    <w:p>
      <w:pPr>
        <w:ind w:left="460" w:right="599"/>
        <w:spacing w:after="0" w:line="266"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12"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A significant outbreak of COVID-19 and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 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ectPr>
          <w:pgSz w:w="11900" w:h="16838" w:orient="portrait"/>
          <w:cols w:equalWidth="0" w:num="1">
            <w:col w:w="9019"/>
          </w:cols>
          <w:pgMar w:left="1440" w:top="337" w:right="1440" w:bottom="1440" w:gutter="0" w:footer="0" w:header="0"/>
        </w:sect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37" w:name="page38"/>
    <w:bookmarkEnd w:id="37"/>
    <w:p>
      <w:pPr>
        <w:ind w:left="460" w:right="699" w:firstLine="432"/>
        <w:spacing w:after="0" w:line="277"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w:t>
      </w:r>
    </w:p>
    <w:p>
      <w:pPr>
        <w:spacing w:after="0" w:line="166" w:lineRule="exact"/>
        <w:rPr>
          <w:sz w:val="20"/>
          <w:szCs w:val="20"/>
          <w:color w:val="auto"/>
        </w:rPr>
      </w:pPr>
    </w:p>
    <w:p>
      <w:pPr>
        <w:ind w:left="460" w:right="479"/>
        <w:spacing w:after="0" w:line="258"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106"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167" w:lineRule="exact"/>
        <w:rPr>
          <w:sz w:val="20"/>
          <w:szCs w:val="20"/>
          <w:color w:val="auto"/>
        </w:rPr>
      </w:pPr>
    </w:p>
    <w:p>
      <w:pPr>
        <w:ind w:left="460" w:right="519"/>
        <w:spacing w:after="0" w:line="258" w:lineRule="auto"/>
        <w:rPr>
          <w:sz w:val="20"/>
          <w:szCs w:val="20"/>
          <w:color w:val="auto"/>
        </w:rPr>
      </w:pPr>
      <w:r>
        <w:rPr>
          <w:rFonts w:ascii="Arial" w:cs="Arial" w:eastAsia="Arial" w:hAnsi="Arial"/>
          <w:sz w:val="18"/>
          <w:szCs w:val="18"/>
          <w:b w:val="1"/>
          <w:bCs w:val="1"/>
          <w:color w:val="auto"/>
        </w:rPr>
        <w:t>If the net proceeds of this offering and the sale of the private placement warrants not being held in the trust account are insufficient to allow us to operate for at least the next 24 months,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2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Of the net proceeds of this offering and the sale of the private placement warrants, only $3,000,000 (or</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$2,100,000 if the underwriter’s over-allotment option is exercised in full) will be available to us initially outside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trust account to fund our working capital requirements. We believe that, upon closing of this offering, the</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funds available to us outside of the trust account, together with funds available from loans from our sponsor,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 be sufficient to allow us to operate for at least the next 24 months; however, we cannot assure you that our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estimate is accurate. Of the funds available to us, we expect to use a portion of the funds available to us to pay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fees to consultants to assist us with our search for a target business. We could also use a portion of the funds as 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down payment or to fund a “no-shop” provision (a provision in letters of intent designed to keep target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businesses from “shopping” around for transactions with other companies or investors on terms more favorable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such target businesses) with respect to a particular proposed business combination, although we do not have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current intention to do so. If we entered into a letter of intent where we paid for the right to receive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exclusivity from a target business and were subsequently required to forfeit such funds (whether as a result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breach or otherwise), we might not have sufficient funds to continue searching for, or conduct due diligence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a target business.</w:t>
      </w:r>
    </w:p>
    <w:p>
      <w:pPr>
        <w:spacing w:after="0" w:line="14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In the event that our offering expenses exceed our estimate of $1,000,000, we may fund such excess with funds not to be held in the trust account. In such case, unless funded by the proceeds of loans available from our sponsor,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warrants of the post-business combination entity at a price of $1.00 per warrant at the option of the lender. The warrants would be identical to the private placement warrants.</w:t>
      </w:r>
    </w:p>
    <w:p>
      <w:pPr>
        <w:sectPr>
          <w:pgSz w:w="11900" w:h="16838" w:orient="portrait"/>
          <w:cols w:equalWidth="0" w:num="1">
            <w:col w:w="9019"/>
          </w:cols>
          <w:pgMar w:left="1440" w:top="274"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8" w:name="page39"/>
    <w:bookmarkEnd w:id="38"/>
    <w:p>
      <w:pPr>
        <w:ind w:left="460" w:right="539"/>
        <w:spacing w:after="0" w:line="254" w:lineRule="auto"/>
        <w:rPr>
          <w:sz w:val="20"/>
          <w:szCs w:val="20"/>
          <w:color w:val="auto"/>
        </w:rPr>
      </w:pPr>
      <w:r>
        <w:rPr>
          <w:rFonts w:ascii="Arial" w:cs="Arial" w:eastAsia="Arial" w:hAnsi="Arial"/>
          <w:sz w:val="18"/>
          <w:szCs w:val="18"/>
          <w:color w:val="auto"/>
        </w:rPr>
        <w:t>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191" w:lineRule="exact"/>
        <w:rPr>
          <w:sz w:val="20"/>
          <w:szCs w:val="20"/>
          <w:color w:val="auto"/>
        </w:rPr>
      </w:pPr>
    </w:p>
    <w:p>
      <w:pPr>
        <w:ind w:left="460" w:right="479"/>
        <w:spacing w:after="0" w:line="261"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p>
      <w:pPr>
        <w:spacing w:after="0" w:line="103"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Even if we conduct due diligence on a target business with which we combine, we cannot assure you that this diligence will surface all material issues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386" w:lineRule="exact"/>
        <w:rPr>
          <w:sz w:val="20"/>
          <w:szCs w:val="20"/>
          <w:color w:val="auto"/>
        </w:rPr>
      </w:pPr>
    </w:p>
    <w:p>
      <w:pPr>
        <w:ind w:left="460" w:right="679"/>
        <w:spacing w:after="0" w:line="347" w:lineRule="auto"/>
        <w:rPr>
          <w:sz w:val="20"/>
          <w:szCs w:val="20"/>
          <w:color w:val="auto"/>
        </w:rPr>
      </w:pPr>
      <w:r>
        <w:rPr>
          <w:rFonts w:ascii="Arial" w:cs="Arial" w:eastAsia="Arial" w:hAnsi="Arial"/>
          <w:sz w:val="16"/>
          <w:szCs w:val="16"/>
          <w:b w:val="1"/>
          <w:bCs w:val="1"/>
          <w:color w:val="auto"/>
        </w:rPr>
        <w:t>If third parties bring claims against us, the proceeds held in the trust account could be reduced and the per-share redemption amount received by shareholders may be less than $10.00 per share.</w:t>
      </w:r>
    </w:p>
    <w:p>
      <w:pPr>
        <w:spacing w:after="0" w:line="52"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the company and will only enter into an agreement with such third party that has not executed a waiver if management believes that such third party’s engagement would be significantly more beneficial to us than any alternative. The underwriter will not execute an agreement with us waiving such claims to the monies held in the trust account.</w:t>
      </w:r>
    </w:p>
    <w:p>
      <w:pPr>
        <w:spacing w:after="0" w:line="117"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24 months from the closing of this offering,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shareholders could</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 w:name="page40"/>
    <w:bookmarkEnd w:id="39"/>
    <w:p>
      <w:pPr>
        <w:ind w:left="460" w:right="559"/>
        <w:spacing w:after="0" w:line="268" w:lineRule="auto"/>
        <w:rPr>
          <w:sz w:val="20"/>
          <w:szCs w:val="20"/>
          <w:color w:val="auto"/>
        </w:rPr>
      </w:pPr>
      <w:r>
        <w:rPr>
          <w:rFonts w:ascii="Arial" w:cs="Arial" w:eastAsia="Arial" w:hAnsi="Arial"/>
          <w:sz w:val="17"/>
          <w:szCs w:val="17"/>
          <w:color w:val="auto"/>
        </w:rPr>
        <w:t xml:space="preserve">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amounts in the trust account to below the lesser of (i) $10.00 per public share and (ii) the actual amount per share held in the trust account as of the date of the liquidation of the trust account if less than $10.00 per share due to reductions in the value of the trust assets, in each case net of the interest that may be withdrawn to pay our tax obligations,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such liability will not apply to any claims by a third party or prospective target business that</w:t>
      </w:r>
      <w:r>
        <w:rPr>
          <w:rFonts w:ascii="Arial" w:cs="Arial" w:eastAsia="Arial" w:hAnsi="Arial"/>
          <w:sz w:val="17"/>
          <w:szCs w:val="17"/>
          <w:i w:val="1"/>
          <w:iCs w:val="1"/>
          <w:color w:val="auto"/>
        </w:rPr>
        <w:t xml:space="preserve"> </w:t>
      </w:r>
      <w:r>
        <w:rPr>
          <w:rFonts w:ascii="Arial" w:cs="Arial" w:eastAsia="Arial" w:hAnsi="Arial"/>
          <w:sz w:val="17"/>
          <w:szCs w:val="17"/>
          <w:color w:val="auto"/>
        </w:rPr>
        <w:t>executed a waiver of any and all rights to seek access to the trust account (whether or not such waiver is enforceable) nor will it apply to any claims under our indemnity of the underwriter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w:t>
      </w:r>
    </w:p>
    <w:p>
      <w:pPr>
        <w:spacing w:after="0" w:line="103"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72" w:lineRule="exact"/>
        <w:rPr>
          <w:sz w:val="20"/>
          <w:szCs w:val="20"/>
          <w:color w:val="auto"/>
        </w:rPr>
      </w:pPr>
    </w:p>
    <w:p>
      <w:pPr>
        <w:ind w:left="460" w:right="839"/>
        <w:spacing w:after="0" w:line="266"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the event that the proceeds in the trust account are reduced below the lesser of (i) $10.00 per share and</w:t>
      </w:r>
    </w:p>
    <w:p>
      <w:pPr>
        <w:spacing w:after="0" w:line="46" w:lineRule="exact"/>
        <w:rPr>
          <w:sz w:val="20"/>
          <w:szCs w:val="20"/>
          <w:color w:val="auto"/>
        </w:rPr>
      </w:pPr>
    </w:p>
    <w:p>
      <w:pPr>
        <w:ind w:left="460" w:right="479" w:hanging="6"/>
        <w:spacing w:after="0" w:line="286" w:lineRule="auto"/>
        <w:tabs>
          <w:tab w:leader="none" w:pos="725"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actual amount per share held in the trust account as of the date of the liquidation of the trust account if less than $10.00 per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We may not have sufficient funds to satisfy indemnification claims of our directors and executive officers.</w:t>
      </w:r>
    </w:p>
    <w:p>
      <w:pPr>
        <w:spacing w:after="0" w:line="185"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(except to the extent they are entitled to funds from the trust account due to their ownership of public shares).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68" w:lineRule="exact"/>
        <w:rPr>
          <w:sz w:val="20"/>
          <w:szCs w:val="20"/>
          <w:color w:val="auto"/>
        </w:rPr>
      </w:pPr>
    </w:p>
    <w:p>
      <w:pPr>
        <w:ind w:left="460" w:right="659"/>
        <w:spacing w:after="0" w:line="277" w:lineRule="auto"/>
        <w:rPr>
          <w:sz w:val="20"/>
          <w:szCs w:val="20"/>
          <w:color w:val="auto"/>
        </w:rPr>
      </w:pPr>
      <w:r>
        <w:rPr>
          <w:rFonts w:ascii="Arial" w:cs="Arial" w:eastAsia="Arial" w:hAnsi="Arial"/>
          <w:sz w:val="17"/>
          <w:szCs w:val="17"/>
          <w:b w:val="1"/>
          <w:b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91"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w:t>
      </w:r>
    </w:p>
    <w:p>
      <w:pPr>
        <w:sectPr>
          <w:pgSz w:w="11900" w:h="16838" w:orient="portrait"/>
          <w:cols w:equalWidth="0" w:num="1">
            <w:col w:w="9019"/>
          </w:cols>
          <w:pgMar w:left="1440" w:top="274"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0" w:name="page41"/>
    <w:bookmarkEnd w:id="40"/>
    <w:p>
      <w:pPr>
        <w:ind w:left="460" w:right="539"/>
        <w:spacing w:after="0" w:line="257" w:lineRule="auto"/>
        <w:rPr>
          <w:sz w:val="20"/>
          <w:szCs w:val="20"/>
          <w:color w:val="auto"/>
        </w:rPr>
      </w:pPr>
      <w:r>
        <w:rPr>
          <w:rFonts w:ascii="Arial" w:cs="Arial" w:eastAsia="Arial" w:hAnsi="Arial"/>
          <w:sz w:val="18"/>
          <w:szCs w:val="18"/>
          <w:color w:val="auto"/>
        </w:rPr>
        <w:t>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184" w:lineRule="exact"/>
        <w:rPr>
          <w:sz w:val="20"/>
          <w:szCs w:val="20"/>
          <w:color w:val="auto"/>
        </w:rPr>
      </w:pPr>
    </w:p>
    <w:p>
      <w:pPr>
        <w:ind w:left="460" w:right="579"/>
        <w:spacing w:after="0" w:line="258" w:lineRule="auto"/>
        <w:rPr>
          <w:sz w:val="20"/>
          <w:szCs w:val="20"/>
          <w:color w:val="auto"/>
        </w:rPr>
      </w:pPr>
      <w:r>
        <w:rPr>
          <w:rFonts w:ascii="Arial" w:cs="Arial" w:eastAsia="Arial" w:hAnsi="Arial"/>
          <w:sz w:val="18"/>
          <w:szCs w:val="18"/>
          <w:b w:val="1"/>
          <w:b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06" w:lineRule="exact"/>
        <w:rPr>
          <w:sz w:val="20"/>
          <w:szCs w:val="20"/>
          <w:color w:val="auto"/>
        </w:rPr>
      </w:pPr>
    </w:p>
    <w:p>
      <w:pPr>
        <w:ind w:left="460" w:right="639" w:firstLine="432"/>
        <w:spacing w:after="0" w:line="273" w:lineRule="auto"/>
        <w:rPr>
          <w:sz w:val="20"/>
          <w:szCs w:val="20"/>
          <w:color w:val="auto"/>
        </w:rPr>
      </w:pPr>
      <w:r>
        <w:rPr>
          <w:rFonts w:ascii="Arial" w:cs="Arial" w:eastAsia="Arial" w:hAnsi="Arial"/>
          <w:sz w:val="17"/>
          <w:szCs w:val="17"/>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174" w:lineRule="exact"/>
        <w:rPr>
          <w:sz w:val="20"/>
          <w:szCs w:val="20"/>
          <w:color w:val="auto"/>
        </w:rPr>
      </w:pPr>
    </w:p>
    <w:p>
      <w:pPr>
        <w:jc w:val="both"/>
        <w:ind w:left="460" w:right="559"/>
        <w:spacing w:after="0" w:line="266" w:lineRule="auto"/>
        <w:rPr>
          <w:sz w:val="20"/>
          <w:szCs w:val="20"/>
          <w:color w:val="auto"/>
        </w:rPr>
      </w:pPr>
      <w:r>
        <w:rPr>
          <w:rFonts w:ascii="Arial" w:cs="Arial" w:eastAsia="Arial" w:hAnsi="Arial"/>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12"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03" w:lineRule="exact"/>
        <w:rPr>
          <w:sz w:val="20"/>
          <w:szCs w:val="20"/>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44"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58" w:lineRule="exact"/>
        <w:rPr>
          <w:sz w:val="20"/>
          <w:szCs w:val="20"/>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57" w:lineRule="exact"/>
        <w:rPr>
          <w:rFonts w:ascii="Arial" w:cs="Arial" w:eastAsia="Arial" w:hAnsi="Arial"/>
          <w:sz w:val="18"/>
          <w:szCs w:val="18"/>
          <w:color w:val="auto"/>
        </w:rPr>
      </w:pPr>
    </w:p>
    <w:p>
      <w:pPr>
        <w:ind w:left="1320" w:right="1339" w:hanging="434"/>
        <w:spacing w:after="0" w:line="277" w:lineRule="auto"/>
        <w:tabs>
          <w:tab w:leader="none" w:pos="1311"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w:t>
      </w:r>
    </w:p>
    <w:p>
      <w:pPr>
        <w:spacing w:after="0" w:line="103"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97"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 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w:t>
      </w:r>
    </w:p>
    <w:p>
      <w:pPr>
        <w:sectPr>
          <w:pgSz w:w="11900" w:h="16838" w:orient="portrait"/>
          <w:cols w:equalWidth="0" w:num="1">
            <w:col w:w="9019"/>
          </w:cols>
          <w:pgMar w:left="1440" w:top="274"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1" w:name="page42"/>
    <w:bookmarkEnd w:id="41"/>
    <w:p>
      <w:pPr>
        <w:ind w:left="460" w:right="499"/>
        <w:spacing w:after="0" w:line="269" w:lineRule="auto"/>
        <w:rPr>
          <w:sz w:val="20"/>
          <w:szCs w:val="20"/>
          <w:color w:val="auto"/>
        </w:rPr>
      </w:pPr>
      <w:r>
        <w:rPr>
          <w:rFonts w:ascii="Arial" w:cs="Arial" w:eastAsia="Arial" w:hAnsi="Arial"/>
          <w:sz w:val="17"/>
          <w:szCs w:val="17"/>
          <w:color w:val="auto"/>
        </w:rPr>
        <w:t>combination or to redeem 100% of our public shares if we do not consummate an initial business combination within 24 months from the closing of this offering or (B) with respect to any other provisions relating to the rights of holders of our Class A ordinary shares; or (iii) absent our completing an initial business combination within 24 months from the closing of this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78" w:lineRule="exact"/>
        <w:rPr>
          <w:sz w:val="20"/>
          <w:szCs w:val="20"/>
          <w:color w:val="auto"/>
        </w:rPr>
      </w:pPr>
    </w:p>
    <w:p>
      <w:pPr>
        <w:ind w:left="460" w:right="579"/>
        <w:spacing w:after="0" w:line="266"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99"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162" w:lineRule="exact"/>
        <w:rPr>
          <w:sz w:val="20"/>
          <w:szCs w:val="20"/>
          <w:color w:val="auto"/>
        </w:rPr>
      </w:pPr>
    </w:p>
    <w:p>
      <w:pPr>
        <w:ind w:left="460" w:right="619"/>
        <w:spacing w:after="0" w:line="266" w:lineRule="auto"/>
        <w:rPr>
          <w:sz w:val="20"/>
          <w:szCs w:val="20"/>
          <w:color w:val="auto"/>
        </w:rPr>
      </w:pPr>
      <w:r>
        <w:rPr>
          <w:rFonts w:ascii="Arial" w:cs="Arial" w:eastAsia="Arial" w:hAnsi="Arial"/>
          <w:sz w:val="18"/>
          <w:szCs w:val="18"/>
          <w:b w:val="1"/>
          <w:bCs w:val="1"/>
          <w:color w:val="auto"/>
        </w:rPr>
        <w:t>If we have not consummated an initial business combination within 24 months from the closing of this offering, our public shareholders may be forced to wait beyond such 24 months before redemption from our trust account.</w:t>
      </w:r>
    </w:p>
    <w:p>
      <w:pPr>
        <w:spacing w:after="0" w:line="112"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If we have not consummated an initial business combination within 24 months from the closing of this offering, the proceeds then on deposit in the trust account, including interest earned on 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24 months from the closing of this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we consummate our initial business combination prior thereto and only then in cases where investors have sought to redeem their Class A ordinary shares. Only upon our redemption or any liquidation will public shareholders be entitled to distributions if we are unable to complete our initial business combination.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383" w:lineRule="exact"/>
        <w:rPr>
          <w:sz w:val="20"/>
          <w:szCs w:val="20"/>
          <w:color w:val="auto"/>
        </w:rPr>
      </w:pPr>
    </w:p>
    <w:p>
      <w:pPr>
        <w:ind w:left="460" w:right="699"/>
        <w:spacing w:after="0" w:line="282" w:lineRule="auto"/>
        <w:rPr>
          <w:sz w:val="20"/>
          <w:szCs w:val="20"/>
          <w:color w:val="auto"/>
        </w:rPr>
      </w:pPr>
      <w:r>
        <w:rPr>
          <w:rFonts w:ascii="Arial" w:cs="Arial" w:eastAsia="Arial" w:hAnsi="Arial"/>
          <w:sz w:val="18"/>
          <w:szCs w:val="18"/>
          <w:b w:val="1"/>
          <w:bCs w:val="1"/>
          <w:color w:val="auto"/>
        </w:rPr>
        <w:t>Our shareholders may be held liable for claims by third parties against us to the extent of distributions received by them upon redemption of their shares.</w:t>
      </w:r>
    </w:p>
    <w:p>
      <w:pPr>
        <w:spacing w:after="0" w:line="9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right="779"/>
        <w:spacing w:after="0" w:line="263" w:lineRule="auto"/>
        <w:rPr>
          <w:sz w:val="20"/>
          <w:szCs w:val="20"/>
          <w:color w:val="auto"/>
        </w:rPr>
      </w:pPr>
      <w:r>
        <w:rPr>
          <w:rFonts w:ascii="Arial" w:cs="Arial" w:eastAsia="Arial" w:hAnsi="Arial"/>
          <w:sz w:val="18"/>
          <w:szCs w:val="18"/>
          <w:color w:val="auto"/>
        </w:rPr>
        <w:t>share premium account while we were unable to pay our debts as they fall due in the ordinary course of business would be guilty of an offence and may be liable for a fine of $18,292.68 and imprisonment for five years in the Cayman Islands.</w:t>
      </w:r>
    </w:p>
    <w:p>
      <w:pPr>
        <w:spacing w:after="0" w:line="180" w:lineRule="exact"/>
        <w:rPr>
          <w:sz w:val="20"/>
          <w:szCs w:val="20"/>
          <w:color w:val="auto"/>
        </w:rPr>
      </w:pPr>
    </w:p>
    <w:p>
      <w:pPr>
        <w:ind w:left="460" w:right="599"/>
        <w:spacing w:after="0" w:line="282" w:lineRule="auto"/>
        <w:rPr>
          <w:sz w:val="20"/>
          <w:szCs w:val="20"/>
          <w:color w:val="auto"/>
        </w:rPr>
      </w:pPr>
      <w:r>
        <w:rPr>
          <w:rFonts w:ascii="Arial" w:cs="Arial" w:eastAsia="Arial" w:hAnsi="Arial"/>
          <w:sz w:val="18"/>
          <w:szCs w:val="18"/>
          <w:b w:val="1"/>
          <w:bCs w:val="1"/>
          <w:color w:val="auto"/>
        </w:rPr>
        <w:t>We may not hold an annual meeting of shareholders until after the consummation of our initial business combination.</w:t>
      </w:r>
    </w:p>
    <w:p>
      <w:pPr>
        <w:spacing w:after="0" w:line="85"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In accordance with the NYSE corporate governance requirements, we are not required to hold an annual meeting until no later than one year after our first fiscal year end following our listing on the NYSE. There is no requirement under the Companies Law for us to hold annual or general meetings to elect directors. Until we hold an annual meeting of shareholders,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meeting of shareholders) serving a three-year term.</w:t>
      </w:r>
    </w:p>
    <w:p>
      <w:pPr>
        <w:spacing w:after="0" w:line="162" w:lineRule="exact"/>
        <w:rPr>
          <w:sz w:val="20"/>
          <w:szCs w:val="20"/>
          <w:color w:val="auto"/>
        </w:rPr>
      </w:pPr>
    </w:p>
    <w:p>
      <w:pPr>
        <w:ind w:left="460" w:right="639"/>
        <w:spacing w:after="0" w:line="282" w:lineRule="auto"/>
        <w:rPr>
          <w:sz w:val="20"/>
          <w:szCs w:val="20"/>
          <w:color w:val="auto"/>
        </w:rPr>
      </w:pPr>
      <w:r>
        <w:rPr>
          <w:rFonts w:ascii="Arial" w:cs="Arial" w:eastAsia="Arial" w:hAnsi="Arial"/>
          <w:sz w:val="18"/>
          <w:szCs w:val="18"/>
          <w:b w:val="1"/>
          <w:bCs w:val="1"/>
          <w:color w:val="auto"/>
        </w:rPr>
        <w:t>Holders of Class A ordinary shares will not be entitled to vote on any election of directors we hold prior to our initial business combination.</w:t>
      </w:r>
    </w:p>
    <w:p>
      <w:pPr>
        <w:spacing w:after="0" w:line="98"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spacing w:after="0" w:line="157" w:lineRule="exact"/>
        <w:rPr>
          <w:sz w:val="20"/>
          <w:szCs w:val="20"/>
          <w:color w:val="auto"/>
        </w:rPr>
      </w:pPr>
    </w:p>
    <w:p>
      <w:pPr>
        <w:ind w:left="460" w:right="559"/>
        <w:spacing w:after="0" w:line="261" w:lineRule="auto"/>
        <w:rPr>
          <w:sz w:val="20"/>
          <w:szCs w:val="20"/>
          <w:color w:val="auto"/>
        </w:rPr>
      </w:pPr>
      <w:r>
        <w:rPr>
          <w:rFonts w:ascii="Arial" w:cs="Arial" w:eastAsia="Arial" w:hAnsi="Arial"/>
          <w:sz w:val="18"/>
          <w:szCs w:val="18"/>
          <w:b w:val="1"/>
          <w:b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and causing such warrants to expire worthless.</w:t>
      </w:r>
    </w:p>
    <w:p>
      <w:pPr>
        <w:spacing w:after="0" w:line="116"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We are not registering the Class A ordinary shares issuable upon exercise of the warrants under the Securities Act or any state securities laws at this time. However, under the terms of the warrant agreement, we have agreed to use our commercially reasonable efforts to file a registration statement under the Securities Act covering such shares and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unless an exemption is available. In no event will we be required to net cash settle any warrant, or issue securities or other compensation in exchange for the warrants in the event that we are unable to register or qualify the shares underlying the warrants under the Securities Act or applicable state securities laws.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There may be a circumstance where an exemption from registration exists for holders of our private placement warrants to exercise their warrants while a corresponding exemption does not exist for holders of the warrants included as part of units sold in this offering. In such an instance, our sponsor and its transferees (which may include our directors and executive officers) would be able to sell the ordinary shares underlying their warrants while holders of our public warrants would not be able to exercise their warrants and sell the underlying ordinary shares. If and when the warrants become redeemable by us, we may exercise our redemption right even if we are unable to register or qualify the underlying securities for sale under all applicable state securities laws.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ind w:left="460" w:right="579"/>
        <w:spacing w:after="0" w:line="277" w:lineRule="auto"/>
        <w:rPr>
          <w:sz w:val="20"/>
          <w:szCs w:val="20"/>
          <w:color w:val="auto"/>
        </w:rPr>
      </w:pPr>
      <w:r>
        <w:rPr>
          <w:rFonts w:ascii="Arial" w:cs="Arial" w:eastAsia="Arial" w:hAnsi="Arial"/>
          <w:sz w:val="17"/>
          <w:szCs w:val="17"/>
          <w:b w:val="1"/>
          <w:bCs w:val="1"/>
          <w:color w:val="auto"/>
        </w:rPr>
        <w:t>Our ability to require holders of our warrants to exercise such warrants on a cashless basis after we call the warrants for redemption or if there is no effective registration statement covering the Class A ordinary shares issuable upon exercise of these warrants will cause holders to receive fewer Class A ordinary shares upon their exercise of the warrants than they would have received had they been able to pay the exercise price of their warrants in cash.</w:t>
      </w:r>
    </w:p>
    <w:p>
      <w:pPr>
        <w:spacing w:after="0" w:line="10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If we call the warrants for redemption, we will have the option, in our sole discretion, to require all holders that wish to exercise warrants to do so on a cashless basis. If we choose to require holders to exercise their warrants on a cashless basis or if holders elect to do so when there is no effective registration statement, the number of Class A ordinary shares received by a holder upon exercise will be fewer than it would have been had such holder exercised his or her warrant for cash. For example, if the holder is exercising 875 public warrants at $11.50 per share through a cashless exercise when the Class A ordinary shares have a fair market value of $17.50 per share, then upon the cashless exercise, the holder will receive 300 Class A ordinary shares. The holder would have received 875 Class A ordinary shares if the exercise price was paid in cash. This will have the effect of reducing the potential “upside” of the holder’s investment in our company because the warrant holder will hold a smaller number of Class A ordinary shares upon a cashless exercise of the warrants they hold.</w:t>
      </w:r>
    </w:p>
    <w:p>
      <w:pPr>
        <w:spacing w:after="0" w:line="178" w:lineRule="exact"/>
        <w:rPr>
          <w:sz w:val="20"/>
          <w:szCs w:val="20"/>
          <w:color w:val="auto"/>
        </w:rPr>
      </w:pPr>
    </w:p>
    <w:p>
      <w:pPr>
        <w:ind w:left="460" w:right="519"/>
        <w:spacing w:after="0" w:line="282" w:lineRule="auto"/>
        <w:rPr>
          <w:sz w:val="20"/>
          <w:szCs w:val="20"/>
          <w:color w:val="auto"/>
        </w:rPr>
      </w:pPr>
      <w:r>
        <w:rPr>
          <w:rFonts w:ascii="Arial" w:cs="Arial" w:eastAsia="Arial" w:hAnsi="Arial"/>
          <w:sz w:val="18"/>
          <w:szCs w:val="18"/>
          <w:b w:val="1"/>
          <w:bCs w:val="1"/>
          <w:color w:val="auto"/>
        </w:rPr>
        <w:t>The warrants may become exercisable for a security other than the Class A ordinary shares, and you will not have any information regarding such other security at this time.</w:t>
      </w:r>
    </w:p>
    <w:p>
      <w:pPr>
        <w:spacing w:after="0" w:line="85"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In certain situations, including if we are not the surviving entity in our initial business combination, the warrants may become exercisable for a security other than the Class A ordinary shares. Pursuant to the warrant agreement, the surviving company will be required to use commercially reasonable efforts to register the issuance of the security underlying the warrants within 20 business days of the closing of an initial business combination.</w:t>
      </w:r>
    </w:p>
    <w:p>
      <w:pPr>
        <w:spacing w:after="0" w:line="184" w:lineRule="exact"/>
        <w:rPr>
          <w:sz w:val="20"/>
          <w:szCs w:val="20"/>
          <w:color w:val="auto"/>
        </w:rPr>
      </w:pPr>
    </w:p>
    <w:p>
      <w:pPr>
        <w:jc w:val="both"/>
        <w:ind w:left="460" w:right="499"/>
        <w:spacing w:after="0" w:line="266" w:lineRule="auto"/>
        <w:rPr>
          <w:sz w:val="20"/>
          <w:szCs w:val="20"/>
          <w:color w:val="auto"/>
        </w:rPr>
      </w:pPr>
      <w:r>
        <w:rPr>
          <w:rFonts w:ascii="Arial" w:cs="Arial" w:eastAsia="Arial" w:hAnsi="Arial"/>
          <w:sz w:val="18"/>
          <w:szCs w:val="18"/>
          <w:b w:val="1"/>
          <w:bCs w:val="1"/>
          <w:color w:val="auto"/>
        </w:rPr>
        <w:t>The grant of registration rights to our sponsor may make it more difficult to complete our initial business combination, and the future exercise of such rights may adversely affect the market price of our Class A ordinary shares.</w:t>
      </w:r>
    </w:p>
    <w:p>
      <w:pPr>
        <w:spacing w:after="0" w:line="112"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Pursuant to an agreement to be entered into on or prior to the closing of this offering, our sponsor and its permitted transferees can demand that we register the Class A ordinary shares into which founder shares are convertible, the private placement warrants and the Class A ordinary shares issuable upon exercise of the private placement warrants, and warrants that may be issued upon conversion of working capital loans and the Class A ordinary shares issuable upon conversion of such warrants. The registration rights will be exercisable with respect to the founder shares and the private placement warrants and the Class A ordinary shares issuable upon exercise of such private placement warrants.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securities owned by our sponsor or its permitted transferees are registered.</w:t>
      </w:r>
    </w:p>
    <w:p>
      <w:pPr>
        <w:spacing w:after="0" w:line="170" w:lineRule="exact"/>
        <w:rPr>
          <w:sz w:val="20"/>
          <w:szCs w:val="20"/>
          <w:color w:val="auto"/>
        </w:rPr>
      </w:pPr>
    </w:p>
    <w:p>
      <w:pPr>
        <w:jc w:val="both"/>
        <w:ind w:left="460" w:right="519"/>
        <w:spacing w:after="0" w:line="314" w:lineRule="auto"/>
        <w:rPr>
          <w:sz w:val="20"/>
          <w:szCs w:val="20"/>
          <w:color w:val="auto"/>
        </w:rPr>
      </w:pPr>
      <w:r>
        <w:rPr>
          <w:rFonts w:ascii="Arial" w:cs="Arial" w:eastAsia="Arial" w:hAnsi="Arial"/>
          <w:sz w:val="16"/>
          <w:szCs w:val="16"/>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78"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may pursue business combination opportunities in any sector, except that we will not, under our amended and restated memorandum and articles of association,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 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w:t>
      </w:r>
    </w:p>
    <w:p>
      <w:pPr>
        <w:sectPr>
          <w:pgSz w:w="11900" w:h="16838" w:orient="portrait"/>
          <w:cols w:equalWidth="0" w:num="1">
            <w:col w:w="9019"/>
          </w:cols>
          <w:pgMar w:left="1440" w:top="337"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4" w:name="page45"/>
    <w:bookmarkEnd w:id="44"/>
    <w:p>
      <w:pPr>
        <w:ind w:left="460" w:right="539"/>
        <w:spacing w:after="0" w:line="288" w:lineRule="auto"/>
        <w:rPr>
          <w:sz w:val="20"/>
          <w:szCs w:val="20"/>
          <w:color w:val="auto"/>
        </w:rPr>
      </w:pPr>
      <w:r>
        <w:rPr>
          <w:rFonts w:ascii="Arial" w:cs="Arial" w:eastAsia="Arial" w:hAnsi="Arial"/>
          <w:sz w:val="16"/>
          <w:szCs w:val="16"/>
          <w:color w:val="auto"/>
        </w:rPr>
        <w:t>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shareholders who choose to remain shareholders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64" w:lineRule="exact"/>
        <w:rPr>
          <w:sz w:val="20"/>
          <w:szCs w:val="20"/>
          <w:color w:val="auto"/>
        </w:rPr>
      </w:pPr>
    </w:p>
    <w:p>
      <w:pPr>
        <w:ind w:left="460" w:right="719"/>
        <w:spacing w:after="0" w:line="282" w:lineRule="auto"/>
        <w:rPr>
          <w:sz w:val="20"/>
          <w:szCs w:val="20"/>
          <w:color w:val="auto"/>
        </w:rPr>
      </w:pPr>
      <w:r>
        <w:rPr>
          <w:rFonts w:ascii="Arial" w:cs="Arial" w:eastAsia="Arial" w:hAnsi="Arial"/>
          <w:sz w:val="18"/>
          <w:szCs w:val="18"/>
          <w:b w:val="1"/>
          <w:bCs w:val="1"/>
          <w:color w:val="auto"/>
        </w:rPr>
        <w:t>We may seek acquisition opportunities in industries or sectors which may or may not be outside of our management’s area of expertise.</w:t>
      </w:r>
    </w:p>
    <w:p>
      <w:pPr>
        <w:spacing w:after="0" w:line="85"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will consider a business combination outside of our management’s area of expertise if a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Accordingly, any shareholder who choose to remain shareholders following our business combination could suffer a reduction in the value of their shares. Such shareholders are unlikely to have a remedy for such reduction in value.</w:t>
      </w:r>
    </w:p>
    <w:p>
      <w:pPr>
        <w:spacing w:after="0" w:line="170" w:lineRule="exact"/>
        <w:rPr>
          <w:sz w:val="20"/>
          <w:szCs w:val="20"/>
          <w:color w:val="auto"/>
        </w:rPr>
      </w:pPr>
    </w:p>
    <w:p>
      <w:pPr>
        <w:ind w:left="460" w:right="499"/>
        <w:spacing w:after="0" w:line="298" w:lineRule="auto"/>
        <w:rPr>
          <w:sz w:val="20"/>
          <w:szCs w:val="20"/>
          <w:color w:val="auto"/>
        </w:rPr>
      </w:pPr>
      <w:r>
        <w:rPr>
          <w:rFonts w:ascii="Arial" w:cs="Arial" w:eastAsia="Arial" w:hAnsi="Arial"/>
          <w:sz w:val="16"/>
          <w:szCs w:val="16"/>
          <w:b w:val="1"/>
          <w:bCs w:val="1"/>
          <w:color w:val="auto"/>
        </w:rPr>
        <w:t>Although we have identified general criteria and guidelines that we believe are important in evaluating prospective target businesses and our strategy will be to identify, acquire and build a company in the sustainable sector,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90"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and our strategy will be to identify, acquire and build a company in the sustainable sector,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67" w:lineRule="exact"/>
        <w:rPr>
          <w:sz w:val="20"/>
          <w:szCs w:val="20"/>
          <w:color w:val="auto"/>
        </w:rPr>
      </w:pPr>
    </w:p>
    <w:p>
      <w:pPr>
        <w:jc w:val="both"/>
        <w:ind w:left="460" w:right="679"/>
        <w:spacing w:after="0" w:line="289" w:lineRule="auto"/>
        <w:rPr>
          <w:sz w:val="20"/>
          <w:szCs w:val="20"/>
          <w:color w:val="auto"/>
        </w:rPr>
      </w:pPr>
      <w:r>
        <w:rPr>
          <w:rFonts w:ascii="Arial" w:cs="Arial" w:eastAsia="Arial" w:hAnsi="Arial"/>
          <w:sz w:val="17"/>
          <w:szCs w:val="17"/>
          <w:b w:val="1"/>
          <w:bCs w:val="1"/>
          <w:color w:val="auto"/>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spacing w:after="0" w:line="94"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accounting firm or independent investment banking firm which is a member of FINRA that the price we are paying is fair to our shareholders from a financial point of view. If no opinion is obtained, our shareholders will be relying on the 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5" w:name="page46"/>
    <w:bookmarkEnd w:id="45"/>
    <w:p>
      <w:pPr>
        <w:ind w:left="460" w:right="659"/>
        <w:spacing w:after="0" w:line="256" w:lineRule="auto"/>
        <w:rPr>
          <w:sz w:val="20"/>
          <w:szCs w:val="20"/>
          <w:color w:val="auto"/>
        </w:rPr>
      </w:pPr>
      <w:r>
        <w:rPr>
          <w:rFonts w:ascii="Arial" w:cs="Arial" w:eastAsia="Arial" w:hAnsi="Arial"/>
          <w:sz w:val="18"/>
          <w:szCs w:val="18"/>
          <w:b w:val="1"/>
          <w:bCs w:val="1"/>
          <w:color w:val="auto"/>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therein. Any such issuances would dilute the interest of our shareholders and likely present other risks.</w:t>
      </w:r>
    </w:p>
    <w:p>
      <w:pPr>
        <w:spacing w:after="0" w:line="124"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Our amended and restated memorandum and articles of association will authorize the issuance of up to 300,000,000 Class A ordinary shares, par value $0.0001 per share, 30,000,000 Class B ordinary shares, par value $0.0001 per share, and 1,000,000 preference shares, par value $0.0001 per share. Immediately after this offering, there will be 270,000,000 and 22,500,000 (assuming in each case that the underwriter has not exercised its over-allotment option)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if any. The Class B ordinary shares will automatically convert into Class A ordinary shares at the time of our initial business combination as described herein and in our amended and restated memorandum and articles of association. Immediately after this offering, there will be no preference shares issued and outstanding.</w:t>
      </w:r>
    </w:p>
    <w:p>
      <w:pPr>
        <w:spacing w:after="0" w:line="87"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may issue a substantial number of additional Class A ordinary shares or preference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or in connection with our initial business combination, we may not issue additional shares that would entitle the holders thereof 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111" w:lineRule="exact"/>
        <w:rPr>
          <w:sz w:val="20"/>
          <w:szCs w:val="20"/>
          <w:color w:val="auto"/>
        </w:rPr>
      </w:pPr>
    </w:p>
    <w:p>
      <w:pPr>
        <w:ind w:left="1320" w:right="559" w:hanging="434"/>
        <w:spacing w:after="0" w:line="259"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119"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89" w:lineRule="exact"/>
        <w:rPr>
          <w:rFonts w:ascii="Arial" w:cs="Arial" w:eastAsia="Arial" w:hAnsi="Arial"/>
          <w:sz w:val="18"/>
          <w:szCs w:val="18"/>
          <w:color w:val="auto"/>
        </w:rPr>
      </w:pPr>
    </w:p>
    <w:p>
      <w:pPr>
        <w:jc w:val="both"/>
        <w:ind w:left="1320" w:right="719" w:hanging="434"/>
        <w:spacing w:after="0" w:line="311" w:lineRule="auto"/>
        <w:tabs>
          <w:tab w:leader="none" w:pos="1311" w:val="left"/>
        </w:tabs>
        <w:numPr>
          <w:ilvl w:val="0"/>
          <w:numId w:val="19"/>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81" w:lineRule="exact"/>
        <w:rPr>
          <w:rFonts w:ascii="Arial" w:cs="Arial" w:eastAsia="Arial" w:hAnsi="Arial"/>
          <w:sz w:val="16"/>
          <w:szCs w:val="16"/>
          <w:color w:val="auto"/>
        </w:rPr>
      </w:pPr>
    </w:p>
    <w:p>
      <w:pPr>
        <w:ind w:left="1320" w:right="107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102"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221" w:lineRule="exact"/>
        <w:rPr>
          <w:sz w:val="20"/>
          <w:szCs w:val="20"/>
          <w:color w:val="auto"/>
        </w:rPr>
      </w:pPr>
    </w:p>
    <w:p>
      <w:pPr>
        <w:ind w:left="460" w:right="599"/>
        <w:spacing w:after="0" w:line="312" w:lineRule="auto"/>
        <w:rPr>
          <w:sz w:val="20"/>
          <w:szCs w:val="20"/>
          <w:color w:val="auto"/>
        </w:rPr>
      </w:pPr>
      <w:r>
        <w:rPr>
          <w:rFonts w:ascii="Arial" w:cs="Arial" w:eastAsia="Arial" w:hAnsi="Arial"/>
          <w:sz w:val="17"/>
          <w:szCs w:val="17"/>
          <w:b w:val="1"/>
          <w:bCs w:val="1"/>
          <w:color w:val="auto"/>
        </w:rPr>
        <w:t>Unlike most other similarly structured blank check companies, our sponsor will receive additional Class A ordinary shares if we issue shares to consummate an initial business combination.</w:t>
      </w:r>
    </w:p>
    <w:p>
      <w:pPr>
        <w:spacing w:after="0" w:line="76"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In</w:t>
      </w:r>
    </w:p>
    <w:p>
      <w:pPr>
        <w:sectPr>
          <w:pgSz w:w="11900" w:h="16838" w:orient="portrait"/>
          <w:cols w:equalWidth="0" w:num="1">
            <w:col w:w="9019"/>
          </w:cols>
          <w:pgMar w:left="1440" w:top="337" w:right="1440"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6" w:name="page47"/>
    <w:bookmarkEnd w:id="46"/>
    <w:p>
      <w:pPr>
        <w:ind w:left="460" w:right="599"/>
        <w:spacing w:after="0" w:line="259" w:lineRule="auto"/>
        <w:rPr>
          <w:sz w:val="20"/>
          <w:szCs w:val="20"/>
          <w:color w:val="auto"/>
        </w:rPr>
      </w:pPr>
      <w:r>
        <w:rPr>
          <w:rFonts w:ascii="Arial" w:cs="Arial" w:eastAsia="Arial" w:hAnsi="Arial"/>
          <w:sz w:val="18"/>
          <w:szCs w:val="18"/>
          <w:color w:val="auto"/>
        </w:rPr>
        <w:t>no event will the Class B ordinary shares convert into Class A ordinary shares at a rate of less than one-to-one. This is different than most other similarly structured blank check companies in which the initial shareholders will only be issued an aggregate of 20% of the total number of shares to be outstanding prior to the initial business combination.</w:t>
      </w:r>
    </w:p>
    <w:p>
      <w:pPr>
        <w:spacing w:after="0" w:line="183" w:lineRule="exact"/>
        <w:rPr>
          <w:sz w:val="20"/>
          <w:szCs w:val="20"/>
          <w:color w:val="auto"/>
        </w:rPr>
      </w:pPr>
    </w:p>
    <w:p>
      <w:pPr>
        <w:ind w:left="460" w:right="639"/>
        <w:spacing w:after="0" w:line="258" w:lineRule="auto"/>
        <w:rPr>
          <w:sz w:val="20"/>
          <w:szCs w:val="20"/>
          <w:color w:val="auto"/>
        </w:rPr>
      </w:pPr>
      <w:r>
        <w:rPr>
          <w:rFonts w:ascii="Arial" w:cs="Arial" w:eastAsia="Arial" w:hAnsi="Arial"/>
          <w:sz w:val="18"/>
          <w:szCs w:val="18"/>
          <w:b w:val="1"/>
          <w:bCs w:val="1"/>
          <w:color w:val="auto"/>
        </w:rPr>
        <w:t>Resources could be wasted in researching acquisitions that are not completed,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06"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78" w:lineRule="exact"/>
        <w:rPr>
          <w:sz w:val="20"/>
          <w:szCs w:val="20"/>
          <w:color w:val="auto"/>
        </w:rPr>
      </w:pPr>
    </w:p>
    <w:p>
      <w:pPr>
        <w:ind w:left="460" w:right="779"/>
        <w:spacing w:after="0" w:line="282" w:lineRule="auto"/>
        <w:rPr>
          <w:sz w:val="20"/>
          <w:szCs w:val="20"/>
          <w:color w:val="auto"/>
        </w:rPr>
      </w:pPr>
      <w:r>
        <w:rPr>
          <w:rFonts w:ascii="Arial" w:cs="Arial" w:eastAsia="Arial" w:hAnsi="Arial"/>
          <w:sz w:val="18"/>
          <w:szCs w:val="18"/>
          <w:b w:val="1"/>
          <w:bCs w:val="1"/>
          <w:color w:val="auto"/>
        </w:rPr>
        <w:t>We may be a passive foreign investment company, or PFIC, which could result in adverse U.S. federal income tax consequences to U.S. investors.</w:t>
      </w:r>
    </w:p>
    <w:p>
      <w:pPr>
        <w:spacing w:after="0" w:line="98"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 (as defined in the section of this prospectus captioned “Taxation — United States Federal Income Tax Considerations — 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“Taxation — United States Federal Income Tax Considerations — U.S. Holders — 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tax advisors regarding the possible application of the PFIC rules. For a more detailed discussion of the tax consequences of PFIC classification to U.S. Holders, see the section of this prospectus captioned “Taxation — United States Federal Income Tax Considerations — U.S. Holders — Passive Foreign Investment Company Rules.”</w:t>
      </w:r>
    </w:p>
    <w:p>
      <w:pPr>
        <w:spacing w:after="0" w:line="183" w:lineRule="exact"/>
        <w:rPr>
          <w:sz w:val="20"/>
          <w:szCs w:val="20"/>
          <w:color w:val="auto"/>
        </w:rPr>
      </w:pPr>
    </w:p>
    <w:p>
      <w:pPr>
        <w:ind w:left="460" w:right="779"/>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such reincorporation may result in taxes imposed on shareholders.</w:t>
      </w:r>
    </w:p>
    <w:p>
      <w:pPr>
        <w:spacing w:after="0" w:line="9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or warrant holder to recognize taxable income in the jurisdiction in which the shareholder or warrant holder is a tax resident or in which its members are resident if it is a tax transparent entity. We do not intend to make any cash distributions to shareholders or warrant holders to pay such taxes. Shareholders or warrant holders may be subject to withholding taxes or other taxes with respect to their ownership of us after the reincorporation.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7" w:name="page48"/>
    <w:bookmarkEnd w:id="47"/>
    <w:p>
      <w:pPr>
        <w:ind w:left="460" w:right="599"/>
        <w:spacing w:after="0" w:line="289" w:lineRule="auto"/>
        <w:rPr>
          <w:sz w:val="20"/>
          <w:szCs w:val="20"/>
          <w:color w:val="auto"/>
        </w:rPr>
      </w:pPr>
      <w:r>
        <w:rPr>
          <w:rFonts w:ascii="Arial" w:cs="Arial" w:eastAsia="Arial" w:hAnsi="Arial"/>
          <w:sz w:val="17"/>
          <w:szCs w:val="17"/>
          <w:b w:val="1"/>
          <w:b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94"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57" w:lineRule="exact"/>
        <w:rPr>
          <w:sz w:val="20"/>
          <w:szCs w:val="20"/>
          <w:color w:val="auto"/>
        </w:rPr>
      </w:pPr>
    </w:p>
    <w:p>
      <w:pPr>
        <w:ind w:left="460" w:right="899"/>
        <w:spacing w:after="0" w:line="282" w:lineRule="auto"/>
        <w:rPr>
          <w:sz w:val="20"/>
          <w:szCs w:val="20"/>
          <w:color w:val="auto"/>
        </w:rPr>
      </w:pPr>
      <w:r>
        <w:rPr>
          <w:rFonts w:ascii="Arial" w:cs="Arial" w:eastAsia="Arial" w:hAnsi="Arial"/>
          <w:sz w:val="18"/>
          <w:szCs w:val="18"/>
          <w:b w:val="1"/>
          <w:bCs w:val="1"/>
          <w:color w:val="auto"/>
        </w:rPr>
        <w:t>We are dependent upon our executive officers and directors and their loss could adversely affect our ability to operate.</w:t>
      </w:r>
    </w:p>
    <w:p>
      <w:pPr>
        <w:spacing w:after="0" w:line="85"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w:t>
      </w:r>
    </w:p>
    <w:p>
      <w:pPr>
        <w:spacing w:after="0" w:line="99"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The unexpected loss of the services of one or more of our directors or executive officers could have a detrimental effect on us.</w:t>
      </w:r>
    </w:p>
    <w:p>
      <w:pPr>
        <w:spacing w:after="0" w:line="166" w:lineRule="exact"/>
        <w:rPr>
          <w:sz w:val="20"/>
          <w:szCs w:val="20"/>
          <w:color w:val="auto"/>
        </w:rPr>
      </w:pPr>
    </w:p>
    <w:p>
      <w:pPr>
        <w:jc w:val="both"/>
        <w:ind w:left="460" w:right="599"/>
        <w:spacing w:after="0" w:line="261"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116"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director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92" w:lineRule="exact"/>
        <w:rPr>
          <w:sz w:val="20"/>
          <w:szCs w:val="20"/>
          <w:color w:val="auto"/>
        </w:rPr>
      </w:pPr>
    </w:p>
    <w:p>
      <w:pPr>
        <w:ind w:left="460" w:right="559"/>
        <w:spacing w:after="0" w:line="256" w:lineRule="auto"/>
        <w:rPr>
          <w:sz w:val="20"/>
          <w:szCs w:val="20"/>
          <w:color w:val="auto"/>
        </w:rPr>
      </w:pPr>
      <w:r>
        <w:rPr>
          <w:rFonts w:ascii="Arial" w:cs="Arial" w:eastAsia="Arial" w:hAnsi="Arial"/>
          <w:sz w:val="18"/>
          <w:szCs w:val="18"/>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0"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In addition,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8" w:name="page49"/>
    <w:bookmarkEnd w:id="48"/>
    <w:p>
      <w:pPr>
        <w:jc w:val="both"/>
        <w:ind w:left="460" w:right="579"/>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112"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shareholders who choose to remain shareholders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64" w:lineRule="exact"/>
        <w:rPr>
          <w:sz w:val="20"/>
          <w:szCs w:val="20"/>
          <w:color w:val="auto"/>
        </w:rPr>
      </w:pPr>
    </w:p>
    <w:p>
      <w:pPr>
        <w:ind w:left="460" w:right="579"/>
        <w:spacing w:after="0" w:line="266" w:lineRule="auto"/>
        <w:rPr>
          <w:sz w:val="20"/>
          <w:szCs w:val="20"/>
          <w:color w:val="auto"/>
        </w:rPr>
      </w:pPr>
      <w:r>
        <w:rPr>
          <w:rFonts w:ascii="Arial" w:cs="Arial" w:eastAsia="Arial" w:hAnsi="Arial"/>
          <w:sz w:val="18"/>
          <w:szCs w:val="18"/>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9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57" w:lineRule="exact"/>
        <w:rPr>
          <w:sz w:val="20"/>
          <w:szCs w:val="20"/>
          <w:color w:val="auto"/>
        </w:rPr>
      </w:pPr>
    </w:p>
    <w:p>
      <w:pPr>
        <w:ind w:left="460" w:right="619"/>
        <w:spacing w:after="0" w:line="314" w:lineRule="auto"/>
        <w:rPr>
          <w:sz w:val="20"/>
          <w:szCs w:val="20"/>
          <w:color w:val="auto"/>
        </w:rPr>
      </w:pPr>
      <w:r>
        <w:rPr>
          <w:rFonts w:ascii="Arial" w:cs="Arial" w:eastAsia="Arial" w:hAnsi="Arial"/>
          <w:sz w:val="16"/>
          <w:szCs w:val="16"/>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65"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or she may be entitled to substantial compensation, and our executive officers are not obligated to contribute any specific number of hours per week to our affairs. Our directors also serve as officers and board members for other entities, and may also serve as officers and/or directors for other special purpose acquisition companies.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Directors and Director Nominees.”</w:t>
      </w:r>
    </w:p>
    <w:p>
      <w:pPr>
        <w:spacing w:after="0" w:line="137" w:lineRule="exact"/>
        <w:rPr>
          <w:sz w:val="20"/>
          <w:szCs w:val="20"/>
          <w:color w:val="auto"/>
        </w:rPr>
      </w:pPr>
    </w:p>
    <w:p>
      <w:pPr>
        <w:ind w:left="460" w:right="579"/>
        <w:spacing w:after="0" w:line="261" w:lineRule="auto"/>
        <w:rPr>
          <w:sz w:val="20"/>
          <w:szCs w:val="20"/>
          <w:color w:val="auto"/>
        </w:rPr>
      </w:pPr>
      <w:r>
        <w:rPr>
          <w:rFonts w:ascii="Arial" w:cs="Arial" w:eastAsia="Arial" w:hAnsi="Arial"/>
          <w:sz w:val="18"/>
          <w:szCs w:val="18"/>
          <w:b w:val="1"/>
          <w:bCs w:val="1"/>
          <w:color w:val="auto"/>
        </w:rPr>
        <w:t>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103"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or entities. Certain of our officers and directors presently has, and any of them in the future may have, additional fiduciary or contractual obligations to other entities pursuant to which such officer or director is or will be required to present a business combination opportunity to such entity, subject to his or her fiduciary duties under Cayman Islands law.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9" w:name="page50"/>
    <w:bookmarkEnd w:id="49"/>
    <w:p>
      <w:pPr>
        <w:ind w:left="460" w:right="479" w:firstLine="432"/>
        <w:spacing w:after="0" w:line="270" w:lineRule="auto"/>
        <w:rPr>
          <w:sz w:val="20"/>
          <w:szCs w:val="20"/>
          <w:color w:val="auto"/>
        </w:rPr>
      </w:pPr>
      <w:r>
        <w:rPr>
          <w:rFonts w:ascii="Arial" w:cs="Arial" w:eastAsia="Arial" w:hAnsi="Arial"/>
          <w:sz w:val="17"/>
          <w:szCs w:val="17"/>
          <w:color w:val="auto"/>
        </w:rPr>
        <w:t>In addition, our sponsor, directors and officers may in the future become affiliated with other blank check companies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such other blank check companies prior to its presentation to us, subject to our officers’ and directors’ fiduciary duties under Cayman Islands law. Our amended and restated memorandum and articles of association will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00" w:lineRule="exact"/>
        <w:rPr>
          <w:sz w:val="20"/>
          <w:szCs w:val="20"/>
          <w:color w:val="auto"/>
        </w:rPr>
      </w:pPr>
    </w:p>
    <w:p>
      <w:pPr>
        <w:ind w:left="460" w:right="459" w:firstLine="432"/>
        <w:spacing w:after="0" w:line="311" w:lineRule="auto"/>
        <w:rPr>
          <w:sz w:val="20"/>
          <w:szCs w:val="20"/>
          <w:color w:val="auto"/>
        </w:rPr>
      </w:pPr>
      <w:r>
        <w:rPr>
          <w:rFonts w:ascii="Arial" w:cs="Arial" w:eastAsia="Arial" w:hAnsi="Arial"/>
          <w:sz w:val="16"/>
          <w:szCs w:val="16"/>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118" w:lineRule="exact"/>
        <w:rPr>
          <w:sz w:val="20"/>
          <w:szCs w:val="20"/>
          <w:color w:val="auto"/>
        </w:rPr>
      </w:pPr>
    </w:p>
    <w:p>
      <w:pPr>
        <w:ind w:left="460" w:right="799"/>
        <w:spacing w:after="0" w:line="282" w:lineRule="auto"/>
        <w:rPr>
          <w:sz w:val="20"/>
          <w:szCs w:val="20"/>
          <w:color w:val="auto"/>
        </w:rPr>
      </w:pPr>
      <w:r>
        <w:rPr>
          <w:rFonts w:ascii="Arial" w:cs="Arial" w:eastAsia="Arial" w:hAnsi="Arial"/>
          <w:sz w:val="18"/>
          <w:szCs w:val="18"/>
          <w:b w:val="1"/>
          <w:bCs w:val="1"/>
          <w:color w:val="auto"/>
        </w:rPr>
        <w:t>Our executive officers, directors, security holders and their respective affiliates may have competitive pecuniary interests that conflict with our interests.</w:t>
      </w:r>
    </w:p>
    <w:p>
      <w:pPr>
        <w:spacing w:after="0" w:line="85"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99"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“Description of Securities — Certain Differences in Corporate Law — Shareholders’ Suits” for further information on the ability to bring such claims. However, we might not ultimately be successful in any claim we may make against them for such reason.</w:t>
      </w:r>
    </w:p>
    <w:p>
      <w:pPr>
        <w:spacing w:after="0" w:line="122" w:lineRule="exact"/>
        <w:rPr>
          <w:sz w:val="20"/>
          <w:szCs w:val="20"/>
          <w:color w:val="auto"/>
        </w:rPr>
      </w:pPr>
    </w:p>
    <w:p>
      <w:pPr>
        <w:ind w:left="460" w:right="479"/>
        <w:spacing w:after="0" w:line="266"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112"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light of the involvement of our sponsor, executive officers and directors with other entities, we may decide to acquire one or more businesses or entities affiliated with our sponsor, executive officers, directors or existing holders. Our directors also serve as officers and board members for other entities, including, without limitation, those described under “Management — Conflicts of Interest.” Our sponsor, directors and officers may sponsor, form or participate in other blank check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and may compete with us for business combination opportunities. However, we do not believe that any such potential conflicts would materially affect our ability to complete our initial business combination.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Evaluation of a Target Business and Structuring of Our Initial Business Combination” and such transaction was approved by a majority of our independent and disinterested directors. Despite our agreement to obtain an opinion from an independent investment banking firm which is a member of FINRA or an independent accounting firm regarding the fairness to our company from a financial point of view of a business combination with one or more domestic or international businesses affiliated with our sponsor, executive officers, directors or existing</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right="539"/>
        <w:spacing w:after="0" w:line="308" w:lineRule="auto"/>
        <w:rPr>
          <w:sz w:val="20"/>
          <w:szCs w:val="20"/>
          <w:color w:val="auto"/>
        </w:rPr>
      </w:pPr>
      <w:r>
        <w:rPr>
          <w:rFonts w:ascii="Arial" w:cs="Arial" w:eastAsia="Arial" w:hAnsi="Arial"/>
          <w:sz w:val="17"/>
          <w:szCs w:val="17"/>
          <w:color w:val="auto"/>
        </w:rPr>
        <w:t>holders, potential conflicts of interest still may exist and, as a result, the terms of the business combination may not be as advantageous to our public shareholders as they would be absent any conflicts of interest.</w:t>
      </w:r>
    </w:p>
    <w:p>
      <w:pPr>
        <w:spacing w:after="0" w:line="102" w:lineRule="exact"/>
        <w:rPr>
          <w:sz w:val="20"/>
          <w:szCs w:val="20"/>
          <w:color w:val="auto"/>
        </w:rPr>
      </w:pPr>
    </w:p>
    <w:p>
      <w:pPr>
        <w:ind w:left="460" w:right="559"/>
        <w:spacing w:after="0" w:line="281" w:lineRule="auto"/>
        <w:rPr>
          <w:sz w:val="20"/>
          <w:szCs w:val="20"/>
          <w:color w:val="auto"/>
        </w:rPr>
      </w:pPr>
      <w:r>
        <w:rPr>
          <w:rFonts w:ascii="Arial" w:cs="Arial" w:eastAsia="Arial" w:hAnsi="Arial"/>
          <w:sz w:val="17"/>
          <w:szCs w:val="17"/>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01"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On December 31, 2019, the sponsor paid $25,000, or approximately $0.003 per share, to cover certain of our offering costs in consideration of 8,625,000 Class B ordinary shares, par value $0.0001. In March 2020, our sponsor transferred 30,000 founder shares to each of our independent directors. These 60,000 shares shall not be subject to forfeiture in the event the underwriter’s over-allotment option is not exercised. Prior to the initial investment in the company of $25,000 by the sponsor, the company had no assets, tangible or intangible. The per share price of the founder shares was determined by dividing the amount contributed to the company by the number of founder shares issued. The founder shares will be worthless if we do not complete an initial business combination. In addition, our sponsor has committed, pursuant to a written agreement, to purchase an aggregate of 10,000,000 private placement warrants, each exercisable to purchase one Class A ordinary share at $11.50 per share, at a price of $1.00 per warrant ($10,000,000 in the aggregate), in a private placement that will close simultaneously with the closing of this offering. If we do not consummate an initial business within 24 months from the closing of this offering, the private placement warrants will expire worthless.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24-month anniversary of the closing of this offering nears, which is the deadline for our consummation of an initial business combination.</w:t>
      </w:r>
    </w:p>
    <w:p>
      <w:pPr>
        <w:spacing w:after="0" w:line="388" w:lineRule="exact"/>
        <w:rPr>
          <w:sz w:val="20"/>
          <w:szCs w:val="20"/>
          <w:color w:val="auto"/>
        </w:rPr>
      </w:pPr>
    </w:p>
    <w:p>
      <w:pPr>
        <w:ind w:left="460" w:right="499"/>
        <w:spacing w:after="0" w:line="266"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99"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27" w:lineRule="exact"/>
        <w:rPr>
          <w:sz w:val="20"/>
          <w:szCs w:val="20"/>
          <w:color w:val="auto"/>
        </w:rPr>
      </w:pPr>
    </w:p>
    <w:p>
      <w:pPr>
        <w:ind w:left="1320" w:right="57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102"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02"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02" w:lineRule="exact"/>
        <w:rPr>
          <w:rFonts w:ascii="Arial" w:cs="Arial" w:eastAsia="Arial" w:hAnsi="Arial"/>
          <w:sz w:val="18"/>
          <w:szCs w:val="18"/>
          <w:color w:val="auto"/>
        </w:rPr>
      </w:pPr>
    </w:p>
    <w:p>
      <w:pPr>
        <w:ind w:left="1320" w:right="1119" w:hanging="434"/>
        <w:spacing w:after="0" w:line="342" w:lineRule="auto"/>
        <w:tabs>
          <w:tab w:leader="none" w:pos="1311"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inability to obtain necessary additional financing if the debt security contains covenants restricting our ability to obtain such financing while the debt security is outstanding;</w:t>
      </w:r>
    </w:p>
    <w:p>
      <w:pPr>
        <w:spacing w:after="0" w:line="56" w:lineRule="exact"/>
        <w:rPr>
          <w:rFonts w:ascii="Arial" w:cs="Arial" w:eastAsia="Arial" w:hAnsi="Arial"/>
          <w:sz w:val="16"/>
          <w:szCs w:val="16"/>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44" w:lineRule="exact"/>
        <w:rPr>
          <w:rFonts w:ascii="Arial" w:cs="Arial" w:eastAsia="Arial" w:hAnsi="Arial"/>
          <w:sz w:val="18"/>
          <w:szCs w:val="18"/>
          <w:color w:val="auto"/>
        </w:rPr>
      </w:pPr>
    </w:p>
    <w:p>
      <w:pPr>
        <w:ind w:left="1320" w:right="819" w:hanging="434"/>
        <w:spacing w:after="0" w:line="286" w:lineRule="auto"/>
        <w:tabs>
          <w:tab w:leader="none" w:pos="1311" w:val="left"/>
        </w:tabs>
        <w:numPr>
          <w:ilvl w:val="0"/>
          <w:numId w:val="20"/>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97" w:lineRule="exact"/>
        <w:rPr>
          <w:rFonts w:ascii="Arial" w:cs="Arial" w:eastAsia="Arial" w:hAnsi="Arial"/>
          <w:sz w:val="17"/>
          <w:szCs w:val="17"/>
          <w:color w:val="auto"/>
        </w:rPr>
      </w:pPr>
    </w:p>
    <w:p>
      <w:pPr>
        <w:ind w:left="1320" w:right="93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02"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or prevailing interest rates; and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1" w:name="page52"/>
    <w:bookmarkEnd w:id="51"/>
    <w:p>
      <w:pPr>
        <w:ind w:left="1320" w:right="899" w:hanging="434"/>
        <w:spacing w:after="0" w:line="286" w:lineRule="auto"/>
        <w:tabs>
          <w:tab w:leader="none" w:pos="1311" w:val="left"/>
        </w:tabs>
        <w:numPr>
          <w:ilvl w:val="0"/>
          <w:numId w:val="21"/>
        </w:numPr>
        <w:rPr>
          <w:rFonts w:ascii="Arial" w:cs="Arial" w:eastAsia="Arial" w:hAnsi="Arial"/>
          <w:sz w:val="17"/>
          <w:szCs w:val="17"/>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1" w:lineRule="exact"/>
        <w:rPr>
          <w:sz w:val="20"/>
          <w:szCs w:val="20"/>
          <w:color w:val="auto"/>
        </w:rPr>
      </w:pPr>
    </w:p>
    <w:p>
      <w:pPr>
        <w:ind w:left="460" w:right="519"/>
        <w:spacing w:after="0" w:line="261"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net proceeds from this offering and the private placement of warrants may provide us with up to</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$292,500,000 (or $335,025,000 if the underwriter’s over-allotment option is exercised in full) that we may use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complete our initial business combination (after taking into account the $10,500,000, or $12,075,000 if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over-allotment option is exercised in full, of deferred underwriting commissions being held in the trust account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estimated expenses of this offering).</w:t>
      </w:r>
    </w:p>
    <w:p>
      <w:pPr>
        <w:spacing w:after="0" w:line="14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may effectuate our initial business combination with a single-target business or multiple-target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14" w:lineRule="exact"/>
        <w:rPr>
          <w:sz w:val="20"/>
          <w:szCs w:val="20"/>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44" w:lineRule="exact"/>
        <w:rPr>
          <w:rFonts w:ascii="Arial" w:cs="Arial" w:eastAsia="Arial" w:hAnsi="Arial"/>
          <w:sz w:val="18"/>
          <w:szCs w:val="18"/>
          <w:color w:val="auto"/>
        </w:rPr>
      </w:pPr>
    </w:p>
    <w:p>
      <w:pPr>
        <w:ind w:left="1320" w:right="719" w:hanging="434"/>
        <w:spacing w:after="0" w:line="277"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03"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80" w:lineRule="exact"/>
        <w:rPr>
          <w:sz w:val="20"/>
          <w:szCs w:val="20"/>
          <w:color w:val="auto"/>
        </w:rPr>
      </w:pPr>
    </w:p>
    <w:p>
      <w:pPr>
        <w:ind w:left="460" w:right="499"/>
        <w:spacing w:after="0" w:line="289"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94"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61" w:lineRule="exact"/>
        <w:rPr>
          <w:sz w:val="20"/>
          <w:szCs w:val="20"/>
          <w:color w:val="auto"/>
        </w:rPr>
      </w:pPr>
    </w:p>
    <w:p>
      <w:pPr>
        <w:ind w:left="460" w:right="619"/>
        <w:spacing w:after="0" w:line="266"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99"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By definition,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right="719"/>
        <w:spacing w:after="0" w:line="289" w:lineRule="auto"/>
        <w:rPr>
          <w:sz w:val="20"/>
          <w:szCs w:val="20"/>
          <w:color w:val="auto"/>
        </w:rPr>
      </w:pPr>
      <w:r>
        <w:rPr>
          <w:rFonts w:ascii="Arial" w:cs="Arial" w:eastAsia="Arial" w:hAnsi="Arial"/>
          <w:sz w:val="17"/>
          <w:szCs w:val="17"/>
          <w:b w:val="1"/>
          <w:bCs w:val="1"/>
          <w:color w:val="auto"/>
        </w:rPr>
        <w:t>Our management may not be able to maintain control of a target business after our initial business combination. Upon the loss of control of a target business, new management may not possess the skills, qualifications or abilities necessary to profitably operate such business.</w:t>
      </w:r>
    </w:p>
    <w:p>
      <w:pPr>
        <w:spacing w:after="0" w:line="94"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We may structure our initial business combination so that the post-transaction company in which our public shareholders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our initial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172" w:lineRule="exact"/>
        <w:rPr>
          <w:sz w:val="20"/>
          <w:szCs w:val="20"/>
          <w:color w:val="auto"/>
        </w:rPr>
      </w:pPr>
    </w:p>
    <w:p>
      <w:pPr>
        <w:ind w:left="460" w:right="1059"/>
        <w:spacing w:after="0" w:line="266" w:lineRule="auto"/>
        <w:rPr>
          <w:sz w:val="20"/>
          <w:szCs w:val="20"/>
          <w:color w:val="auto"/>
        </w:rPr>
      </w:pPr>
      <w:r>
        <w:rPr>
          <w:rFonts w:ascii="Arial" w:cs="Arial" w:eastAsia="Arial" w:hAnsi="Arial"/>
          <w:sz w:val="18"/>
          <w:szCs w:val="18"/>
          <w:b w:val="1"/>
          <w:bCs w:val="1"/>
          <w:color w:val="auto"/>
        </w:rPr>
        <w:t>We may seek business combination opportunities with a high degree of complexity that require significant operational improvements, which could delay or prevent us from achieving our desired results.</w:t>
      </w:r>
    </w:p>
    <w:p>
      <w:pPr>
        <w:spacing w:after="0" w:line="99"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19"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164" w:lineRule="exact"/>
        <w:rPr>
          <w:sz w:val="20"/>
          <w:szCs w:val="20"/>
          <w:color w:val="auto"/>
        </w:rPr>
      </w:pPr>
    </w:p>
    <w:p>
      <w:pPr>
        <w:ind w:left="460" w:right="539"/>
        <w:spacing w:after="0" w:line="266"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11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Our amended and restated memorandum and articles of association will not provide a specified maximum redemption threshold, except that in no event will we redeem our public shares in an amount that would cause our net tangible assets to be less than $5,000,001 (such that we are not subject to the SEC’s “penny stock” rules).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3" w:name="page54"/>
    <w:bookmarkEnd w:id="53"/>
    <w:p>
      <w:pPr>
        <w:ind w:left="460" w:right="659"/>
        <w:spacing w:after="0" w:line="298" w:lineRule="auto"/>
        <w:rPr>
          <w:sz w:val="20"/>
          <w:szCs w:val="20"/>
          <w:color w:val="auto"/>
        </w:rPr>
      </w:pPr>
      <w:r>
        <w:rPr>
          <w:rFonts w:ascii="Arial" w:cs="Arial" w:eastAsia="Arial" w:hAnsi="Arial"/>
          <w:sz w:val="16"/>
          <w:szCs w:val="16"/>
          <w:b w:val="1"/>
          <w:b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spacing w:after="0" w:line="90"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order to effectuate a business combination, blank check companies have, in the recent past, amended various provisions of their charters and governing instruments, including their warrant agreements. For example, blank check companies have amended the definition of business combination, increased redemption thresholds, changed industry focus and, with respect to their warrants, amended their warrant agreements to require the warrants to be exchanged for cash and/or other securities. Amending our amended and restated memorandum and articles of association will require at least a special resolution of our shareholders as a matter of Cayman Islands law, meaning the approval of holders of at least two-thirds of our ordinary shares who attend and vote at a general meeting of the company, and amending our warrant agreement will require a vote of holders of at least 65% of the public warrants and, solely with respect to any amendment to the terms of the private placement warrants or any provision of the warrant agreement with respect to the private placement warrants, 65% of the number of the then-outstanding private placement warrants. In addition, our amended and restated memorandum and articles of association will require us to provide our public shareholders with the opportunity to redeem their public shares for cash if we propose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To the extent any of such amendments would be deemed to fundamentally change the nature of any of the securities offered through this registration statement, we would register, or seek an exemption from registration for, the affected securities. We may seek to amend our amended and restated memorandum and articles of association or governing instruments or extend the time to consummate an initial business combination in order to effectuate our initial business combination.</w:t>
      </w:r>
    </w:p>
    <w:p>
      <w:pPr>
        <w:spacing w:after="0" w:line="176" w:lineRule="exact"/>
        <w:rPr>
          <w:sz w:val="20"/>
          <w:szCs w:val="20"/>
          <w:color w:val="auto"/>
        </w:rPr>
      </w:pPr>
    </w:p>
    <w:p>
      <w:pPr>
        <w:ind w:left="460" w:right="579"/>
        <w:spacing w:after="0" w:line="272" w:lineRule="auto"/>
        <w:rPr>
          <w:sz w:val="20"/>
          <w:szCs w:val="20"/>
          <w:color w:val="auto"/>
        </w:rPr>
      </w:pPr>
      <w:r>
        <w:rPr>
          <w:rFonts w:ascii="Arial" w:cs="Arial" w:eastAsia="Arial" w:hAnsi="Arial"/>
          <w:sz w:val="17"/>
          <w:szCs w:val="17"/>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a special resolution which requires the approval of the holders of at least two-thirds our ordinary shares who attend and vote at a general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spacing w:after="0" w:line="95"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 xml:space="preserve">Some other blank check companies have a provision in their charter which prohibits the amendment of certain of its provisions, including those which relate to a company’s pre-business combination activity, without approval by a certain percentage of the company’s shareholders. In those companies, amendment of these provisions typically requires approval by between 90% and 100% of the company’s shareholders. Our amended and restated memorandum and articles of association will provide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general meeting of the company, and corresponding provisions of the trust agreement governing the release of funds from our trust account may be amended if approved by holders of at least 65% of our ordinary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shareholder meeting which shall include the affirmative vote of a simple majority of our Class B ordinary shares. Our sponsor and its permitted transferees, if any, who will collectively beneficially own, on an as-converted basis, 20% of our ordinary shares upon the closing of this offering (assuming they do not purchase any units in this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ectPr>
          <w:pgSz w:w="11900" w:h="16838" w:orient="portrait"/>
          <w:cols w:equalWidth="0" w:num="1">
            <w:col w:w="9019"/>
          </w:cols>
          <w:pgMar w:left="1440" w:top="337" w:right="1440"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4" w:name="page55"/>
    <w:bookmarkEnd w:id="54"/>
    <w:p>
      <w:pPr>
        <w:ind w:left="460" w:right="459" w:firstLine="432"/>
        <w:spacing w:after="0" w:line="286" w:lineRule="auto"/>
        <w:rPr>
          <w:sz w:val="20"/>
          <w:szCs w:val="20"/>
          <w:color w:val="auto"/>
        </w:rPr>
      </w:pPr>
      <w:r>
        <w:rPr>
          <w:rFonts w:ascii="Arial" w:cs="Arial" w:eastAsia="Arial" w:hAnsi="Arial"/>
          <w:sz w:val="16"/>
          <w:szCs w:val="16"/>
          <w:color w:val="auto"/>
        </w:rPr>
        <w:t>Our sponsor, executive officers, directors and director nominees have agreed, pursuant to agreements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shareholders would need to pursue a shareholder derivative action, subject to applicable law.</w:t>
      </w:r>
    </w:p>
    <w:p>
      <w:pPr>
        <w:spacing w:after="0" w:line="170" w:lineRule="exact"/>
        <w:rPr>
          <w:sz w:val="20"/>
          <w:szCs w:val="20"/>
          <w:color w:val="auto"/>
        </w:rPr>
      </w:pPr>
    </w:p>
    <w:p>
      <w:pPr>
        <w:ind w:left="460" w:right="579"/>
        <w:spacing w:after="0" w:line="298" w:lineRule="auto"/>
        <w:rPr>
          <w:sz w:val="20"/>
          <w:szCs w:val="20"/>
          <w:color w:val="auto"/>
        </w:rPr>
      </w:pPr>
      <w:r>
        <w:rPr>
          <w:rFonts w:ascii="Arial" w:cs="Arial" w:eastAsia="Arial" w:hAnsi="Arial"/>
          <w:sz w:val="16"/>
          <w:szCs w:val="16"/>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77"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color w:val="auto"/>
        </w:rPr>
        <w:t>Although we believe that the net proceeds of this offering and the sale of the private placement warrants will be sufficient to allow us to complete our initial business combination, because we have not yet selected any prospective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The current economic environment may make it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are unable to complete our initial business combination, our public shareholders may only receive their pro rata portion of the funds in the trust account that are available for distribution to public shareholders and not previously released to us to pay our income taxes,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181" w:lineRule="exact"/>
        <w:rPr>
          <w:sz w:val="20"/>
          <w:szCs w:val="20"/>
          <w:color w:val="auto"/>
        </w:rPr>
      </w:pPr>
    </w:p>
    <w:p>
      <w:pPr>
        <w:ind w:left="460" w:right="779"/>
        <w:spacing w:after="0" w:line="312" w:lineRule="auto"/>
        <w:rPr>
          <w:sz w:val="20"/>
          <w:szCs w:val="20"/>
          <w:color w:val="auto"/>
        </w:rPr>
      </w:pPr>
      <w:r>
        <w:rPr>
          <w:rFonts w:ascii="Arial" w:cs="Arial" w:eastAsia="Arial" w:hAnsi="Arial"/>
          <w:sz w:val="17"/>
          <w:szCs w:val="17"/>
          <w:b w:val="1"/>
          <w:bCs w:val="1"/>
          <w:color w:val="auto"/>
        </w:rPr>
        <w:t>Our sponsor controls a substantial interest in us and thus may exert a substantial influence on actions requiring a shareholder vote, potentially in a manner that you do not support.</w:t>
      </w:r>
    </w:p>
    <w:p>
      <w:pPr>
        <w:spacing w:after="0" w:line="76"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Upon closing of this offering, our sponsor will own, on an as-converted basis, 20% of our issued and outstanding ordinary shares (assuming it does not purchase any units in this offering). Accordingly, it may exert a substantial influence on actions requiring a shareholder vote, potentially in a manner that you do not support, including amendments to our amended and restated memorandum and articles of association. If our sponsor purchases any units in this offering or if our sponsor purchases any additional Class A ordinary shares in the aftermarket or in privately negotiated transactions, this would increase its control. Neither our sponsor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shareholders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right="599"/>
        <w:spacing w:after="0" w:line="255" w:lineRule="auto"/>
        <w:rPr>
          <w:sz w:val="20"/>
          <w:szCs w:val="20"/>
          <w:color w:val="auto"/>
        </w:rPr>
      </w:pPr>
      <w:r>
        <w:rPr>
          <w:rFonts w:ascii="Arial" w:cs="Arial" w:eastAsia="Arial" w:hAnsi="Arial"/>
          <w:sz w:val="18"/>
          <w:szCs w:val="18"/>
          <w:color w:val="auto"/>
        </w:rPr>
        <w:t>election and our sponsor, because of its ownership position, will have considerable influence regarding the outcome. In addition, prior to the completion of an initial business combination, holders of a majority of our founder shares may remove a member of the board of directors for any reason. In addition, we have agreed not to enter into a definitive agreement regarding an initial business combination without the prior consent of our sponsor. Accordingly, our sponsor will continue to exert control at least until the completion of our initial business combination.</w:t>
      </w:r>
    </w:p>
    <w:p>
      <w:pPr>
        <w:spacing w:after="0" w:line="188" w:lineRule="exact"/>
        <w:rPr>
          <w:sz w:val="20"/>
          <w:szCs w:val="20"/>
          <w:color w:val="auto"/>
        </w:rPr>
      </w:pPr>
    </w:p>
    <w:p>
      <w:pPr>
        <w:ind w:left="460" w:right="599"/>
        <w:spacing w:after="0" w:line="347" w:lineRule="auto"/>
        <w:rPr>
          <w:sz w:val="20"/>
          <w:szCs w:val="20"/>
          <w:color w:val="auto"/>
        </w:rPr>
      </w:pPr>
      <w:r>
        <w:rPr>
          <w:rFonts w:ascii="Arial" w:cs="Arial" w:eastAsia="Arial" w:hAnsi="Arial"/>
          <w:sz w:val="16"/>
          <w:szCs w:val="16"/>
          <w:b w:val="1"/>
          <w:bCs w:val="1"/>
          <w:color w:val="auto"/>
        </w:rPr>
        <w:t>Our sponsor contributed $25,000, or approximately $0.003 per founder share, and, accordingly, you will experience immediate and substantial dilution from the purchase of our Class A ordinary shares.</w:t>
      </w:r>
    </w:p>
    <w:p>
      <w:pPr>
        <w:spacing w:after="0" w:line="39"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The difference between the public offering price per share (allocating all of the unit purchase price to the Class A ordinary share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Upon closing of this offering, and assuming no value is ascribed to the warrants included in the units, you and the other public shareholders will incur an immediate and substantial dilution of approximately 94.3% (or $9.43 per share, assuming no exercise of the underwriter’s over-allotment option), the difference between the pro forma net tangible book value per share of $0.57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w:t>
      </w:r>
    </w:p>
    <w:p>
      <w:pPr>
        <w:spacing w:after="0" w:line="167" w:lineRule="exact"/>
        <w:rPr>
          <w:sz w:val="20"/>
          <w:szCs w:val="20"/>
          <w:color w:val="auto"/>
        </w:rPr>
      </w:pPr>
    </w:p>
    <w:p>
      <w:pPr>
        <w:ind w:left="460" w:right="539"/>
        <w:spacing w:after="0" w:line="258" w:lineRule="auto"/>
        <w:rPr>
          <w:sz w:val="20"/>
          <w:szCs w:val="20"/>
          <w:color w:val="auto"/>
        </w:rPr>
      </w:pPr>
      <w:r>
        <w:rPr>
          <w:rFonts w:ascii="Arial" w:cs="Arial" w:eastAsia="Arial" w:hAnsi="Arial"/>
          <w:sz w:val="18"/>
          <w:szCs w:val="18"/>
          <w:b w:val="1"/>
          <w:bCs w:val="1"/>
          <w:color w:val="auto"/>
        </w:rPr>
        <w:t>We may amend the terms of the warrants in a manner that may be adverse to holders of public warrants with the approval by the holders of at least 65% of the then-outstanding public warrants. As a result, the exercise price of your warrants could be increased, the exercise period could be shortened and the number of our Class A ordinary shares purchasable upon exercise of a warrant could be decreased, all without your approval.</w:t>
      </w:r>
    </w:p>
    <w:p>
      <w:pPr>
        <w:spacing w:after="0" w:line="120" w:lineRule="exact"/>
        <w:rPr>
          <w:sz w:val="20"/>
          <w:szCs w:val="20"/>
          <w:color w:val="auto"/>
        </w:rPr>
      </w:pPr>
    </w:p>
    <w:p>
      <w:pPr>
        <w:ind w:left="460" w:right="539" w:firstLine="432"/>
        <w:spacing w:after="0" w:line="286"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mistake or defective provision, but requires the approval by the holders of at least 65% of the then-outstanding public warrants to make any change that adversely affects the interests of the registered holders of public warrants. Accordingly, we may amend the terms of the public warrants in a manner adverse to a holder if holders of at least 65% of the then-outstanding public warrants approve of such amendment and, solely with respect to any amendment to the terms of the private placement warrants or any provision of the warrant agreement with respect to the private placement warrants, 65% of the number of the then-outstanding private placement warrants. Although our ability to amend the terms of the public warrants with the consent of at least 65% of the then-outstanding public warrants is unlimited, examples of such amendments could be amendments to, among other things, increase the exercise price of the warrants, convert the warrants into cash, shorten the exercise period or decrease the number of Class A ordinary shares purchasable upon exercise of a warrant.</w:t>
      </w:r>
    </w:p>
    <w:p>
      <w:pPr>
        <w:spacing w:after="0" w:line="170" w:lineRule="exact"/>
        <w:rPr>
          <w:sz w:val="20"/>
          <w:szCs w:val="20"/>
          <w:color w:val="auto"/>
        </w:rPr>
      </w:pPr>
    </w:p>
    <w:p>
      <w:pPr>
        <w:ind w:left="460" w:right="539"/>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98"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 xml:space="preserve">We have the ability to redeem outstanding warrants at any time after they become exercisable and prior to their expiration, at a price of $0.01 per warrant,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closing price of our Class A ordinary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 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our sponsor or its permitted transferees.</w:t>
      </w:r>
    </w:p>
    <w:p>
      <w:pPr>
        <w:sectPr>
          <w:pgSz w:w="11900" w:h="16838" w:orient="portrait"/>
          <w:cols w:equalWidth="0" w:num="1">
            <w:col w:w="9019"/>
          </w:cols>
          <w:pgMar w:left="1440" w:top="274"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right="479"/>
        <w:spacing w:after="0" w:line="282" w:lineRule="auto"/>
        <w:rPr>
          <w:sz w:val="20"/>
          <w:szCs w:val="20"/>
          <w:color w:val="auto"/>
        </w:rPr>
      </w:pPr>
      <w:r>
        <w:rPr>
          <w:rFonts w:ascii="Arial" w:cs="Arial" w:eastAsia="Arial" w:hAnsi="Arial"/>
          <w:sz w:val="18"/>
          <w:szCs w:val="18"/>
          <w:b w:val="1"/>
          <w:bCs w:val="1"/>
          <w:color w:val="auto"/>
        </w:rPr>
        <w:t>Our warrants may have an adverse effect on the market price of our Class A ordinary shares and make it more difficult to effectuate our initial business combination.</w:t>
      </w:r>
    </w:p>
    <w:p>
      <w:pPr>
        <w:spacing w:after="0" w:line="98"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will be issuing warrants to purchase 15,000,000 Class A ordinary shares (or up to 17,250,000 Class A ordinary shares if the underwriter’s over-allotment option is exercised in full) as part of the units offered by this prospectus and, simultaneously with the closing of this offering, we will be issuing in a private placement an aggregate of 10,000,000 private placement warrants, each exercisable to purchase one Class A ordinary share at $11.50 per share. In addition, if the sponsor makes any working capital loans, it may convert up to $1,500,000 of such loans into up to an additional 1,500,000 private placement warrants, at the price of $1.00 per warrant.</w:t>
      </w:r>
    </w:p>
    <w:p>
      <w:pPr>
        <w:spacing w:after="0" w:line="83"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To the extent we issue ordinary shares for any reason, including to effectuate a business combination,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160" w:lineRule="exact"/>
        <w:rPr>
          <w:sz w:val="20"/>
          <w:szCs w:val="20"/>
          <w:color w:val="auto"/>
        </w:rPr>
      </w:pPr>
    </w:p>
    <w:p>
      <w:pPr>
        <w:ind w:left="460" w:right="539"/>
        <w:spacing w:after="0" w:line="282" w:lineRule="auto"/>
        <w:rPr>
          <w:sz w:val="20"/>
          <w:szCs w:val="20"/>
          <w:color w:val="auto"/>
        </w:rPr>
      </w:pPr>
      <w:r>
        <w:rPr>
          <w:rFonts w:ascii="Arial" w:cs="Arial" w:eastAsia="Arial" w:hAnsi="Arial"/>
          <w:sz w:val="18"/>
          <w:szCs w:val="18"/>
          <w:b w:val="1"/>
          <w:bCs w:val="1"/>
          <w:color w:val="auto"/>
        </w:rPr>
        <w:t>Because each unit contains one-half of one warrant and only a whole warrant may be exercised, the units may be worth less than units of other blank check companies.</w:t>
      </w:r>
    </w:p>
    <w:p>
      <w:pPr>
        <w:spacing w:after="0" w:line="98"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Each unit contains one-half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164" w:lineRule="exact"/>
        <w:rPr>
          <w:sz w:val="20"/>
          <w:szCs w:val="20"/>
          <w:color w:val="auto"/>
        </w:rPr>
      </w:pPr>
    </w:p>
    <w:p>
      <w:pPr>
        <w:ind w:left="460" w:right="1119"/>
        <w:spacing w:after="0" w:line="282" w:lineRule="auto"/>
        <w:rPr>
          <w:sz w:val="20"/>
          <w:szCs w:val="20"/>
          <w:color w:val="auto"/>
        </w:rPr>
      </w:pPr>
      <w:r>
        <w:rPr>
          <w:rFonts w:ascii="Arial" w:cs="Arial" w:eastAsia="Arial" w:hAnsi="Arial"/>
          <w:sz w:val="18"/>
          <w:szCs w:val="18"/>
          <w:b w:val="1"/>
          <w:bCs w:val="1"/>
          <w:color w:val="auto"/>
        </w:rPr>
        <w:t>A provision of our warrant agreement may make it more difficult for us to consummate an initial business combination.</w:t>
      </w:r>
    </w:p>
    <w:p>
      <w:pPr>
        <w:spacing w:after="0" w:line="9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Unlike most blank check companies, if (i) we issue additional ordinary shares or equity-linked securities for capital raising purposes in connection with the closing of our initial business combination at a Newly Issued Price of less than $9.20 per ordinary share, (ii) the aggregate gross proceeds from such issuances represent more than 60% of the total equity proceeds, and interest thereon, available for the funding of our initial business combination on the date of the consummation of our initial business combination (net of redemptions), and (iii) the Market Value is below $9.20 per share, 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181" w:lineRule="exact"/>
        <w:rPr>
          <w:sz w:val="20"/>
          <w:szCs w:val="20"/>
          <w:color w:val="auto"/>
        </w:rPr>
      </w:pPr>
    </w:p>
    <w:p>
      <w:pPr>
        <w:ind w:left="460" w:right="559"/>
        <w:spacing w:after="0" w:line="281" w:lineRule="auto"/>
        <w:rPr>
          <w:sz w:val="20"/>
          <w:szCs w:val="20"/>
          <w:color w:val="auto"/>
        </w:rPr>
      </w:pPr>
      <w:r>
        <w:rPr>
          <w:rFonts w:ascii="Arial" w:cs="Arial" w:eastAsia="Arial" w:hAnsi="Arial"/>
          <w:sz w:val="17"/>
          <w:szCs w:val="17"/>
          <w:b w:val="1"/>
          <w:b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88"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Prior to this offering there has been no public market for any of our securities. The public offering price of the units and the terms of the warrants were negotiated between us and the underwriter. In determining the size of this offering, management held customary organizational meetings with the underwriter, both prior to our inception and thereafter, with respect to the state of capital markets, generally, and the amount the underwriter believed it reasonably could raise on our behalf. Factors considered in determining the size of this offering, prices and terms of the units, including the Class A ordinary shares and warrants underlying the units, include:</w:t>
      </w:r>
    </w:p>
    <w:p>
      <w:pPr>
        <w:spacing w:after="0" w:line="97" w:lineRule="exact"/>
        <w:rPr>
          <w:sz w:val="20"/>
          <w:szCs w:val="20"/>
          <w:color w:val="auto"/>
        </w:rPr>
      </w:pPr>
    </w:p>
    <w:p>
      <w:pPr>
        <w:ind w:left="1320" w:right="1199" w:hanging="434"/>
        <w:spacing w:after="0" w:line="277" w:lineRule="auto"/>
        <w:tabs>
          <w:tab w:leader="none" w:pos="1311"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7" w:name="page58"/>
    <w:bookmarkEnd w:id="57"/>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review of debt-to-equity ratios in leveraged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58"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80" w:lineRule="exact"/>
        <w:rPr>
          <w:sz w:val="20"/>
          <w:szCs w:val="20"/>
          <w:color w:val="auto"/>
        </w:rPr>
      </w:pPr>
    </w:p>
    <w:p>
      <w:pPr>
        <w:ind w:left="460" w:right="699"/>
        <w:spacing w:after="0" w:line="282"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85"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Furthermore, an active trading market for our securities may never develop or, if developed, it may not be sustained. You may be unable to sell your securities unless a market can be established and sustained.</w:t>
      </w:r>
    </w:p>
    <w:p>
      <w:pPr>
        <w:spacing w:after="0" w:line="188" w:lineRule="exact"/>
        <w:rPr>
          <w:sz w:val="20"/>
          <w:szCs w:val="20"/>
          <w:color w:val="auto"/>
        </w:rPr>
      </w:pPr>
    </w:p>
    <w:p>
      <w:pPr>
        <w:ind w:left="460" w:right="599"/>
        <w:spacing w:after="0" w:line="266" w:lineRule="auto"/>
        <w:rPr>
          <w:sz w:val="20"/>
          <w:szCs w:val="20"/>
          <w:color w:val="auto"/>
        </w:rPr>
      </w:pPr>
      <w:r>
        <w:rPr>
          <w:rFonts w:ascii="Arial" w:cs="Arial" w:eastAsia="Arial" w:hAnsi="Arial"/>
          <w:sz w:val="18"/>
          <w:szCs w:val="18"/>
          <w:b w:val="1"/>
          <w:b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12"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w:t>
      </w:r>
    </w:p>
    <w:p>
      <w:pPr>
        <w:spacing w:after="0" w:line="164" w:lineRule="exact"/>
        <w:rPr>
          <w:sz w:val="20"/>
          <w:szCs w:val="20"/>
          <w:color w:val="auto"/>
        </w:rPr>
      </w:pPr>
    </w:p>
    <w:p>
      <w:pPr>
        <w:ind w:left="460" w:right="579"/>
        <w:spacing w:after="0" w:line="258"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120"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ectPr>
          <w:pgSz w:w="11900" w:h="16838" w:orient="portrait"/>
          <w:cols w:equalWidth="0" w:num="1">
            <w:col w:w="9019"/>
          </w:cols>
          <w:pgMar w:left="1440" w:top="274"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8" w:name="page59"/>
    <w:bookmarkEnd w:id="58"/>
    <w:p>
      <w:pPr>
        <w:ind w:left="460" w:right="479" w:firstLine="432"/>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87"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spacing w:after="0" w:line="173" w:lineRule="exact"/>
        <w:rPr>
          <w:sz w:val="20"/>
          <w:szCs w:val="20"/>
          <w:color w:val="auto"/>
        </w:rPr>
      </w:pPr>
    </w:p>
    <w:p>
      <w:pPr>
        <w:ind w:left="460" w:right="479"/>
        <w:spacing w:after="0" w:line="266" w:lineRule="auto"/>
        <w:rPr>
          <w:sz w:val="20"/>
          <w:szCs w:val="20"/>
          <w:color w:val="auto"/>
        </w:rPr>
      </w:pPr>
      <w:r>
        <w:rPr>
          <w:rFonts w:ascii="Arial" w:cs="Arial" w:eastAsia="Arial" w:hAnsi="Arial"/>
          <w:sz w:val="18"/>
          <w:szCs w:val="18"/>
          <w:b w:val="1"/>
          <w:b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112"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188" w:lineRule="exact"/>
        <w:rPr>
          <w:sz w:val="20"/>
          <w:szCs w:val="20"/>
          <w:color w:val="auto"/>
        </w:rPr>
      </w:pPr>
    </w:p>
    <w:p>
      <w:pPr>
        <w:ind w:left="460" w:right="659"/>
        <w:spacing w:after="0" w:line="266" w:lineRule="auto"/>
        <w:rPr>
          <w:sz w:val="20"/>
          <w:szCs w:val="20"/>
          <w:color w:val="auto"/>
        </w:rPr>
      </w:pPr>
      <w:r>
        <w:rPr>
          <w:rFonts w:ascii="Arial" w:cs="Arial" w:eastAsia="Arial" w:hAnsi="Arial"/>
          <w:sz w:val="18"/>
          <w:szCs w:val="18"/>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112"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68"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Our corporate affairs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 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9" w:name="page60"/>
    <w:bookmarkEnd w:id="59"/>
    <w:p>
      <w:pPr>
        <w:ind w:left="460" w:right="479" w:firstLine="432"/>
        <w:spacing w:after="0" w:line="285" w:lineRule="auto"/>
        <w:rPr>
          <w:sz w:val="20"/>
          <w:szCs w:val="20"/>
          <w:color w:val="auto"/>
        </w:rPr>
      </w:pPr>
      <w:r>
        <w:rPr>
          <w:rFonts w:ascii="Arial" w:cs="Arial" w:eastAsia="Arial" w:hAnsi="Arial"/>
          <w:sz w:val="16"/>
          <w:szCs w:val="16"/>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95"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80" w:lineRule="exact"/>
        <w:rPr>
          <w:sz w:val="20"/>
          <w:szCs w:val="20"/>
          <w:color w:val="auto"/>
        </w:rPr>
      </w:pPr>
    </w:p>
    <w:p>
      <w:pPr>
        <w:jc w:val="both"/>
        <w:ind w:left="460" w:right="579"/>
        <w:spacing w:after="0" w:line="266" w:lineRule="auto"/>
        <w:rPr>
          <w:sz w:val="20"/>
          <w:szCs w:val="20"/>
          <w:color w:val="auto"/>
        </w:rPr>
      </w:pPr>
      <w:r>
        <w:rPr>
          <w:rFonts w:ascii="Arial" w:cs="Arial" w:eastAsia="Arial" w:hAnsi="Arial"/>
          <w:sz w:val="18"/>
          <w:szCs w:val="18"/>
          <w:b w:val="1"/>
          <w:b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12"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Our amended and restated memorandum and articles of association will contain provisions that may discourage unsolicited takeover proposals that shareholders may consider to be in their best interests. These provisions will include a staggered board of directors, the ability of the board of directors to designate the terms of and issue new series of preference shares, and the fact that prior to the completion of our initial business combination only holders of our Class B ordinary shares, which have been issued to our sponsor, are entitled to vote on the election of directors, which may make more difficult the removal of management and may discourage transactions that otherwise could involve payment of a premium over prevailing market prices for our securities.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An investment in this offering may result in uncertain or adverse U.S. federal income tax consequences.</w:t>
      </w:r>
    </w:p>
    <w:p>
      <w:pPr>
        <w:spacing w:after="0" w:line="185"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Class A ordinary shares and the one-half of a warrant to purchase one Class A ordinary share included in each unit could be challenged by the IRS or courts. Furthermore, the U.S. federal income tax consequences of a cashless exercise of warrants included in the units we are issuing in this offering is unclear under current law. Finally, it is unclear whether the redemption rights with respect to our ordinary shares suspend the running of a U.S. holder’s holding period for purposes of determining whether any gain or loss realized by such holder on the sale or exchange of Class A ordinary shares is long-term capital gain or loss and for determining whether any dividend we pay would be considered “qualified dividends” for U.S. federal income tax purposes. See the section titled “Taxation — United States Federal Income Tax Considerations” for a summary of the U.S. federal income tax considerations of an investment in our securities. Prospective investors are urged to consult their tax advisors with respect to these and other tax consequences when purchasing, holding or disposing of our securities.</w:t>
      </w:r>
    </w:p>
    <w:p>
      <w:pPr>
        <w:spacing w:after="0" w:line="180" w:lineRule="exact"/>
        <w:rPr>
          <w:sz w:val="20"/>
          <w:szCs w:val="20"/>
          <w:color w:val="auto"/>
        </w:rPr>
      </w:pPr>
    </w:p>
    <w:p>
      <w:pPr>
        <w:ind w:left="460" w:right="679"/>
        <w:spacing w:after="0" w:line="282" w:lineRule="auto"/>
        <w:rPr>
          <w:sz w:val="20"/>
          <w:szCs w:val="20"/>
          <w:color w:val="auto"/>
        </w:rPr>
      </w:pPr>
      <w:r>
        <w:rPr>
          <w:rFonts w:ascii="Arial" w:cs="Arial" w:eastAsia="Arial" w:hAnsi="Arial"/>
          <w:sz w:val="18"/>
          <w:szCs w:val="18"/>
          <w:b w:val="1"/>
          <w:bCs w:val="1"/>
          <w:color w:val="auto"/>
        </w:rPr>
        <w:t>Cyber incidents or attacks directed at us could result in information theft, data corruption, operational disruption and/or financial loss.</w:t>
      </w:r>
    </w:p>
    <w:p>
      <w:pPr>
        <w:spacing w:after="0" w:line="85" w:lineRule="exact"/>
        <w:rPr>
          <w:sz w:val="20"/>
          <w:szCs w:val="20"/>
          <w:color w:val="auto"/>
        </w:rPr>
      </w:pPr>
    </w:p>
    <w:p>
      <w:pPr>
        <w:ind w:left="460" w:right="639" w:firstLine="432"/>
        <w:spacing w:after="0" w:line="255"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right="479"/>
        <w:spacing w:after="0" w:line="286" w:lineRule="auto"/>
        <w:rPr>
          <w:sz w:val="20"/>
          <w:szCs w:val="20"/>
          <w:color w:val="auto"/>
        </w:rPr>
      </w:pPr>
      <w:r>
        <w:rPr>
          <w:rFonts w:ascii="Arial" w:cs="Arial" w:eastAsia="Arial" w:hAnsi="Arial"/>
          <w:sz w:val="17"/>
          <w:szCs w:val="17"/>
          <w:color w:val="auto"/>
        </w:rPr>
        <w:t>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61" w:lineRule="exact"/>
        <w:rPr>
          <w:sz w:val="20"/>
          <w:szCs w:val="20"/>
          <w:color w:val="auto"/>
        </w:rPr>
      </w:pPr>
    </w:p>
    <w:p>
      <w:pPr>
        <w:ind w:left="460" w:right="619"/>
        <w:spacing w:after="0" w:line="261" w:lineRule="auto"/>
        <w:rPr>
          <w:sz w:val="20"/>
          <w:szCs w:val="20"/>
          <w:color w:val="auto"/>
        </w:rPr>
      </w:pPr>
      <w:r>
        <w:rPr>
          <w:rFonts w:ascii="Arial" w:cs="Arial" w:eastAsia="Arial" w:hAnsi="Arial"/>
          <w:sz w:val="18"/>
          <w:szCs w:val="18"/>
          <w:b w:val="1"/>
          <w:bCs w:val="1"/>
          <w:color w:val="auto"/>
        </w:rPr>
        <w:t>Since only holders of our founder shares will have the right to vote on the election of directors, upon the listing of our shares on the NYSE, the NYSE may consider us to be a “controlled company” within the meaning of the NYSE rules and, as a result, we may qualify for exemptions from certain corporate governance requirements.</w:t>
      </w:r>
    </w:p>
    <w:p>
      <w:pPr>
        <w:spacing w:after="0" w:line="103"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After completion of this offering, only holders of our founder shares will have the right to vote on the election of directors. As a result, the NYSE may consider us to be a “controlled company” within the meaning of the NYSE corporate governance standards. Under the NYSE corporate governance standards, a company of which more than 50% of the voting power is held by an individual, group or another company is a “controlled company” and may elect not to comply with certain corporate governance requirements, including the requirements that:</w:t>
      </w:r>
    </w:p>
    <w:p>
      <w:pPr>
        <w:spacing w:after="0" w:line="125" w:lineRule="exact"/>
        <w:rPr>
          <w:sz w:val="20"/>
          <w:szCs w:val="20"/>
          <w:color w:val="auto"/>
        </w:rPr>
      </w:pPr>
    </w:p>
    <w:p>
      <w:pPr>
        <w:ind w:left="1320" w:right="71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a board that includes a majority of “independent directors,” as defined under the rules of the NYSE;</w:t>
      </w:r>
    </w:p>
    <w:p>
      <w:pPr>
        <w:spacing w:after="0" w:line="102" w:lineRule="exact"/>
        <w:rPr>
          <w:rFonts w:ascii="Arial" w:cs="Arial" w:eastAsia="Arial" w:hAnsi="Arial"/>
          <w:sz w:val="18"/>
          <w:szCs w:val="18"/>
          <w:color w:val="auto"/>
        </w:rPr>
      </w:pPr>
    </w:p>
    <w:p>
      <w:pPr>
        <w:ind w:left="1320" w:right="539" w:hanging="434"/>
        <w:spacing w:after="0" w:line="308" w:lineRule="auto"/>
        <w:tabs>
          <w:tab w:leader="none" w:pos="1311" w:val="left"/>
        </w:tabs>
        <w:numPr>
          <w:ilvl w:val="0"/>
          <w:numId w:val="25"/>
        </w:numPr>
        <w:rPr>
          <w:rFonts w:ascii="Arial" w:cs="Arial" w:eastAsia="Arial" w:hAnsi="Arial"/>
          <w:sz w:val="17"/>
          <w:szCs w:val="17"/>
          <w:color w:val="auto"/>
        </w:rPr>
      </w:pPr>
      <w:r>
        <w:rPr>
          <w:rFonts w:ascii="Arial" w:cs="Arial" w:eastAsia="Arial" w:hAnsi="Arial"/>
          <w:sz w:val="17"/>
          <w:szCs w:val="17"/>
          <w:color w:val="auto"/>
        </w:rPr>
        <w:t>we have a compensation committee of our board that is comprised entirely of independent directors with a written charter addressing the committee’s purpose and responsibilities; and</w:t>
      </w:r>
    </w:p>
    <w:p>
      <w:pPr>
        <w:spacing w:after="0" w:line="65" w:lineRule="exact"/>
        <w:rPr>
          <w:rFonts w:ascii="Arial" w:cs="Arial" w:eastAsia="Arial" w:hAnsi="Arial"/>
          <w:sz w:val="17"/>
          <w:szCs w:val="17"/>
          <w:color w:val="auto"/>
        </w:rPr>
      </w:pPr>
    </w:p>
    <w:p>
      <w:pPr>
        <w:ind w:left="1320" w:right="619" w:hanging="434"/>
        <w:spacing w:after="0" w:line="263"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of our board that is comprised entirely of independent directors with a written charter addressing the committee’s purpose and responsibilities.</w:t>
      </w:r>
    </w:p>
    <w:p>
      <w:pPr>
        <w:spacing w:after="0" w:line="116" w:lineRule="exact"/>
        <w:rPr>
          <w:sz w:val="20"/>
          <w:szCs w:val="20"/>
          <w:color w:val="auto"/>
        </w:rPr>
      </w:pPr>
    </w:p>
    <w:p>
      <w:pPr>
        <w:ind w:left="460" w:right="459" w:firstLine="432"/>
        <w:spacing w:after="0" w:line="279" w:lineRule="auto"/>
        <w:rPr>
          <w:sz w:val="20"/>
          <w:szCs w:val="20"/>
          <w:color w:val="auto"/>
        </w:rPr>
      </w:pPr>
      <w:r>
        <w:rPr>
          <w:rFonts w:ascii="Arial" w:cs="Arial" w:eastAsia="Arial" w:hAnsi="Arial"/>
          <w:sz w:val="17"/>
          <w:szCs w:val="17"/>
          <w:color w:val="auto"/>
        </w:rPr>
        <w:t>We do not intend to utilize these exemptions and intend to comply with the corporate governance requirements of the NYSE, subject to applicable phase-in rules. However, if we determine in the future to utilize some or all of these exemptions, you will not have the same protections afforded to shareholders of companies that are subject to all of the NYSE corporate governance requirements.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225" w:lineRule="exact"/>
        <w:rPr>
          <w:sz w:val="20"/>
          <w:szCs w:val="20"/>
          <w:color w:val="auto"/>
        </w:rPr>
      </w:pPr>
    </w:p>
    <w:p>
      <w:pPr>
        <w:ind w:left="460" w:right="479"/>
        <w:spacing w:after="0" w:line="303" w:lineRule="auto"/>
        <w:rPr>
          <w:sz w:val="20"/>
          <w:szCs w:val="20"/>
          <w:color w:val="auto"/>
        </w:rPr>
      </w:pPr>
      <w:r>
        <w:rPr>
          <w:rFonts w:ascii="Arial" w:cs="Arial" w:eastAsia="Arial" w:hAnsi="Arial"/>
          <w:sz w:val="16"/>
          <w:szCs w:val="16"/>
          <w:b w:val="1"/>
          <w:b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87"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80" w:lineRule="exact"/>
        <w:rPr>
          <w:sz w:val="20"/>
          <w:szCs w:val="20"/>
          <w:color w:val="auto"/>
        </w:rPr>
      </w:pPr>
    </w:p>
    <w:p>
      <w:pPr>
        <w:jc w:val="both"/>
        <w:ind w:left="460" w:right="799" w:firstLine="432"/>
        <w:spacing w:after="0" w:line="263"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16" w:lineRule="exact"/>
        <w:rPr>
          <w:sz w:val="20"/>
          <w:szCs w:val="20"/>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1" w:name="page62"/>
    <w:bookmarkEnd w:id="61"/>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tax issues, such as tax law changes and variations in tax laws as compared to the United States;</w:t>
      </w:r>
    </w:p>
    <w:p>
      <w:pPr>
        <w:spacing w:after="0" w:line="167" w:lineRule="exact"/>
        <w:rPr>
          <w:rFonts w:ascii="Arial" w:cs="Arial" w:eastAsia="Arial" w:hAnsi="Arial"/>
          <w:sz w:val="16"/>
          <w:szCs w:val="16"/>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corruption;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44"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83" w:lineRule="exact"/>
        <w:rPr>
          <w:sz w:val="20"/>
          <w:szCs w:val="20"/>
          <w:color w:val="auto"/>
        </w:rPr>
      </w:pPr>
    </w:p>
    <w:p>
      <w:pPr>
        <w:jc w:val="both"/>
        <w:ind w:left="460" w:right="559"/>
        <w:spacing w:after="0" w:line="266" w:lineRule="auto"/>
        <w:rPr>
          <w:sz w:val="20"/>
          <w:szCs w:val="20"/>
          <w:color w:val="auto"/>
        </w:rPr>
      </w:pPr>
      <w:r>
        <w:rPr>
          <w:rFonts w:ascii="Arial" w:cs="Arial" w:eastAsia="Arial" w:hAnsi="Arial"/>
          <w:sz w:val="18"/>
          <w:szCs w:val="18"/>
          <w:b w:val="1"/>
          <w:b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112"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174" w:lineRule="exact"/>
        <w:rPr>
          <w:sz w:val="20"/>
          <w:szCs w:val="20"/>
          <w:color w:val="auto"/>
        </w:rPr>
      </w:pPr>
    </w:p>
    <w:p>
      <w:pPr>
        <w:ind w:left="460" w:right="479"/>
        <w:spacing w:after="0" w:line="303" w:lineRule="auto"/>
        <w:rPr>
          <w:sz w:val="20"/>
          <w:szCs w:val="20"/>
          <w:color w:val="auto"/>
        </w:rPr>
      </w:pPr>
      <w:r>
        <w:rPr>
          <w:rFonts w:ascii="Arial" w:cs="Arial" w:eastAsia="Arial" w:hAnsi="Arial"/>
          <w:sz w:val="16"/>
          <w:szCs w:val="16"/>
          <w:b w:val="1"/>
          <w:b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7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 our ability to find an attractive target business with which to consummate our initial business combination and if we effect our initial business combination, the ability of that target business to become profitable.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right="759"/>
        <w:spacing w:after="0" w:line="282" w:lineRule="auto"/>
        <w:rPr>
          <w:sz w:val="20"/>
          <w:szCs w:val="20"/>
          <w:color w:val="auto"/>
        </w:rPr>
      </w:pPr>
      <w:r>
        <w:rPr>
          <w:rFonts w:ascii="Arial" w:cs="Arial" w:eastAsia="Arial" w:hAnsi="Arial"/>
          <w:sz w:val="18"/>
          <w:szCs w:val="18"/>
          <w:b w:val="1"/>
          <w:bCs w:val="1"/>
          <w:color w:val="auto"/>
        </w:rPr>
        <w:t>Exchange rate fluctuations and currency policies may cause a target business’ ability to succeed in the international markets to be diminished.</w:t>
      </w:r>
    </w:p>
    <w:p>
      <w:pPr>
        <w:spacing w:after="0" w:line="98"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77" w:lineRule="exact"/>
        <w:rPr>
          <w:sz w:val="20"/>
          <w:szCs w:val="20"/>
          <w:color w:val="auto"/>
        </w:rPr>
      </w:pPr>
    </w:p>
    <w:p>
      <w:pPr>
        <w:jc w:val="both"/>
        <w:ind w:left="460" w:right="679"/>
        <w:spacing w:after="0" w:line="266"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99"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88" w:lineRule="exact"/>
        <w:rPr>
          <w:sz w:val="20"/>
          <w:szCs w:val="20"/>
          <w:color w:val="auto"/>
        </w:rPr>
      </w:pPr>
    </w:p>
    <w:p>
      <w:pPr>
        <w:ind w:left="460" w:right="559"/>
        <w:spacing w:after="0" w:line="347" w:lineRule="auto"/>
        <w:rPr>
          <w:sz w:val="20"/>
          <w:szCs w:val="20"/>
          <w:color w:val="auto"/>
        </w:rPr>
      </w:pPr>
      <w:r>
        <w:rPr>
          <w:rFonts w:ascii="Arial" w:cs="Arial" w:eastAsia="Arial" w:hAnsi="Arial"/>
          <w:sz w:val="16"/>
          <w:szCs w:val="16"/>
          <w:b w:val="1"/>
          <w:bCs w:val="1"/>
          <w:color w:val="auto"/>
        </w:rPr>
        <w:t>We are subject to changing law and regulations regarding regulatory matters, corporate governance and public disclosure that have increased both our costs and the risk of non-compliance.</w:t>
      </w:r>
    </w:p>
    <w:p>
      <w:pPr>
        <w:spacing w:after="0" w:line="5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 generating activities to compliance activities.</w:t>
      </w:r>
    </w:p>
    <w:p>
      <w:pPr>
        <w:spacing w:after="0" w:line="110" w:lineRule="exact"/>
        <w:rPr>
          <w:sz w:val="20"/>
          <w:szCs w:val="20"/>
          <w:color w:val="auto"/>
        </w:rPr>
      </w:pPr>
    </w:p>
    <w:p>
      <w:pPr>
        <w:ind w:left="460" w:right="639" w:firstLine="432"/>
        <w:spacing w:after="0" w:line="296" w:lineRule="auto"/>
        <w:rPr>
          <w:sz w:val="20"/>
          <w:szCs w:val="20"/>
          <w:color w:val="auto"/>
        </w:rPr>
      </w:pPr>
      <w:r>
        <w:rPr>
          <w:rFonts w:ascii="Arial" w:cs="Arial" w:eastAsia="Arial" w:hAnsi="Arial"/>
          <w:sz w:val="16"/>
          <w:szCs w:val="16"/>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ind w:left="460" w:right="579" w:firstLine="432"/>
        <w:spacing w:after="0" w:line="289" w:lineRule="auto"/>
        <w:rPr>
          <w:sz w:val="20"/>
          <w:szCs w:val="20"/>
          <w:color w:val="auto"/>
        </w:rPr>
      </w:pPr>
      <w:r>
        <w:rPr>
          <w:rFonts w:ascii="Arial" w:cs="Arial" w:eastAsia="Arial" w:hAnsi="Arial"/>
          <w:sz w:val="16"/>
          <w:szCs w:val="16"/>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85" w:lineRule="exact"/>
        <w:rPr>
          <w:sz w:val="20"/>
          <w:szCs w:val="20"/>
          <w:color w:val="auto"/>
        </w:rPr>
      </w:pPr>
    </w:p>
    <w:p>
      <w:pPr>
        <w:ind w:left="1320" w:right="71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 and complete our initial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w:t>
      </w:r>
    </w:p>
    <w:p>
      <w:pPr>
        <w:spacing w:after="0" w:line="157" w:lineRule="exact"/>
        <w:rPr>
          <w:rFonts w:ascii="Arial" w:cs="Arial" w:eastAsia="Arial" w:hAnsi="Arial"/>
          <w:sz w:val="18"/>
          <w:szCs w:val="18"/>
          <w:color w:val="auto"/>
        </w:rPr>
      </w:pPr>
    </w:p>
    <w:p>
      <w:pPr>
        <w:ind w:left="1320" w:right="109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potential ability to obtain additional financing to complete our initial business combination;</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44"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44"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44"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We are offering 30,000,000 units at an offering price of $10.00 per unit. We estimate that the net proceeds of this offering, together with the funds we will receive from the sale of the private placement warrants, will be used as set forth in the following table: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Without</w:t>
            </w:r>
          </w:p>
        </w:tc>
        <w:tc>
          <w:tcPr>
            <w:tcW w:w="16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Over-allotment</w:t>
            </w:r>
          </w:p>
        </w:tc>
      </w:tr>
      <w:tr>
        <w:trPr>
          <w:trHeight w:val="203"/>
        </w:trPr>
        <w:tc>
          <w:tcPr>
            <w:tcW w:w="5200" w:type="dxa"/>
            <w:vAlign w:val="bottom"/>
          </w:tcPr>
          <w:p>
            <w:pPr>
              <w:spacing w:after="0"/>
              <w:rPr>
                <w:sz w:val="17"/>
                <w:szCs w:val="17"/>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Over-allotment</w:t>
            </w:r>
          </w:p>
        </w:tc>
        <w:tc>
          <w:tcPr>
            <w:tcW w:w="16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6"/>
              </w:rPr>
              <w:t>Option</w:t>
            </w:r>
          </w:p>
        </w:tc>
      </w:tr>
      <w:tr>
        <w:trPr>
          <w:trHeight w:val="210"/>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3"/>
              </w:rPr>
              <w:t>Option</w:t>
            </w:r>
          </w:p>
        </w:tc>
        <w:tc>
          <w:tcPr>
            <w:tcW w:w="16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7"/>
              </w:rPr>
              <w:t>Exercised</w:t>
            </w:r>
          </w:p>
        </w:tc>
      </w:tr>
      <w:tr>
        <w:trPr>
          <w:trHeight w:val="46"/>
        </w:trPr>
        <w:tc>
          <w:tcPr>
            <w:tcW w:w="52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proceeds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83"/>
        </w:trPr>
        <w:tc>
          <w:tcPr>
            <w:tcW w:w="5200" w:type="dxa"/>
            <w:vAlign w:val="bottom"/>
          </w:tcPr>
          <w:p>
            <w:pPr>
              <w:spacing w:after="0"/>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0"/>
                <w:szCs w:val="20"/>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300,000,000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345,000,000</w:t>
            </w:r>
          </w:p>
        </w:tc>
        <w:tc>
          <w:tcPr>
            <w:tcW w:w="140" w:type="dxa"/>
            <w:vAlign w:val="bottom"/>
          </w:tcPr>
          <w:p>
            <w:pPr>
              <w:spacing w:after="0"/>
              <w:rPr>
                <w:sz w:val="24"/>
                <w:szCs w:val="24"/>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Gross proceeds from private placement warrants offered in the private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1"/>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10,000,000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10,000,000</w:t>
            </w:r>
          </w:p>
        </w:tc>
      </w:tr>
      <w:tr>
        <w:trPr>
          <w:trHeight w:val="283"/>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gross proceeds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310,000,000</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355,000,000</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r>
      <w:tr>
        <w:trPr>
          <w:trHeight w:val="270"/>
        </w:trPr>
        <w:tc>
          <w:tcPr>
            <w:tcW w:w="5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84"/>
        </w:trPr>
        <w:tc>
          <w:tcPr>
            <w:tcW w:w="5200" w:type="dxa"/>
            <w:vAlign w:val="bottom"/>
          </w:tcPr>
          <w:p>
            <w:pPr>
              <w:spacing w:after="0"/>
              <w:rPr>
                <w:sz w:val="20"/>
                <w:szCs w:val="20"/>
                <w:color w:val="auto"/>
              </w:rPr>
            </w:pPr>
            <w:r>
              <w:rPr>
                <w:rFonts w:ascii="Arial" w:cs="Arial" w:eastAsia="Arial" w:hAnsi="Arial"/>
                <w:sz w:val="18"/>
                <w:szCs w:val="18"/>
                <w:b w:val="1"/>
                <w:bCs w:val="1"/>
                <w:color w:val="auto"/>
              </w:rPr>
              <w:t>Offering expenses</w:t>
            </w:r>
            <w:r>
              <w:rPr>
                <w:rFonts w:ascii="Arial" w:cs="Arial" w:eastAsia="Arial" w:hAnsi="Arial"/>
                <w:sz w:val="20"/>
                <w:szCs w:val="20"/>
                <w:b w:val="1"/>
                <w:bCs w:val="1"/>
                <w:color w:val="auto"/>
                <w:vertAlign w:val="superscript"/>
              </w:rPr>
              <w:t>(2)</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Underwriting commissions (2.0% of gross proceeds from units offered</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1"/>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public, excluding deferred portion)</w:t>
            </w:r>
            <w:r>
              <w:rPr>
                <w:rFonts w:ascii="Arial" w:cs="Arial" w:eastAsia="Arial" w:hAnsi="Arial"/>
                <w:sz w:val="20"/>
                <w:szCs w:val="20"/>
                <w:color w:val="auto"/>
                <w:vertAlign w:val="superscript"/>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6,900,000</w:t>
            </w:r>
          </w:p>
        </w:tc>
        <w:tc>
          <w:tcPr>
            <w:tcW w:w="140" w:type="dxa"/>
            <w:vAlign w:val="bottom"/>
            <w:shd w:val="clear" w:color="auto" w:fill="CCEEFF"/>
          </w:tcPr>
          <w:p>
            <w:pPr>
              <w:spacing w:after="0"/>
              <w:rPr>
                <w:sz w:val="23"/>
                <w:szCs w:val="23"/>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350,000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350,000</w:t>
            </w:r>
          </w:p>
        </w:tc>
        <w:tc>
          <w:tcPr>
            <w:tcW w:w="140" w:type="dxa"/>
            <w:vAlign w:val="bottom"/>
          </w:tcPr>
          <w:p>
            <w:pPr>
              <w:spacing w:after="0"/>
              <w:rPr>
                <w:sz w:val="21"/>
                <w:szCs w:val="21"/>
                <w:color w:val="auto"/>
              </w:rPr>
            </w:pPr>
          </w:p>
        </w:tc>
      </w:tr>
      <w:tr>
        <w:trPr>
          <w:trHeight w:val="41"/>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40,000</w:t>
            </w:r>
          </w:p>
        </w:tc>
      </w:tr>
      <w:tr>
        <w:trPr>
          <w:trHeight w:val="40"/>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97,031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97,031</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Travel and road show</w:t>
            </w: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30,000</w:t>
            </w:r>
          </w:p>
        </w:tc>
      </w:tr>
      <w:tr>
        <w:trPr>
          <w:trHeight w:val="40"/>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NYSE listing and filing fees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85,000</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Director &amp; Officer liability insurance premiums</w:t>
            </w: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140" w:type="dxa"/>
            <w:vAlign w:val="bottom"/>
          </w:tcPr>
          <w:p>
            <w:pPr>
              <w:spacing w:after="0"/>
              <w:rPr>
                <w:sz w:val="21"/>
                <w:szCs w:val="21"/>
                <w:color w:val="auto"/>
              </w:rPr>
            </w:pPr>
          </w:p>
        </w:tc>
      </w:tr>
      <w:tr>
        <w:trPr>
          <w:trHeight w:val="41"/>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127,969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127,969</w:t>
            </w:r>
          </w:p>
        </w:tc>
        <w:tc>
          <w:tcPr>
            <w:tcW w:w="140" w:type="dxa"/>
            <w:vAlign w:val="bottom"/>
            <w:tcBorders>
              <w:bottom w:val="single" w:sz="8" w:color="CCEEFF"/>
            </w:tcBorders>
            <w:shd w:val="clear" w:color="auto" w:fill="CCEEFF"/>
          </w:tcPr>
          <w:p>
            <w:pPr>
              <w:spacing w:after="0"/>
              <w:rPr>
                <w:sz w:val="24"/>
                <w:szCs w:val="24"/>
                <w:color w:val="auto"/>
              </w:rPr>
            </w:pP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Total offering expenses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after offering expenses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303,000,000</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347,100,000</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310"/>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20"/>
                <w:szCs w:val="20"/>
                <w:color w:val="auto"/>
                <w:vertAlign w:val="superscript"/>
              </w:rPr>
              <w:t>(3)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300,000,000</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345,000,000</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r>
      <w:tr>
        <w:trPr>
          <w:trHeight w:val="217"/>
        </w:trPr>
        <w:tc>
          <w:tcPr>
            <w:tcW w:w="5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of public offering size</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64"/>
        </w:trPr>
        <w:tc>
          <w:tcPr>
            <w:tcW w:w="5200" w:type="dxa"/>
            <w:vAlign w:val="bottom"/>
          </w:tcPr>
          <w:p>
            <w:pPr>
              <w:spacing w:after="0"/>
              <w:rPr>
                <w:sz w:val="20"/>
                <w:szCs w:val="20"/>
                <w:color w:val="auto"/>
              </w:rPr>
            </w:pPr>
            <w:r>
              <w:rPr>
                <w:rFonts w:ascii="Arial" w:cs="Arial" w:eastAsia="Arial" w:hAnsi="Arial"/>
                <w:sz w:val="18"/>
                <w:szCs w:val="18"/>
                <w:color w:val="auto"/>
              </w:rPr>
              <w:t>Not held in trust account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3,000,000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2,100,000</w:t>
            </w:r>
          </w:p>
        </w:tc>
        <w:tc>
          <w:tcPr>
            <w:tcW w:w="140" w:type="dxa"/>
            <w:vAlign w:val="bottom"/>
          </w:tcPr>
          <w:p>
            <w:pPr>
              <w:spacing w:after="0"/>
              <w:rPr>
                <w:sz w:val="22"/>
                <w:szCs w:val="22"/>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shows the use of the $3,000,000 of net proceeds not held in the trust account.</w:t>
      </w:r>
      <w:r>
        <w:rPr>
          <w:rFonts w:ascii="Arial" w:cs="Arial" w:eastAsia="Arial" w:hAnsi="Arial"/>
          <w:sz w:val="19"/>
          <w:szCs w:val="19"/>
          <w:color w:val="auto"/>
          <w:vertAlign w:val="superscript"/>
        </w:rPr>
        <w:t>(4)(5)</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1260" w:type="dxa"/>
            <w:vAlign w:val="bottom"/>
          </w:tcPr>
          <w:p>
            <w:pPr>
              <w:jc w:val="right"/>
              <w:ind w:right="171"/>
              <w:spacing w:after="0"/>
              <w:rPr>
                <w:sz w:val="20"/>
                <w:szCs w:val="20"/>
                <w:color w:val="auto"/>
              </w:rPr>
            </w:pPr>
            <w:r>
              <w:rPr>
                <w:rFonts w:ascii="Arial" w:cs="Arial" w:eastAsia="Arial" w:hAnsi="Arial"/>
                <w:sz w:val="16"/>
                <w:szCs w:val="16"/>
                <w:b w:val="1"/>
                <w:bCs w:val="1"/>
                <w:color w:val="auto"/>
              </w:rPr>
              <w:t>% of Total</w:t>
            </w:r>
          </w:p>
        </w:tc>
        <w:tc>
          <w:tcPr>
            <w:tcW w:w="0" w:type="dxa"/>
            <w:vAlign w:val="bottom"/>
          </w:tcPr>
          <w:p>
            <w:pPr>
              <w:spacing w:after="0"/>
              <w:rPr>
                <w:sz w:val="1"/>
                <w:szCs w:val="1"/>
                <w:color w:val="auto"/>
              </w:rPr>
            </w:pPr>
          </w:p>
        </w:tc>
      </w:tr>
      <w:tr>
        <w:trPr>
          <w:trHeight w:val="47"/>
        </w:trPr>
        <w:tc>
          <w:tcPr>
            <w:tcW w:w="56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2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56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Legal, accounting, due diligence, travel, and other expenses in connection</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5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any business combination</w:t>
            </w:r>
            <w:r>
              <w:rPr>
                <w:rFonts w:ascii="Arial" w:cs="Arial" w:eastAsia="Arial" w:hAnsi="Arial"/>
                <w:sz w:val="20"/>
                <w:szCs w:val="20"/>
                <w:color w:val="auto"/>
                <w:vertAlign w:val="superscript"/>
              </w:rPr>
              <w:t>(6)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2,235,000</w:t>
            </w:r>
          </w:p>
        </w:tc>
        <w:tc>
          <w:tcPr>
            <w:tcW w:w="10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160,000</w:t>
            </w:r>
          </w:p>
        </w:tc>
        <w:tc>
          <w:tcPr>
            <w:tcW w:w="126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for office space, administrative and support services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240,000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43"/>
        </w:trPr>
        <w:tc>
          <w:tcPr>
            <w:tcW w:w="5600" w:type="dxa"/>
            <w:vAlign w:val="bottom"/>
          </w:tcPr>
          <w:p>
            <w:pPr>
              <w:spacing w:after="0"/>
              <w:rPr>
                <w:sz w:val="20"/>
                <w:szCs w:val="20"/>
                <w:color w:val="auto"/>
              </w:rPr>
            </w:pPr>
            <w:r>
              <w:rPr>
                <w:rFonts w:ascii="Arial" w:cs="Arial" w:eastAsia="Arial" w:hAnsi="Arial"/>
                <w:sz w:val="18"/>
                <w:szCs w:val="18"/>
                <w:color w:val="auto"/>
              </w:rPr>
              <w:t>NYSE fees</w:t>
            </w: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165,000</w:t>
            </w:r>
          </w:p>
        </w:tc>
        <w:tc>
          <w:tcPr>
            <w:tcW w:w="126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0"/>
        </w:trPr>
        <w:tc>
          <w:tcPr>
            <w:tcW w:w="5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 to cover miscellaneous expenses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00" w:type="dxa"/>
            <w:vAlign w:val="bottom"/>
            <w:vMerge w:val="continue"/>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3,000,000</w:t>
            </w:r>
          </w:p>
        </w:tc>
        <w:tc>
          <w:tcPr>
            <w:tcW w:w="126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559" w:hanging="426"/>
        <w:spacing w:after="0" w:line="266" w:lineRule="auto"/>
        <w:tabs>
          <w:tab w:leader="none" w:pos="8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Includes amounts payable to public shareholders who properly redeem their shares in connection with our successful completion of our initial business combination.</w:t>
      </w:r>
    </w:p>
    <w:p>
      <w:pPr>
        <w:spacing w:after="0" w:line="1" w:lineRule="exact"/>
        <w:rPr>
          <w:rFonts w:ascii="Arial" w:cs="Arial" w:eastAsia="Arial" w:hAnsi="Arial"/>
          <w:sz w:val="16"/>
          <w:szCs w:val="16"/>
          <w:color w:val="auto"/>
        </w:rPr>
      </w:pPr>
    </w:p>
    <w:p>
      <w:pPr>
        <w:ind w:left="880" w:right="499" w:hanging="426"/>
        <w:spacing w:after="0" w:line="281" w:lineRule="auto"/>
        <w:tabs>
          <w:tab w:leader="none" w:pos="871" w:val="left"/>
        </w:tabs>
        <w:numPr>
          <w:ilvl w:val="0"/>
          <w:numId w:val="29"/>
        </w:numPr>
        <w:rPr>
          <w:rFonts w:ascii="Arial" w:cs="Arial" w:eastAsia="Arial" w:hAnsi="Arial"/>
          <w:sz w:val="15"/>
          <w:szCs w:val="15"/>
          <w:color w:val="auto"/>
        </w:rPr>
      </w:pPr>
      <w:r>
        <w:rPr>
          <w:rFonts w:ascii="Arial" w:cs="Arial" w:eastAsia="Arial" w:hAnsi="Arial"/>
          <w:sz w:val="15"/>
          <w:szCs w:val="15"/>
          <w:color w:val="auto"/>
        </w:rPr>
        <w:t>A portion of the offering expenses will be paid from the proceeds of loans from our sponsor of up to $300,000 as described in this prospectus. As of December 31, 2019, we had not borrowed any amount under the promissory note with our sponsor. These amounts will be repaid upon completion of this offering out of the offering proceeds that has been allocated for the payment of offering expenses (other than underwriting commissions) and amounts not to be held in the trust account. In the event that offering expenses are less than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3" w:lineRule="exact"/>
        <w:rPr>
          <w:rFonts w:ascii="Arial" w:cs="Arial" w:eastAsia="Arial" w:hAnsi="Arial"/>
          <w:sz w:val="15"/>
          <w:szCs w:val="15"/>
          <w:color w:val="auto"/>
        </w:rPr>
      </w:pPr>
    </w:p>
    <w:p>
      <w:pPr>
        <w:ind w:left="880" w:right="479" w:hanging="426"/>
        <w:spacing w:after="0" w:line="268" w:lineRule="auto"/>
        <w:tabs>
          <w:tab w:leader="none" w:pos="877"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underwriter has agreed to defer underwriting commissions of 3.5% of the gross proceeds of this offering. Upon and concurrently with the completion of our initial business combination, $10,500,000, which constitutes the underwriter’s deferred commissions (or $12,075,000 if the underwriter’s over-allotment option is exercised in full) will be paid to the underwriter from the funds held in the trust account. See “Underwriting.” The remaining funds, less amounts released to the trustee to pay redeeming shareholders, will be released to us and can be used to pay all or a portion of the purchase price of the business or businesses with which our initial business combination occurs or for general corporate purposes,</w:t>
      </w:r>
    </w:p>
    <w:p>
      <w:pPr>
        <w:sectPr>
          <w:pgSz w:w="11900" w:h="16838" w:orient="portrait"/>
          <w:cols w:equalWidth="0" w:num="1">
            <w:col w:w="9019"/>
          </w:cols>
          <w:pgMar w:left="1440" w:top="337" w:right="1440" w:bottom="1440" w:gutter="0" w:footer="0" w:header="0"/>
        </w:sectPr>
      </w:pP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5" w:name="page66"/>
    <w:bookmarkEnd w:id="65"/>
    <w:p>
      <w:pPr>
        <w:ind w:left="880" w:right="559"/>
        <w:spacing w:after="0" w:line="265" w:lineRule="auto"/>
        <w:rPr>
          <w:sz w:val="20"/>
          <w:szCs w:val="20"/>
          <w:color w:val="auto"/>
        </w:rPr>
      </w:pPr>
      <w:r>
        <w:rPr>
          <w:rFonts w:ascii="Arial" w:cs="Arial" w:eastAsia="Arial" w:hAnsi="Arial"/>
          <w:sz w:val="16"/>
          <w:szCs w:val="16"/>
          <w:color w:val="auto"/>
        </w:rPr>
        <w:t>including payment of principal or interest on indebtedness incurred in connection with our initial business combination, to fund the purchases of other companies or for working capital. The underwriter will not be entitled to any interest accrued on the deferred underwriting discounts and commissions.</w:t>
      </w:r>
    </w:p>
    <w:p>
      <w:pPr>
        <w:spacing w:after="0" w:line="2" w:lineRule="exact"/>
        <w:rPr>
          <w:sz w:val="20"/>
          <w:szCs w:val="20"/>
          <w:color w:val="auto"/>
        </w:rPr>
      </w:pPr>
    </w:p>
    <w:p>
      <w:pPr>
        <w:ind w:left="880" w:right="479" w:hanging="426"/>
        <w:spacing w:after="0" w:line="281" w:lineRule="auto"/>
        <w:tabs>
          <w:tab w:leader="none" w:pos="877"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1.0% per year, we estimate the interest earned on the trust account will be approximately $3,000,000 per year; however, we can provide no assurances regarding this amount. The trust account’s earnings will be lower as interest rates on short-term government treasury obligations decline.</w:t>
      </w:r>
    </w:p>
    <w:p>
      <w:pPr>
        <w:spacing w:after="0" w:line="8" w:lineRule="exact"/>
        <w:rPr>
          <w:rFonts w:ascii="Arial" w:cs="Arial" w:eastAsia="Arial" w:hAnsi="Arial"/>
          <w:sz w:val="15"/>
          <w:szCs w:val="15"/>
          <w:color w:val="auto"/>
        </w:rPr>
      </w:pPr>
    </w:p>
    <w:p>
      <w:pPr>
        <w:ind w:left="880" w:hanging="426"/>
        <w:spacing w:after="0"/>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w:t>
      </w:r>
    </w:p>
    <w:p>
      <w:pPr>
        <w:spacing w:after="0" w:line="18" w:lineRule="exact"/>
        <w:rPr>
          <w:rFonts w:ascii="Arial" w:cs="Arial" w:eastAsia="Arial" w:hAnsi="Arial"/>
          <w:sz w:val="16"/>
          <w:szCs w:val="16"/>
          <w:color w:val="auto"/>
        </w:rPr>
      </w:pPr>
    </w:p>
    <w:p>
      <w:pPr>
        <w:ind w:left="880" w:right="639" w:hanging="426"/>
        <w:spacing w:after="0" w:line="288"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estimated amounts that may also be used in connection with our initial business combination to fund a “no shop” provision and commitment fees for financing.</w:t>
      </w:r>
    </w:p>
    <w:p>
      <w:pPr>
        <w:spacing w:after="0" w:line="10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Of the $310,000,000 in proceeds we receive from this offering and the sale of the private placement warrants described in this prospectus, or $355,000,000 if the underwriter’s over-allotment option is exercised in full, $300,000,000 ($10.00 per unit), or $345,000,000 if the underwriter’s over-allotment option is exercised in full ($10.00 per unit), will be deposited into a trust account with Continental Stock Transfer &amp; Trust Company acting as trustee, and $10,000,000 will be used to pay expenses in connection with the closing of this offering and for working capital following this offering. We will not be permitted to withdraw any of the principal or interest held in the trust account, except with respect to interest earned on the funds held in the trust account that may be released to us to pay our income taxes, if any, (less up to $100,000 of interest to pay dissolution expenses) until the earliest of (i) the completion of our initial business combination, (ii) the redemption of our public shares if we have not consummated an initial business combination within 24 months from the closing of this offering, subject to applicable law, or (iii) the redemption of our public shares properly submitted in connection with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Based on current interest rates, we expect that interest income earned on the trust account (if any) will be sufficient to pay our income taxes.</w:t>
      </w:r>
    </w:p>
    <w:p>
      <w:pPr>
        <w:spacing w:after="0" w:line="93"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13"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believe that amounts not held in trust, together with funds available to us from loans from our sponsor, will be sufficient to pay the costs and expenses to which such proceeds are allocated.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99" w:lineRule="exact"/>
        <w:rPr>
          <w:sz w:val="20"/>
          <w:szCs w:val="20"/>
          <w:color w:val="auto"/>
        </w:rPr>
      </w:pPr>
    </w:p>
    <w:p>
      <w:pPr>
        <w:ind w:left="460" w:right="699" w:firstLine="432"/>
        <w:spacing w:after="0" w:line="311" w:lineRule="auto"/>
        <w:rPr>
          <w:sz w:val="20"/>
          <w:szCs w:val="20"/>
          <w:color w:val="auto"/>
        </w:rPr>
      </w:pPr>
      <w:r>
        <w:rPr>
          <w:rFonts w:ascii="Arial" w:cs="Arial" w:eastAsia="Arial" w:hAnsi="Arial"/>
          <w:sz w:val="16"/>
          <w:szCs w:val="16"/>
          <w:color w:val="auto"/>
        </w:rPr>
        <w:t>We will reimburse an affiliate of our sponsor for office space, secretarial and administrative services provided to members of our management team, in the amount of $10,000 per month. Upon completion of our initial business combination or our liquidation, we will cease paying these monthly fees.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66" w:name="page67"/>
    <w:bookmarkEnd w:id="66"/>
    <w:p>
      <w:pPr>
        <w:ind w:left="460" w:right="559" w:firstLine="432"/>
        <w:spacing w:after="0" w:line="257" w:lineRule="auto"/>
        <w:rPr>
          <w:sz w:val="20"/>
          <w:szCs w:val="20"/>
          <w:color w:val="auto"/>
        </w:rPr>
      </w:pPr>
      <w:r>
        <w:rPr>
          <w:rFonts w:ascii="Arial" w:cs="Arial" w:eastAsia="Arial" w:hAnsi="Arial"/>
          <w:sz w:val="18"/>
          <w:szCs w:val="18"/>
          <w:color w:val="auto"/>
        </w:rPr>
        <w:t>Prior to the closing of this offering, our sponsor has agreed to loan us up to $300,000 to be used for a portion of the expenses of this offering. As of December 31, 2019, we had not borrowed any amount under the promissory note with our sponsor. These loans are non-interest bearing, unsecured and are due at the earlier of June 30, 2020 or the closing of this offering. The loan will be repaid upon the closing of this offering out of the offering proceeds not held in the trust account.</w:t>
      </w:r>
    </w:p>
    <w:p>
      <w:pPr>
        <w:spacing w:after="0" w:line="107"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of the post business combination entity at a price of $1.00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upon the consummation of this offering. Further, if we incur any indebtedness in connection with a business combination, our ability to declare dividends may be limited by restrictive covenants we may agree to in connection therewith.</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DILUTION</w:t>
      </w:r>
    </w:p>
    <w:p>
      <w:pPr>
        <w:spacing w:after="0" w:line="162" w:lineRule="exact"/>
        <w:rPr>
          <w:sz w:val="20"/>
          <w:szCs w:val="20"/>
          <w:color w:val="auto"/>
        </w:rPr>
      </w:pPr>
    </w:p>
    <w:p>
      <w:pPr>
        <w:ind w:left="460" w:right="619" w:firstLine="432"/>
        <w:spacing w:after="0" w:line="270" w:lineRule="auto"/>
        <w:rPr>
          <w:sz w:val="20"/>
          <w:szCs w:val="20"/>
          <w:color w:val="auto"/>
        </w:rPr>
      </w:pPr>
      <w:r>
        <w:rPr>
          <w:rFonts w:ascii="Arial" w:cs="Arial" w:eastAsia="Arial" w:hAnsi="Arial"/>
          <w:sz w:val="17"/>
          <w:szCs w:val="17"/>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At December 31, 2019, our net tangible book deficit was $(87,699), or approximately $(0.01) per ordinary</w:t>
      </w:r>
    </w:p>
    <w:p>
      <w:pPr>
        <w:spacing w:after="0" w:line="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share. After giving effect to the sale of 30,000,000 Class A ordinary shares included in the units we are offering</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 this prospectus (or 34,500,000 Class A ordinary shares if the underwriter’s over-allotment option is exercised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full), the sale of the private placement warrants and the deduction of underwriting commissions and estimated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expenses of this offering, our pro forma net tangible book value at December 31, 2019 would have been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$5,000,001 or $0.57 per share (or $5,000,001 or $0.49 per share if the underwriter’s over-allotment option is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exercised in full), representing an immediate increase in net tangible book value (as decreased by the value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28,751,596 Class A ordinary shares that may be redeemed for cash, or 33,004,096 Class A ordinary shares if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underwriter’s over-allotment option is exercised in full) of $0.58 per share (or $0.50 per share if the</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underwriter’s over-allotment option is exercised in full) to our sponsor as of the date of this prospectus and an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immediate dilution to public shareholders from this offering of $10.00 per share. Total dilution to public</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shareholders from this offering will be $9.43 per share (or $9.51 if the underwriter’s over-allotment option is</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exercised in full).</w:t>
      </w:r>
    </w:p>
    <w:p>
      <w:pPr>
        <w:spacing w:after="0" w:line="143" w:lineRule="exact"/>
        <w:rPr>
          <w:sz w:val="20"/>
          <w:szCs w:val="20"/>
          <w:color w:val="auto"/>
        </w:rPr>
      </w:pPr>
    </w:p>
    <w:p>
      <w:pPr>
        <w:ind w:left="460" w:right="739" w:firstLine="432"/>
        <w:spacing w:after="0" w:line="308" w:lineRule="auto"/>
        <w:rPr>
          <w:sz w:val="20"/>
          <w:szCs w:val="20"/>
          <w:color w:val="auto"/>
        </w:rPr>
      </w:pPr>
      <w:r>
        <w:rPr>
          <w:rFonts w:ascii="Arial" w:cs="Arial" w:eastAsia="Arial" w:hAnsi="Arial"/>
          <w:sz w:val="17"/>
          <w:szCs w:val="17"/>
          <w:color w:val="auto"/>
        </w:rPr>
        <w:t>The following table illustrates the dilution to the public shareholders on a per-share basis, assuming no value is attributed to the warrants included in the units or the private placement warrants:</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320" w:type="dxa"/>
            <w:vAlign w:val="bottom"/>
            <w:gridSpan w:val="3"/>
          </w:tcPr>
          <w:p>
            <w:pPr>
              <w:jc w:val="center"/>
              <w:ind w:left="533"/>
              <w:spacing w:after="0"/>
              <w:rPr>
                <w:sz w:val="20"/>
                <w:szCs w:val="20"/>
                <w:color w:val="auto"/>
              </w:rPr>
            </w:pPr>
            <w:r>
              <w:rPr>
                <w:rFonts w:ascii="Arial" w:cs="Arial" w:eastAsia="Arial" w:hAnsi="Arial"/>
                <w:sz w:val="16"/>
                <w:szCs w:val="16"/>
                <w:b w:val="1"/>
                <w:bCs w:val="1"/>
                <w:color w:val="auto"/>
                <w:w w:val="97"/>
              </w:rPr>
              <w:t>Without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With</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6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Over-allotment</w:t>
            </w:r>
          </w:p>
        </w:tc>
        <w:tc>
          <w:tcPr>
            <w:tcW w:w="210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Over-allotment</w:t>
            </w:r>
          </w:p>
        </w:tc>
        <w:tc>
          <w:tcPr>
            <w:tcW w:w="0" w:type="dxa"/>
            <w:vAlign w:val="bottom"/>
          </w:tcPr>
          <w:p>
            <w:pPr>
              <w:spacing w:after="0"/>
              <w:rPr>
                <w:sz w:val="1"/>
                <w:szCs w:val="1"/>
                <w:color w:val="auto"/>
              </w:rPr>
            </w:pPr>
          </w:p>
        </w:tc>
      </w:tr>
      <w:tr>
        <w:trPr>
          <w:trHeight w:val="47"/>
        </w:trPr>
        <w:tc>
          <w:tcPr>
            <w:tcW w:w="39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shareholders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0.58</w:t>
            </w:r>
          </w:p>
        </w:tc>
        <w:tc>
          <w:tcPr>
            <w:tcW w:w="3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0.50</w:t>
            </w: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line="182" w:lineRule="exact"/>
              <w:rPr>
                <w:sz w:val="20"/>
                <w:szCs w:val="20"/>
                <w:color w:val="auto"/>
              </w:rPr>
            </w:pPr>
            <w:r>
              <w:rPr>
                <w:rFonts w:ascii="Arial" w:cs="Arial" w:eastAsia="Arial" w:hAnsi="Arial"/>
                <w:sz w:val="18"/>
                <w:szCs w:val="18"/>
                <w:color w:val="auto"/>
                <w:w w:val="96"/>
              </w:rPr>
              <w:t>Pro forma net tangible book value after this offering</w:t>
            </w: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940" w:type="dxa"/>
            <w:vAlign w:val="bottom"/>
          </w:tcPr>
          <w:p>
            <w:pPr>
              <w:ind w:left="180"/>
              <w:spacing w:after="0"/>
              <w:rPr>
                <w:sz w:val="20"/>
                <w:szCs w:val="20"/>
                <w:color w:val="auto"/>
              </w:rPr>
            </w:pPr>
            <w:r>
              <w:rPr>
                <w:rFonts w:ascii="Arial" w:cs="Arial" w:eastAsia="Arial" w:hAnsi="Arial"/>
                <w:sz w:val="18"/>
                <w:szCs w:val="18"/>
                <w:color w:val="auto"/>
              </w:rPr>
              <w:t>and the sale of the private placement warrants</w:t>
            </w:r>
          </w:p>
        </w:tc>
        <w:tc>
          <w:tcPr>
            <w:tcW w:w="1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Dilution to public shareholders</w:t>
            </w:r>
          </w:p>
        </w:tc>
        <w:tc>
          <w:tcPr>
            <w:tcW w:w="1020" w:type="dxa"/>
            <w:vAlign w:val="bottom"/>
            <w:gridSpan w:val="2"/>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Percentage of dilution to public shareholders</w:t>
            </w: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For purposes of presentation, we have reduced our pro forma net tangible book value after this offering (assuming no exercise of the underwriter’s over-allotment option) by $287,515,960 because holders of up to approximately 95.8%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days prior to the commencement of our tender offer or shareholders meeting, including interest earned on the funds held in the trust account and not previously released to us to pay our income taxes, if any, divided by the number of the then-outstanding public shares.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information with respect to our sponsor and the public shareholders: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2060" w:type="dxa"/>
            <w:vAlign w:val="bottom"/>
            <w:gridSpan w:val="5"/>
            <w:vMerge w:val="restart"/>
          </w:tcPr>
          <w:p>
            <w:pPr>
              <w:ind w:left="360"/>
              <w:spacing w:after="0"/>
              <w:rPr>
                <w:sz w:val="20"/>
                <w:szCs w:val="20"/>
                <w:color w:val="auto"/>
              </w:rPr>
            </w:pPr>
            <w:r>
              <w:rPr>
                <w:rFonts w:ascii="Arial" w:cs="Arial" w:eastAsia="Arial" w:hAnsi="Arial"/>
                <w:sz w:val="16"/>
                <w:szCs w:val="16"/>
                <w:b w:val="1"/>
                <w:bCs w:val="1"/>
                <w:color w:val="auto"/>
              </w:rPr>
              <w:t>Shares Purchased</w:t>
            </w:r>
          </w:p>
        </w:tc>
        <w:tc>
          <w:tcPr>
            <w:tcW w:w="180" w:type="dxa"/>
            <w:vAlign w:val="bottom"/>
          </w:tcPr>
          <w:p>
            <w:pPr>
              <w:spacing w:after="0"/>
              <w:rPr>
                <w:sz w:val="17"/>
                <w:szCs w:val="17"/>
                <w:color w:val="auto"/>
              </w:rPr>
            </w:pPr>
          </w:p>
        </w:tc>
        <w:tc>
          <w:tcPr>
            <w:tcW w:w="2000" w:type="dxa"/>
            <w:vAlign w:val="bottom"/>
            <w:gridSpan w:val="4"/>
            <w:vMerge w:val="restart"/>
          </w:tcPr>
          <w:p>
            <w:pPr>
              <w:jc w:val="right"/>
              <w:ind w:right="310"/>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155"/>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75"/>
        </w:trPr>
        <w:tc>
          <w:tcPr>
            <w:tcW w:w="2700" w:type="dxa"/>
            <w:vAlign w:val="bottom"/>
          </w:tcPr>
          <w:p>
            <w:pPr>
              <w:spacing w:after="0"/>
              <w:rPr>
                <w:sz w:val="6"/>
                <w:szCs w:val="6"/>
                <w:color w:val="auto"/>
              </w:rPr>
            </w:pPr>
          </w:p>
        </w:tc>
        <w:tc>
          <w:tcPr>
            <w:tcW w:w="2060" w:type="dxa"/>
            <w:vAlign w:val="bottom"/>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20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restart"/>
          </w:tcPr>
          <w:p>
            <w:pPr>
              <w:jc w:val="center"/>
              <w:ind w:right="95"/>
              <w:spacing w:after="0"/>
              <w:rPr>
                <w:sz w:val="20"/>
                <w:szCs w:val="20"/>
                <w:color w:val="auto"/>
              </w:rPr>
            </w:pPr>
            <w:r>
              <w:rPr>
                <w:rFonts w:ascii="Arial" w:cs="Arial" w:eastAsia="Arial" w:hAnsi="Arial"/>
                <w:sz w:val="16"/>
                <w:szCs w:val="16"/>
                <w:b w:val="1"/>
                <w:bCs w:val="1"/>
                <w:color w:val="auto"/>
                <w:w w:val="90"/>
              </w:rPr>
              <w:t>Price per</w:t>
            </w:r>
          </w:p>
        </w:tc>
        <w:tc>
          <w:tcPr>
            <w:tcW w:w="0" w:type="dxa"/>
            <w:vAlign w:val="bottom"/>
          </w:tcPr>
          <w:p>
            <w:pPr>
              <w:spacing w:after="0"/>
              <w:rPr>
                <w:sz w:val="1"/>
                <w:szCs w:val="1"/>
                <w:color w:val="auto"/>
              </w:rPr>
            </w:pPr>
          </w:p>
        </w:tc>
      </w:tr>
      <w:tr>
        <w:trPr>
          <w:trHeight w:val="47"/>
        </w:trPr>
        <w:tc>
          <w:tcPr>
            <w:tcW w:w="27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Number</w:t>
            </w:r>
          </w:p>
        </w:tc>
        <w:tc>
          <w:tcPr>
            <w:tcW w:w="1040" w:type="dxa"/>
            <w:vAlign w:val="bottom"/>
            <w:gridSpan w:val="3"/>
          </w:tcPr>
          <w:p>
            <w:pPr>
              <w:ind w:left="100"/>
              <w:spacing w:after="0"/>
              <w:rPr>
                <w:sz w:val="20"/>
                <w:szCs w:val="20"/>
                <w:color w:val="auto"/>
              </w:rPr>
            </w:pPr>
            <w:r>
              <w:rPr>
                <w:rFonts w:ascii="Arial" w:cs="Arial" w:eastAsia="Arial" w:hAnsi="Arial"/>
                <w:sz w:val="16"/>
                <w:szCs w:val="16"/>
                <w:b w:val="1"/>
                <w:bCs w:val="1"/>
                <w:color w:val="auto"/>
              </w:rPr>
              <w:t>Percentage</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7"/>
              </w:rPr>
              <w:t>Percentage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15"/>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47"/>
        </w:trPr>
        <w:tc>
          <w:tcPr>
            <w:tcW w:w="27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w:t>
            </w:r>
            <w:r>
              <w:rPr>
                <w:rFonts w:ascii="Arial" w:cs="Arial" w:eastAsia="Arial" w:hAnsi="Arial"/>
                <w:sz w:val="20"/>
                <w:szCs w:val="20"/>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0.003</w:t>
            </w: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0"/>
                <w:szCs w:val="20"/>
                <w:color w:val="auto"/>
              </w:rPr>
            </w:pPr>
            <w:r>
              <w:rPr>
                <w:rFonts w:ascii="Arial" w:cs="Arial" w:eastAsia="Arial" w:hAnsi="Arial"/>
                <w:sz w:val="18"/>
                <w:szCs w:val="18"/>
                <w:color w:val="auto"/>
              </w:rPr>
              <w:t>Public Shareholders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30,000,000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300,000,000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37,500,000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300,025,000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479" w:hanging="426"/>
        <w:spacing w:after="0" w:line="293" w:lineRule="auto"/>
        <w:tabs>
          <w:tab w:leader="none" w:pos="871"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 and the corresponding forfeiture of 1,125,000 Class B ordinary shares held by our sponsor.</w:t>
      </w:r>
    </w:p>
    <w:p>
      <w:pPr>
        <w:sectPr>
          <w:pgSz w:w="11900" w:h="16838" w:orient="portrait"/>
          <w:cols w:equalWidth="0" w:num="1">
            <w:col w:w="9019"/>
          </w:cols>
          <w:pgMar w:left="1440" w:top="337"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9" w:name="page70"/>
    <w:bookmarkEnd w:id="69"/>
    <w:p>
      <w:pPr>
        <w:ind w:left="460" w:right="499" w:firstLine="432"/>
        <w:spacing w:after="0" w:line="277" w:lineRule="auto"/>
        <w:rPr>
          <w:sz w:val="20"/>
          <w:szCs w:val="20"/>
          <w:color w:val="auto"/>
        </w:rPr>
      </w:pPr>
      <w:r>
        <w:rPr>
          <w:rFonts w:ascii="Arial" w:cs="Arial" w:eastAsia="Arial" w:hAnsi="Arial"/>
          <w:sz w:val="18"/>
          <w:szCs w:val="18"/>
          <w:color w:val="auto"/>
        </w:rPr>
        <w:t>The pro forma net tangible book value per share after the offering (assuming that the underwriter does not exercise its over-allotment option) is calculated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7"/>
              </w:rPr>
              <w:t>Without</w:t>
            </w:r>
          </w:p>
        </w:tc>
        <w:tc>
          <w:tcPr>
            <w:tcW w:w="14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3"/>
              </w:rPr>
              <w:t>Over-allotment</w:t>
            </w:r>
          </w:p>
        </w:tc>
        <w:tc>
          <w:tcPr>
            <w:tcW w:w="12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9"/>
              </w:rPr>
              <w:t>Over-allotment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(87,699)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(87,699)</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 this offering and sale of the private placement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303,000,000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347,100,000</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w w:val="96"/>
              </w:rPr>
              <w:t>Plus: Offering costs paid in advance, excluded from tangible book value</w:t>
            </w: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103,660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103,660</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(10,500,000)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(12,075,000)</w:t>
            </w:r>
          </w:p>
        </w:tc>
        <w:tc>
          <w:tcPr>
            <w:tcW w:w="0" w:type="dxa"/>
            <w:vAlign w:val="bottom"/>
          </w:tcPr>
          <w:p>
            <w:pPr>
              <w:spacing w:after="0"/>
              <w:rPr>
                <w:sz w:val="1"/>
                <w:szCs w:val="1"/>
                <w:color w:val="auto"/>
              </w:rPr>
            </w:pPr>
          </w:p>
        </w:tc>
      </w:tr>
      <w:tr>
        <w:trPr>
          <w:trHeight w:val="283"/>
        </w:trPr>
        <w:tc>
          <w:tcPr>
            <w:tcW w:w="552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20"/>
                <w:szCs w:val="20"/>
                <w:color w:val="auto"/>
                <w:vertAlign w:val="superscript"/>
              </w:rPr>
              <w:t>(2)</w:t>
            </w:r>
          </w:p>
        </w:tc>
        <w:tc>
          <w:tcPr>
            <w:tcW w:w="1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(287,515,960)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(330,040,960)</w:t>
            </w: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shares outstanding prior to this offering</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8,625,000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8,625,000</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Ordinary shares forfeited if over-allotment is not exercised</w:t>
            </w: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shares included in the units offered</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34,500,000</w:t>
            </w: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Arial" w:cs="Arial" w:eastAsia="Arial" w:hAnsi="Arial"/>
                <w:sz w:val="18"/>
                <w:szCs w:val="18"/>
                <w:color w:val="auto"/>
              </w:rPr>
              <w:t>Less: Ordinary shares subject to redemption</w:t>
            </w:r>
          </w:p>
        </w:tc>
        <w:tc>
          <w:tcPr>
            <w:tcW w:w="1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(28,751,596)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(33,004,096)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8,748,404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10,120,904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639" w:hanging="426"/>
        <w:spacing w:after="0" w:line="265"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Expenses applied against gross proceeds include offering expenses of $1,000,000 and underwriting commissions of $6,000,000 or $6,900,000 if the underwriter exercises its over-allotment option (excluding deferred underwriting fees). See “Use of Proceeds.”</w:t>
      </w:r>
    </w:p>
    <w:p>
      <w:pPr>
        <w:spacing w:after="0" w:line="1" w:lineRule="exact"/>
        <w:rPr>
          <w:rFonts w:ascii="Arial" w:cs="Arial" w:eastAsia="Arial" w:hAnsi="Arial"/>
          <w:sz w:val="16"/>
          <w:szCs w:val="16"/>
          <w:color w:val="auto"/>
        </w:rPr>
      </w:pPr>
    </w:p>
    <w:p>
      <w:pPr>
        <w:ind w:left="880" w:right="499" w:hanging="426"/>
        <w:spacing w:after="0" w:line="267" w:lineRule="auto"/>
        <w:tabs>
          <w:tab w:leader="none" w:pos="8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“Proposed Business — Effecting Our Initial Business Combination — Permitted Purchases of Our Securities.”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following table sets forth our capitalization at December 31, 2019, and as adjusted to give effect to the filing of our amended and restated memorandum and articles of association, the sale of our units in this offering and the private placement warrants and the application of the estimated net proceeds derived from the sale of such securities: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December 31, 2019</w:t>
            </w:r>
          </w:p>
        </w:tc>
      </w:tr>
      <w:tr>
        <w:trPr>
          <w:trHeight w:val="46"/>
        </w:trPr>
        <w:tc>
          <w:tcPr>
            <w:tcW w:w="57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r>
      <w:tr>
        <w:trPr>
          <w:trHeight w:val="273"/>
        </w:trPr>
        <w:tc>
          <w:tcPr>
            <w:tcW w:w="5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3"/>
          </w:tcPr>
          <w:p>
            <w:pPr>
              <w:ind w:left="40"/>
              <w:spacing w:after="0"/>
              <w:rPr>
                <w:sz w:val="20"/>
                <w:szCs w:val="20"/>
                <w:color w:val="auto"/>
              </w:rPr>
            </w:pPr>
            <w:r>
              <w:rPr>
                <w:rFonts w:ascii="Arial" w:cs="Arial" w:eastAsia="Arial" w:hAnsi="Arial"/>
                <w:sz w:val="16"/>
                <w:szCs w:val="16"/>
                <w:b w:val="1"/>
                <w:bCs w:val="1"/>
                <w:color w:val="auto"/>
              </w:rPr>
              <w:t>Actual</w:t>
            </w:r>
          </w:p>
        </w:tc>
        <w:tc>
          <w:tcPr>
            <w:tcW w:w="14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86"/>
              </w:rPr>
              <w:t>As Adjusted</w:t>
            </w:r>
            <w:r>
              <w:rPr>
                <w:rFonts w:ascii="Arial" w:cs="Arial" w:eastAsia="Arial" w:hAnsi="Arial"/>
                <w:sz w:val="18"/>
                <w:szCs w:val="18"/>
                <w:b w:val="1"/>
                <w:bCs w:val="1"/>
                <w:color w:val="auto"/>
                <w:w w:val="86"/>
                <w:vertAlign w:val="superscript"/>
              </w:rPr>
              <w:t>(1)</w:t>
            </w:r>
          </w:p>
        </w:tc>
      </w:tr>
      <w:tr>
        <w:trPr>
          <w:trHeight w:val="268"/>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20"/>
                <w:szCs w:val="20"/>
                <w:color w:val="auto"/>
                <w:vertAlign w:val="superscript"/>
              </w:rPr>
              <w:t>(2)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578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220" w:type="dxa"/>
            <w:vAlign w:val="bottom"/>
          </w:tcPr>
          <w:p>
            <w:pPr>
              <w:spacing w:after="0"/>
              <w:rPr>
                <w:sz w:val="22"/>
                <w:szCs w:val="22"/>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10,500,000</w:t>
            </w: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182"/>
        </w:trPr>
        <w:tc>
          <w:tcPr>
            <w:tcW w:w="57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Class A ordinary shares, $0.0001 par value, 300,000,000 shares authorized; 0</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and 28,751,596 Class A ordinary shares are subject to possible redemption,</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1"/>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287,515,960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w w:val="90"/>
              </w:rPr>
              <w:t>Preference shares, $0.0001 par value; 1,000,000 preference shares authorized;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0 preference shares issued and outstanding, actual and as adjusted</w:t>
            </w:r>
          </w:p>
        </w:tc>
        <w:tc>
          <w:tcPr>
            <w:tcW w:w="2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Ordinary shares, $0.0001 par value, 300,000,000 shares authorized; 0</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and 1,248,404 shares issued and outstanding (excluding 0 and 28,751,596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71"/>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shares subject to possible redemption), actual and as adjusted, respectively</w:t>
            </w:r>
            <w:r>
              <w:rPr>
                <w:rFonts w:ascii="Arial" w:cs="Arial" w:eastAsia="Arial" w:hAnsi="Arial"/>
                <w:sz w:val="20"/>
                <w:szCs w:val="20"/>
                <w:color w:val="auto"/>
                <w:w w:val="90"/>
                <w:vertAlign w:val="superscript"/>
              </w:rPr>
              <w:t>(3)</w:t>
            </w:r>
          </w:p>
        </w:tc>
        <w:tc>
          <w:tcPr>
            <w:tcW w:w="22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w w:val="96"/>
              </w:rPr>
              <w:t>Class B ordinary shares, $0.0001 par value, 30,000,000 shares authorized;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w w:val="98"/>
              </w:rPr>
              <w:t>8,625,000 and 7,500,000 shares issued and outstanding, actual and as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adjusted, respectively</w:t>
            </w:r>
          </w:p>
        </w:tc>
        <w:tc>
          <w:tcPr>
            <w:tcW w:w="2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751</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24,137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5,008,164</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578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(9,039)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(9,039)</w:t>
            </w: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15,961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303,015,961</w:t>
            </w:r>
          </w:p>
        </w:tc>
        <w:tc>
          <w:tcPr>
            <w:tcW w:w="14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479" w:hanging="426"/>
        <w:spacing w:after="0" w:line="266" w:lineRule="auto"/>
        <w:tabs>
          <w:tab w:leader="none" w:pos="871"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 and the corresponding forfeiture of 1,250,000 Class B ordinary shares held by our sponsor.</w:t>
      </w:r>
    </w:p>
    <w:p>
      <w:pPr>
        <w:spacing w:after="0" w:line="1" w:lineRule="exact"/>
        <w:rPr>
          <w:rFonts w:ascii="Arial" w:cs="Arial" w:eastAsia="Arial" w:hAnsi="Arial"/>
          <w:sz w:val="16"/>
          <w:szCs w:val="16"/>
          <w:color w:val="auto"/>
        </w:rPr>
      </w:pPr>
    </w:p>
    <w:p>
      <w:pPr>
        <w:ind w:left="880" w:right="879" w:hanging="426"/>
        <w:spacing w:after="0" w:line="281" w:lineRule="auto"/>
        <w:tabs>
          <w:tab w:leader="none" w:pos="8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Our sponsor has agreed to loan us up to $300,000 to be used for a portion of the expenses of this offering. As of December 31, 2019, we had not borrowed any amount under the promissory note with our sponsor.</w:t>
      </w:r>
    </w:p>
    <w:p>
      <w:pPr>
        <w:spacing w:after="0" w:line="1" w:lineRule="exact"/>
        <w:rPr>
          <w:rFonts w:ascii="Arial" w:cs="Arial" w:eastAsia="Arial" w:hAnsi="Arial"/>
          <w:sz w:val="15"/>
          <w:szCs w:val="15"/>
          <w:color w:val="auto"/>
        </w:rPr>
      </w:pPr>
    </w:p>
    <w:p>
      <w:pPr>
        <w:ind w:left="880" w:right="559" w:hanging="426"/>
        <w:spacing w:after="0" w:line="312" w:lineRule="auto"/>
        <w:tabs>
          <w:tab w:leader="none" w:pos="8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Upon the completion of our initial business combination, we will provide our public shareholders with the opportunity to redeem their public shares for cash at a per share price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whereby redemptions cannot cause our net tangible assets to be less than $5,000,001 and any limitations (including, but not limited to, cash requirements) created by the terms of the proposed business combination.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We are a blank check company incorporated on December 18, 2019 as a Cayman Islands exempted company for the purpose of effecting a merger, share exchange, asset acquisition, share purchase, reorganization or similar business combination with one or more businesses or entities.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private placement of the private placement warrants, our shares, debt or a combination of cash, equity and debt.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issuance of additional shares in a business combination:</w:t>
      </w:r>
    </w:p>
    <w:p>
      <w:pPr>
        <w:spacing w:after="0" w:line="158" w:lineRule="exact"/>
        <w:rPr>
          <w:sz w:val="20"/>
          <w:szCs w:val="20"/>
          <w:color w:val="auto"/>
        </w:rPr>
      </w:pPr>
    </w:p>
    <w:p>
      <w:pPr>
        <w:ind w:left="1320" w:right="559" w:hanging="434"/>
        <w:spacing w:after="0" w:line="259"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119"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89" w:lineRule="exact"/>
        <w:rPr>
          <w:rFonts w:ascii="Arial" w:cs="Arial" w:eastAsia="Arial" w:hAnsi="Arial"/>
          <w:sz w:val="18"/>
          <w:szCs w:val="18"/>
          <w:color w:val="auto"/>
        </w:rPr>
      </w:pPr>
    </w:p>
    <w:p>
      <w:pPr>
        <w:jc w:val="both"/>
        <w:ind w:left="1320" w:right="719" w:hanging="434"/>
        <w:spacing w:after="0" w:line="311" w:lineRule="auto"/>
        <w:tabs>
          <w:tab w:leader="none" w:pos="1311"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81" w:lineRule="exact"/>
        <w:rPr>
          <w:rFonts w:ascii="Arial" w:cs="Arial" w:eastAsia="Arial" w:hAnsi="Arial"/>
          <w:sz w:val="16"/>
          <w:szCs w:val="16"/>
          <w:color w:val="auto"/>
        </w:rPr>
      </w:pPr>
    </w:p>
    <w:p>
      <w:pPr>
        <w:ind w:left="1320" w:right="107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102"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Similarly, if we issue debt securities or otherwise incur significant debt, it could result in:</w:t>
      </w:r>
    </w:p>
    <w:p>
      <w:pPr>
        <w:spacing w:after="0" w:line="158" w:lineRule="exact"/>
        <w:rPr>
          <w:sz w:val="20"/>
          <w:szCs w:val="20"/>
          <w:color w:val="auto"/>
        </w:rPr>
      </w:pPr>
    </w:p>
    <w:p>
      <w:pPr>
        <w:ind w:left="1320" w:right="579" w:hanging="434"/>
        <w:spacing w:after="0" w:line="277"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89"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16"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02" w:lineRule="exact"/>
        <w:rPr>
          <w:rFonts w:ascii="Arial" w:cs="Arial" w:eastAsia="Arial" w:hAnsi="Arial"/>
          <w:sz w:val="18"/>
          <w:szCs w:val="18"/>
          <w:color w:val="auto"/>
        </w:rPr>
      </w:pPr>
    </w:p>
    <w:p>
      <w:pPr>
        <w:ind w:left="1320" w:right="1119" w:hanging="434"/>
        <w:spacing w:after="0" w:line="342" w:lineRule="auto"/>
        <w:tabs>
          <w:tab w:leader="none" w:pos="1311" w:val="left"/>
        </w:tabs>
        <w:numPr>
          <w:ilvl w:val="0"/>
          <w:numId w:val="35"/>
        </w:numPr>
        <w:rPr>
          <w:rFonts w:ascii="Arial" w:cs="Arial" w:eastAsia="Arial" w:hAnsi="Arial"/>
          <w:sz w:val="16"/>
          <w:szCs w:val="16"/>
          <w:color w:val="auto"/>
        </w:rPr>
      </w:pPr>
      <w:r>
        <w:rPr>
          <w:rFonts w:ascii="Arial" w:cs="Arial" w:eastAsia="Arial" w:hAnsi="Arial"/>
          <w:sz w:val="16"/>
          <w:szCs w:val="16"/>
          <w:color w:val="auto"/>
        </w:rPr>
        <w:t>our inability to obtain necessary additional financing if the debt security contains covenants restricting our ability to obtain such financing while the debt security is outstanding;</w:t>
      </w:r>
    </w:p>
    <w:p>
      <w:pPr>
        <w:spacing w:after="0" w:line="42" w:lineRule="exact"/>
        <w:rPr>
          <w:rFonts w:ascii="Arial" w:cs="Arial" w:eastAsia="Arial" w:hAnsi="Arial"/>
          <w:sz w:val="16"/>
          <w:szCs w:val="16"/>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57" w:lineRule="exact"/>
        <w:rPr>
          <w:rFonts w:ascii="Arial" w:cs="Arial" w:eastAsia="Arial" w:hAnsi="Arial"/>
          <w:sz w:val="18"/>
          <w:szCs w:val="18"/>
          <w:color w:val="auto"/>
        </w:rPr>
      </w:pPr>
    </w:p>
    <w:p>
      <w:pPr>
        <w:ind w:left="1320" w:right="819" w:hanging="434"/>
        <w:spacing w:after="0" w:line="286" w:lineRule="auto"/>
        <w:tabs>
          <w:tab w:leader="none" w:pos="1311" w:val="left"/>
        </w:tabs>
        <w:numPr>
          <w:ilvl w:val="0"/>
          <w:numId w:val="35"/>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97" w:lineRule="exact"/>
        <w:rPr>
          <w:rFonts w:ascii="Arial" w:cs="Arial" w:eastAsia="Arial" w:hAnsi="Arial"/>
          <w:sz w:val="17"/>
          <w:szCs w:val="17"/>
          <w:color w:val="auto"/>
        </w:rPr>
      </w:pPr>
    </w:p>
    <w:p>
      <w:pPr>
        <w:ind w:left="1320" w:right="939" w:hanging="434"/>
        <w:spacing w:after="0" w:line="277"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or prevailing interest rates;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2" w:name="page73"/>
    <w:bookmarkEnd w:id="72"/>
    <w:p>
      <w:pPr>
        <w:ind w:left="1320" w:right="899" w:hanging="434"/>
        <w:spacing w:after="0" w:line="286" w:lineRule="auto"/>
        <w:tabs>
          <w:tab w:leader="none" w:pos="1311" w:val="left"/>
        </w:tabs>
        <w:numPr>
          <w:ilvl w:val="0"/>
          <w:numId w:val="36"/>
        </w:numPr>
        <w:rPr>
          <w:rFonts w:ascii="Arial" w:cs="Arial" w:eastAsia="Arial" w:hAnsi="Arial"/>
          <w:sz w:val="17"/>
          <w:szCs w:val="17"/>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8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indicated in the accompanying financial statements, as of December 31, 2019, we had no cash and deferred offering costs of approximately $104,000. Further, we expect to incur significant costs in the pursuit of our initial business combination. We cannot assure you that our plans to raise capital or to complete our initial business combination will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62"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liquidity needs have been satisfied prior to the completion of this offering through receipt of (i) a</w:t>
      </w:r>
    </w:p>
    <w:p>
      <w:pPr>
        <w:spacing w:after="0" w:line="3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$25,000 capital contribution from our sponsor in exchange for the issuance of the founder shares to our sponsor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(ii) and loans to us of up to $300,000 by our sponsor under an unsecured promissory note. As of December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31, 2019, we had not borrowed any amount under the unsecured promissory note. We estimate that the net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proceeds from (i) the sale of the units in this offering, after deducting offering expenses of $1,000,000,</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underwriting commissions of $6,000,000, or $6,900,000 if the underwriter’s over-allotment option is exercised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full (excluding deferred underwriting commissions of $10,500,000, or $12,075,000 if the underwriter’s over-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allotment option is exercised in full), and (ii) the sale of the private placement warrants for a purchase price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$10,000,000 will be $303,000,000 (or $347,100,000 if the underwriter’s over-allotment option is exercised in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full). $300,000,000 (or $345,000,000 if the underwriter’s over-allotment option is exercised in full) will be held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trust account, which includes the deferred underwriting commissions described above. The proceeds held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trust account will be invested only in U.S. government treasury obligations with a maturity of 185 days 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less or in money market funds meeting certain conditions under Rule 2a-7 under the Investment Company Act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which invest only in direct U.S. government treasury obligations. The remaining $3,000,000 (or $2,100,000 if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underwriter’s over-allotment option is exercised in full) will not be held in the trust account. In the event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that our offering expenses exceed our estimate of $1,000,000, we may fund such excess with funds not to be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held in the trust account. In such case, the amount of funds we intend to be held outside the trust account would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decrease by a corresponding amount. Conversely, in the event that the offering expenses are less than our</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estimate of $1,000,000, the amount of funds we intend to be held outside the trust account would increase by 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corresponding amount.</w:t>
      </w:r>
    </w:p>
    <w:p>
      <w:pPr>
        <w:spacing w:after="0" w:line="130"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(less taxes payable and deferred underwriting commissions), to complete our initial business combination. We may withdraw interest income (if any) to pay income taxes, if any. Our annual income tax obligations will depend on the amount of interest and other income earned on the amounts held in the trust account. We expect the interest income earned on the amount in the trust account (if any)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1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Prior to the completion of our initial business combination, we will have available to us the $3,000,000 of proceeds held outside the trust account (or $2,100,000 if the underwriter’s over-allotment option is exercised in full), as well as certain funds from loans from our sponsor.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right="459" w:firstLine="432"/>
        <w:spacing w:after="0" w:line="285"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prior to our initial business combination, other than funds available from loans from our sponsor.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of the post business combination entity at a price of $1.00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93"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We expect our primary liquidity requirements during that period to include approximately $2,235,000 for legal, accounting, due diligence, travel and other expenses associated with structuring, negotiating and documenting successful business combinations; $160,000 for legal and accounting fees related to regulatory reporting requirements; $240,000 for office space, administrative and support services; $165,000 for NYSE continued listing fees; and $200,000 for general working capital that will be used for miscellaneous expenses and reserves.</w:t>
      </w:r>
    </w:p>
    <w:p>
      <w:pPr>
        <w:spacing w:after="0" w:line="125"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04"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are unable to complete our initial business combination because we do not have sufficient funds available to us, we will be forced to cease operations and liquidate the trust account.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are not currently required to maintain an effective system of internal controls as defined by</w:t>
      </w:r>
    </w:p>
    <w:p>
      <w:pPr>
        <w:spacing w:after="0" w:line="23" w:lineRule="exact"/>
        <w:rPr>
          <w:sz w:val="20"/>
          <w:szCs w:val="20"/>
          <w:color w:val="auto"/>
        </w:rPr>
      </w:pPr>
    </w:p>
    <w:p>
      <w:pPr>
        <w:ind w:left="460" w:right="479"/>
        <w:spacing w:after="0" w:line="251" w:lineRule="auto"/>
        <w:rPr>
          <w:sz w:val="20"/>
          <w:szCs w:val="20"/>
          <w:color w:val="auto"/>
        </w:rPr>
      </w:pPr>
      <w:r>
        <w:rPr>
          <w:rFonts w:ascii="Arial" w:cs="Arial" w:eastAsia="Arial" w:hAnsi="Arial"/>
          <w:sz w:val="18"/>
          <w:szCs w:val="18"/>
          <w:color w:val="auto"/>
        </w:rPr>
        <w:t>Section 404 of the Sarbanes-Oxley Act. We will be required to comply with the internal control requirements of the Sarbanes- Oxley Act for the fiscal year ending December 31, 2021.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right="599" w:firstLine="432"/>
        <w:spacing w:after="0" w:line="291" w:lineRule="auto"/>
        <w:rPr>
          <w:sz w:val="20"/>
          <w:szCs w:val="20"/>
          <w:color w:val="auto"/>
        </w:rPr>
      </w:pPr>
      <w:r>
        <w:rPr>
          <w:rFonts w:ascii="Arial" w:cs="Arial" w:eastAsia="Arial" w:hAnsi="Arial"/>
          <w:sz w:val="16"/>
          <w:szCs w:val="16"/>
          <w:color w:val="auto"/>
        </w:rPr>
        <w:t>Prior to the closing of this offering, we have not completed an assessment, nor have our auditors tested our systems, of our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85" w:lineRule="exact"/>
        <w:rPr>
          <w:sz w:val="20"/>
          <w:szCs w:val="20"/>
          <w:color w:val="auto"/>
        </w:rPr>
      </w:pPr>
    </w:p>
    <w:p>
      <w:pPr>
        <w:ind w:left="1300" w:hanging="41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staffing for financial, accounting and external reporting areas, including segregation of duties;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7"/>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44"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5"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The independent auditors may identify additional issues concerning a target business’s internal controls while performing their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60" w:lineRule="exact"/>
        <w:rPr>
          <w:sz w:val="20"/>
          <w:szCs w:val="20"/>
          <w:color w:val="auto"/>
        </w:rPr>
      </w:pPr>
    </w:p>
    <w:p>
      <w:pPr>
        <w:jc w:val="both"/>
        <w:ind w:left="460" w:right="559" w:firstLine="432"/>
        <w:spacing w:after="0" w:line="311" w:lineRule="auto"/>
        <w:rPr>
          <w:sz w:val="20"/>
          <w:szCs w:val="20"/>
          <w:color w:val="auto"/>
        </w:rPr>
      </w:pPr>
      <w:r>
        <w:rPr>
          <w:rFonts w:ascii="Arial" w:cs="Arial" w:eastAsia="Arial" w:hAnsi="Arial"/>
          <w:sz w:val="16"/>
          <w:szCs w:val="16"/>
          <w:color w:val="auto"/>
        </w:rPr>
        <w:t>As of December 31, 2019, we did not have any off-balance sheet arrangements as defined in Item 303(a) (4)(ii) of Regulation S-K and did not have any commitments or contractual obligations. No unaudited quarterly operating data is included in this prospectus as we have not conducted any operations to date.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right="479" w:firstLine="432"/>
        <w:spacing w:after="0" w:line="268"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are no longer an “emerging growth company,” whichever is earlier.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We are a blank check company newly incorporated as a Cayman Islands exempted company for the purpose of effecting a merger, share exchange, asset acquisition, share purchase, reorganization or similar business combination with one or more businesses or entities, which we refer to throughout this prospectus as our initial business combination. We have not selected any business combination target and we have not, nor has anyone on our behalf, initiated any substantive discussions, directly or indirectly, with any potential business combination target.</w:t>
      </w:r>
    </w:p>
    <w:p>
      <w:pPr>
        <w:spacing w:after="0" w:line="11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believe that there are significant, attractive investment opportunities that exist within industries that benefit from strong Environmental, Social and Governance (“ESG”) profiles. While investing in ESG covers a broad range of themes, we are focused on evaluating suitable targets that have existing environmental sustainability practices or that may benefit, both operationally and economically, from our management team’s commitment and expertise in executing such practices. We believe our management team’s experience allows us to evaluate targets in industries such as manufacturing (including auto, building materials), chemicals, services (including waste, environmental, construction), logistics (including transportation, distribution), technology (hardware, software, devices), agriculture (including biofuels) and energy (with focus on renewable generation, utility services, energy efficiency/management), among others. Furthermore, our target universe could include companies undergoing a transition to increase their environmental sustainability profiles, reflecting an opportunity to bring environmentally sustainable practices to companies that may not have historically been focused on environmental sustainability. We believe there is a wide array of companies undergoing this “brown-to-green” transition in our target universe. Companies in our target universe tend to have stable growth rates and would greatly benefit from access to public market capital.</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believe in the ability of our management team to add significant value to a target company from a commercial, operating, strategic and sustainability perspective. In particular, we intend to identify and acquire a business that could benefit from a hands-on owner with extensive operational experience and the public company expertise our management team possesses, or that relies on the target’s executive and operational expertise but presents potential for an attractive risk-adjusted return profile under our stewardship. Even fundamentally sound companies can often underperform their potential due to underinvestment, a temporary period of dislocation in the markets in which they operate, over-levered capital structures, excessive cost structures, incomplete management teams and/or inappropriate business strategies. Our management team has extensive experience in identifying and executing such strategies. In addition, our team has significant hands-on experience working with private companies in preparing for and executing an initial public offering and serving as active owners and directors by working closely with these companies to continue their transformations and help create value in the public markets.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162"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Scott Leonard serves as our Chief Executive Officer and on our board of directors. Mr. Leonard has over 15 years of experience leading highly successful business transformations and transitions. Mr. Leonard also has deep expertise over the past 8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 &amp; 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Mr. Leonard earned a B.S. with Highest Honors from Georgia Tech, and an M.B.A. with Distinction from The Kellogg Graduate School of Management at Northwestern.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7" w:name="page78"/>
    <w:bookmarkEnd w:id="77"/>
    <w:p>
      <w:pPr>
        <w:ind w:left="460" w:right="479" w:firstLine="432"/>
        <w:spacing w:after="0" w:line="265" w:lineRule="auto"/>
        <w:rPr>
          <w:sz w:val="20"/>
          <w:szCs w:val="20"/>
          <w:color w:val="auto"/>
        </w:rPr>
      </w:pPr>
      <w:r>
        <w:rPr>
          <w:rFonts w:ascii="Arial" w:cs="Arial" w:eastAsia="Arial" w:hAnsi="Arial"/>
          <w:sz w:val="17"/>
          <w:szCs w:val="17"/>
          <w:color w:val="auto"/>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(“NPG”), a private equity firm, which he co-founded in 2012. Prior to that, Mr. Honour was at The Gores Group, a Los Angeles based private equity firm, for 10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 numerous public and private companies including Solar Spectrum Holdings LLC, Anthem Sports &amp; Entertainment Inc., 1</w:t>
      </w:r>
      <w:r>
        <w:rPr>
          <w:rFonts w:ascii="Arial" w:cs="Arial" w:eastAsia="Arial" w:hAnsi="Arial"/>
          <w:sz w:val="19"/>
          <w:szCs w:val="19"/>
          <w:color w:val="auto"/>
          <w:vertAlign w:val="superscript"/>
        </w:rPr>
        <w:t>st</w:t>
      </w:r>
      <w:r>
        <w:rPr>
          <w:rFonts w:ascii="Arial" w:cs="Arial" w:eastAsia="Arial" w:hAnsi="Arial"/>
          <w:sz w:val="17"/>
          <w:szCs w:val="17"/>
          <w:color w:val="auto"/>
        </w:rPr>
        <w:t xml:space="preserve"> Choice Delivery, LLC, United Language Group, Inc., Renters Warehouse LLC, Real Dolmen (REM:BB) and Westwood One, Inc. (formerly Nasdaq: WWON), and is a co-founder of Titan CNG LLC and YapStone Inc. Mr. Honour earned a B.S. and B.A., </w:t>
      </w:r>
      <w:r>
        <w:rPr>
          <w:rFonts w:ascii="Arial" w:cs="Arial" w:eastAsia="Arial" w:hAnsi="Arial"/>
          <w:sz w:val="17"/>
          <w:szCs w:val="17"/>
          <w:i w:val="1"/>
          <w:iCs w:val="1"/>
          <w:color w:val="auto"/>
        </w:rPr>
        <w:t>cum laude</w:t>
      </w:r>
      <w:r>
        <w:rPr>
          <w:rFonts w:ascii="Arial" w:cs="Arial" w:eastAsia="Arial" w:hAnsi="Arial"/>
          <w:sz w:val="17"/>
          <w:szCs w:val="17"/>
          <w:color w:val="auto"/>
        </w:rPr>
        <w:t>, in Business Administration and Economics from Pepperdine University and an M.B.A. in Finance and Marketing from the Wharton School of the University of Pennsylvania.</w:t>
      </w:r>
    </w:p>
    <w:p>
      <w:pPr>
        <w:spacing w:after="0" w:line="112"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6"/>
          <w:szCs w:val="16"/>
          <w:color w:val="auto"/>
        </w:rPr>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 pricing and hedging for TXU Energy’s retail portfolio. Dr. Quiram began his career at McKinsey &amp; Co where he worked as an Engagement Manager from 2001 until 2005, and as a Research Scientist at DuPont (NYSE: DD) from 1998 to 2001. Dr. Quiram earned a B.S. in Chemical Engineering with Highest Distinction from the University of Virginia, and an M.S. and Ph.D. in Chemical Engineering from the Massachusetts Institute of Technology.</w:t>
      </w:r>
    </w:p>
    <w:p>
      <w:pPr>
        <w:spacing w:after="0" w:line="10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Rick Gaenzle has agreed to serve on our board of directors. Mr. Gaenzle has over 30 years of private equity investment and corporate finance experience; he is the founder and currently serves as a Managing Director of Gilbert Global Equity Capital, L.L.C., the principal investment advisor to Gilbert Global Equity Partners, L.P. and related entities, a $1.2 billion leveraged buyout and private equity fund. Mr. Gaenzle has spent the last twenty-eight years at Gilbert Global and its predecessor entity, completing over 110 direct equity investments, co-investments and add-on acquisitions for portfolio companies. Previously, Mr. Gaenzle was a Principal of Soros Capital L.P., the principal venture capital and leveraged equity entity of the Quantum Group of Funds and a principal advisor to Quantum Industrial Holdings Ltd. Prior to joining Soros Capital, Mr. Gaenzle held various positions at PaineWebber Inc. Mr. Gaenzle currently serves as a Senior Advisor to Impact Delta, an impact-investing and impact-measurement advisory firm; an Operating Partner of NPG; and Chairman of Lake Street Homes, a single-family rental investment vehicle. Mr. Gaenzle holds a B.A. from Hartwick College and an M.B.A. from Fordham University.</w:t>
      </w:r>
    </w:p>
    <w:p>
      <w:pPr>
        <w:spacing w:after="0" w:line="111"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Isaac Barchas has agreed to serve on our board of directors. Mr. Barchas is the President and Chief Executive Officer of Research Bridge Partners (“RBP”), a socially-driven investment company, which he founded in 2016. RBP uses both concessionary and nonconcessionary investment to create startup companies based on university research and advance those companies into the venture capital markets. Prior to founding RBP, Mr. Barchas led the Austin Technology Incubator (“ATI”) at The University of Texas at Austin from 2006 to 2016. ATI’s Clean Energy Incubator was the first university clean tech incubation program in the United States. During Mr. Barchas’ leadership, ATI companies raised over $1 billion in the capital markets. Mr. Barchas joined the university from McKinsey &amp; Co., where he worked in the Chicago, Sydney, Auckland, and Dallas offices, from 1996 to 2006 and served on the leadership teams of McKinsey’s North American Healthcare Practice and Global Organization Practice. Mr. Barchas has served on multiple private company boards and on philanthropic boards including Pecan Street Inc., the largest analytically-focused clean energy and climate data consortium in the United States, where he was a founding board member. Mr. Barchas earned a J.D. (honors) and M.A. (Century Fellowship) from The University of Chicago. He received an A.B. from Stanford University (honors and Phi Beta Kappa).</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right="539" w:firstLine="432"/>
        <w:spacing w:after="0" w:line="257" w:lineRule="auto"/>
        <w:rPr>
          <w:sz w:val="20"/>
          <w:szCs w:val="20"/>
          <w:color w:val="auto"/>
        </w:rPr>
      </w:pPr>
      <w:r>
        <w:rPr>
          <w:rFonts w:ascii="Arial" w:cs="Arial" w:eastAsia="Arial" w:hAnsi="Arial"/>
          <w:sz w:val="18"/>
          <w:szCs w:val="18"/>
          <w:color w:val="auto"/>
        </w:rPr>
        <w:t>We will further be supported by our team of advisors comprised of former senior executives from leading global companies with experience in a wide range of sub-sectors and functional areas, who have previously worked together over the last decade or more. They will provide us with access to their expertise and extensive industry networks from which we intend to source and evaluate targets as well as devise plans to optimize any business that we acquire.</w:t>
      </w:r>
    </w:p>
    <w:p>
      <w:pPr>
        <w:spacing w:after="0" w:line="107"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management team will be supported by NPG, a technology and business services focused private equity firm based in Wayzata, Minnesota. NPG has considerable experience investing in ESG related portfolio companies with community impact, workplace diversity and integrity, and environmental resource management acting as cornerstones to key investment decisions. NPG has offset its carbon footprint to net zero, achieving CarbonNeutral® status. The partners of NPG have been involved in acquisitions, financings and advisory transactions totaling over $20 billion in transaction value and have significant experience investing across a variety of economic cycles and a track record of identifying high-quality assets, businesses and management teams with significant resources, capital and optimization potential. We believe that we will benefit from NPG’s prior experience.</w:t>
      </w:r>
    </w:p>
    <w:p>
      <w:pPr>
        <w:spacing w:after="0" w:line="113"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With respect to the above, past performance of our management team is not a guarantee of either (i) success with respect to a business combination that may be consummated or (ii) the ability to successfully identify and execute a transaction. You should not rely on the historical record of management or their respective affiliates as indicative of future performance. See “Risk Factors — 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 For a list of our executive officers and entities for which a conflict of interest may or does exist between such officers and the company, please refer to “Management — Conflicts of Interest.”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jc w:val="both"/>
        <w:ind w:left="460" w:right="659" w:firstLine="432"/>
        <w:spacing w:after="0" w:line="311" w:lineRule="auto"/>
        <w:rPr>
          <w:sz w:val="20"/>
          <w:szCs w:val="20"/>
          <w:color w:val="auto"/>
        </w:rPr>
      </w:pPr>
      <w:r>
        <w:rPr>
          <w:rFonts w:ascii="Arial" w:cs="Arial" w:eastAsia="Arial" w:hAnsi="Arial"/>
          <w:sz w:val="16"/>
          <w:szCs w:val="16"/>
          <w:color w:val="auto"/>
        </w:rPr>
        <w:t>Our acquisition and value creation strategy is to identify and complete our initial business combination with a company in an industry that complements the experience and expertise of our management team and is focused on, or could benefit from, environmentally sustainable business practices. We will seek to:</w:t>
      </w:r>
    </w:p>
    <w:p>
      <w:pPr>
        <w:spacing w:after="0" w:line="68" w:lineRule="exact"/>
        <w:rPr>
          <w:sz w:val="20"/>
          <w:szCs w:val="20"/>
          <w:color w:val="auto"/>
        </w:rPr>
      </w:pPr>
    </w:p>
    <w:p>
      <w:pPr>
        <w:ind w:left="1320" w:right="67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management team and sponsor to bring advice and attention to potential targets;</w:t>
      </w:r>
    </w:p>
    <w:p>
      <w:pPr>
        <w:spacing w:after="0" w:line="102"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Drive value creation through support of a strong environmental sustainability profile or a “brown-to-green” transition;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w:t>
      </w:r>
    </w:p>
    <w:p>
      <w:pPr>
        <w:spacing w:after="0" w:line="144" w:lineRule="exact"/>
        <w:rPr>
          <w:rFonts w:ascii="Arial" w:cs="Arial" w:eastAsia="Arial" w:hAnsi="Arial"/>
          <w:sz w:val="18"/>
          <w:szCs w:val="18"/>
          <w:color w:val="auto"/>
        </w:rPr>
      </w:pPr>
    </w:p>
    <w:p>
      <w:pPr>
        <w:ind w:left="1320" w:right="81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 including assistance with public company readiness; and</w:t>
      </w:r>
    </w:p>
    <w:p>
      <w:pPr>
        <w:spacing w:after="0" w:line="102" w:lineRule="exact"/>
        <w:rPr>
          <w:rFonts w:ascii="Arial" w:cs="Arial" w:eastAsia="Arial" w:hAnsi="Arial"/>
          <w:sz w:val="18"/>
          <w:szCs w:val="18"/>
          <w:color w:val="auto"/>
        </w:rPr>
      </w:pPr>
    </w:p>
    <w:p>
      <w:pPr>
        <w:ind w:left="1320" w:right="919" w:hanging="434"/>
        <w:spacing w:after="0" w:line="277" w:lineRule="auto"/>
        <w:tabs>
          <w:tab w:leader="none" w:pos="1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Remove economic or environmental waste through environmentally sustainable operational or commercial improvements.</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selection process in choosing an attractive investment opportunity will leverage our management team’s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a catalyst to transform a target company and can help accelerate the target’s growth, performance and sustainability profile. Upon completion of this offering, members of our management team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880"/>
        <w:spacing w:after="0"/>
        <w:rPr>
          <w:sz w:val="20"/>
          <w:szCs w:val="20"/>
          <w:color w:val="auto"/>
        </w:rPr>
      </w:pPr>
      <w:r>
        <w:rPr>
          <w:rFonts w:ascii="Arial" w:cs="Arial" w:eastAsia="Arial" w:hAnsi="Arial"/>
          <w:sz w:val="18"/>
          <w:szCs w:val="18"/>
          <w:color w:val="auto"/>
        </w:rPr>
        <w:t>The members of our management team have experience in:</w:t>
      </w:r>
    </w:p>
    <w:p>
      <w:pPr>
        <w:spacing w:after="0" w:line="144" w:lineRule="exact"/>
        <w:rPr>
          <w:sz w:val="20"/>
          <w:szCs w:val="20"/>
          <w:color w:val="auto"/>
        </w:rPr>
      </w:pPr>
    </w:p>
    <w:p>
      <w:pPr>
        <w:ind w:left="1320" w:right="1119" w:hanging="434"/>
        <w:spacing w:after="0" w:line="277"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and investing in companies with a focus on decarbonization and environmentally sustainable business practices;</w:t>
      </w:r>
    </w:p>
    <w:p>
      <w:pPr>
        <w:spacing w:after="0" w:line="102" w:lineRule="exact"/>
        <w:rPr>
          <w:rFonts w:ascii="Arial" w:cs="Arial" w:eastAsia="Arial" w:hAnsi="Arial"/>
          <w:sz w:val="18"/>
          <w:szCs w:val="18"/>
          <w:color w:val="auto"/>
        </w:rPr>
      </w:pPr>
    </w:p>
    <w:p>
      <w:pPr>
        <w:ind w:left="1320" w:right="799" w:hanging="434"/>
        <w:spacing w:after="0" w:line="277"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Operating companies, setting and enacting strategies, and identifying, monitoring and recruiting world-class talent;</w:t>
      </w:r>
    </w:p>
    <w:p>
      <w:pPr>
        <w:spacing w:after="0" w:line="102" w:lineRule="exact"/>
        <w:rPr>
          <w:rFonts w:ascii="Arial" w:cs="Arial" w:eastAsia="Arial" w:hAnsi="Arial"/>
          <w:sz w:val="18"/>
          <w:szCs w:val="18"/>
          <w:color w:val="auto"/>
        </w:rPr>
      </w:pPr>
    </w:p>
    <w:p>
      <w:pPr>
        <w:jc w:val="both"/>
        <w:ind w:left="1320" w:right="1059" w:hanging="434"/>
        <w:spacing w:after="0" w:line="263"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57"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Executing transactions and business plans under various economic and financial market conditions.</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sourcing, valuation, diligence and execution capabilities of our management team will provide us with a significant pipeline of opportunities from which to evaluate and select a business that will benefit from our expertise. Our competitive strengths include the following:</w:t>
      </w:r>
    </w:p>
    <w:p>
      <w:pPr>
        <w:spacing w:after="0" w:line="116" w:lineRule="exact"/>
        <w:rPr>
          <w:sz w:val="20"/>
          <w:szCs w:val="20"/>
          <w:color w:val="auto"/>
        </w:rPr>
      </w:pPr>
    </w:p>
    <w:p>
      <w:pPr>
        <w:ind w:left="1320" w:right="519" w:hanging="434"/>
        <w:spacing w:after="0" w:line="273" w:lineRule="auto"/>
        <w:tabs>
          <w:tab w:leader="none" w:pos="1311"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Management Team and Sponsorship. </w:t>
      </w:r>
      <w:r>
        <w:rPr>
          <w:rFonts w:ascii="Arial" w:cs="Arial" w:eastAsia="Arial" w:hAnsi="Arial"/>
          <w:sz w:val="17"/>
          <w:szCs w:val="17"/>
          <w:color w:val="auto"/>
        </w:rPr>
        <w:t>We believe that our sponsor and management team,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its decade long proven ability to execute and simultaneously improve both financial metrics and sustainability, the strong track record of our management team focused on environmental sustainability will be viewed favorably by target businesses in need of professionalized management, ESG guidance, improved operating processes and controls, better access to industry relationships and strategic planning.</w:t>
      </w:r>
    </w:p>
    <w:p>
      <w:pPr>
        <w:spacing w:after="0" w:line="96" w:lineRule="exact"/>
        <w:rPr>
          <w:rFonts w:ascii="Arial" w:cs="Arial" w:eastAsia="Arial" w:hAnsi="Arial"/>
          <w:sz w:val="17"/>
          <w:szCs w:val="17"/>
          <w:color w:val="auto"/>
        </w:rPr>
      </w:pPr>
    </w:p>
    <w:p>
      <w:pPr>
        <w:ind w:left="1320" w:right="519" w:hanging="434"/>
        <w:spacing w:after="0" w:line="257"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Experience in Decarbonization and Environmentally Sustainable Practices.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significant experience in decarbonization through the retirement and management of carbon intensive facilities as well as investment into new technologies. Our sponsor has an extensive track record of investment in companies with an environmental sustainability focus.</w:t>
      </w:r>
    </w:p>
    <w:p>
      <w:pPr>
        <w:spacing w:after="0" w:line="120" w:lineRule="exact"/>
        <w:rPr>
          <w:rFonts w:ascii="Arial" w:cs="Arial" w:eastAsia="Arial" w:hAnsi="Arial"/>
          <w:sz w:val="18"/>
          <w:szCs w:val="18"/>
          <w:color w:val="auto"/>
        </w:rPr>
      </w:pPr>
    </w:p>
    <w:p>
      <w:pPr>
        <w:ind w:left="1320" w:right="519" w:hanging="434"/>
        <w:spacing w:after="0" w:line="257"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Sourcing Channels and Leading Industry Relationships. </w:t>
      </w:r>
      <w:r>
        <w:rPr>
          <w:rFonts w:ascii="Arial" w:cs="Arial" w:eastAsia="Arial" w:hAnsi="Arial"/>
          <w:sz w:val="18"/>
          <w:szCs w:val="18"/>
          <w:color w:val="auto"/>
        </w:rPr>
        <w:t>We believe the capabilities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connections associated with our management team and sponsor will provide us with a differentiated pipeline of merger opportunities that would be difficult for other participants in the market to replicate. We expect these sourcing capabilities will be further bolstered by our management team’s reputation and deep industry relationships.</w:t>
      </w:r>
    </w:p>
    <w:p>
      <w:pPr>
        <w:spacing w:after="0" w:line="120" w:lineRule="exact"/>
        <w:rPr>
          <w:rFonts w:ascii="Arial" w:cs="Arial" w:eastAsia="Arial" w:hAnsi="Arial"/>
          <w:sz w:val="18"/>
          <w:szCs w:val="18"/>
          <w:color w:val="auto"/>
        </w:rPr>
      </w:pPr>
    </w:p>
    <w:p>
      <w:pPr>
        <w:ind w:left="1320" w:right="579" w:hanging="434"/>
        <w:spacing w:after="0" w:line="286" w:lineRule="auto"/>
        <w:tabs>
          <w:tab w:leader="none" w:pos="1311" w:val="left"/>
        </w:tabs>
        <w:numPr>
          <w:ilvl w:val="0"/>
          <w:numId w:val="4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Investing Experience. </w:t>
      </w:r>
      <w:r>
        <w:rPr>
          <w:rFonts w:ascii="Arial" w:cs="Arial" w:eastAsia="Arial" w:hAnsi="Arial"/>
          <w:sz w:val="17"/>
          <w:szCs w:val="17"/>
          <w:color w:val="auto"/>
        </w:rPr>
        <w:t>We believe that our management and sponsor’s track record of identifying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sourcing transactions positions us well to evaluate potential investment targets and select one that will be well received by the public markets and our shareholders.</w:t>
      </w:r>
    </w:p>
    <w:p>
      <w:pPr>
        <w:spacing w:after="0" w:line="84" w:lineRule="exact"/>
        <w:rPr>
          <w:rFonts w:ascii="Arial" w:cs="Arial" w:eastAsia="Arial" w:hAnsi="Arial"/>
          <w:sz w:val="17"/>
          <w:szCs w:val="17"/>
          <w:color w:val="auto"/>
        </w:rPr>
      </w:pPr>
    </w:p>
    <w:p>
      <w:pPr>
        <w:ind w:left="1320" w:right="579" w:hanging="434"/>
        <w:spacing w:after="0" w:line="254" w:lineRule="auto"/>
        <w:tabs>
          <w:tab w:leader="none" w:pos="1311" w:val="left"/>
        </w:tabs>
        <w:numPr>
          <w:ilvl w:val="0"/>
          <w:numId w:val="4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Execution and Structuring Capability. </w:t>
      </w:r>
      <w:r>
        <w:rPr>
          <w:rFonts w:ascii="Arial" w:cs="Arial" w:eastAsia="Arial" w:hAnsi="Arial"/>
          <w:sz w:val="18"/>
          <w:szCs w:val="18"/>
          <w:color w:val="auto"/>
        </w:rPr>
        <w:t>We believe that our management team’s and sponsor’s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combined industry expertise and reputation will allow them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0" w:name="page81"/>
    <w:bookmarkEnd w:id="80"/>
    <w:p>
      <w:pPr>
        <w:ind w:left="460"/>
        <w:spacing w:after="0"/>
        <w:rPr>
          <w:sz w:val="20"/>
          <w:szCs w:val="20"/>
          <w:color w:val="auto"/>
        </w:rPr>
      </w:pPr>
      <w:r>
        <w:rPr>
          <w:rFonts w:ascii="Arial" w:cs="Arial" w:eastAsia="Arial" w:hAnsi="Arial"/>
          <w:sz w:val="18"/>
          <w:szCs w:val="18"/>
          <w:b w:val="1"/>
          <w:bCs w:val="1"/>
          <w:color w:val="auto"/>
        </w:rPr>
        <w:t>Investment Criteria</w:t>
      </w:r>
    </w:p>
    <w:p>
      <w:pPr>
        <w:spacing w:after="0" w:line="162"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Consistent with our strategy, we have identified the following general criteria and guidelines which we believe are important in evaluating prospective target businesses. We will use these criteria and guidelines in evaluating acquisition opportunities, but we may decide to enter into our initial business combination with a target business that does not meet these criteria and guidelines. We intend to acquire one or more businesses or entities that we believe:</w:t>
      </w:r>
    </w:p>
    <w:p>
      <w:pPr>
        <w:spacing w:after="0" w:line="107" w:lineRule="exact"/>
        <w:rPr>
          <w:sz w:val="20"/>
          <w:szCs w:val="20"/>
          <w:color w:val="auto"/>
        </w:rPr>
      </w:pPr>
    </w:p>
    <w:p>
      <w:pPr>
        <w:ind w:left="1320" w:right="539" w:hanging="434"/>
        <w:spacing w:after="0" w:line="279" w:lineRule="auto"/>
        <w:tabs>
          <w:tab w:leader="none" w:pos="1311"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Benefits from Environmentally Sustainable Business Practices. </w:t>
      </w:r>
      <w:r>
        <w:rPr>
          <w:rFonts w:ascii="Arial" w:cs="Arial" w:eastAsia="Arial" w:hAnsi="Arial"/>
          <w:sz w:val="17"/>
          <w:szCs w:val="17"/>
          <w:color w:val="auto"/>
        </w:rPr>
        <w:t>We will seek to acquire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that (i) has existing operating practices that promote and profit from environmental sustainability or (ii) would benefit from implementing environmentally sustainable commercial and operating practices leveraging the expertise of our management team and sponsor.</w:t>
      </w:r>
    </w:p>
    <w:p>
      <w:pPr>
        <w:spacing w:after="0" w:line="103" w:lineRule="exact"/>
        <w:rPr>
          <w:rFonts w:ascii="Arial" w:cs="Arial" w:eastAsia="Arial" w:hAnsi="Arial"/>
          <w:sz w:val="17"/>
          <w:szCs w:val="17"/>
          <w:color w:val="auto"/>
        </w:rPr>
      </w:pPr>
    </w:p>
    <w:p>
      <w:pPr>
        <w:ind w:left="1320" w:right="73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Defensible Market Position. </w:t>
      </w:r>
      <w:r>
        <w:rPr>
          <w:rFonts w:ascii="Arial" w:cs="Arial" w:eastAsia="Arial" w:hAnsi="Arial"/>
          <w:sz w:val="18"/>
          <w:szCs w:val="18"/>
          <w:color w:val="auto"/>
        </w:rPr>
        <w:t>We will seek to acquire a business that has a defensible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within a target market as a result of a differentiated technology, distribution capabilities, customer service or other competitive advantages.</w:t>
      </w:r>
    </w:p>
    <w:p>
      <w:pPr>
        <w:spacing w:after="0" w:line="116" w:lineRule="exact"/>
        <w:rPr>
          <w:rFonts w:ascii="Arial" w:cs="Arial" w:eastAsia="Arial" w:hAnsi="Arial"/>
          <w:sz w:val="18"/>
          <w:szCs w:val="18"/>
          <w:color w:val="auto"/>
        </w:rPr>
      </w:pPr>
    </w:p>
    <w:p>
      <w:pPr>
        <w:jc w:val="both"/>
        <w:ind w:left="1320" w:right="53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an Attractive Financial Profile. </w:t>
      </w:r>
      <w:r>
        <w:rPr>
          <w:rFonts w:ascii="Arial" w:cs="Arial" w:eastAsia="Arial" w:hAnsi="Arial"/>
          <w:sz w:val="18"/>
          <w:szCs w:val="18"/>
          <w:color w:val="auto"/>
        </w:rPr>
        <w:t>We will seek to acquire a business that has highly recurring,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stable cash flows and operating leverage and may benefit from optimizing or delevering the capital structure.</w:t>
      </w:r>
    </w:p>
    <w:p>
      <w:pPr>
        <w:spacing w:after="0" w:line="102" w:lineRule="exact"/>
        <w:rPr>
          <w:rFonts w:ascii="Arial" w:cs="Arial" w:eastAsia="Arial" w:hAnsi="Arial"/>
          <w:sz w:val="18"/>
          <w:szCs w:val="18"/>
          <w:color w:val="auto"/>
        </w:rPr>
      </w:pPr>
    </w:p>
    <w:p>
      <w:pPr>
        <w:jc w:val="both"/>
        <w:ind w:left="1320" w:right="79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pacing w:after="0" w:line="116"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 Sourced Through our Proprietary Channels. </w:t>
      </w:r>
      <w:r>
        <w:rPr>
          <w:rFonts w:ascii="Arial" w:cs="Arial" w:eastAsia="Arial" w:hAnsi="Arial"/>
          <w:sz w:val="18"/>
          <w:szCs w:val="18"/>
          <w:color w:val="auto"/>
        </w:rPr>
        <w:t>We will aim to leverage our extensive network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source our business combination and do not expect to rely on broadly marketed processes to find a business combination target.</w:t>
      </w:r>
    </w:p>
    <w:p>
      <w:pPr>
        <w:spacing w:after="0" w:line="116" w:lineRule="exact"/>
        <w:rPr>
          <w:rFonts w:ascii="Arial" w:cs="Arial" w:eastAsia="Arial" w:hAnsi="Arial"/>
          <w:sz w:val="18"/>
          <w:szCs w:val="18"/>
          <w:color w:val="auto"/>
        </w:rPr>
      </w:pPr>
    </w:p>
    <w:p>
      <w:pPr>
        <w:ind w:left="1320" w:right="799" w:hanging="434"/>
        <w:spacing w:after="0" w:line="296" w:lineRule="auto"/>
        <w:tabs>
          <w:tab w:leader="none" w:pos="1311"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Has a Committed and Capable Management Team. </w:t>
      </w:r>
      <w:r>
        <w:rPr>
          <w:rFonts w:ascii="Arial" w:cs="Arial" w:eastAsia="Arial" w:hAnsi="Arial"/>
          <w:sz w:val="16"/>
          <w:szCs w:val="16"/>
          <w:color w:val="auto"/>
        </w:rPr>
        <w:t>We will seek to acquire a business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management team whose interests are aligned with those of our investors and complement the expertise of our management team and sponsor. Where necessary, we may also look to complement and enhance the capabilities of the target business’s management team by recruiting additional talent through our network of contacts.</w:t>
      </w:r>
    </w:p>
    <w:p>
      <w:pPr>
        <w:spacing w:after="0" w:line="80" w:lineRule="exact"/>
        <w:rPr>
          <w:rFonts w:ascii="Arial" w:cs="Arial" w:eastAsia="Arial" w:hAnsi="Arial"/>
          <w:sz w:val="16"/>
          <w:szCs w:val="16"/>
          <w:color w:val="auto"/>
        </w:rPr>
      </w:pPr>
    </w:p>
    <w:p>
      <w:pPr>
        <w:ind w:left="1320" w:right="819" w:hanging="434"/>
        <w:spacing w:after="0" w:line="263"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the Potential to Grow Organically or Through Additional Acquisitions. </w:t>
      </w:r>
      <w:r>
        <w:rPr>
          <w:rFonts w:ascii="Arial" w:cs="Arial" w:eastAsia="Arial" w:hAnsi="Arial"/>
          <w:sz w:val="18"/>
          <w:szCs w:val="18"/>
          <w:color w:val="auto"/>
        </w:rPr>
        <w:t>We will seek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 a business that has the potential to grow both organically through market expansion or increased market share as well as through external acquisitions.</w:t>
      </w:r>
    </w:p>
    <w:p>
      <w:pPr>
        <w:spacing w:after="0" w:line="116"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tender offer documents or proxy solicitation materials that we would file with the SEC.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Acquisition Process</w:t>
      </w:r>
    </w:p>
    <w:p>
      <w:pPr>
        <w:spacing w:after="0" w:line="162"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 We will also utilize our operational and capital planning experience.</w:t>
      </w:r>
    </w:p>
    <w:p>
      <w:pPr>
        <w:spacing w:after="0" w:line="76"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that our initial business combination is fair to our company from a financial point of view from either an independent investment banking firm that is a member of the Financial Industry Regulatory Authority, Inc. (“FINRA”) or an independent accounting firm.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1" w:name="page82"/>
    <w:bookmarkEnd w:id="81"/>
    <w:p>
      <w:pPr>
        <w:ind w:left="460" w:right="599" w:firstLine="432"/>
        <w:spacing w:after="0" w:line="293" w:lineRule="auto"/>
        <w:rPr>
          <w:sz w:val="20"/>
          <w:szCs w:val="20"/>
          <w:color w:val="auto"/>
        </w:rPr>
      </w:pPr>
      <w:r>
        <w:rPr>
          <w:rFonts w:ascii="Arial" w:cs="Arial" w:eastAsia="Arial" w:hAnsi="Arial"/>
          <w:sz w:val="16"/>
          <w:szCs w:val="16"/>
          <w:color w:val="auto"/>
        </w:rPr>
        <w:t>Members of our management team may directly or indirectly own our ordinary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Initial Business Combination</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with respect to the satisfaction of such criteria from an independent investment banking firm that is a member of FINRA or an independent valuation or accounting firm. We do not intend to purchase multiple businesses in unrelated industries in conjunction with our initial business combination. Subject to this requirement, our management will have virtually unrestricted flexibility in identifying and selecting one or more prospective businesses, although we will not be permitted to effectuate our initial business combination with another blank check company or a similar company with nominal operations.</w:t>
      </w:r>
    </w:p>
    <w:p>
      <w:pPr>
        <w:spacing w:after="0" w:line="111"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spacing w:after="0" w:line="109"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07"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119"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2" w:name="page83"/>
    <w:bookmarkEnd w:id="82"/>
    <w:p>
      <w:pPr>
        <w:ind w:left="460"/>
        <w:spacing w:after="0"/>
        <w:rPr>
          <w:sz w:val="20"/>
          <w:szCs w:val="20"/>
          <w:color w:val="auto"/>
        </w:rPr>
      </w:pPr>
      <w:r>
        <w:rPr>
          <w:rFonts w:ascii="Arial" w:cs="Arial" w:eastAsia="Arial" w:hAnsi="Arial"/>
          <w:sz w:val="18"/>
          <w:szCs w:val="18"/>
          <w:b w:val="1"/>
          <w:bCs w:val="1"/>
          <w:color w:val="auto"/>
        </w:rPr>
        <w:t>Other Considerations</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our sponsor, Founders, officers or directors. In the event we seek to complete our initial business combination or, subject to certain exceptions, subsequent material transactions with a company that is affiliated with our sponsor or any of our Founders, officers or directors, we, or a committee of independent directors, will obtain an opinion from an independent investment banking firm which is a member of FINRA or an independent accounting firm that such initial business combination or transaction is fair to our company from a financial point of view.</w:t>
      </w:r>
    </w:p>
    <w:p>
      <w:pPr>
        <w:spacing w:after="0" w:line="96"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We currently do not have any specific business combination under consideration. Our officers and directors have neither individually identified nor considered a target business nor have they had any substantive discussions regarding possible target businesses among themselves or with our underwriter or other advisors. Our management team is continuously made aware of potential business opportunities, one or more of which we may desire to pursue for a business combination, but we have not selected any business combination target and we have not, nor has anyone on our behalf, initiated any substantive discussions, directly or indirectly, with any business combination target.</w:t>
      </w:r>
    </w:p>
    <w:p>
      <w:pPr>
        <w:spacing w:after="0" w:line="110"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In addition, certain of our Founders, officers and directors presently have, and any of them in the future may have additional, fiduciary and contractual duties to other entities. As a result, if any of our Founders,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1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Our sponsor, directors and officers may sponsor, form or participate in other blank check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 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Status as a Public Company</w:t>
      </w:r>
    </w:p>
    <w:p>
      <w:pPr>
        <w:spacing w:after="0" w:line="148"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that may not be present to the same extent in connection with a business combination with us.</w:t>
      </w:r>
    </w:p>
    <w:p>
      <w:pPr>
        <w:spacing w:after="0" w:line="104"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3" w:name="page84"/>
    <w:bookmarkEnd w:id="83"/>
    <w:p>
      <w:pPr>
        <w:ind w:left="460" w:right="719"/>
        <w:spacing w:after="0" w:line="263" w:lineRule="auto"/>
        <w:rPr>
          <w:sz w:val="20"/>
          <w:szCs w:val="20"/>
          <w:color w:val="auto"/>
        </w:rPr>
      </w:pPr>
      <w:r>
        <w:rPr>
          <w:rFonts w:ascii="Arial" w:cs="Arial" w:eastAsia="Arial" w:hAnsi="Arial"/>
          <w:sz w:val="18"/>
          <w:szCs w:val="18"/>
          <w:color w:val="auto"/>
        </w:rPr>
        <w:t>the ability to use its shares as currency for acquisitions. Being a public company can offer further benefits by augmenting a company’s profile among potential new customers and vendors and aid in attracting talented employees.</w:t>
      </w:r>
    </w:p>
    <w:p>
      <w:pPr>
        <w:spacing w:after="0" w:line="10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including our lack of an operating history and our potential need to seek shareholder approval of any proposed initial business combination, negatively.</w:t>
      </w:r>
    </w:p>
    <w:p>
      <w:pPr>
        <w:spacing w:after="0" w:line="11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13"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95" w:lineRule="exact"/>
        <w:rPr>
          <w:sz w:val="20"/>
          <w:szCs w:val="20"/>
          <w:color w:val="auto"/>
        </w:rPr>
      </w:pPr>
    </w:p>
    <w:p>
      <w:pPr>
        <w:ind w:left="460" w:right="599" w:firstLine="432"/>
        <w:spacing w:after="0" w:line="250"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Position</w:t>
      </w:r>
    </w:p>
    <w:p>
      <w:pPr>
        <w:spacing w:after="0" w:line="16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With funds available for a business combination initially in the amount of $292,500,000, after payment of the estimated expenses of this offering and $10,500,000 of deferred underwriting fees (or $335,025,000 after payment of $12,075,000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the private placements of the private placement warrants, our equity,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1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ordinary shares, we may apply the balance of the cash released to us from</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right="619"/>
        <w:spacing w:after="0" w:line="311" w:lineRule="auto"/>
        <w:rPr>
          <w:sz w:val="20"/>
          <w:szCs w:val="20"/>
          <w:color w:val="auto"/>
        </w:rPr>
      </w:pPr>
      <w:r>
        <w:rPr>
          <w:rFonts w:ascii="Arial" w:cs="Arial" w:eastAsia="Arial" w:hAnsi="Arial"/>
          <w:sz w:val="16"/>
          <w:szCs w:val="16"/>
          <w:color w:val="auto"/>
        </w:rPr>
        <w:t>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68" w:lineRule="exact"/>
        <w:rPr>
          <w:sz w:val="20"/>
          <w:szCs w:val="20"/>
          <w:color w:val="auto"/>
        </w:rPr>
      </w:pPr>
    </w:p>
    <w:p>
      <w:pPr>
        <w:ind w:left="460" w:right="599" w:firstLine="432"/>
        <w:spacing w:after="0" w:line="269" w:lineRule="auto"/>
        <w:rPr>
          <w:sz w:val="20"/>
          <w:szCs w:val="20"/>
          <w:color w:val="auto"/>
        </w:rPr>
      </w:pPr>
      <w:r>
        <w:rPr>
          <w:rFonts w:ascii="Arial" w:cs="Arial" w:eastAsia="Arial" w:hAnsi="Arial"/>
          <w:sz w:val="17"/>
          <w:szCs w:val="17"/>
          <w:color w:val="auto"/>
        </w:rPr>
        <w:t>We have not selected any business combination target and we have not, nor has anyone on our behalf, initiated any substantive discussions, directly or indirectly, with any business combination target. Additionally, we have not engaged or retained any agent or other representative to identify or locate any suitable acquisition candidate, to conduct any research or take any measures, directly or indirectly, to locate or contact a target business, other than our officers and directors.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14"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Sources of Target Businesses</w:t>
      </w:r>
    </w:p>
    <w:p>
      <w:pPr>
        <w:spacing w:after="0" w:line="162"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market participants, private equity groups, investment banking firms, consultants, accounting firms and large business enterprises.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prior to, or for any services they render in order to effectuate, the completion of our initial business combination (regardless of the type of transaction that it is). We have agreed to pay an affiliate of our sponsor a total of $10,000 per month for office space, utilities and secretarial and administrative support and to reimburse our sponsor for any out-of-pocket expenses related to identifying, investigating and completing an initial business combination. Some of our officers and directors may enter into employment or consulting agreements with the post-transaction company following our initial business combination. The presence or absence of any such fees or arrangements will not be used as a criterion in our selection process of an acquisition candidate.</w:t>
      </w:r>
    </w:p>
    <w:p>
      <w:pPr>
        <w:spacing w:after="0" w:line="305"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from making the acquisition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5" w:name="page86"/>
    <w:bookmarkEnd w:id="85"/>
    <w:p>
      <w:pPr>
        <w:ind w:left="460" w:right="479"/>
        <w:spacing w:after="0" w:line="263" w:lineRule="auto"/>
        <w:rPr>
          <w:sz w:val="20"/>
          <w:szCs w:val="20"/>
          <w:color w:val="auto"/>
        </w:rPr>
      </w:pPr>
      <w:r>
        <w:rPr>
          <w:rFonts w:ascii="Arial" w:cs="Arial" w:eastAsia="Arial" w:hAnsi="Arial"/>
          <w:sz w:val="18"/>
          <w:szCs w:val="18"/>
          <w:color w:val="auto"/>
        </w:rPr>
        <w:t>banking firm which is a member of FINRA or an independent accounting firm, that such an initial business combination is fair to our company from a financial point of view. We are not required to obtain such an opinion in any other context.</w:t>
      </w:r>
    </w:p>
    <w:p>
      <w:pPr>
        <w:spacing w:after="0" w:line="103"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See “Management — Conflicts of Interest.”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a Target Business and Structuring of Our Initial Business Combination</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25"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w:t>
      </w:r>
    </w:p>
    <w:p>
      <w:pPr>
        <w:spacing w:after="0" w:line="96" w:lineRule="exact"/>
        <w:rPr>
          <w:sz w:val="20"/>
          <w:szCs w:val="20"/>
          <w:color w:val="auto"/>
        </w:rPr>
      </w:pPr>
    </w:p>
    <w:p>
      <w:pPr>
        <w:ind w:left="460" w:right="1219" w:firstLine="432"/>
        <w:spacing w:after="0" w:line="277" w:lineRule="auto"/>
        <w:rPr>
          <w:sz w:val="20"/>
          <w:szCs w:val="20"/>
          <w:color w:val="auto"/>
        </w:rPr>
      </w:pPr>
      <w:r>
        <w:rPr>
          <w:rFonts w:ascii="Arial" w:cs="Arial" w:eastAsia="Arial" w:hAnsi="Arial"/>
          <w:sz w:val="18"/>
          <w:szCs w:val="18"/>
          <w:color w:val="auto"/>
        </w:rPr>
        <w:t>In addition, we have agreed not to enter into a definitive agreement regarding an initial business combination without the prior consent of our sponsor.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Lack of Business Diversification</w:t>
      </w:r>
    </w:p>
    <w:p>
      <w:pPr>
        <w:spacing w:after="0" w:line="162"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25" w:lineRule="exact"/>
        <w:rPr>
          <w:sz w:val="20"/>
          <w:szCs w:val="20"/>
          <w:color w:val="auto"/>
        </w:rPr>
      </w:pPr>
    </w:p>
    <w:p>
      <w:pPr>
        <w:ind w:left="1320" w:right="539" w:hanging="434"/>
        <w:spacing w:after="0" w:line="263"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162"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right="719" w:firstLine="432"/>
        <w:spacing w:after="0" w:line="286"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84" w:lineRule="exact"/>
        <w:rPr>
          <w:sz w:val="20"/>
          <w:szCs w:val="20"/>
          <w:color w:val="auto"/>
        </w:rPr>
      </w:pPr>
    </w:p>
    <w:p>
      <w:pPr>
        <w:ind w:left="460" w:right="859" w:firstLine="432"/>
        <w:spacing w:after="0" w:line="259"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162" w:lineRule="exact"/>
        <w:rPr>
          <w:sz w:val="20"/>
          <w:szCs w:val="20"/>
          <w:color w:val="auto"/>
        </w:rPr>
      </w:pPr>
    </w:p>
    <w:p>
      <w:pPr>
        <w:jc w:val="both"/>
        <w:ind w:left="460" w:right="719" w:firstLine="432"/>
        <w:spacing w:after="0" w:line="279" w:lineRule="auto"/>
        <w:rPr>
          <w:sz w:val="20"/>
          <w:szCs w:val="20"/>
          <w:color w:val="auto"/>
        </w:rPr>
      </w:pPr>
      <w:r>
        <w:rPr>
          <w:rFonts w:ascii="Arial" w:cs="Arial" w:eastAsia="Arial" w:hAnsi="Arial"/>
          <w:sz w:val="17"/>
          <w:szCs w:val="17"/>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law or applicable stock exchange rule, or we may decide to seek shareholder approval for business or other legal reasons.</w:t>
      </w:r>
    </w:p>
    <w:p>
      <w:pPr>
        <w:spacing w:after="0" w:line="104" w:lineRule="exact"/>
        <w:rPr>
          <w:sz w:val="20"/>
          <w:szCs w:val="20"/>
          <w:color w:val="auto"/>
        </w:rPr>
      </w:pPr>
    </w:p>
    <w:p>
      <w:pPr>
        <w:ind w:left="460" w:right="1279" w:firstLine="432"/>
        <w:spacing w:after="0" w:line="277" w:lineRule="auto"/>
        <w:rPr>
          <w:sz w:val="20"/>
          <w:szCs w:val="20"/>
          <w:color w:val="auto"/>
        </w:rPr>
      </w:pPr>
      <w:r>
        <w:rPr>
          <w:rFonts w:ascii="Arial" w:cs="Arial" w:eastAsia="Arial" w:hAnsi="Arial"/>
          <w:sz w:val="18"/>
          <w:szCs w:val="18"/>
          <w:color w:val="auto"/>
        </w:rPr>
        <w:t>Under the NYSE’s listing rules, shareholder approval would be required for our initial business combination if, for example:</w:t>
      </w:r>
    </w:p>
    <w:p>
      <w:pPr>
        <w:spacing w:after="0" w:line="89" w:lineRule="exact"/>
        <w:rPr>
          <w:sz w:val="20"/>
          <w:szCs w:val="20"/>
          <w:color w:val="auto"/>
        </w:rPr>
      </w:pPr>
    </w:p>
    <w:p>
      <w:pPr>
        <w:ind w:left="1320" w:right="819" w:hanging="434"/>
        <w:spacing w:after="0" w:line="27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our ordinary shares then outstanding (other than in a public offering);</w:t>
      </w:r>
    </w:p>
    <w:p>
      <w:pPr>
        <w:spacing w:after="0" w:line="102" w:lineRule="exact"/>
        <w:rPr>
          <w:rFonts w:ascii="Arial" w:cs="Arial" w:eastAsia="Arial" w:hAnsi="Arial"/>
          <w:sz w:val="18"/>
          <w:szCs w:val="18"/>
          <w:color w:val="auto"/>
        </w:rPr>
      </w:pPr>
    </w:p>
    <w:p>
      <w:pPr>
        <w:ind w:left="1320" w:right="459" w:hanging="434"/>
        <w:spacing w:after="0" w:line="296" w:lineRule="auto"/>
        <w:tabs>
          <w:tab w:leader="none" w:pos="1311" w:val="left"/>
        </w:tabs>
        <w:numPr>
          <w:ilvl w:val="0"/>
          <w:numId w:val="43"/>
        </w:numPr>
        <w:rPr>
          <w:rFonts w:ascii="Arial" w:cs="Arial" w:eastAsia="Arial" w:hAnsi="Arial"/>
          <w:sz w:val="16"/>
          <w:szCs w:val="16"/>
          <w:color w:val="auto"/>
        </w:rPr>
      </w:pPr>
      <w:r>
        <w:rPr>
          <w:rFonts w:ascii="Arial" w:cs="Arial" w:eastAsia="Arial" w:hAnsi="Arial"/>
          <w:sz w:val="16"/>
          <w:szCs w:val="16"/>
          <w:color w:val="auto"/>
        </w:rPr>
        <w:t>any of our directors, officers or substantial security holders (as defined by the NYSE rules) has a 5% or greater interest, directly or indirectly, in the target business or assets to be acquired or otherwise and the present or potential issuance of ordinary shares could result in an increase in issued and outstanding ordinary shares or voting power of 1% or more (or 5% or more if the related party involved is classified as such solely because such person is a substantial security holder); or</w:t>
      </w:r>
    </w:p>
    <w:p>
      <w:pPr>
        <w:spacing w:after="0" w:line="93" w:lineRule="exact"/>
        <w:rPr>
          <w:rFonts w:ascii="Arial" w:cs="Arial" w:eastAsia="Arial" w:hAnsi="Arial"/>
          <w:sz w:val="16"/>
          <w:szCs w:val="16"/>
          <w:color w:val="auto"/>
        </w:rPr>
      </w:pPr>
    </w:p>
    <w:p>
      <w:pPr>
        <w:ind w:left="1320" w:right="999" w:hanging="434"/>
        <w:spacing w:after="0" w:line="27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89" w:lineRule="exact"/>
        <w:rPr>
          <w:sz w:val="20"/>
          <w:szCs w:val="20"/>
          <w:color w:val="auto"/>
        </w:rPr>
      </w:pPr>
    </w:p>
    <w:p>
      <w:pPr>
        <w:ind w:left="460" w:right="459" w:firstLine="432"/>
        <w:spacing w:after="0" w:line="311" w:lineRule="auto"/>
        <w:rPr>
          <w:sz w:val="20"/>
          <w:szCs w:val="20"/>
          <w:color w:val="auto"/>
        </w:rPr>
      </w:pPr>
      <w:r>
        <w:rPr>
          <w:rFonts w:ascii="Arial" w:cs="Arial" w:eastAsia="Arial" w:hAnsi="Arial"/>
          <w:sz w:val="16"/>
          <w:szCs w:val="16"/>
          <w:color w:val="auto"/>
        </w:rPr>
        <w:t>The decision as to whether we will seek shareholder approval of a proposed business combination in those instances in which shareholder approval is not required by law will be made by us, solely in our discretion, and will be based on business and legal reasons, which include a variety of factors, including, but not limited to:</w:t>
      </w:r>
    </w:p>
    <w:p>
      <w:pPr>
        <w:spacing w:after="0" w:line="81" w:lineRule="exact"/>
        <w:rPr>
          <w:sz w:val="20"/>
          <w:szCs w:val="20"/>
          <w:color w:val="auto"/>
        </w:rPr>
      </w:pPr>
    </w:p>
    <w:p>
      <w:pPr>
        <w:ind w:left="1320" w:right="959" w:hanging="434"/>
        <w:spacing w:after="0" w:line="308" w:lineRule="auto"/>
        <w:tabs>
          <w:tab w:leader="none" w:pos="131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timing of the transaction, including in the event we determine shareholder approval would require additional time and there is either not enough time to seek shareholder;</w:t>
      </w:r>
    </w:p>
    <w:p>
      <w:pPr>
        <w:spacing w:after="0" w:line="78" w:lineRule="exact"/>
        <w:rPr>
          <w:rFonts w:ascii="Arial" w:cs="Arial" w:eastAsia="Arial" w:hAnsi="Arial"/>
          <w:sz w:val="17"/>
          <w:szCs w:val="17"/>
          <w:color w:val="auto"/>
        </w:rPr>
      </w:pPr>
    </w:p>
    <w:p>
      <w:pPr>
        <w:ind w:left="1320" w:right="53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approval or doing so would place the company at a disadvantage in the transaction or result in other additional burdens on the company;</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expected cost of holding a shareholder vote;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risk that the shareholders would fail to approve the proposed business combination;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144"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additional legal complexities of a proposed business combination that would be time-consuming and burdensome to present to shareholders.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162"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not make any such purchases when they are in possession of any material non-public information not disclosed to the seller or if such purchases are prohibited by Regulation M under the Exchange Act.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right="639" w:firstLine="432"/>
        <w:spacing w:after="0" w:line="272"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96"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The purpose of any such purchases of shares could be to (i) vote such shares in favor of the business combination and thereby increase the likelihood of obtaining shareholder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129"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1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Our sponsor, officers, directors and/or their affiliates anticipate that they may identify the shareholders with whom our sponsor, officers, directors or their affiliates may pursue privately negotiated purchases by either the shareholders contacting us directly or by our receipt of redemption requests submitted by shareholders (in the case of Class A ordinary shares) following our mailing of proxy materials in connection with our initial business combination. To the extent that our sponsor, officers, directors, advisors or their affiliates enter into a private purchase, they would identify and contact potential selling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shareholder meeting related to our initial business combination. Our sponsor, executive officers, directors, advisors or any of their affiliates will select which shareholders to purchase shares from based on the negotiated price and number of shares and any other factors that they may deem relevant, and will only purchase shares if such purchases comply with Regulation M under the Exchange Act and the other federal securities laws.</w:t>
      </w:r>
    </w:p>
    <w:p>
      <w:pPr>
        <w:spacing w:after="0" w:line="93"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sponsor, officers, directors and/or their affiliates will not make purchases of shares if the purchases would violate Section 9(a)(2) or Rule 10b-5 of the Exchange Act. Any such purchases will be reported pursuant to Section 13 and Section 16 of the Exchange Act to the extent such purchasers are subject to such reporting requirements.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Redemption Rights for Public Shareholders upon Completion of Our Initial Business Combination</w:t>
      </w:r>
    </w:p>
    <w:p>
      <w:pPr>
        <w:spacing w:after="0" w:line="17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approximately $10.00 per public share. The per share amount we will distribute to investors who properly redeem their shares will not be reduced by the deferred underwriting commissions we will pay to the underwriter. The redemption rights will include the requirement that a beneficial holder must identify itself in order to validly redeem its shares. There will be no redemption rights upon the completion of our initial business combination with respect to our warrants. Our sponsor and each member of our management team have entered into agreements with us, pursuant to which they have agreed to waive their redemption rights with respect to any founder shares and any public shares in connection with (i) the completion of our initial business combination and (ii) a shareholder vote to approve an amendment to our amended and restated memorandum and articles of association that would affect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right="599"/>
        <w:spacing w:after="0" w:line="311" w:lineRule="auto"/>
        <w:rPr>
          <w:sz w:val="20"/>
          <w:szCs w:val="20"/>
          <w:color w:val="auto"/>
        </w:rPr>
      </w:pPr>
      <w:r>
        <w:rPr>
          <w:rFonts w:ascii="Arial" w:cs="Arial" w:eastAsia="Arial" w:hAnsi="Arial"/>
          <w:sz w:val="16"/>
          <w:szCs w:val="16"/>
          <w:color w:val="auto"/>
        </w:rPr>
        <w:t>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Limitations on Redemptions</w:t>
      </w:r>
    </w:p>
    <w:p>
      <w:pPr>
        <w:spacing w:after="0" w:line="148" w:lineRule="exact"/>
        <w:rPr>
          <w:sz w:val="20"/>
          <w:szCs w:val="20"/>
          <w:color w:val="auto"/>
        </w:rPr>
      </w:pPr>
    </w:p>
    <w:p>
      <w:pPr>
        <w:ind w:left="460" w:right="599" w:firstLine="432"/>
        <w:spacing w:after="0" w:line="288" w:lineRule="auto"/>
        <w:rPr>
          <w:sz w:val="20"/>
          <w:szCs w:val="20"/>
          <w:color w:val="auto"/>
        </w:rPr>
      </w:pPr>
      <w:r>
        <w:rPr>
          <w:rFonts w:ascii="Arial" w:cs="Arial" w:eastAsia="Arial" w:hAnsi="Arial"/>
          <w:sz w:val="16"/>
          <w:szCs w:val="16"/>
          <w:color w:val="auto"/>
        </w:rPr>
        <w:t>Our amended and restated memorandum and articles of association will provide that in no event will we redeem our public shares in an amount that would cause our net tangible assets to be less than $5,000,001 (so that we are not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Manner of Conducting Redemptions</w:t>
      </w:r>
    </w:p>
    <w:p>
      <w:pPr>
        <w:spacing w:after="0" w:line="162"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require shareholder approval. We currently intend to conduct redemptions in connection with a shareholder vote unless shareholder approval is not required by applicable law or stock exchange listing requirement and we choose to conduct redemptions pursuant to the tender offer rules of the SEC for business or other legal reasons. So long as we obtain and maintain a listing for our securities on the NYSE, we will be required to comply with the NYSE rules.</w:t>
      </w:r>
    </w:p>
    <w:p>
      <w:pPr>
        <w:spacing w:after="0" w:line="112" w:lineRule="exact"/>
        <w:rPr>
          <w:sz w:val="20"/>
          <w:szCs w:val="20"/>
          <w:color w:val="auto"/>
        </w:rPr>
      </w:pPr>
    </w:p>
    <w:p>
      <w:pPr>
        <w:ind w:left="460" w:right="1079" w:firstLine="432"/>
        <w:spacing w:after="0" w:line="277" w:lineRule="auto"/>
        <w:rPr>
          <w:sz w:val="20"/>
          <w:szCs w:val="20"/>
          <w:color w:val="auto"/>
        </w:rPr>
      </w:pPr>
      <w:r>
        <w:rPr>
          <w:rFonts w:ascii="Arial" w:cs="Arial" w:eastAsia="Arial" w:hAnsi="Arial"/>
          <w:sz w:val="18"/>
          <w:szCs w:val="18"/>
          <w:color w:val="auto"/>
        </w:rPr>
        <w:t>If we held a shareholder vote to approve our initial business combination, we will, pursuant to our amended and restated memorandum and articles of association:</w:t>
      </w:r>
    </w:p>
    <w:p>
      <w:pPr>
        <w:spacing w:after="0" w:line="89" w:lineRule="exact"/>
        <w:rPr>
          <w:sz w:val="20"/>
          <w:szCs w:val="20"/>
          <w:color w:val="auto"/>
        </w:rPr>
      </w:pPr>
    </w:p>
    <w:p>
      <w:pPr>
        <w:jc w:val="both"/>
        <w:ind w:left="1320" w:right="519" w:hanging="434"/>
        <w:spacing w:after="0" w:line="263"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58" w:lineRule="exact"/>
        <w:rPr>
          <w:sz w:val="20"/>
          <w:szCs w:val="20"/>
          <w:color w:val="auto"/>
        </w:rPr>
      </w:pPr>
    </w:p>
    <w:p>
      <w:pPr>
        <w:ind w:left="460" w:right="899" w:firstLine="432"/>
        <w:spacing w:after="0" w:line="263" w:lineRule="auto"/>
        <w:rPr>
          <w:sz w:val="20"/>
          <w:szCs w:val="20"/>
          <w:color w:val="auto"/>
        </w:rPr>
      </w:pPr>
      <w:r>
        <w:rPr>
          <w:rFonts w:ascii="Arial" w:cs="Arial" w:eastAsia="Arial" w:hAnsi="Arial"/>
          <w:sz w:val="18"/>
          <w:szCs w:val="18"/>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03"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If we seek shareholder approval, we will complete our initial business combination only if a majority of the ordinary shares, represented in person or by proxy and entitled to vote thereon, voted at a shareholder meeting vote in favor of the business combination. In such case, our sponsor has agreed to vote its founder shares and any public shares purchased during or after this offering in favor of our initial business combination. As a result, in addition to our sponsor’s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Each public shareholder may elect to redeem their public shares irrespective of whether they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9" w:name="page90"/>
    <w:bookmarkEnd w:id="89"/>
    <w:p>
      <w:pPr>
        <w:ind w:left="460" w:right="459"/>
        <w:spacing w:after="0" w:line="271" w:lineRule="auto"/>
        <w:rPr>
          <w:sz w:val="20"/>
          <w:szCs w:val="20"/>
          <w:color w:val="auto"/>
        </w:rPr>
      </w:pPr>
      <w:r>
        <w:rPr>
          <w:rFonts w:ascii="Arial" w:cs="Arial" w:eastAsia="Arial" w:hAnsi="Arial"/>
          <w:sz w:val="17"/>
          <w:szCs w:val="17"/>
          <w:color w:val="auto"/>
        </w:rPr>
        <w:t>vote for or against the proposed transaction. In addition, our sponsor and each member of our management team have entered into agreements with us, pursuant to which they have agreed to waive their redemption rights with respect to their founder shares and public shares in connection with (i) the completion of a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w:t>
      </w:r>
    </w:p>
    <w:p>
      <w:pPr>
        <w:spacing w:after="0" w:line="97"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103" w:lineRule="exact"/>
        <w:rPr>
          <w:sz w:val="20"/>
          <w:szCs w:val="20"/>
          <w:color w:val="auto"/>
        </w:rPr>
      </w:pPr>
    </w:p>
    <w:p>
      <w:pPr>
        <w:ind w:left="1320" w:right="739" w:hanging="434"/>
        <w:spacing w:after="0" w:line="277"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06"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Upon the public announcement of our initial business combination, we or our sponsor will terminate any plan established in accordance with Rule 10b5-1 to purchase Class A ordinary shares in the open market if we elect to redeem our public shares through a tender offer, to comply with Rule 14e-5 under the Exchange Act.</w:t>
      </w:r>
    </w:p>
    <w:p>
      <w:pPr>
        <w:spacing w:after="0" w:line="81"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160" w:lineRule="exact"/>
        <w:rPr>
          <w:sz w:val="20"/>
          <w:szCs w:val="20"/>
          <w:color w:val="auto"/>
        </w:rPr>
      </w:pPr>
    </w:p>
    <w:p>
      <w:pPr>
        <w:ind w:left="460" w:right="1439"/>
        <w:spacing w:after="0" w:line="282" w:lineRule="auto"/>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9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which we refer to as “Excess Shares.”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at a premium to the then-current market price or on other undesirable terms. By limiting our shareholders’ ability to redeem no more than 15% of the shares sold in this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93"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However, we would not be restricting our shareholders’ ability to vote all of their shares (including Excess Shares) for or against our initial business combination.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162"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will include the requirement that a beneficial holder must identify itself in order to validly redeem its shares. Accordingly, a public shareholder would have from the time we send out our tender offer materials until the close of the tender offer period, or up to two days prior to the initially scheduled vote on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03"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97"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spacing w:after="0" w:line="10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85"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19" w:lineRule="exact"/>
        <w:rPr>
          <w:sz w:val="20"/>
          <w:szCs w:val="20"/>
          <w:color w:val="auto"/>
        </w:rPr>
      </w:pPr>
    </w:p>
    <w:p>
      <w:pPr>
        <w:ind w:left="460" w:right="959" w:firstLine="432"/>
        <w:spacing w:after="0" w:line="342" w:lineRule="auto"/>
        <w:rPr>
          <w:sz w:val="20"/>
          <w:szCs w:val="20"/>
          <w:color w:val="auto"/>
        </w:rPr>
      </w:pPr>
      <w:r>
        <w:rPr>
          <w:rFonts w:ascii="Arial" w:cs="Arial" w:eastAsia="Arial" w:hAnsi="Arial"/>
          <w:sz w:val="16"/>
          <w:szCs w:val="16"/>
          <w:color w:val="auto"/>
        </w:rPr>
        <w:t>If our initial proposed business combination is not completed, we may continue to try to complete a business combination with a different target until 24 months from the closing of this offering.</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162"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Our amended and restated memorandum and articles of association will provide that we will have only 24 months from the closing of this offering to consummate an initial business combination. If we have not consummated an initial business combination within 24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consummate an initial business combination within 24 months from the closing of this offering.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90"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Our sponsor, directors and members of our management team have entered into agreements with us, pursuant to which they have waived their rights to liquidating distributions from the trust account with respect to their founder shares if we fail to consummate an initial business combination within 24 months from the closing of this offering. However, if our sponsor, director or members of our management team acquire public shares in or after this offering, they will be entitled to liquidating distributions from the trust account with respect to such public shares if we fail to consummate an initial business combination within 24 months from the closing of this offering.</w:t>
      </w:r>
    </w:p>
    <w:p>
      <w:pPr>
        <w:spacing w:after="0" w:line="127"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Our sponsor, executive officers, directors and director nominees have agreed, pursuant to a written agreement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are not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1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$3,000,000 of proceeds held outside the trust account (or $2,100,000 if the underwriter’s over-allotment option is exercised in full) plus up to $100,000 of funds from the trust account available to us to pay dissolution expenses, although we cannot assure you that there will be sufficient funds for such purpose.</w:t>
      </w:r>
    </w:p>
    <w:p>
      <w:pPr>
        <w:spacing w:after="0" w:line="107"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2" w:name="page93"/>
    <w:bookmarkEnd w:id="92"/>
    <w:p>
      <w:pPr>
        <w:ind w:left="460" w:right="479" w:firstLine="432"/>
        <w:spacing w:after="0" w:line="283" w:lineRule="auto"/>
        <w:rPr>
          <w:sz w:val="20"/>
          <w:szCs w:val="20"/>
          <w:color w:val="auto"/>
        </w:rPr>
      </w:pPr>
      <w:r>
        <w:rPr>
          <w:rFonts w:ascii="Arial" w:cs="Arial" w:eastAsia="Arial" w:hAnsi="Arial"/>
          <w:sz w:val="16"/>
          <w:szCs w:val="16"/>
          <w:color w:val="auto"/>
        </w:rPr>
        <w:t xml:space="preserve">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the company and will only enter into an agreement with a third party that has not executed a waiver if management believes that such third party’s engagement would be in the best interest of the company given the circumstances.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Citigroup Global Markets Inc. will not execute an agreement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(other than our independent registered public accounting firm),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share due to reductions in the value of the trust assets, in each case net of the interest that may be withdrawn to pay our tax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liability will not apply to any claims by a third party or prospective target business that executed a waiver of any and all rights to seek access to the trust account nor will it apply to any claims under our indemnity of the underwriter of this offering against certain liabilities, including liabilities under the Securities Act. In the event that an executed waiver is deemed to be unenforceable against a third party, our sponsor will not be responsible to the extent of any liability for such third-party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02"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net of the amount of interest which may be withdrawn to pay our income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spacing w:after="0" w:line="104"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 of this offering against certain liabilities, including liabilities under the Securities Act. We will have access to up to $3,000,000 from the proceeds of this offering and the sale of the private placement warrants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right="519"/>
        <w:spacing w:after="0" w:line="269" w:lineRule="auto"/>
        <w:rPr>
          <w:sz w:val="20"/>
          <w:szCs w:val="20"/>
          <w:color w:val="auto"/>
        </w:rPr>
      </w:pPr>
      <w:r>
        <w:rPr>
          <w:rFonts w:ascii="Arial" w:cs="Arial" w:eastAsia="Arial" w:hAnsi="Arial"/>
          <w:sz w:val="17"/>
          <w:szCs w:val="17"/>
          <w:color w:val="auto"/>
        </w:rPr>
        <w:t>(or $2,100,000 if the underwriter’s over-allotment option is exercised in full)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01" w:lineRule="exact"/>
        <w:rPr>
          <w:sz w:val="20"/>
          <w:szCs w:val="20"/>
          <w:color w:val="auto"/>
        </w:rPr>
      </w:pPr>
    </w:p>
    <w:p>
      <w:pPr>
        <w:ind w:left="460" w:right="619" w:firstLine="432"/>
        <w:spacing w:after="0" w:line="268"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share to our public shareholders. Additionally, if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1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Our public shareholders will be entitled to receive funds from the trust account only (i) in the event of the redemption of our public shares if we do not consummate an initial business combination within 24 months from the closing of this offering, (ii)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or (B) with respect to any other provisions relating to the rights of holders of our Class A ordinary shares, or (iii) if they redeem their respective shares for cash upon the completion of the initial business combination.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are unable to complete an initial business combination within 24 months from the closing of this offering, with respect to such Class A ordinary shares so redeemed.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right="479"/>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98"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have not consummated an initial business combination within 24 months from the closing of this offering.</w:t>
      </w:r>
    </w:p>
    <w:p>
      <w:pPr>
        <w:spacing w:after="0" w:line="125" w:lineRule="exact"/>
        <w:rPr>
          <w:sz w:val="20"/>
          <w:szCs w:val="20"/>
          <w:color w:val="auto"/>
        </w:rPr>
      </w:pPr>
    </w:p>
    <w:tbl>
      <w:tblPr>
        <w:tblLayout w:type="fixed"/>
        <w:tblInd w:w="3260" w:type="dxa"/>
        <w:tblCellMar>
          <w:top w:w="0" w:type="dxa"/>
          <w:left w:w="0" w:type="dxa"/>
          <w:bottom w:w="0" w:type="dxa"/>
          <w:right w:w="0" w:type="dxa"/>
        </w:tblCellMar>
      </w:tblP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Redemptions in</w:t>
            </w:r>
          </w:p>
        </w:tc>
        <w:tc>
          <w:tcPr>
            <w:tcW w:w="19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Connection with</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4"/>
              </w:rPr>
              <w:t>Other Permitted</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Redemptions if We Fail</w:t>
            </w: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Our Initial Business</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Purchases of Public</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to Complete an Initial</w:t>
            </w:r>
          </w:p>
        </w:tc>
      </w:tr>
      <w:tr>
        <w:trPr>
          <w:trHeight w:val="210"/>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Combination</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Shares by Our Affiliates</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Business Combination</w:t>
            </w:r>
          </w:p>
        </w:tc>
      </w:tr>
    </w:tbl>
    <w:p>
      <w:pPr>
        <w:spacing w:after="0" w:line="28" w:lineRule="exact"/>
        <w:rPr>
          <w:sz w:val="20"/>
          <w:szCs w:val="20"/>
          <w:color w:val="auto"/>
        </w:rPr>
      </w:pPr>
    </w:p>
    <w:p>
      <w:pPr>
        <w:sectPr>
          <w:pgSz w:w="11900" w:h="16838" w:orient="portrait"/>
          <w:cols w:equalWidth="0" w:num="1">
            <w:col w:w="9019"/>
          </w:cols>
          <w:pgMar w:left="1440" w:top="337" w:right="1440" w:bottom="1440" w:gutter="0" w:footer="0" w:header="0"/>
        </w:sectPr>
      </w:pPr>
    </w:p>
    <w:p>
      <w:pPr>
        <w:ind w:left="460"/>
        <w:spacing w:after="0"/>
        <w:rPr>
          <w:sz w:val="20"/>
          <w:szCs w:val="20"/>
          <w:color w:val="auto"/>
        </w:rPr>
      </w:pPr>
      <w:r>
        <w:rPr>
          <w:rFonts w:ascii="Arial" w:cs="Arial" w:eastAsia="Arial" w:hAnsi="Arial"/>
          <w:sz w:val="16"/>
          <w:szCs w:val="16"/>
          <w:b w:val="1"/>
          <w:bCs w:val="1"/>
          <w:color w:val="auto"/>
        </w:rPr>
        <w:t xml:space="preserve">Calculation of redemption price  </w:t>
      </w:r>
      <w:r>
        <w:rPr>
          <w:rFonts w:ascii="Arial" w:cs="Arial" w:eastAsia="Arial" w:hAnsi="Arial"/>
          <w:sz w:val="16"/>
          <w:szCs w:val="16"/>
          <w:color w:val="auto"/>
        </w:rPr>
        <w:t>Redemptions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-104775</wp:posOffset>
            </wp:positionV>
            <wp:extent cx="116586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of our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may be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made pursuant to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tender offer or in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connection with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vote.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redemption price will be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same whether we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conduct redemptions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pursuant to a tender offer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or in connection with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vote. In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either case, our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shareholders may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redeem their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shares for cash equal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aggregate amount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then on deposit in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trust account calculated</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as of two business days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prior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consummation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(which is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initially anticipated to be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$10.00 per share),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including interest earned</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on the funds held in the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trust account and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previously released to us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to pay our income taxes,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if any, divided by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number of the then-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outstanding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shares, subject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limitation that no</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redemptions will take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place if all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redemptions would cause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our net tangible assets to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be less than $5,000,001</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and any limitations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(including, but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limited, to cash</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requirements) agreed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 connection with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negotiation of terms of a</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proposed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If we seek shareholder approval of our initial business combination, our sponsor, directors, officers, advisors or their affiliates may purchase shares in privately negotiated transactions or in the open market either prior to or following completion of our initial business combination. There is no limit to the prices that our sponsor, directors, officers, advisors or their affiliates may pay in these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-6749415</wp:posOffset>
            </wp:positionV>
            <wp:extent cx="108902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99"/>
        <w:spacing w:after="0" w:line="284" w:lineRule="auto"/>
        <w:rPr>
          <w:sz w:val="20"/>
          <w:szCs w:val="20"/>
          <w:color w:val="auto"/>
        </w:rPr>
      </w:pPr>
      <w:r>
        <w:rPr>
          <w:rFonts w:ascii="Arial" w:cs="Arial" w:eastAsia="Arial" w:hAnsi="Arial"/>
          <w:sz w:val="16"/>
          <w:szCs w:val="16"/>
          <w:color w:val="auto"/>
        </w:rPr>
        <w:t>If we have not consummated an initial business combination within 24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to pay our income taxes, if any, (less up to $100,000 of interest to pay dissolution expenses) divided by the number of the then-outstanding 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-3593465</wp:posOffset>
            </wp:positionV>
            <wp:extent cx="11226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5344" w:lineRule="exact"/>
        <w:rPr>
          <w:sz w:val="20"/>
          <w:szCs w:val="20"/>
          <w:color w:val="auto"/>
        </w:rPr>
      </w:pPr>
    </w:p>
    <w:p>
      <w:pPr>
        <w:sectPr>
          <w:pgSz w:w="11900" w:h="16838" w:orient="portrait"/>
          <w:cols w:equalWidth="0" w:num="3">
            <w:col w:w="4860" w:space="120"/>
            <w:col w:w="1720" w:space="80"/>
            <w:col w:w="2239"/>
          </w:cols>
          <w:pgMar w:left="1440" w:top="337" w:right="1440"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5" w:name="page96"/>
    <w:bookmarkEnd w:id="95"/>
    <w:tbl>
      <w:tblPr>
        <w:tblLayout w:type="fixed"/>
        <w:tblInd w:w="3260" w:type="dxa"/>
        <w:tblCellMar>
          <w:top w:w="0" w:type="dxa"/>
          <w:left w:w="0" w:type="dxa"/>
          <w:bottom w:w="0" w:type="dxa"/>
          <w:right w:w="0" w:type="dxa"/>
        </w:tblCellMar>
      </w:tblP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Redemptions in</w:t>
            </w:r>
          </w:p>
        </w:tc>
        <w:tc>
          <w:tcPr>
            <w:tcW w:w="19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Connection with</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4"/>
              </w:rPr>
              <w:t>Other Permitted</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Redemptions if We Fail</w:t>
            </w: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Our Initial Business</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Purchases of Public</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to Complete an Initial</w:t>
            </w:r>
          </w:p>
        </w:tc>
      </w:tr>
      <w:tr>
        <w:trPr>
          <w:trHeight w:val="210"/>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Combination</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Shares by Our Affiliates</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Business Combination</w:t>
            </w:r>
          </w:p>
        </w:tc>
      </w:tr>
    </w:tbl>
    <w:p>
      <w:pPr>
        <w:spacing w:after="0" w:line="28" w:lineRule="exact"/>
        <w:rPr>
          <w:sz w:val="20"/>
          <w:szCs w:val="20"/>
          <w:color w:val="auto"/>
        </w:rPr>
      </w:pPr>
    </w:p>
    <w:p>
      <w:pPr>
        <w:sectPr>
          <w:pgSz w:w="11900" w:h="16838" w:orient="portrait"/>
          <w:cols w:equalWidth="0" w:num="1">
            <w:col w:w="9019"/>
          </w:cols>
          <w:pgMar w:left="1440" w:top="301" w:right="1440" w:bottom="1440" w:gutter="0" w:footer="0" w:header="0"/>
        </w:sectPr>
      </w:pPr>
    </w:p>
    <w:p>
      <w:pPr>
        <w:ind w:left="640" w:right="280" w:hanging="179"/>
        <w:spacing w:after="0" w:line="347" w:lineRule="auto"/>
        <w:rPr>
          <w:sz w:val="20"/>
          <w:szCs w:val="20"/>
          <w:color w:val="auto"/>
        </w:rPr>
      </w:pPr>
      <w:r>
        <w:rPr>
          <w:rFonts w:ascii="Arial" w:cs="Arial" w:eastAsia="Arial" w:hAnsi="Arial"/>
          <w:sz w:val="16"/>
          <w:szCs w:val="16"/>
          <w:b w:val="1"/>
          <w:bCs w:val="1"/>
          <w:color w:val="auto"/>
        </w:rPr>
        <w:t>Impact to remaining shareholders</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The redemptions in connection with our initial business combination will reduce the book value per share for our remaining shareholders, who will bear the burden of the deferred underwriting commissions and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-1535430</wp:posOffset>
            </wp:positionV>
            <wp:extent cx="11658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auto"/>
        <w:rPr>
          <w:sz w:val="20"/>
          <w:szCs w:val="20"/>
          <w:color w:val="auto"/>
        </w:rPr>
      </w:pPr>
      <w:r>
        <w:rPr>
          <w:rFonts w:ascii="Arial" w:cs="Arial" w:eastAsia="Arial" w:hAnsi="Arial"/>
          <w:sz w:val="15"/>
          <w:szCs w:val="15"/>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-1271905</wp:posOffset>
            </wp:positionV>
            <wp:extent cx="108902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99"/>
        <w:spacing w:after="0" w:line="287"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sponsor, who will be our only remaining shareholder after such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-1535430</wp:posOffset>
            </wp:positionV>
            <wp:extent cx="11226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320" w:space="720"/>
            <w:col w:w="1760" w:space="180"/>
            <w:col w:w="1600" w:space="200"/>
            <w:col w:w="2239"/>
          </w:cols>
          <w:pgMar w:left="1440" w:top="301" w:right="1440" w:bottom="1440" w:gutter="0" w:footer="0" w:header="0"/>
          <w:type w:val="continuous"/>
        </w:sectPr>
      </w:pP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62"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 will not exercise its over-allotment option. None of the provisions of Rule 419 apply to our offering.</w:t>
      </w:r>
    </w:p>
    <w:p>
      <w:pPr>
        <w:spacing w:after="0" w:line="148" w:lineRule="exact"/>
        <w:rPr>
          <w:sz w:val="20"/>
          <w:szCs w:val="20"/>
          <w:color w:val="auto"/>
        </w:rPr>
      </w:pPr>
    </w:p>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type w:val="continuous"/>
        </w:sectPr>
      </w:pPr>
    </w:p>
    <w:p>
      <w:pPr>
        <w:spacing w:after="0" w:line="95" w:lineRule="exact"/>
        <w:rPr>
          <w:sz w:val="20"/>
          <w:szCs w:val="20"/>
          <w:color w:val="auto"/>
        </w:r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Escrow of offering proceeds</w:t>
      </w:r>
      <w:r>
        <w:rPr>
          <w:sz w:val="20"/>
          <w:szCs w:val="20"/>
          <w:color w:val="auto"/>
        </w:rPr>
        <w:tab/>
      </w:r>
      <w:r>
        <w:rPr>
          <w:rFonts w:ascii="Arial" w:cs="Arial" w:eastAsia="Arial" w:hAnsi="Arial"/>
          <w:sz w:val="16"/>
          <w:szCs w:val="16"/>
          <w:color w:val="auto"/>
        </w:rPr>
        <w:t>$300,000,000 of the net proceeds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-119380</wp:posOffset>
            </wp:positionV>
            <wp:extent cx="169735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this offering and the sale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private placement warrants will be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deposited into a trust account located</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in the United States with Continental</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Stock Transfer &amp; Trust Company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acting as trustee.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99"/>
        <w:spacing w:after="0" w:line="288" w:lineRule="auto"/>
        <w:rPr>
          <w:sz w:val="20"/>
          <w:szCs w:val="20"/>
          <w:color w:val="auto"/>
        </w:rPr>
      </w:pPr>
      <w:r>
        <w:rPr>
          <w:rFonts w:ascii="Arial" w:cs="Arial" w:eastAsia="Arial" w:hAnsi="Arial"/>
          <w:sz w:val="16"/>
          <w:szCs w:val="16"/>
          <w:color w:val="auto"/>
        </w:rPr>
        <w:t>$255,150,000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-1400810</wp:posOffset>
            </wp:positionV>
            <wp:extent cx="17487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5700" w:space="100"/>
            <w:col w:w="3219"/>
          </w:cols>
          <w:pgMar w:left="1440" w:top="301" w:right="1440" w:bottom="1440" w:gutter="0" w:footer="0" w:header="0"/>
          <w:type w:val="continuous"/>
        </w:sect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Investment of net proceeds</w:t>
      </w:r>
      <w:r>
        <w:rPr>
          <w:sz w:val="20"/>
          <w:szCs w:val="20"/>
          <w:color w:val="auto"/>
        </w:rPr>
        <w:tab/>
      </w:r>
      <w:r>
        <w:rPr>
          <w:rFonts w:ascii="Arial" w:cs="Arial" w:eastAsia="Arial" w:hAnsi="Arial"/>
          <w:sz w:val="16"/>
          <w:szCs w:val="16"/>
          <w:color w:val="auto"/>
        </w:rPr>
        <w:t>$300,000,000 of the net proceeds of</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this offering and the sale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private placement warrants held in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trust will be invested only in U.S.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government treasury obligations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with a maturity of 185 days or less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or in money market funds meeting</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certain conditions under Rule 2a-7</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under the Investment Company Act</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which invest only in direct U.S.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government treasury obligations.</w:t>
      </w:r>
    </w:p>
    <w:p>
      <w:pPr>
        <w:spacing w:after="0" w:line="20" w:lineRule="exact"/>
        <w:rPr>
          <w:sz w:val="20"/>
          <w:szCs w:val="20"/>
          <w:color w:val="auto"/>
        </w:rPr>
      </w:pPr>
      <w:r>
        <w:rPr>
          <w:sz w:val="20"/>
          <w:szCs w:val="20"/>
          <w:color w:val="auto"/>
        </w:rPr>
        <w:br w:type="column"/>
      </w:r>
    </w:p>
    <w:p>
      <w:pPr>
        <w:ind w:right="459"/>
        <w:spacing w:after="0" w:line="290"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82" w:lineRule="exact"/>
        <w:rPr>
          <w:sz w:val="20"/>
          <w:szCs w:val="20"/>
          <w:color w:val="auto"/>
        </w:rPr>
      </w:pPr>
    </w:p>
    <w:p>
      <w:pPr>
        <w:sectPr>
          <w:pgSz w:w="11900" w:h="16838" w:orient="portrait"/>
          <w:cols w:equalWidth="0" w:num="2">
            <w:col w:w="5620" w:space="180"/>
            <w:col w:w="3219"/>
          </w:cols>
          <w:pgMar w:left="1440" w:top="301" w:right="1440" w:bottom="1440" w:gutter="0" w:footer="0" w:header="0"/>
          <w:type w:val="continuous"/>
        </w:sectPr>
      </w:pPr>
    </w:p>
    <w:p>
      <w:pPr>
        <w:ind w:left="640" w:hanging="179"/>
        <w:spacing w:after="0" w:line="282" w:lineRule="auto"/>
        <w:rPr>
          <w:sz w:val="20"/>
          <w:szCs w:val="20"/>
          <w:color w:val="auto"/>
        </w:rPr>
      </w:pPr>
      <w:r>
        <w:rPr>
          <w:rFonts w:ascii="Arial" w:cs="Arial" w:eastAsia="Arial" w:hAnsi="Arial"/>
          <w:sz w:val="18"/>
          <w:szCs w:val="18"/>
          <w:b w:val="1"/>
          <w:bCs w:val="1"/>
          <w:color w:val="auto"/>
        </w:rPr>
        <w:t>Receipt of interest on escrowed funds</w:t>
      </w:r>
    </w:p>
    <w:p>
      <w:pPr>
        <w:spacing w:after="0" w:line="20" w:lineRule="exact"/>
        <w:rPr>
          <w:sz w:val="20"/>
          <w:szCs w:val="20"/>
          <w:color w:val="auto"/>
        </w:rPr>
      </w:pPr>
      <w:r>
        <w:rPr>
          <w:sz w:val="20"/>
          <w:szCs w:val="20"/>
          <w:color w:val="auto"/>
        </w:rPr>
        <w:br w:type="column"/>
      </w:r>
    </w:p>
    <w:p>
      <w:pPr>
        <w:ind w:left="8" w:right="60"/>
        <w:spacing w:after="0" w:line="286" w:lineRule="auto"/>
        <w:rPr>
          <w:sz w:val="20"/>
          <w:szCs w:val="20"/>
          <w:color w:val="auto"/>
        </w:rPr>
      </w:pPr>
      <w:r>
        <w:rPr>
          <w:rFonts w:ascii="Arial" w:cs="Arial" w:eastAsia="Arial" w:hAnsi="Arial"/>
          <w:sz w:val="16"/>
          <w:szCs w:val="16"/>
          <w:color w:val="auto"/>
        </w:rPr>
        <w:t>Interest income (if any) on proceeds from the trust account to be paid to shareholders is reduced by (i) any income taxes paid or payable and</w:t>
      </w:r>
    </w:p>
    <w:p>
      <w:pPr>
        <w:spacing w:after="0" w:line="1" w:lineRule="exact"/>
        <w:rPr>
          <w:sz w:val="20"/>
          <w:szCs w:val="20"/>
          <w:color w:val="auto"/>
        </w:rPr>
      </w:pPr>
    </w:p>
    <w:p>
      <w:pPr>
        <w:ind w:left="8" w:hanging="8"/>
        <w:spacing w:after="0" w:line="251" w:lineRule="auto"/>
        <w:tabs>
          <w:tab w:leader="none" w:pos="272"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ind w:right="579"/>
        <w:spacing w:after="0" w:line="272" w:lineRule="auto"/>
        <w:rPr>
          <w:sz w:val="20"/>
          <w:szCs w:val="20"/>
          <w:color w:val="auto"/>
        </w:rPr>
      </w:pPr>
      <w:r>
        <w:rPr>
          <w:rFonts w:ascii="Arial" w:cs="Arial" w:eastAsia="Arial" w:hAnsi="Arial"/>
          <w:sz w:val="17"/>
          <w:szCs w:val="17"/>
          <w:color w:val="auto"/>
        </w:rPr>
        <w:t>Interest income on funds in escrow account would be held for the sole benefit of investors, unless and only after the funds held in escrow were released to us in connection with our completion of a business combination.</w:t>
      </w:r>
    </w:p>
    <w:p>
      <w:pPr>
        <w:spacing w:after="0" w:line="1475" w:lineRule="exact"/>
        <w:rPr>
          <w:sz w:val="20"/>
          <w:szCs w:val="20"/>
          <w:color w:val="auto"/>
        </w:rPr>
      </w:pPr>
    </w:p>
    <w:p>
      <w:pPr>
        <w:sectPr>
          <w:pgSz w:w="11900" w:h="16838" w:orient="portrait"/>
          <w:cols w:equalWidth="0" w:num="3">
            <w:col w:w="2840" w:space="192"/>
            <w:col w:w="2668" w:space="100"/>
            <w:col w:w="3219"/>
          </w:cols>
          <w:pgMar w:left="1440" w:top="301" w:right="1440"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6" w:name="page97"/>
    <w:bookmarkEnd w:id="96"/>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640" w:hanging="179"/>
        <w:spacing w:after="0" w:line="347" w:lineRule="auto"/>
        <w:rPr>
          <w:sz w:val="20"/>
          <w:szCs w:val="20"/>
          <w:color w:val="auto"/>
        </w:rPr>
      </w:pPr>
      <w:r>
        <w:rPr>
          <w:rFonts w:ascii="Arial" w:cs="Arial" w:eastAsia="Arial" w:hAnsi="Arial"/>
          <w:sz w:val="16"/>
          <w:szCs w:val="16"/>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220"/>
        <w:spacing w:after="0"/>
        <w:rPr>
          <w:sz w:val="20"/>
          <w:szCs w:val="20"/>
          <w:color w:val="auto"/>
        </w:rPr>
      </w:pPr>
      <w:r>
        <w:rPr>
          <w:rFonts w:ascii="Arial" w:cs="Arial" w:eastAsia="Arial" w:hAnsi="Arial"/>
          <w:sz w:val="15"/>
          <w:szCs w:val="15"/>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Exercise of the warrants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income earned on the trust account) at the time of the agreement to enter into the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-1535430</wp:posOffset>
            </wp:positionV>
            <wp:extent cx="169735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2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8"/>
          <w:szCs w:val="18"/>
          <w:color w:val="auto"/>
          <w:vertAlign w:val="superscript"/>
        </w:rPr>
        <w:t>nd</w:t>
      </w:r>
      <w:r>
        <w:rPr>
          <w:rFonts w:ascii="Arial" w:cs="Arial" w:eastAsia="Arial" w:hAnsi="Arial"/>
          <w:sz w:val="16"/>
          <w:szCs w:val="16"/>
          <w:color w:val="auto"/>
        </w:rPr>
        <w:t xml:space="preserve"> day following the date of this prospectus (or if such day is not a business day, the immediately succeeding business day) unless Citigroup Global Markets Inc.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If the over-allotment option is exercised following the initial filing of such Current Report on Form 8-K, a second or amended Current Report on Form 8-K will be filed to provide updated financial information to reflect the exercise of the over-allotment option.</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units will automatically separate into their component parts and will not be traded after completion of our initial business combination.</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warrants cannot be exercised until the later of 30 days after the completion of our initial business combination or twelve months from the closing of this offering.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519"/>
        <w:spacing w:after="0" w:line="311" w:lineRule="auto"/>
        <w:rPr>
          <w:sz w:val="20"/>
          <w:szCs w:val="20"/>
          <w:color w:val="auto"/>
        </w:rPr>
      </w:pPr>
      <w:r>
        <w:rPr>
          <w:rFonts w:ascii="Arial" w:cs="Arial" w:eastAsia="Arial" w:hAnsi="Arial"/>
          <w:sz w:val="16"/>
          <w:szCs w:val="16"/>
          <w:color w:val="auto"/>
        </w:rPr>
        <w:t>The fair value or net assets of a target business must represent at least 80% of the maximum offering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-452755</wp:posOffset>
            </wp:positionV>
            <wp:extent cx="17487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79"/>
        <w:spacing w:after="0" w:line="272" w:lineRule="auto"/>
        <w:rPr>
          <w:sz w:val="20"/>
          <w:szCs w:val="20"/>
          <w:color w:val="auto"/>
        </w:rPr>
      </w:pPr>
      <w:r>
        <w:rPr>
          <w:rFonts w:ascii="Arial" w:cs="Arial" w:eastAsia="Arial" w:hAnsi="Arial"/>
          <w:sz w:val="17"/>
          <w:szCs w:val="17"/>
          <w:color w:val="auto"/>
        </w:rPr>
        <w:t>No trading of the units or the underlying Class A ordinary shares and warrants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99"/>
        <w:spacing w:after="0" w:line="293" w:lineRule="auto"/>
        <w:rPr>
          <w:sz w:val="20"/>
          <w:szCs w:val="20"/>
          <w:color w:val="auto"/>
        </w:rPr>
      </w:pPr>
      <w:r>
        <w:rPr>
          <w:rFonts w:ascii="Arial" w:cs="Arial" w:eastAsia="Arial" w:hAnsi="Arial"/>
          <w:sz w:val="16"/>
          <w:szCs w:val="16"/>
          <w:color w:val="auto"/>
        </w:rPr>
        <w:t>The warrants could be exercised prior to the completion of a business combination, but securities received and cash paid in connection with the exercise would be deposited in the escrow or trust account.</w:t>
      </w:r>
    </w:p>
    <w:p>
      <w:pPr>
        <w:spacing w:after="0" w:line="178" w:lineRule="exact"/>
        <w:rPr>
          <w:sz w:val="20"/>
          <w:szCs w:val="20"/>
          <w:color w:val="auto"/>
        </w:rPr>
      </w:pPr>
    </w:p>
    <w:p>
      <w:pPr>
        <w:sectPr>
          <w:pgSz w:w="11900" w:h="16838" w:orient="portrait"/>
          <w:cols w:equalWidth="0" w:num="3">
            <w:col w:w="2780" w:space="260"/>
            <w:col w:w="2660" w:space="100"/>
            <w:col w:w="3219"/>
          </w:cols>
          <w:pgMar w:left="1440" w:top="301" w:right="1440"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7" w:name="page98"/>
    <w:bookmarkEnd w:id="97"/>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-119380</wp:posOffset>
            </wp:positionV>
            <wp:extent cx="169735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shareholders with the opportunity to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redeem their public shares for cash</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at a per share price equal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aggregate amount then on deposit in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the trust account calculated as of two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business days prior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consummation of our initial business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including interest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earned on the funds held in the trust</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account and not previously released</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to us to pay our income taxes, if any,</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divided by the number of the then-</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outstanding public shares, upon the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completion of our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subject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limitations described herein. We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may not be required by law to hold a</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vote. If we are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required by law and do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otherwise decide to hold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shareholder vote, we will, pursuant</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to our amended and restated</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memorandum and articles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association, conduct the redemptions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pursuant to the tender offer rules of</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SEC and file tender offer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documents with the SEC which will</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contain substantially the same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financial and other information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about the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and the redemption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rights as is required under the SEC’s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proxy rules. If, however, we hold a</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shareholder vote, we will, like many</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blank check companies, offer to</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redeem shares in conjunction with a</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proxy solicitation pursuant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proxy rules and not pursuant to the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tender offer rules. If we seek</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approval, we will</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complete our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combination only if a majority of the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ordinary shares, represented in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person or by proxy and entitled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vote thereon, voted at a shareholder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meeting vote in favor of the business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Additionally, each</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public shareholder may elect to</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redeem their public shares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irrespective of whether they vote for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or against the proposed transaction.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Our amended and restated</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memorandum and articles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association will require that at least</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five days’ notice will be given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any such shareholder meeting.</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59"/>
        <w:spacing w:after="0" w:line="282"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-3448050</wp:posOffset>
            </wp:positionV>
            <wp:extent cx="17487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ectPr>
          <w:pgSz w:w="11900" w:h="16838" w:orient="portrait"/>
          <w:cols w:equalWidth="0" w:num="2">
            <w:col w:w="5700" w:space="100"/>
            <w:col w:w="3219"/>
          </w:cols>
          <w:pgMar w:left="1440" w:top="301" w:right="1440" w:bottom="1440" w:gutter="0" w:footer="0" w:header="0"/>
          <w:type w:val="continuous"/>
        </w:sectPr>
      </w:pPr>
    </w:p>
    <w:bookmarkStart w:id="98" w:name="page99"/>
    <w:bookmarkEnd w:id="98"/>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Business combination deadline</w:t>
      </w:r>
      <w:r>
        <w:rPr>
          <w:sz w:val="20"/>
          <w:szCs w:val="20"/>
          <w:color w:val="auto"/>
        </w:rPr>
        <w:tab/>
      </w:r>
      <w:r>
        <w:rPr>
          <w:rFonts w:ascii="Arial" w:cs="Arial" w:eastAsia="Arial" w:hAnsi="Arial"/>
          <w:sz w:val="16"/>
          <w:szCs w:val="16"/>
          <w:color w:val="auto"/>
        </w:rPr>
        <w:t>If we have not consummated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-119380</wp:posOffset>
            </wp:positionV>
            <wp:extent cx="169735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initial business combination within</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24 months from the closing of this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offering, we will (i) cease all</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operations except for the purpose of</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winding up; (ii) as promptly as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reasonably possible but not more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than ten business days thereafter,</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redeem 100% of the public shares, at</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a per-share price, payable in cash,</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equal to the aggregate amount then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on deposit in the trust account,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including interest earned on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funds held in the trust account and</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not previously released to us to pay</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our income taxes, if any, (less up to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$100,000 of interest to pay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dissolution expenses) divided by the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number of the then-outstanding</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public shares, which redemption will</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completely extinguish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shareholders’ rights as shareholders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(including the right to receive further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liquidation distributions, if any); and</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(iii) as promptly as reasonably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possible following such redemption,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subject to the approval of our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remaining shareholders and our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board of directors, liquidate and</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dissolve, subject in the case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clauses (ii) and (iii) to our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obligations under Cayman Islands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law to provide for claims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creditors and in all cases subject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the other requirements of applicable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law.</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519"/>
        <w:spacing w:after="0" w:line="255" w:lineRule="auto"/>
        <w:rPr>
          <w:sz w:val="20"/>
          <w:szCs w:val="20"/>
          <w:color w:val="auto"/>
        </w:rPr>
      </w:pPr>
      <w:r>
        <w:rPr>
          <w:rFonts w:ascii="Arial" w:cs="Arial" w:eastAsia="Arial" w:hAnsi="Arial"/>
          <w:sz w:val="18"/>
          <w:szCs w:val="18"/>
          <w:color w:val="auto"/>
        </w:rPr>
        <w:t>If an acquisition has not been completed within 18 months after the effective date of the company’s registration statement, funds held in the trust or escrow account are returned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-836930</wp:posOffset>
            </wp:positionV>
            <wp:extent cx="17487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ectPr>
          <w:pgSz w:w="11900" w:h="16838" w:orient="portrait"/>
          <w:cols w:equalWidth="0" w:num="2">
            <w:col w:w="5700" w:space="100"/>
            <w:col w:w="3219"/>
          </w:cols>
          <w:pgMar w:left="1440" w:top="301" w:right="1440" w:bottom="1440" w:gutter="0" w:footer="0" w:header="0"/>
          <w:type w:val="continuous"/>
        </w:sectPr>
      </w:pPr>
    </w:p>
    <w:bookmarkStart w:id="99" w:name="page100"/>
    <w:bookmarkEnd w:id="99"/>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8"/>
        <w:spacing w:after="0" w:line="296" w:lineRule="auto"/>
        <w:rPr>
          <w:sz w:val="20"/>
          <w:szCs w:val="20"/>
          <w:color w:val="auto"/>
        </w:rPr>
      </w:pPr>
      <w:r>
        <w:rPr>
          <w:rFonts w:ascii="Arial" w:cs="Arial" w:eastAsia="Arial" w:hAnsi="Arial"/>
          <w:sz w:val="16"/>
          <w:szCs w:val="16"/>
          <w:color w:val="auto"/>
        </w:rPr>
        <w:t>Except for the withdrawal of interest income (if any) to pay our income taxes, if any, none of the funds held in trust will be released from the trust account until the earliest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-719455</wp:posOffset>
            </wp:positionV>
            <wp:extent cx="169735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74" w:lineRule="exact"/>
        <w:rPr>
          <w:sz w:val="20"/>
          <w:szCs w:val="20"/>
          <w:color w:val="auto"/>
        </w:rPr>
      </w:pPr>
    </w:p>
    <w:p>
      <w:pPr>
        <w:ind w:left="8" w:right="420" w:hanging="8"/>
        <w:spacing w:after="0" w:line="308" w:lineRule="auto"/>
        <w:tabs>
          <w:tab w:leader="none" w:pos="223"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completion of our initial business combination;</w:t>
      </w:r>
    </w:p>
    <w:p>
      <w:pPr>
        <w:spacing w:after="0" w:line="78" w:lineRule="exact"/>
        <w:rPr>
          <w:rFonts w:ascii="Arial" w:cs="Arial" w:eastAsia="Arial" w:hAnsi="Arial"/>
          <w:sz w:val="17"/>
          <w:szCs w:val="17"/>
          <w:color w:val="auto"/>
        </w:rPr>
      </w:pPr>
    </w:p>
    <w:p>
      <w:pPr>
        <w:ind w:left="8" w:hanging="8"/>
        <w:spacing w:after="0" w:line="255" w:lineRule="auto"/>
        <w:tabs>
          <w:tab w:leader="none" w:pos="2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redemption of our public shares if we have not consummated an initial business combination within 24 months from the closing of this offering, subject to applicable law; or</w:t>
      </w:r>
    </w:p>
    <w:p>
      <w:pPr>
        <w:spacing w:after="0" w:line="111" w:lineRule="exact"/>
        <w:rPr>
          <w:rFonts w:ascii="Arial" w:cs="Arial" w:eastAsia="Arial" w:hAnsi="Arial"/>
          <w:sz w:val="18"/>
          <w:szCs w:val="18"/>
          <w:color w:val="auto"/>
        </w:rPr>
      </w:pPr>
    </w:p>
    <w:p>
      <w:pPr>
        <w:ind w:left="8" w:right="20" w:hanging="8"/>
        <w:spacing w:after="0" w:line="305" w:lineRule="auto"/>
        <w:tabs>
          <w:tab w:leader="none" w:pos="322" w:val="left"/>
        </w:tabs>
        <w:numPr>
          <w:ilvl w:val="0"/>
          <w:numId w:val="48"/>
        </w:numPr>
        <w:rPr>
          <w:rFonts w:ascii="Arial" w:cs="Arial" w:eastAsia="Arial" w:hAnsi="Arial"/>
          <w:sz w:val="15"/>
          <w:szCs w:val="15"/>
          <w:color w:val="auto"/>
        </w:rPr>
      </w:pPr>
      <w:r>
        <w:rPr>
          <w:rFonts w:ascii="Arial" w:cs="Arial" w:eastAsia="Arial" w:hAnsi="Arial"/>
          <w:sz w:val="15"/>
          <w:szCs w:val="15"/>
          <w:color w:val="auto"/>
        </w:rPr>
        <w:t>the redemption of our public shares properly submitted in connection with a shareholder vote to approve an amendment to our amended and restated memorandum and articles of association (A)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or (B) with respect to any other provisions relating to the rights of holders of our Class A ordinary shares.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79"/>
        <w:spacing w:after="0" w:line="273"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-845820</wp:posOffset>
            </wp:positionV>
            <wp:extent cx="17487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6631" w:lineRule="exact"/>
        <w:rPr>
          <w:sz w:val="20"/>
          <w:szCs w:val="20"/>
          <w:color w:val="auto"/>
        </w:rPr>
      </w:pPr>
    </w:p>
    <w:p>
      <w:pPr>
        <w:sectPr>
          <w:pgSz w:w="11900" w:h="16838" w:orient="portrait"/>
          <w:cols w:equalWidth="0" w:num="3">
            <w:col w:w="2312" w:space="720"/>
            <w:col w:w="2648" w:space="120"/>
            <w:col w:w="3219"/>
          </w:cols>
          <w:pgMar w:left="1440" w:top="301" w:right="1440" w:bottom="1440" w:gutter="0" w:footer="0" w:header="0"/>
          <w:type w:val="continuous"/>
        </w:sectPr>
      </w:pPr>
    </w:p>
    <w:p>
      <w:pPr>
        <w:ind w:left="460" w:right="499" w:firstLine="432"/>
        <w:spacing w:after="0" w:line="287"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62"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We currently maintain our executive offices at 1601 Bryan Street, Suite 4141, Dallas, Texas 75201. The cost for our use of this space is included in the $10,000 per month fee we will pay to an affiliate of our sponsor for office space, administrative and support services. We consider our current office space adequate for our current operations.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100" w:name="page101"/>
    <w:bookmarkEnd w:id="100"/>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48"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04"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acquisition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acquisition candidates, we do not believe that this limitation will be material.</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will be required to evaluate our internal control procedures for the fiscal year ending December 31,</w:t>
      </w:r>
    </w:p>
    <w:p>
      <w:pPr>
        <w:spacing w:after="0" w:line="46" w:lineRule="exact"/>
        <w:rPr>
          <w:sz w:val="20"/>
          <w:szCs w:val="20"/>
          <w:color w:val="auto"/>
        </w:rPr>
      </w:pPr>
    </w:p>
    <w:p>
      <w:pPr>
        <w:ind w:left="460" w:right="559"/>
        <w:spacing w:after="0" w:line="252" w:lineRule="auto"/>
        <w:rPr>
          <w:sz w:val="20"/>
          <w:szCs w:val="20"/>
          <w:color w:val="auto"/>
        </w:rPr>
      </w:pPr>
      <w:r>
        <w:rPr>
          <w:rFonts w:ascii="Arial" w:cs="Arial" w:eastAsia="Arial" w:hAnsi="Arial"/>
          <w:sz w:val="18"/>
          <w:szCs w:val="18"/>
          <w:color w:val="auto"/>
        </w:rPr>
        <w:t>2021 as required by the Sarbanes-Oxley Act.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11"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2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 of which this prospectus forms a part, a tax exemption undertaking from the Cayman Islands government that, in accordance with Section 6 of the Tax Concessions Law (2020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1" w:name="page102"/>
    <w:bookmarkEnd w:id="101"/>
    <w:p>
      <w:pPr>
        <w:ind w:left="460" w:right="479" w:firstLine="432"/>
        <w:spacing w:after="0" w:line="289"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85"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9" w:lineRule="exact"/>
        <w:rPr>
          <w:sz w:val="20"/>
          <w:szCs w:val="20"/>
          <w:color w:val="auto"/>
        </w:rPr>
      </w:pPr>
    </w:p>
    <w:p>
      <w:pPr>
        <w:ind w:left="460" w:right="599" w:firstLine="432"/>
        <w:spacing w:after="0" w:line="250"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127"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Age</w:t>
            </w:r>
          </w:p>
        </w:tc>
        <w:tc>
          <w:tcPr>
            <w:tcW w:w="4880" w:type="dxa"/>
            <w:vAlign w:val="bottom"/>
          </w:tcPr>
          <w:p>
            <w:pPr>
              <w:spacing w:after="0"/>
              <w:rPr>
                <w:sz w:val="20"/>
                <w:szCs w:val="20"/>
                <w:color w:val="auto"/>
              </w:rPr>
            </w:pPr>
            <w:r>
              <w:rPr>
                <w:rFonts w:ascii="Arial" w:cs="Arial" w:eastAsia="Arial" w:hAnsi="Arial"/>
                <w:sz w:val="16"/>
                <w:szCs w:val="16"/>
                <w:b w:val="1"/>
                <w:bCs w:val="1"/>
                <w:color w:val="auto"/>
              </w:rPr>
              <w:t>Position</w:t>
            </w:r>
          </w:p>
        </w:tc>
      </w:tr>
      <w:tr>
        <w:trPr>
          <w:trHeight w:val="46"/>
        </w:trPr>
        <w:tc>
          <w:tcPr>
            <w:tcW w:w="2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Scott Leonard</w:t>
            </w:r>
          </w:p>
        </w:tc>
        <w:tc>
          <w:tcPr>
            <w:tcW w:w="1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Scott Honour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Chairman</w:t>
            </w: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David Quiram</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Rick Gaenzle</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84"/>
        </w:trPr>
        <w:tc>
          <w:tcPr>
            <w:tcW w:w="2600" w:type="dxa"/>
            <w:vAlign w:val="bottom"/>
            <w:gridSpan w:val="2"/>
          </w:tcPr>
          <w:p>
            <w:pPr>
              <w:spacing w:after="0"/>
              <w:rPr>
                <w:sz w:val="20"/>
                <w:szCs w:val="20"/>
                <w:color w:val="auto"/>
              </w:rPr>
            </w:pPr>
            <w:r>
              <w:rPr>
                <w:rFonts w:ascii="Arial" w:cs="Arial" w:eastAsia="Arial" w:hAnsi="Arial"/>
                <w:sz w:val="18"/>
                <w:szCs w:val="18"/>
                <w:color w:val="auto"/>
              </w:rPr>
              <w:t>Isaac Barchas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202"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color w:val="auto"/>
        </w:rPr>
        <w:t>Scott Leonard serves as our Chief Executive Officer and on our board of directors. Mr. Leonard has over 15 years of experience leading highly successful business transformations and transitions. Mr. Leonard also has deep expertise over the past 8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 &amp; 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In addition, Mr. Leonard serves as a manager of our sponsor. Mr. Leonard earned a B.S. with Highest Honors from Georgia Tech, and an M.B.A. with Distinction from The Kellogg Graduate School of Management at Northwestern.</w:t>
      </w:r>
    </w:p>
    <w:p>
      <w:pPr>
        <w:spacing w:after="0" w:line="122" w:lineRule="exact"/>
        <w:rPr>
          <w:sz w:val="20"/>
          <w:szCs w:val="20"/>
          <w:color w:val="auto"/>
        </w:rPr>
      </w:pPr>
    </w:p>
    <w:p>
      <w:pPr>
        <w:ind w:left="460" w:right="579" w:firstLine="432"/>
        <w:spacing w:after="0" w:line="283" w:lineRule="auto"/>
        <w:rPr>
          <w:sz w:val="20"/>
          <w:szCs w:val="20"/>
          <w:color w:val="auto"/>
        </w:rPr>
      </w:pPr>
      <w:r>
        <w:rPr>
          <w:rFonts w:ascii="Arial" w:cs="Arial" w:eastAsia="Arial" w:hAnsi="Arial"/>
          <w:sz w:val="16"/>
          <w:szCs w:val="16"/>
          <w:color w:val="auto"/>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(“NPG”), a private equity firm, which he co-founded in 2012. Prior to that, Mr. Honour was at The Gores Group, a Los Angeles based private equity firm, for 10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 numerous public and private companies including Solar Spectrum Holdings LLC, Anthem Sports &amp; Entertainment Inc., 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Choice Delivery, LLC, United Language Group, Inc., Renters Warehouse LLC, Real Dolmen (REM:BB) and Westwood One, Inc. (formerly Nasdaq: WWON), and is a co-founder of Titan CNG LLC and YapStone Inc. In addition, Mr. Honour serves as a manager of our sponsor. Mr. Honour earned a B.S. and B.A., </w:t>
      </w:r>
      <w:r>
        <w:rPr>
          <w:rFonts w:ascii="Arial" w:cs="Arial" w:eastAsia="Arial" w:hAnsi="Arial"/>
          <w:sz w:val="16"/>
          <w:szCs w:val="16"/>
          <w:i w:val="1"/>
          <w:iCs w:val="1"/>
          <w:color w:val="auto"/>
        </w:rPr>
        <w:t>cum laude</w:t>
      </w:r>
      <w:r>
        <w:rPr>
          <w:rFonts w:ascii="Arial" w:cs="Arial" w:eastAsia="Arial" w:hAnsi="Arial"/>
          <w:sz w:val="16"/>
          <w:szCs w:val="16"/>
          <w:color w:val="auto"/>
        </w:rPr>
        <w:t>, in Business Administration and Economics from Pepperdine University and an M.B.A. in Finance and Marketing from the Wharton School of the University of Pennsylvania.</w:t>
      </w:r>
    </w:p>
    <w:p>
      <w:pPr>
        <w:spacing w:after="0" w:line="106"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 pricing and hedging for TXU Energy’s retail portfolio. Dr. Quiram began his career at McKinsey &amp; Co where he</w:t>
      </w:r>
    </w:p>
    <w:p>
      <w:pPr>
        <w:sectPr>
          <w:pgSz w:w="11900" w:h="16838" w:orient="portrait"/>
          <w:cols w:equalWidth="0" w:num="1">
            <w:col w:w="9019"/>
          </w:cols>
          <w:pgMar w:left="1440" w:top="337" w:right="1440" w:bottom="1440" w:gutter="0" w:footer="0" w:header="0"/>
        </w:sectPr>
      </w:pP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3" w:name="page104"/>
    <w:bookmarkEnd w:id="103"/>
    <w:p>
      <w:pPr>
        <w:ind w:left="460" w:right="619"/>
        <w:spacing w:after="0" w:line="259" w:lineRule="auto"/>
        <w:rPr>
          <w:sz w:val="20"/>
          <w:szCs w:val="20"/>
          <w:color w:val="auto"/>
        </w:rPr>
      </w:pPr>
      <w:r>
        <w:rPr>
          <w:rFonts w:ascii="Arial" w:cs="Arial" w:eastAsia="Arial" w:hAnsi="Arial"/>
          <w:sz w:val="18"/>
          <w:szCs w:val="18"/>
          <w:color w:val="auto"/>
        </w:rPr>
        <w:t>worked as an Engagement Manager from 2001 until 2005, and as a Research Scientist at DuPont (NYSE: DD) from 1998 to 2001. Dr. Quiram earned a B.S. in Chemical Engineering with Highest Distinction from the University of Virginia, and an M.S. and Ph.D. in Chemical Engineering from the Massachusetts Institute of Technology.</w:t>
      </w:r>
    </w:p>
    <w:p>
      <w:pPr>
        <w:spacing w:after="0" w:line="106"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Rick Gaenzle has agreed to serve on our board of directors. Mr. Gaenzle has over 30 years of private equity investment and corporate finance experience; he is the founder and currently serves as a Managing Director of Gilbert Global Equity Capital, L.L.C., the principal investment advisor to Gilbert Global Equity Partners, L.P. and related entities, a $1.2 billion leveraged buyout and private equity fund. Mr. Gaenzle has spent the last twenty-eight years at Gilbert Global and its predecessor entity, completing over 110 direct equity investments, co-investments and add-on acquisitions for portfolio companies. Previously, Mr. Gaenzle was a Principal of Soros Capital L.P., the principal venture capital and leveraged equity entity of the Quantum Group of Funds and a principal advisor to Quantum Industrial Holdings Ltd. Prior to joining Soros Capital, Mr. Gaenzle held various positions at PaineWebber Inc. Mr. Gaenzle currently serves as a Senior Advisor to Impact Delta, an impact-investing and impact-measurement advisory firm; an Operating Partner of NPG; and Chairman of Lake Street Homes, a single-family rental investment vehicle. Mr. Gaenzle holds a B.A. from Hartwick College and an M.B.A. from Fordham University.</w:t>
      </w:r>
    </w:p>
    <w:p>
      <w:pPr>
        <w:spacing w:after="0" w:line="111"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Isaac Barchas has agreed to serve on our board of directors. Mr. Barchas is the President and Chief Executive Officer of Research Bridge Partners (“RBP”), a socially-driven investment company, which he founded in 2016. RBP uses both concessionary and nonconcessionary investment to create startup companies based on university research and advance those companies into the venture capital markets. Prior to founding RBP, Mr. Barchas led the Austin Technology Incubator (“ATI”) at The University of Texas at Austin from 2006 to 2016. ATI’s Clean Energy Incubator was the first university clean tech incubation program in the United States. During Mr. Barchas’ leadership, ATI companies raised over $1 billion in the capital markets. Mr. Barchas joined the university from McKinsey &amp; Co., where he worked in the Chicago, Sydney, Auckland, and Dallas offices, from 1996 to 2006 and served on the leadership teams of McKinsey’s North American Healthcare Practice and Global Organization Practice. Mr. Barchas has served on multiple private company boards and on philanthropic boards including Pecan Street Inc., the largest analytically-focused clean energy and climate data consortium in the United States, where he was a founding board member. Mr. Barchas earned a J.D. (honors) and M.A. (Century Fellowship) from The University of Chicago. He received an A.B. from Stanford University (honors and Phi Beta Kappa).</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62" w:lineRule="exact"/>
        <w:rPr>
          <w:sz w:val="20"/>
          <w:szCs w:val="20"/>
          <w:color w:val="auto"/>
        </w:rPr>
      </w:pPr>
    </w:p>
    <w:p>
      <w:pPr>
        <w:ind w:left="460" w:right="539" w:firstLine="432"/>
        <w:spacing w:after="0" w:line="284" w:lineRule="auto"/>
        <w:rPr>
          <w:sz w:val="20"/>
          <w:szCs w:val="20"/>
          <w:color w:val="auto"/>
        </w:rPr>
      </w:pPr>
      <w:r>
        <w:rPr>
          <w:rFonts w:ascii="Arial" w:cs="Arial" w:eastAsia="Arial" w:hAnsi="Arial"/>
          <w:sz w:val="16"/>
          <w:szCs w:val="16"/>
          <w:color w:val="auto"/>
        </w:rPr>
        <w:t>Our board of directors is divided into three classes, with only one class of directors being elected in each year, and with each class (except for those directors appointed prior to our first annual meeting of shareholders) serving a three-year term. In accordance with the NYSE corporate governance requirements, we are not required to hold an annual meeting until one year after our first fiscal year end following our listing on the NYSE. The term of office of the first class of directors, consisting of Rick Gaenzle, will expire at our first annual meeting of shareholders. The term of office of the second class of directors, consisting of Isaac Barchas</w:t>
      </w:r>
    </w:p>
    <w:p>
      <w:pPr>
        <w:spacing w:after="0" w:line="4" w:lineRule="exact"/>
        <w:rPr>
          <w:sz w:val="20"/>
          <w:szCs w:val="20"/>
          <w:color w:val="auto"/>
        </w:rPr>
      </w:pPr>
    </w:p>
    <w:p>
      <w:pPr>
        <w:ind w:left="460" w:right="799"/>
        <w:spacing w:after="0" w:line="255" w:lineRule="auto"/>
        <w:rPr>
          <w:sz w:val="20"/>
          <w:szCs w:val="20"/>
          <w:color w:val="auto"/>
        </w:rPr>
      </w:pPr>
      <w:r>
        <w:rPr>
          <w:rFonts w:ascii="Arial" w:cs="Arial" w:eastAsia="Arial" w:hAnsi="Arial"/>
          <w:sz w:val="18"/>
          <w:szCs w:val="18"/>
          <w:color w:val="auto"/>
        </w:rPr>
        <w:t>and , will expire at our second annual meeting of shareholders. The term of office of the third class of directors, consisting of Scott Leonard and Scott Honour, will expire at our third annual meeting of shareholders.</w:t>
      </w:r>
    </w:p>
    <w:p>
      <w:pPr>
        <w:spacing w:after="0" w:line="109"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19"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19" w:lineRule="exact"/>
        <w:rPr>
          <w:sz w:val="20"/>
          <w:szCs w:val="20"/>
          <w:color w:val="auto"/>
        </w:rPr>
      </w:pPr>
    </w:p>
    <w:p>
      <w:pPr>
        <w:ind w:left="460" w:right="539" w:firstLine="432"/>
        <w:spacing w:after="0" w:line="293" w:lineRule="auto"/>
        <w:rPr>
          <w:sz w:val="20"/>
          <w:szCs w:val="20"/>
          <w:color w:val="auto"/>
        </w:rPr>
      </w:pPr>
      <w:r>
        <w:rPr>
          <w:rFonts w:ascii="Arial" w:cs="Arial" w:eastAsia="Arial" w:hAnsi="Arial"/>
          <w:sz w:val="16"/>
          <w:szCs w:val="16"/>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one or more chairman of the board, chief executive officer, president, chief financial officer, vice presidents, secretary, treasurer and such other offices as may be determined by the board of directors.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4" w:name="page105"/>
    <w:bookmarkEnd w:id="104"/>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NYSE listing standards require that a majority of our board of directors be independent. Our board of</w:t>
      </w:r>
    </w:p>
    <w:p>
      <w:pPr>
        <w:spacing w:after="0" w:line="35" w:lineRule="exact"/>
        <w:rPr>
          <w:sz w:val="20"/>
          <w:szCs w:val="20"/>
          <w:color w:val="auto"/>
        </w:rPr>
      </w:pPr>
    </w:p>
    <w:p>
      <w:pPr>
        <w:ind w:left="460" w:right="639"/>
        <w:spacing w:after="0" w:line="255" w:lineRule="auto"/>
        <w:rPr>
          <w:sz w:val="20"/>
          <w:szCs w:val="20"/>
          <w:color w:val="auto"/>
        </w:rPr>
      </w:pPr>
      <w:r>
        <w:rPr>
          <w:rFonts w:ascii="Arial" w:cs="Arial" w:eastAsia="Arial" w:hAnsi="Arial"/>
          <w:sz w:val="18"/>
          <w:szCs w:val="18"/>
          <w:color w:val="auto"/>
        </w:rPr>
        <w:t>directors has determined that Rick Gaenzle, Isaac Barchas and are “independent directors” as defined in the NYSE listing standards. Our independent directors will have regularly scheduled meetings at which only independent directors are present.</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4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None of our executive officers or directors have received any cash compensation for services rendered to us. Commencing on the date that our securities are first listed on the NYSE through the earlier of consummation of our initial business combination and our liquidation, we will reimburse an affiliate of our sponsor for office space, secretarial and administrative services provided to us in the amount of $10,000 per month.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using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1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14" w:lineRule="exact"/>
        <w:rPr>
          <w:sz w:val="20"/>
          <w:szCs w:val="20"/>
          <w:color w:val="auto"/>
        </w:rPr>
      </w:pPr>
    </w:p>
    <w:p>
      <w:pPr>
        <w:ind w:left="460" w:right="639" w:firstLine="432"/>
        <w:spacing w:after="0" w:line="289" w:lineRule="auto"/>
        <w:rPr>
          <w:sz w:val="20"/>
          <w:szCs w:val="20"/>
          <w:color w:val="auto"/>
        </w:rPr>
      </w:pPr>
      <w:r>
        <w:rPr>
          <w:rFonts w:ascii="Arial" w:cs="Arial" w:eastAsia="Arial" w:hAnsi="Arial"/>
          <w:sz w:val="16"/>
          <w:szCs w:val="16"/>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48"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Upon the effectiveness of the registration statement of which this prospectus forms a part, our board of directors will have three standing committees: an audit committee, a nominating committee and a compensation committee. Subject to phase-in rules and a limited exception, the rules of the NYSE and Rule 10A-3 of the Exchange Act require that the audit committee of a listed company be comprised solely of independent directors. Subject to phase-in rules and a limited exception, the rules of the NYSE require that the compensation committee and the nominating committee of a listed company be comprised solely of independent directors.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5" w:name="page106"/>
    <w:bookmarkEnd w:id="105"/>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Upon the effectiveness of the registration statement of which this prospectus forms a part, we will</w:t>
      </w:r>
    </w:p>
    <w:p>
      <w:pPr>
        <w:spacing w:after="0" w:line="35" w:lineRule="exact"/>
        <w:rPr>
          <w:sz w:val="20"/>
          <w:szCs w:val="20"/>
          <w:color w:val="auto"/>
        </w:rPr>
      </w:pPr>
    </w:p>
    <w:p>
      <w:pPr>
        <w:ind w:left="460"/>
        <w:spacing w:after="0"/>
        <w:tabs>
          <w:tab w:leader="none" w:pos="7220" w:val="left"/>
        </w:tabs>
        <w:rPr>
          <w:sz w:val="20"/>
          <w:szCs w:val="20"/>
          <w:color w:val="auto"/>
        </w:rPr>
      </w:pPr>
      <w:r>
        <w:rPr>
          <w:rFonts w:ascii="Arial" w:cs="Arial" w:eastAsia="Arial" w:hAnsi="Arial"/>
          <w:sz w:val="18"/>
          <w:szCs w:val="18"/>
          <w:color w:val="auto"/>
        </w:rPr>
        <w:t>establish an audit committee of the board of directors. Rick Gaenzle, Isaac Barchas and</w:t>
      </w:r>
      <w:r>
        <w:rPr>
          <w:sz w:val="20"/>
          <w:szCs w:val="20"/>
          <w:color w:val="auto"/>
        </w:rPr>
        <w:tab/>
      </w:r>
      <w:r>
        <w:rPr>
          <w:rFonts w:ascii="Arial" w:cs="Arial" w:eastAsia="Arial" w:hAnsi="Arial"/>
          <w:sz w:val="16"/>
          <w:szCs w:val="16"/>
          <w:color w:val="auto"/>
        </w:rPr>
        <w:t>will serve as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members of our audit committee. Our board of directors has determined that each of Rick Gaenzle, Isaac</w:t>
      </w:r>
    </w:p>
    <w:p>
      <w:pPr>
        <w:spacing w:after="0" w:line="21" w:lineRule="exact"/>
        <w:rPr>
          <w:sz w:val="20"/>
          <w:szCs w:val="20"/>
          <w:color w:val="auto"/>
        </w:rPr>
      </w:pPr>
    </w:p>
    <w:p>
      <w:pPr>
        <w:ind w:left="460"/>
        <w:spacing w:after="0"/>
        <w:tabs>
          <w:tab w:leader="none" w:pos="1820" w:val="left"/>
        </w:tabs>
        <w:rPr>
          <w:sz w:val="20"/>
          <w:szCs w:val="20"/>
          <w:color w:val="auto"/>
        </w:rPr>
      </w:pPr>
      <w:r>
        <w:rPr>
          <w:rFonts w:ascii="Arial" w:cs="Arial" w:eastAsia="Arial" w:hAnsi="Arial"/>
          <w:sz w:val="18"/>
          <w:szCs w:val="18"/>
          <w:color w:val="auto"/>
        </w:rPr>
        <w:t>Barchas and</w:t>
      </w:r>
      <w:r>
        <w:rPr>
          <w:sz w:val="20"/>
          <w:szCs w:val="20"/>
          <w:color w:val="auto"/>
        </w:rPr>
        <w:tab/>
      </w:r>
      <w:r>
        <w:rPr>
          <w:rFonts w:ascii="Arial" w:cs="Arial" w:eastAsia="Arial" w:hAnsi="Arial"/>
          <w:sz w:val="16"/>
          <w:szCs w:val="16"/>
          <w:color w:val="auto"/>
        </w:rPr>
        <w:t>are independent under the NYSE listing standards and applicable SEC rules. Rick Gaenzle</w:t>
      </w:r>
    </w:p>
    <w:p>
      <w:pPr>
        <w:spacing w:after="0" w:line="9" w:lineRule="exact"/>
        <w:rPr>
          <w:sz w:val="20"/>
          <w:szCs w:val="20"/>
          <w:color w:val="auto"/>
        </w:rPr>
      </w:pPr>
    </w:p>
    <w:p>
      <w:pPr>
        <w:ind w:left="460" w:right="519"/>
        <w:spacing w:after="0" w:line="255" w:lineRule="auto"/>
        <w:rPr>
          <w:sz w:val="20"/>
          <w:szCs w:val="20"/>
          <w:color w:val="auto"/>
        </w:rPr>
      </w:pPr>
      <w:r>
        <w:rPr>
          <w:rFonts w:ascii="Arial" w:cs="Arial" w:eastAsia="Arial" w:hAnsi="Arial"/>
          <w:sz w:val="18"/>
          <w:szCs w:val="18"/>
          <w:color w:val="auto"/>
        </w:rPr>
        <w:t>will serve as the Chairman of the audit committee. Each member of the audit committee is financially literate and our board of directors has determined that Rick Gaenzle qualifies as an “audit committee financial expert” as defined in applicable SEC rules.</w:t>
      </w:r>
    </w:p>
    <w:p>
      <w:pPr>
        <w:spacing w:after="0" w:line="10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audit committee is responsible for:</w:t>
      </w:r>
    </w:p>
    <w:p>
      <w:pPr>
        <w:spacing w:after="0" w:line="158" w:lineRule="exact"/>
        <w:rPr>
          <w:sz w:val="20"/>
          <w:szCs w:val="20"/>
          <w:color w:val="auto"/>
        </w:rPr>
      </w:pPr>
    </w:p>
    <w:p>
      <w:pPr>
        <w:ind w:left="1320" w:right="879" w:hanging="434"/>
        <w:spacing w:after="0" w:line="277" w:lineRule="auto"/>
        <w:tabs>
          <w:tab w:leader="none" w:pos="13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monitoring the independence of the independent registered public accounting firm;</w:t>
      </w:r>
    </w:p>
    <w:p>
      <w:pPr>
        <w:spacing w:after="0" w:line="144" w:lineRule="exact"/>
        <w:rPr>
          <w:rFonts w:ascii="Arial" w:cs="Arial" w:eastAsia="Arial" w:hAnsi="Arial"/>
          <w:sz w:val="18"/>
          <w:szCs w:val="18"/>
          <w:color w:val="auto"/>
        </w:rPr>
      </w:pPr>
    </w:p>
    <w:p>
      <w:pPr>
        <w:ind w:left="1320" w:right="719" w:hanging="434"/>
        <w:spacing w:after="0" w:line="308" w:lineRule="auto"/>
        <w:tabs>
          <w:tab w:leader="none" w:pos="1311" w:val="left"/>
        </w:tabs>
        <w:numPr>
          <w:ilvl w:val="0"/>
          <w:numId w:val="49"/>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69" w:lineRule="exact"/>
        <w:rPr>
          <w:rFonts w:ascii="Arial" w:cs="Arial" w:eastAsia="Arial" w:hAnsi="Arial"/>
          <w:sz w:val="17"/>
          <w:szCs w:val="17"/>
          <w:color w:val="auto"/>
        </w:rPr>
      </w:pPr>
    </w:p>
    <w:p>
      <w:pPr>
        <w:ind w:left="1320" w:right="779" w:hanging="434"/>
        <w:spacing w:after="0" w:line="263" w:lineRule="auto"/>
        <w:tabs>
          <w:tab w:leader="none" w:pos="13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appointing or replacing the independent registered public accounting firm;</w:t>
      </w:r>
    </w:p>
    <w:p>
      <w:pPr>
        <w:spacing w:after="0" w:line="157" w:lineRule="exact"/>
        <w:rPr>
          <w:rFonts w:ascii="Arial" w:cs="Arial" w:eastAsia="Arial" w:hAnsi="Arial"/>
          <w:sz w:val="18"/>
          <w:szCs w:val="18"/>
          <w:color w:val="auto"/>
        </w:rPr>
      </w:pPr>
    </w:p>
    <w:p>
      <w:pPr>
        <w:ind w:left="1320" w:right="639" w:hanging="434"/>
        <w:spacing w:after="0" w:line="259" w:lineRule="auto"/>
        <w:tabs>
          <w:tab w:leader="none" w:pos="13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119" w:lineRule="exact"/>
        <w:rPr>
          <w:rFonts w:ascii="Arial" w:cs="Arial" w:eastAsia="Arial" w:hAnsi="Arial"/>
          <w:sz w:val="18"/>
          <w:szCs w:val="18"/>
          <w:color w:val="auto"/>
        </w:rPr>
      </w:pPr>
    </w:p>
    <w:p>
      <w:pPr>
        <w:ind w:left="1320" w:right="619" w:hanging="434"/>
        <w:spacing w:after="0" w:line="263" w:lineRule="auto"/>
        <w:tabs>
          <w:tab w:leader="none" w:pos="13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102"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116" w:lineRule="exact"/>
        <w:rPr>
          <w:rFonts w:ascii="Arial" w:cs="Arial" w:eastAsia="Arial" w:hAnsi="Arial"/>
          <w:sz w:val="18"/>
          <w:szCs w:val="18"/>
          <w:color w:val="auto"/>
        </w:rPr>
      </w:pPr>
    </w:p>
    <w:p>
      <w:pPr>
        <w:ind w:left="1320" w:right="479" w:hanging="434"/>
        <w:spacing w:after="0" w:line="259" w:lineRule="auto"/>
        <w:tabs>
          <w:tab w:leader="none" w:pos="1311"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Committee</w:t>
      </w:r>
    </w:p>
    <w:p>
      <w:pPr>
        <w:spacing w:after="0" w:line="158"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Upon the effectiveness of the registration statement of which this prospectus forms a part, we will establish a nominating committee of our board of directors. The members of our nominating committee will be</w:t>
      </w:r>
    </w:p>
    <w:p>
      <w:pPr>
        <w:ind w:left="460" w:right="919"/>
        <w:spacing w:after="0" w:line="281" w:lineRule="auto"/>
        <w:rPr>
          <w:sz w:val="20"/>
          <w:szCs w:val="20"/>
          <w:color w:val="auto"/>
        </w:rPr>
      </w:pPr>
      <w:r>
        <w:rPr>
          <w:rFonts w:ascii="Arial" w:cs="Arial" w:eastAsia="Arial" w:hAnsi="Arial"/>
          <w:sz w:val="16"/>
          <w:szCs w:val="16"/>
          <w:color w:val="auto"/>
        </w:rPr>
        <w:t>Rick Gaenzle, Isaac Barchas and , and Isaac Barchas will serve as chairman of the nominating committee. Under the NYSE listing standards, we are required to have a nominating committee composed entirely of independent directors. Our board of directors has determined that each of Rick Gaenzle, Isaac</w:t>
      </w:r>
    </w:p>
    <w:p>
      <w:pPr>
        <w:spacing w:after="0" w:line="2" w:lineRule="exact"/>
        <w:rPr>
          <w:sz w:val="20"/>
          <w:szCs w:val="20"/>
          <w:color w:val="auto"/>
        </w:rPr>
      </w:pPr>
    </w:p>
    <w:p>
      <w:pPr>
        <w:ind w:left="460"/>
        <w:spacing w:after="0"/>
        <w:tabs>
          <w:tab w:leader="none" w:pos="1820" w:val="left"/>
        </w:tabs>
        <w:rPr>
          <w:sz w:val="20"/>
          <w:szCs w:val="20"/>
          <w:color w:val="auto"/>
        </w:rPr>
      </w:pPr>
      <w:r>
        <w:rPr>
          <w:rFonts w:ascii="Arial" w:cs="Arial" w:eastAsia="Arial" w:hAnsi="Arial"/>
          <w:sz w:val="18"/>
          <w:szCs w:val="18"/>
          <w:color w:val="auto"/>
        </w:rPr>
        <w:t>Barchas and</w:t>
      </w:r>
      <w:r>
        <w:rPr>
          <w:sz w:val="20"/>
          <w:szCs w:val="20"/>
          <w:color w:val="auto"/>
        </w:rPr>
        <w:tab/>
      </w:r>
      <w:r>
        <w:rPr>
          <w:rFonts w:ascii="Arial" w:cs="Arial" w:eastAsia="Arial" w:hAnsi="Arial"/>
          <w:sz w:val="15"/>
          <w:szCs w:val="15"/>
          <w:color w:val="auto"/>
        </w:rPr>
        <w:t>are independent.</w:t>
      </w:r>
    </w:p>
    <w:p>
      <w:pPr>
        <w:spacing w:after="0" w:line="130" w:lineRule="exact"/>
        <w:rPr>
          <w:sz w:val="20"/>
          <w:szCs w:val="20"/>
          <w:color w:val="auto"/>
        </w:rPr>
      </w:pPr>
    </w:p>
    <w:p>
      <w:pPr>
        <w:jc w:val="both"/>
        <w:ind w:left="460" w:right="479" w:firstLine="432"/>
        <w:spacing w:after="0" w:line="263" w:lineRule="auto"/>
        <w:rPr>
          <w:sz w:val="20"/>
          <w:szCs w:val="20"/>
          <w:color w:val="auto"/>
        </w:rPr>
      </w:pPr>
      <w:r>
        <w:rPr>
          <w:rFonts w:ascii="Arial" w:cs="Arial" w:eastAsia="Arial" w:hAnsi="Arial"/>
          <w:sz w:val="18"/>
          <w:szCs w:val="18"/>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Guidelines for Selecting Director Nominees</w:t>
      </w:r>
    </w:p>
    <w:p>
      <w:pPr>
        <w:spacing w:after="0" w:line="158"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guidelines for selecting nominees, which will be specified in a charter to be adopted by us, generally will provide that persons to be nominated:</w:t>
      </w:r>
    </w:p>
    <w:p>
      <w:pPr>
        <w:spacing w:after="0" w:line="103" w:lineRule="exact"/>
        <w:rPr>
          <w:sz w:val="20"/>
          <w:szCs w:val="20"/>
          <w:color w:val="auto"/>
        </w:rPr>
      </w:pPr>
    </w:p>
    <w:p>
      <w:pPr>
        <w:ind w:left="1320" w:right="919" w:hanging="434"/>
        <w:spacing w:after="0" w:line="277" w:lineRule="auto"/>
        <w:tabs>
          <w:tab w:leader="none" w:pos="1311" w:val="left"/>
        </w:tabs>
        <w:numPr>
          <w:ilvl w:val="0"/>
          <w:numId w:val="50"/>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ectPr>
          <w:pgSz w:w="11900" w:h="16838" w:orient="portrait"/>
          <w:cols w:equalWidth="0" w:num="1">
            <w:col w:w="9019"/>
          </w:cols>
          <w:pgMar w:left="1440" w:top="341"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type w:val="continuous"/>
        </w:sectPr>
      </w:pPr>
    </w:p>
    <w:bookmarkStart w:id="106" w:name="page107"/>
    <w:bookmarkEnd w:id="106"/>
    <w:p>
      <w:pPr>
        <w:ind w:left="1320" w:right="1279" w:hanging="434"/>
        <w:spacing w:after="0" w:line="263"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shareholders.</w:t>
      </w:r>
    </w:p>
    <w:p>
      <w:pPr>
        <w:spacing w:after="0" w:line="103"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158" w:lineRule="exact"/>
        <w:rPr>
          <w:sz w:val="20"/>
          <w:szCs w:val="20"/>
          <w:color w:val="auto"/>
        </w:rPr>
      </w:pPr>
    </w:p>
    <w:p>
      <w:pPr>
        <w:ind w:left="460" w:right="619" w:firstLine="432"/>
        <w:spacing w:after="0" w:line="311" w:lineRule="auto"/>
        <w:rPr>
          <w:sz w:val="20"/>
          <w:szCs w:val="20"/>
          <w:color w:val="auto"/>
        </w:rPr>
      </w:pPr>
      <w:r>
        <w:rPr>
          <w:rFonts w:ascii="Arial" w:cs="Arial" w:eastAsia="Arial" w:hAnsi="Arial"/>
          <w:sz w:val="16"/>
          <w:szCs w:val="16"/>
          <w:color w:val="auto"/>
        </w:rPr>
        <w:t>Upon the effectiveness of the registration statement of which this prospectus forms a part, we will establish a compensation committee of our board of directors. The members of our compensation committee will be Rick Gaenzle, Isaac Barchas and , and will serve as chairman of the compensation committee.</w:t>
      </w:r>
    </w:p>
    <w:p>
      <w:pPr>
        <w:spacing w:after="0" w:line="68"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Under the NYSE listing standards, we are required to have a compensation committee composed entirely of independent directors. Our board of directors has determined that each of Rick Gaenzle, Isaac Barchas and are independent. We will adopt a compensation committee charter, which will detail the principal functions of the compensation committee, including:</w:t>
      </w:r>
    </w:p>
    <w:p>
      <w:pPr>
        <w:spacing w:after="0" w:line="119" w:lineRule="exact"/>
        <w:rPr>
          <w:sz w:val="20"/>
          <w:szCs w:val="20"/>
          <w:color w:val="auto"/>
        </w:rPr>
      </w:pPr>
    </w:p>
    <w:p>
      <w:pPr>
        <w:ind w:left="1320" w:right="519" w:hanging="434"/>
        <w:spacing w:after="0" w:line="259"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69" w:lineRule="exact"/>
        <w:rPr>
          <w:rFonts w:ascii="Arial" w:cs="Arial" w:eastAsia="Arial" w:hAnsi="Arial"/>
          <w:sz w:val="17"/>
          <w:szCs w:val="17"/>
          <w:color w:val="auto"/>
        </w:rPr>
      </w:pPr>
    </w:p>
    <w:p>
      <w:pPr>
        <w:ind w:left="1320" w:right="1199" w:hanging="434"/>
        <w:spacing w:after="0" w:line="277"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89"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producing a report on executive compensation to be included in our annual proxy statement; and</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52"/>
        </w:numPr>
        <w:rPr>
          <w:rFonts w:ascii="Arial" w:cs="Arial" w:eastAsia="Arial" w:hAnsi="Arial"/>
          <w:sz w:val="16"/>
          <w:szCs w:val="16"/>
          <w:color w:val="auto"/>
        </w:rPr>
      </w:pPr>
      <w:r>
        <w:rPr>
          <w:rFonts w:ascii="Arial" w:cs="Arial" w:eastAsia="Arial" w:hAnsi="Arial"/>
          <w:sz w:val="16"/>
          <w:szCs w:val="16"/>
          <w:color w:val="auto"/>
        </w:rPr>
        <w:t>reviewing, evaluating and recommending changes, if appropriate, to the remuneration for directors.</w:t>
      </w:r>
    </w:p>
    <w:p>
      <w:pPr>
        <w:spacing w:after="0" w:line="167"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the NYSE and the SEC.</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58" w:lineRule="exact"/>
        <w:rPr>
          <w:sz w:val="20"/>
          <w:szCs w:val="20"/>
          <w:color w:val="auto"/>
        </w:rPr>
      </w:pPr>
    </w:p>
    <w:p>
      <w:pPr>
        <w:ind w:left="460" w:right="519" w:firstLine="432"/>
        <w:spacing w:after="0" w:line="342" w:lineRule="auto"/>
        <w:rPr>
          <w:sz w:val="20"/>
          <w:szCs w:val="20"/>
          <w:color w:val="auto"/>
        </w:rPr>
      </w:pPr>
      <w:r>
        <w:rPr>
          <w:rFonts w:ascii="Arial" w:cs="Arial" w:eastAsia="Arial" w:hAnsi="Arial"/>
          <w:sz w:val="16"/>
          <w:szCs w:val="16"/>
          <w:color w:val="auto"/>
        </w:rPr>
        <w:t>None of our executive officers currently serves, and in the past year has not served, as a member of the compensation committee of any entity that has one or more executive officers serving on our board of directors.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have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ectPr>
          <w:pgSz w:w="11900" w:h="16838" w:orient="portrait"/>
          <w:cols w:equalWidth="0" w:num="1">
            <w:col w:w="9019"/>
          </w:cols>
          <w:pgMar w:left="1440" w:top="274" w:right="1440" w:bottom="1440" w:gutter="0" w:footer="0" w:header="0"/>
        </w:sectPr>
      </w:pP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7" w:name="page108"/>
    <w:bookmarkEnd w:id="107"/>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144" w:lineRule="exact"/>
        <w:rPr>
          <w:sz w:val="20"/>
          <w:szCs w:val="20"/>
          <w:color w:val="auto"/>
        </w:rPr>
      </w:pPr>
    </w:p>
    <w:p>
      <w:pPr>
        <w:ind w:left="1320" w:right="899" w:hanging="434"/>
        <w:spacing w:after="0" w:line="277"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102" w:lineRule="exact"/>
        <w:rPr>
          <w:rFonts w:ascii="Arial" w:cs="Arial" w:eastAsia="Arial" w:hAnsi="Arial"/>
          <w:sz w:val="18"/>
          <w:szCs w:val="18"/>
          <w:color w:val="auto"/>
        </w:rPr>
      </w:pPr>
    </w:p>
    <w:p>
      <w:pPr>
        <w:ind w:left="1320" w:right="979" w:hanging="434"/>
        <w:spacing w:after="0" w:line="277"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157"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duty not to put themselves in a position in which there is a conflict between their duty to the company and their personal interests;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144"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90"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125"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00" w:lineRule="exact"/>
        <w:rPr>
          <w:sz w:val="20"/>
          <w:szCs w:val="20"/>
          <w:color w:val="auto"/>
        </w:rPr>
      </w:pPr>
    </w:p>
    <w:p>
      <w:pPr>
        <w:ind w:left="460" w:right="819" w:firstLine="432"/>
        <w:spacing w:after="0" w:line="308" w:lineRule="auto"/>
        <w:rPr>
          <w:sz w:val="20"/>
          <w:szCs w:val="20"/>
          <w:color w:val="auto"/>
        </w:rPr>
      </w:pPr>
      <w:r>
        <w:rPr>
          <w:rFonts w:ascii="Arial" w:cs="Arial" w:eastAsia="Arial" w:hAnsi="Arial"/>
          <w:sz w:val="17"/>
          <w:szCs w:val="17"/>
          <w:color w:val="auto"/>
        </w:rPr>
        <w:t>Below is a table summarizing the entities to which our executive officers and directors currently have fiduciary duties, contractual obligations or other material management relationships:</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740" w:type="dxa"/>
            <w:vAlign w:val="bottom"/>
          </w:tcPr>
          <w:p>
            <w:pPr>
              <w:spacing w:after="0"/>
              <w:rPr>
                <w:sz w:val="20"/>
                <w:szCs w:val="20"/>
                <w:color w:val="auto"/>
              </w:rPr>
            </w:pPr>
            <w:r>
              <w:rPr>
                <w:rFonts w:ascii="Arial" w:cs="Arial" w:eastAsia="Arial" w:hAnsi="Arial"/>
                <w:sz w:val="16"/>
                <w:szCs w:val="16"/>
                <w:b w:val="1"/>
                <w:bCs w:val="1"/>
                <w:color w:val="auto"/>
              </w:rPr>
              <w:t>Individual</w:t>
            </w:r>
          </w:p>
        </w:tc>
        <w:tc>
          <w:tcPr>
            <w:tcW w:w="100" w:type="dxa"/>
            <w:vAlign w:val="bottom"/>
          </w:tcPr>
          <w:p>
            <w:pPr>
              <w:spacing w:after="0"/>
              <w:rPr>
                <w:sz w:val="18"/>
                <w:szCs w:val="18"/>
                <w:color w:val="auto"/>
              </w:rPr>
            </w:pPr>
          </w:p>
        </w:tc>
        <w:tc>
          <w:tcPr>
            <w:tcW w:w="3040" w:type="dxa"/>
            <w:vAlign w:val="bottom"/>
            <w:gridSpan w:val="2"/>
          </w:tcPr>
          <w:p>
            <w:pPr>
              <w:ind w:left="1260"/>
              <w:spacing w:after="0"/>
              <w:rPr>
                <w:sz w:val="20"/>
                <w:szCs w:val="20"/>
                <w:color w:val="auto"/>
              </w:rPr>
            </w:pPr>
            <w:r>
              <w:rPr>
                <w:rFonts w:ascii="Arial" w:cs="Arial" w:eastAsia="Arial" w:hAnsi="Arial"/>
                <w:sz w:val="16"/>
                <w:szCs w:val="16"/>
                <w:b w:val="1"/>
                <w:bCs w:val="1"/>
                <w:color w:val="auto"/>
              </w:rPr>
              <w:t>Entity</w:t>
            </w:r>
          </w:p>
        </w:tc>
        <w:tc>
          <w:tcPr>
            <w:tcW w:w="1300" w:type="dxa"/>
            <w:vAlign w:val="bottom"/>
          </w:tcPr>
          <w:p>
            <w:pPr>
              <w:ind w:left="60"/>
              <w:spacing w:after="0"/>
              <w:rPr>
                <w:sz w:val="20"/>
                <w:szCs w:val="20"/>
                <w:color w:val="auto"/>
              </w:rPr>
            </w:pPr>
            <w:r>
              <w:rPr>
                <w:rFonts w:ascii="Arial" w:cs="Arial" w:eastAsia="Arial" w:hAnsi="Arial"/>
                <w:sz w:val="16"/>
                <w:szCs w:val="16"/>
                <w:b w:val="1"/>
                <w:bCs w:val="1"/>
                <w:color w:val="auto"/>
                <w:w w:val="91"/>
              </w:rPr>
              <w:t>Entity’s Business</w:t>
            </w:r>
          </w:p>
        </w:tc>
        <w:tc>
          <w:tcPr>
            <w:tcW w:w="100" w:type="dxa"/>
            <w:vAlign w:val="bottom"/>
          </w:tcPr>
          <w:p>
            <w:pPr>
              <w:spacing w:after="0"/>
              <w:rPr>
                <w:sz w:val="18"/>
                <w:szCs w:val="18"/>
                <w:color w:val="auto"/>
              </w:rPr>
            </w:pPr>
          </w:p>
        </w:tc>
        <w:tc>
          <w:tcPr>
            <w:tcW w:w="1820" w:type="dxa"/>
            <w:vAlign w:val="bottom"/>
          </w:tcPr>
          <w:p>
            <w:pPr>
              <w:ind w:left="540"/>
              <w:spacing w:after="0"/>
              <w:rPr>
                <w:sz w:val="20"/>
                <w:szCs w:val="20"/>
                <w:color w:val="auto"/>
              </w:rPr>
            </w:pPr>
            <w:r>
              <w:rPr>
                <w:rFonts w:ascii="Arial" w:cs="Arial" w:eastAsia="Arial" w:hAnsi="Arial"/>
                <w:sz w:val="16"/>
                <w:szCs w:val="16"/>
                <w:b w:val="1"/>
                <w:bCs w:val="1"/>
                <w:color w:val="auto"/>
              </w:rPr>
              <w:t>Affiliation</w:t>
            </w:r>
          </w:p>
        </w:tc>
        <w:tc>
          <w:tcPr>
            <w:tcW w:w="0" w:type="dxa"/>
            <w:vAlign w:val="bottom"/>
          </w:tcPr>
          <w:p>
            <w:pPr>
              <w:spacing w:after="0"/>
              <w:rPr>
                <w:sz w:val="1"/>
                <w:szCs w:val="1"/>
                <w:color w:val="auto"/>
              </w:rPr>
            </w:pPr>
          </w:p>
        </w:tc>
      </w:tr>
      <w:tr>
        <w:trPr>
          <w:trHeight w:val="47"/>
        </w:trPr>
        <w:tc>
          <w:tcPr>
            <w:tcW w:w="17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20"/>
                <w:szCs w:val="20"/>
                <w:color w:val="auto"/>
              </w:rPr>
            </w:pPr>
            <w:r>
              <w:rPr>
                <w:rFonts w:ascii="Arial" w:cs="Arial" w:eastAsia="Arial" w:hAnsi="Arial"/>
                <w:sz w:val="18"/>
                <w:szCs w:val="18"/>
                <w:color w:val="auto"/>
              </w:rPr>
              <w:t>Scott Leonard</w:t>
            </w:r>
          </w:p>
        </w:tc>
        <w:tc>
          <w:tcPr>
            <w:tcW w:w="100" w:type="dxa"/>
            <w:vAlign w:val="bottom"/>
            <w:vMerge w:val="continue"/>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Lonestar II Generation Holdings</w:t>
            </w:r>
          </w:p>
        </w:tc>
        <w:tc>
          <w:tcPr>
            <w:tcW w:w="100" w:type="dxa"/>
            <w:vAlign w:val="bottom"/>
            <w:vMerge w:val="continue"/>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Energy</w:t>
            </w:r>
          </w:p>
        </w:tc>
        <w:tc>
          <w:tcPr>
            <w:tcW w:w="100" w:type="dxa"/>
            <w:vAlign w:val="bottom"/>
            <w:vMerge w:val="continue"/>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Board Member</w:t>
            </w: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Sustainable Opportunities</w:t>
            </w:r>
          </w:p>
        </w:tc>
        <w:tc>
          <w:tcPr>
            <w:tcW w:w="1300" w:type="dxa"/>
            <w:vAlign w:val="bottom"/>
          </w:tcPr>
          <w:p>
            <w:pPr>
              <w:spacing w:after="0"/>
              <w:rPr>
                <w:sz w:val="20"/>
                <w:szCs w:val="20"/>
                <w:color w:val="auto"/>
              </w:rPr>
            </w:pPr>
            <w:r>
              <w:rPr>
                <w:rFonts w:ascii="Arial" w:cs="Arial" w:eastAsia="Arial" w:hAnsi="Arial"/>
                <w:sz w:val="18"/>
                <w:szCs w:val="18"/>
                <w:color w:val="auto"/>
              </w:rPr>
              <w:t>Holding</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Holdings LLC</w:t>
            </w:r>
          </w:p>
        </w:tc>
        <w:tc>
          <w:tcPr>
            <w:tcW w:w="1300" w:type="dxa"/>
            <w:vAlign w:val="bottom"/>
          </w:tcPr>
          <w:p>
            <w:pPr>
              <w:spacing w:after="0"/>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740" w:type="dxa"/>
            <w:vAlign w:val="bottom"/>
          </w:tcPr>
          <w:p>
            <w:pPr>
              <w:spacing w:after="0"/>
              <w:rPr>
                <w:sz w:val="20"/>
                <w:szCs w:val="20"/>
                <w:color w:val="auto"/>
              </w:rPr>
            </w:pPr>
            <w:r>
              <w:rPr>
                <w:rFonts w:ascii="Arial" w:cs="Arial" w:eastAsia="Arial" w:hAnsi="Arial"/>
                <w:sz w:val="18"/>
                <w:szCs w:val="18"/>
                <w:color w:val="auto"/>
              </w:rPr>
              <w:t>Scott Honour</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Northern Pacific Group</w:t>
            </w:r>
          </w:p>
        </w:tc>
        <w:tc>
          <w:tcPr>
            <w:tcW w:w="1300" w:type="dxa"/>
            <w:vAlign w:val="bottom"/>
          </w:tcPr>
          <w:p>
            <w:pPr>
              <w:spacing w:after="0"/>
              <w:rPr>
                <w:sz w:val="20"/>
                <w:szCs w:val="20"/>
                <w:color w:val="auto"/>
              </w:rPr>
            </w:pPr>
            <w:r>
              <w:rPr>
                <w:rFonts w:ascii="Arial" w:cs="Arial" w:eastAsia="Arial" w:hAnsi="Arial"/>
                <w:sz w:val="18"/>
                <w:szCs w:val="18"/>
                <w:color w:val="auto"/>
              </w:rPr>
              <w:t>Private Equity</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Managing Partner</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2"/>
                <w:szCs w:val="22"/>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EVO Transportation &amp;</w:t>
            </w:r>
          </w:p>
        </w:tc>
        <w:tc>
          <w:tcPr>
            <w:tcW w:w="1300" w:type="dxa"/>
            <w:vAlign w:val="bottom"/>
          </w:tcPr>
          <w:p>
            <w:pPr>
              <w:spacing w:after="0"/>
              <w:rPr>
                <w:sz w:val="20"/>
                <w:szCs w:val="20"/>
                <w:color w:val="auto"/>
              </w:rPr>
            </w:pPr>
            <w:r>
              <w:rPr>
                <w:rFonts w:ascii="Arial" w:cs="Arial" w:eastAsia="Arial" w:hAnsi="Arial"/>
                <w:sz w:val="18"/>
                <w:szCs w:val="18"/>
                <w:color w:val="auto"/>
              </w:rPr>
              <w:t>Transportation</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Board Member</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Energy Services Inc.</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Pr>
          <w:p>
            <w:pPr>
              <w:spacing w:after="0"/>
              <w:rPr>
                <w:sz w:val="21"/>
                <w:szCs w:val="21"/>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Sustainable Opportunities Holdings</w:t>
            </w:r>
          </w:p>
        </w:tc>
        <w:tc>
          <w:tcPr>
            <w:tcW w:w="1300" w:type="dxa"/>
            <w:vAlign w:val="bottom"/>
          </w:tcPr>
          <w:p>
            <w:pPr>
              <w:spacing w:after="0"/>
              <w:rPr>
                <w:sz w:val="20"/>
                <w:szCs w:val="20"/>
                <w:color w:val="auto"/>
              </w:rPr>
            </w:pPr>
            <w:r>
              <w:rPr>
                <w:rFonts w:ascii="Arial" w:cs="Arial" w:eastAsia="Arial" w:hAnsi="Arial"/>
                <w:sz w:val="18"/>
                <w:szCs w:val="18"/>
                <w:color w:val="auto"/>
              </w:rPr>
              <w:t>Holding</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300" w:type="dxa"/>
            <w:vAlign w:val="bottom"/>
          </w:tcPr>
          <w:p>
            <w:pPr>
              <w:spacing w:after="0"/>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740" w:type="dxa"/>
            <w:vAlign w:val="bottom"/>
          </w:tcPr>
          <w:p>
            <w:pPr>
              <w:spacing w:after="0"/>
              <w:rPr>
                <w:sz w:val="20"/>
                <w:szCs w:val="20"/>
                <w:color w:val="auto"/>
              </w:rPr>
            </w:pPr>
            <w:r>
              <w:rPr>
                <w:rFonts w:ascii="Arial" w:cs="Arial" w:eastAsia="Arial" w:hAnsi="Arial"/>
                <w:sz w:val="18"/>
                <w:szCs w:val="18"/>
                <w:color w:val="auto"/>
              </w:rPr>
              <w:t>Rick Gaenzle</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Gilbert Global Equity Capital, L.L.C.</w:t>
            </w:r>
          </w:p>
        </w:tc>
        <w:tc>
          <w:tcPr>
            <w:tcW w:w="1300" w:type="dxa"/>
            <w:vAlign w:val="bottom"/>
          </w:tcPr>
          <w:p>
            <w:pPr>
              <w:spacing w:after="0"/>
              <w:rPr>
                <w:sz w:val="20"/>
                <w:szCs w:val="20"/>
                <w:color w:val="auto"/>
              </w:rPr>
            </w:pPr>
            <w:r>
              <w:rPr>
                <w:rFonts w:ascii="Arial" w:cs="Arial" w:eastAsia="Arial" w:hAnsi="Arial"/>
                <w:sz w:val="18"/>
                <w:szCs w:val="18"/>
                <w:color w:val="auto"/>
              </w:rPr>
              <w:t>Private Equity</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w w:val="96"/>
              </w:rPr>
              <w:t>Founder and Managing</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70"/>
        </w:trPr>
        <w:tc>
          <w:tcPr>
            <w:tcW w:w="1740" w:type="dxa"/>
            <w:vAlign w:val="bottom"/>
          </w:tcPr>
          <w:p>
            <w:pPr>
              <w:spacing w:after="0"/>
              <w:rPr>
                <w:sz w:val="23"/>
                <w:szCs w:val="23"/>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Impact Delta</w:t>
            </w:r>
          </w:p>
        </w:tc>
        <w:tc>
          <w:tcPr>
            <w:tcW w:w="1300" w:type="dxa"/>
            <w:vAlign w:val="bottom"/>
          </w:tcPr>
          <w:p>
            <w:pPr>
              <w:spacing w:after="0"/>
              <w:rPr>
                <w:sz w:val="20"/>
                <w:szCs w:val="20"/>
                <w:color w:val="auto"/>
              </w:rPr>
            </w:pPr>
            <w:r>
              <w:rPr>
                <w:rFonts w:ascii="Arial" w:cs="Arial" w:eastAsia="Arial" w:hAnsi="Arial"/>
                <w:sz w:val="18"/>
                <w:szCs w:val="18"/>
                <w:color w:val="auto"/>
              </w:rPr>
              <w:t>Advisory</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Senior Advisor</w:t>
            </w:r>
          </w:p>
        </w:tc>
        <w:tc>
          <w:tcPr>
            <w:tcW w:w="0" w:type="dxa"/>
            <w:vAlign w:val="bottom"/>
          </w:tcPr>
          <w:p>
            <w:pPr>
              <w:spacing w:after="0"/>
              <w:rPr>
                <w:sz w:val="1"/>
                <w:szCs w:val="1"/>
                <w:color w:val="auto"/>
              </w:rPr>
            </w:pPr>
          </w:p>
        </w:tc>
      </w:tr>
      <w:tr>
        <w:trPr>
          <w:trHeight w:val="283"/>
        </w:trPr>
        <w:tc>
          <w:tcPr>
            <w:tcW w:w="1740" w:type="dxa"/>
            <w:vAlign w:val="bottom"/>
          </w:tcPr>
          <w:p>
            <w:pPr>
              <w:spacing w:after="0"/>
              <w:rPr>
                <w:sz w:val="24"/>
                <w:szCs w:val="24"/>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Northern Pacific Group</w:t>
            </w:r>
          </w:p>
        </w:tc>
        <w:tc>
          <w:tcPr>
            <w:tcW w:w="1300" w:type="dxa"/>
            <w:vAlign w:val="bottom"/>
          </w:tcPr>
          <w:p>
            <w:pPr>
              <w:spacing w:after="0"/>
              <w:rPr>
                <w:sz w:val="20"/>
                <w:szCs w:val="20"/>
                <w:color w:val="auto"/>
              </w:rPr>
            </w:pPr>
            <w:r>
              <w:rPr>
                <w:rFonts w:ascii="Arial" w:cs="Arial" w:eastAsia="Arial" w:hAnsi="Arial"/>
                <w:sz w:val="18"/>
                <w:szCs w:val="18"/>
                <w:color w:val="auto"/>
              </w:rPr>
              <w:t>Private Equity</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Operating Partner</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4"/>
                <w:szCs w:val="24"/>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Lake Street Homes</w:t>
            </w:r>
          </w:p>
        </w:tc>
        <w:tc>
          <w:tcPr>
            <w:tcW w:w="1300" w:type="dxa"/>
            <w:vAlign w:val="bottom"/>
          </w:tcPr>
          <w:p>
            <w:pPr>
              <w:spacing w:after="0"/>
              <w:rPr>
                <w:sz w:val="20"/>
                <w:szCs w:val="20"/>
                <w:color w:val="auto"/>
              </w:rPr>
            </w:pPr>
            <w:r>
              <w:rPr>
                <w:rFonts w:ascii="Arial" w:cs="Arial" w:eastAsia="Arial" w:hAnsi="Arial"/>
                <w:sz w:val="18"/>
                <w:szCs w:val="18"/>
                <w:color w:val="auto"/>
              </w:rPr>
              <w:t>Investment</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445"/>
        </w:trPr>
        <w:tc>
          <w:tcPr>
            <w:tcW w:w="1740" w:type="dxa"/>
            <w:vAlign w:val="bottom"/>
          </w:tcPr>
          <w:p>
            <w:pPr>
              <w:spacing w:after="0"/>
              <w:rPr>
                <w:sz w:val="20"/>
                <w:szCs w:val="20"/>
                <w:color w:val="auto"/>
              </w:rPr>
            </w:pPr>
            <w:r>
              <w:rPr>
                <w:rFonts w:ascii="Arial" w:cs="Arial" w:eastAsia="Arial" w:hAnsi="Arial"/>
                <w:sz w:val="18"/>
                <w:szCs w:val="18"/>
                <w:color w:val="auto"/>
              </w:rPr>
              <w:t>Isaac Barchas</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Research Bridge Partners</w:t>
            </w:r>
          </w:p>
        </w:tc>
        <w:tc>
          <w:tcPr>
            <w:tcW w:w="1300" w:type="dxa"/>
            <w:vAlign w:val="bottom"/>
          </w:tcPr>
          <w:p>
            <w:pPr>
              <w:spacing w:after="0"/>
              <w:rPr>
                <w:sz w:val="20"/>
                <w:szCs w:val="20"/>
                <w:color w:val="auto"/>
              </w:rPr>
            </w:pPr>
            <w:r>
              <w:rPr>
                <w:rFonts w:ascii="Arial" w:cs="Arial" w:eastAsia="Arial" w:hAnsi="Arial"/>
                <w:sz w:val="18"/>
                <w:szCs w:val="18"/>
                <w:color w:val="auto"/>
              </w:rPr>
              <w:t>Investment</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President and Chief</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2"/>
                <w:szCs w:val="22"/>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Novosteo, Inc.</w:t>
            </w:r>
          </w:p>
        </w:tc>
        <w:tc>
          <w:tcPr>
            <w:tcW w:w="1300" w:type="dxa"/>
            <w:vAlign w:val="bottom"/>
          </w:tcPr>
          <w:p>
            <w:pPr>
              <w:spacing w:after="0"/>
              <w:rPr>
                <w:sz w:val="20"/>
                <w:szCs w:val="20"/>
                <w:color w:val="auto"/>
              </w:rPr>
            </w:pPr>
            <w:r>
              <w:rPr>
                <w:rFonts w:ascii="Arial" w:cs="Arial" w:eastAsia="Arial" w:hAnsi="Arial"/>
                <w:sz w:val="18"/>
                <w:szCs w:val="18"/>
                <w:color w:val="auto"/>
              </w:rPr>
              <w:t>Pharmaceutical</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Board Member</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4"/>
                <w:szCs w:val="24"/>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MorphImmune, Inc.</w:t>
            </w:r>
          </w:p>
        </w:tc>
        <w:tc>
          <w:tcPr>
            <w:tcW w:w="1300" w:type="dxa"/>
            <w:vAlign w:val="bottom"/>
          </w:tcPr>
          <w:p>
            <w:pPr>
              <w:spacing w:after="0"/>
              <w:rPr>
                <w:sz w:val="20"/>
                <w:szCs w:val="20"/>
                <w:color w:val="auto"/>
              </w:rPr>
            </w:pPr>
            <w:r>
              <w:rPr>
                <w:rFonts w:ascii="Arial" w:cs="Arial" w:eastAsia="Arial" w:hAnsi="Arial"/>
                <w:sz w:val="18"/>
                <w:szCs w:val="18"/>
                <w:color w:val="auto"/>
              </w:rPr>
              <w:t>Pharmaceutical</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Board Member</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337" w:right="1440"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8" w:name="page109"/>
    <w:bookmarkEnd w:id="108"/>
    <w:p>
      <w:pPr>
        <w:ind w:left="88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44" w:lineRule="exact"/>
        <w:rPr>
          <w:sz w:val="20"/>
          <w:szCs w:val="20"/>
          <w:color w:val="auto"/>
        </w:rPr>
      </w:pPr>
    </w:p>
    <w:p>
      <w:pPr>
        <w:ind w:left="1320" w:right="539" w:hanging="434"/>
        <w:spacing w:after="0" w:line="272" w:lineRule="auto"/>
        <w:tabs>
          <w:tab w:leader="none" w:pos="1311" w:val="left"/>
        </w:tabs>
        <w:numPr>
          <w:ilvl w:val="0"/>
          <w:numId w:val="54"/>
        </w:numPr>
        <w:rPr>
          <w:rFonts w:ascii="Arial" w:cs="Arial" w:eastAsia="Arial" w:hAnsi="Arial"/>
          <w:sz w:val="17"/>
          <w:szCs w:val="17"/>
          <w:color w:val="auto"/>
        </w:rPr>
      </w:pPr>
      <w:r>
        <w:rPr>
          <w:rFonts w:ascii="Arial" w:cs="Arial" w:eastAsia="Arial" w:hAnsi="Arial"/>
          <w:sz w:val="17"/>
          <w:szCs w:val="17"/>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09" w:lineRule="exact"/>
        <w:rPr>
          <w:rFonts w:ascii="Arial" w:cs="Arial" w:eastAsia="Arial" w:hAnsi="Arial"/>
          <w:sz w:val="17"/>
          <w:szCs w:val="17"/>
          <w:color w:val="auto"/>
        </w:rPr>
      </w:pPr>
    </w:p>
    <w:p>
      <w:pPr>
        <w:ind w:left="1320" w:right="719" w:hanging="434"/>
        <w:spacing w:after="0" w:line="263" w:lineRule="auto"/>
        <w:tabs>
          <w:tab w:leader="none" w:pos="13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Our sponsor subscribed for founder shares prior to the date of this prospectus and will purchase private placement warrants in a transaction that will close simultaneously with the closing of this offering.</w:t>
      </w:r>
    </w:p>
    <w:p>
      <w:pPr>
        <w:spacing w:after="0" w:line="116" w:lineRule="exact"/>
        <w:rPr>
          <w:rFonts w:ascii="Arial" w:cs="Arial" w:eastAsia="Arial" w:hAnsi="Arial"/>
          <w:sz w:val="18"/>
          <w:szCs w:val="18"/>
          <w:color w:val="auto"/>
        </w:rPr>
      </w:pPr>
    </w:p>
    <w:p>
      <w:pPr>
        <w:ind w:left="1320" w:right="479" w:hanging="434"/>
        <w:spacing w:after="0" w:line="283" w:lineRule="auto"/>
        <w:tabs>
          <w:tab w:leader="none" w:pos="1311"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sponsor and each member of our management team have entered into agreements with us, pursuant to which they have agreed to waive their redemption rights with respect to their founder shares and public shares in connection with (i) the completion of our initial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Additionally, our sponsor has agreed to waive its rights to liquidating distributions from the trust account with respect to its founder shares if we fail to complete our initial business combination within the prescribed time frame. If we do not consummate an initial business combination within the prescribed time frame, the private placement warrants will expire worthless. Except as described herein, our sponsor and our directors and executive officers have agreed not to transfer, assign or sell any of their founder shares until the earliest of (A) one year after the completion of our initial business combination or</w:t>
      </w:r>
    </w:p>
    <w:p>
      <w:pPr>
        <w:spacing w:after="0" w:line="1" w:lineRule="exact"/>
        <w:rPr>
          <w:rFonts w:ascii="Arial" w:cs="Arial" w:eastAsia="Arial" w:hAnsi="Arial"/>
          <w:sz w:val="16"/>
          <w:szCs w:val="16"/>
          <w:color w:val="auto"/>
        </w:rPr>
      </w:pPr>
    </w:p>
    <w:p>
      <w:pPr>
        <w:ind w:left="1320" w:right="499"/>
        <w:spacing w:after="0" w:line="285" w:lineRule="auto"/>
        <w:rPr>
          <w:rFonts w:ascii="Arial" w:cs="Arial" w:eastAsia="Arial" w:hAnsi="Arial"/>
          <w:sz w:val="16"/>
          <w:szCs w:val="16"/>
          <w:color w:val="auto"/>
        </w:rPr>
      </w:pPr>
      <w:r>
        <w:rPr>
          <w:rFonts w:ascii="Arial" w:cs="Arial" w:eastAsia="Arial" w:hAnsi="Arial"/>
          <w:sz w:val="16"/>
          <w:szCs w:val="16"/>
          <w:color w:val="auto"/>
        </w:rPr>
        <w:t>(B)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shareholders having the right to exchange their ordinary shares for cash, securities or other property. The private placement warrants will not be transferable until 30 days following the completion of our initial business combination. Because each of our executive officers and director nominees will own ordinary shares or warrants directly or indirectly, they may have a conflict of interest in determining whether a particular target business is an appropriate business with which to effectuate our initial business combination.</w:t>
      </w:r>
    </w:p>
    <w:p>
      <w:pPr>
        <w:spacing w:after="0" w:line="93" w:lineRule="exact"/>
        <w:rPr>
          <w:rFonts w:ascii="Arial" w:cs="Arial" w:eastAsia="Arial" w:hAnsi="Arial"/>
          <w:sz w:val="16"/>
          <w:szCs w:val="16"/>
          <w:color w:val="auto"/>
        </w:rPr>
      </w:pPr>
    </w:p>
    <w:p>
      <w:pPr>
        <w:ind w:left="1320" w:right="499" w:hanging="434"/>
        <w:spacing w:after="0" w:line="311" w:lineRule="auto"/>
        <w:tabs>
          <w:tab w:leader="none" w:pos="1311" w:val="left"/>
        </w:tabs>
        <w:numPr>
          <w:ilvl w:val="0"/>
          <w:numId w:val="54"/>
        </w:numPr>
        <w:rPr>
          <w:rFonts w:ascii="Arial" w:cs="Arial" w:eastAsia="Arial" w:hAnsi="Arial"/>
          <w:sz w:val="16"/>
          <w:szCs w:val="16"/>
          <w:color w:val="auto"/>
        </w:rPr>
      </w:pPr>
      <w:r>
        <w:rPr>
          <w:rFonts w:ascii="Arial" w:cs="Arial" w:eastAsia="Arial" w:hAnsi="Arial"/>
          <w:sz w:val="16"/>
          <w:szCs w:val="16"/>
          <w:color w:val="auto"/>
        </w:rPr>
        <w:t>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p>
      <w:pPr>
        <w:spacing w:after="0" w:line="81"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making the acquisition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firm which is a member of FINRA or an independent accounting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the NYSE, we will also reimburse an affiliate of our sponsor for office space, secretarial and administrative services provided to us in the amount of $10,000 per month.</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9" w:name="page110"/>
    <w:bookmarkEnd w:id="109"/>
    <w:p>
      <w:pPr>
        <w:ind w:left="460" w:right="579" w:firstLine="432"/>
        <w:spacing w:after="0" w:line="311" w:lineRule="auto"/>
        <w:rPr>
          <w:sz w:val="20"/>
          <w:szCs w:val="20"/>
          <w:color w:val="auto"/>
        </w:rPr>
      </w:pPr>
      <w:r>
        <w:rPr>
          <w:rFonts w:ascii="Arial" w:cs="Arial" w:eastAsia="Arial" w:hAnsi="Arial"/>
          <w:sz w:val="16"/>
          <w:szCs w:val="16"/>
          <w:color w:val="auto"/>
        </w:rPr>
        <w:t>In the event that we submit our initial business combination to our public shareholders for a vote, our sponsor, our Founders and each member of our management team have agreed to vote their founder shares and any public shares purchased during or after this offering in favor of our initial business combination.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48"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27"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27"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11"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62"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84" w:lineRule="exact"/>
        <w:rPr>
          <w:sz w:val="20"/>
          <w:szCs w:val="20"/>
          <w:color w:val="auto"/>
        </w:rPr>
      </w:pPr>
    </w:p>
    <w:p>
      <w:pPr>
        <w:ind w:left="1320" w:right="559" w:hanging="434"/>
        <w:spacing w:after="0" w:line="277" w:lineRule="auto"/>
        <w:tabs>
          <w:tab w:leader="none" w:pos="13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102" w:lineRule="exact"/>
        <w:rPr>
          <w:rFonts w:ascii="Arial" w:cs="Arial" w:eastAsia="Arial" w:hAnsi="Arial"/>
          <w:sz w:val="18"/>
          <w:szCs w:val="18"/>
          <w:color w:val="auto"/>
        </w:rPr>
      </w:pPr>
    </w:p>
    <w:p>
      <w:pPr>
        <w:ind w:left="1320" w:right="919" w:hanging="434"/>
        <w:spacing w:after="0" w:line="277" w:lineRule="auto"/>
        <w:tabs>
          <w:tab w:leader="none" w:pos="13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that beneficially owns ordinary shares;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44"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w:t>
      </w:r>
    </w:p>
    <w:p>
      <w:pPr>
        <w:spacing w:after="0" w:line="11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On December 31, 2019, the sponsor paid $25,000, or approximately $0.003 per share, to cover certain of our offering costs in consideration of 8,625,000 Class B ordinary shares, par value $0.0001. In March 2020, our sponsor transferred 30,000 founder shares to each of our independent directors. These 60,000 shares shall not be subject to forfeiture in the event the underwriter’s over-allotment option is not exercised. Prior to the initial investment in the company of $25,000 by the sponsor, the company had no assets, tangible or intangible. The per share price of the founder shares was determined by dividing the amount contributed to the company by the number of founder shares issued. The post-offering percentages in the following table assume that the underwriter does not exercise its over-allotment option and that there are 37,500,000 ordinary shares issued and outstanding after this offering.</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Approximate Percentage of</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Number of</w:t>
            </w:r>
          </w:p>
        </w:tc>
        <w:tc>
          <w:tcPr>
            <w:tcW w:w="2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Issued and Outstanding</w:t>
            </w:r>
          </w:p>
        </w:tc>
        <w:tc>
          <w:tcPr>
            <w:tcW w:w="0" w:type="dxa"/>
            <w:vAlign w:val="bottom"/>
          </w:tcPr>
          <w:p>
            <w:pPr>
              <w:spacing w:after="0"/>
              <w:rPr>
                <w:sz w:val="1"/>
                <w:szCs w:val="1"/>
                <w:color w:val="auto"/>
              </w:rPr>
            </w:pPr>
          </w:p>
        </w:tc>
      </w:tr>
      <w:tr>
        <w:trPr>
          <w:trHeight w:val="46"/>
        </w:trPr>
        <w:tc>
          <w:tcPr>
            <w:tcW w:w="400" w:type="dxa"/>
            <w:vAlign w:val="bottom"/>
          </w:tcPr>
          <w:p>
            <w:pPr>
              <w:spacing w:after="0"/>
              <w:rPr>
                <w:sz w:val="4"/>
                <w:szCs w:val="4"/>
                <w:color w:val="auto"/>
              </w:rPr>
            </w:pPr>
          </w:p>
        </w:tc>
        <w:tc>
          <w:tcPr>
            <w:tcW w:w="38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5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3"/>
              </w:rPr>
              <w:t>Ordinary Shares</w:t>
            </w:r>
          </w:p>
        </w:tc>
        <w:tc>
          <w:tcPr>
            <w:tcW w:w="0" w:type="dxa"/>
            <w:vAlign w:val="bottom"/>
          </w:tcPr>
          <w:p>
            <w:pPr>
              <w:spacing w:after="0"/>
              <w:rPr>
                <w:sz w:val="1"/>
                <w:szCs w:val="1"/>
                <w:color w:val="auto"/>
              </w:rPr>
            </w:pPr>
          </w:p>
        </w:tc>
      </w:tr>
      <w:tr>
        <w:trPr>
          <w:trHeight w:val="208"/>
        </w:trPr>
        <w:tc>
          <w:tcPr>
            <w:tcW w:w="4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254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00" w:type="dxa"/>
            <w:vAlign w:val="bottom"/>
          </w:tcPr>
          <w:p>
            <w:pPr>
              <w:spacing w:after="0"/>
              <w:rPr>
                <w:sz w:val="15"/>
                <w:szCs w:val="15"/>
                <w:color w:val="auto"/>
              </w:rPr>
            </w:pPr>
          </w:p>
        </w:tc>
        <w:tc>
          <w:tcPr>
            <w:tcW w:w="3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80"/>
              <w:spacing w:after="0" w:line="182" w:lineRule="exact"/>
              <w:rPr>
                <w:sz w:val="20"/>
                <w:szCs w:val="20"/>
                <w:color w:val="auto"/>
              </w:rPr>
            </w:pPr>
            <w:r>
              <w:rPr>
                <w:rFonts w:ascii="Arial" w:cs="Arial" w:eastAsia="Arial" w:hAnsi="Arial"/>
                <w:sz w:val="16"/>
                <w:szCs w:val="16"/>
                <w:b w:val="1"/>
                <w:bCs w:val="1"/>
                <w:color w:val="auto"/>
                <w:w w:val="92"/>
              </w:rPr>
              <w:t>Beneficially</w:t>
            </w:r>
          </w:p>
        </w:tc>
        <w:tc>
          <w:tcPr>
            <w:tcW w:w="126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0"/>
              </w:rPr>
              <w:t>Before</w:t>
            </w:r>
          </w:p>
        </w:tc>
        <w:tc>
          <w:tcPr>
            <w:tcW w:w="1280" w:type="dxa"/>
            <w:vAlign w:val="bottom"/>
          </w:tcPr>
          <w:p>
            <w:pPr>
              <w:jc w:val="right"/>
              <w:ind w:right="372"/>
              <w:spacing w:after="0" w:line="182" w:lineRule="exact"/>
              <w:rPr>
                <w:sz w:val="20"/>
                <w:szCs w:val="20"/>
                <w:color w:val="auto"/>
              </w:rPr>
            </w:pPr>
            <w:r>
              <w:rPr>
                <w:rFonts w:ascii="Arial" w:cs="Arial" w:eastAsia="Arial" w:hAnsi="Arial"/>
                <w:sz w:val="16"/>
                <w:szCs w:val="16"/>
                <w:b w:val="1"/>
                <w:bCs w:val="1"/>
                <w:color w:val="auto"/>
              </w:rPr>
              <w:t>After</w:t>
            </w:r>
          </w:p>
        </w:tc>
        <w:tc>
          <w:tcPr>
            <w:tcW w:w="0" w:type="dxa"/>
            <w:vAlign w:val="bottom"/>
          </w:tcPr>
          <w:p>
            <w:pPr>
              <w:spacing w:after="0"/>
              <w:rPr>
                <w:sz w:val="1"/>
                <w:szCs w:val="1"/>
                <w:color w:val="auto"/>
              </w:rPr>
            </w:pPr>
          </w:p>
        </w:tc>
      </w:tr>
      <w:tr>
        <w:trPr>
          <w:trHeight w:val="253"/>
        </w:trPr>
        <w:tc>
          <w:tcPr>
            <w:tcW w:w="4240" w:type="dxa"/>
            <w:vAlign w:val="bottom"/>
            <w:gridSpan w:val="2"/>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100" w:type="dxa"/>
            <w:vAlign w:val="bottom"/>
          </w:tcPr>
          <w:p>
            <w:pPr>
              <w:spacing w:after="0"/>
              <w:rPr>
                <w:sz w:val="21"/>
                <w:szCs w:val="21"/>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Owned</w:t>
            </w:r>
            <w:r>
              <w:rPr>
                <w:rFonts w:ascii="Arial" w:cs="Arial" w:eastAsia="Arial" w:hAnsi="Arial"/>
                <w:sz w:val="18"/>
                <w:szCs w:val="18"/>
                <w:b w:val="1"/>
                <w:bCs w:val="1"/>
                <w:color w:val="auto"/>
                <w:w w:val="91"/>
                <w:vertAlign w:val="superscript"/>
              </w:rPr>
              <w:t>(2)</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Offering</w:t>
            </w:r>
          </w:p>
        </w:tc>
        <w:tc>
          <w:tcPr>
            <w:tcW w:w="1280" w:type="dxa"/>
            <w:vAlign w:val="bottom"/>
          </w:tcPr>
          <w:p>
            <w:pPr>
              <w:jc w:val="right"/>
              <w:ind w:right="252"/>
              <w:spacing w:after="0"/>
              <w:rPr>
                <w:sz w:val="20"/>
                <w:szCs w:val="20"/>
                <w:color w:val="auto"/>
              </w:rPr>
            </w:pPr>
            <w:r>
              <w:rPr>
                <w:rFonts w:ascii="Arial" w:cs="Arial" w:eastAsia="Arial" w:hAnsi="Arial"/>
                <w:sz w:val="16"/>
                <w:szCs w:val="16"/>
                <w:b w:val="1"/>
                <w:bCs w:val="1"/>
                <w:color w:val="auto"/>
              </w:rPr>
              <w:t>Offering</w:t>
            </w:r>
          </w:p>
        </w:tc>
        <w:tc>
          <w:tcPr>
            <w:tcW w:w="0" w:type="dxa"/>
            <w:vAlign w:val="bottom"/>
          </w:tcPr>
          <w:p>
            <w:pPr>
              <w:spacing w:after="0"/>
              <w:rPr>
                <w:sz w:val="1"/>
                <w:szCs w:val="1"/>
                <w:color w:val="auto"/>
              </w:rPr>
            </w:pPr>
          </w:p>
        </w:tc>
      </w:tr>
      <w:tr>
        <w:trPr>
          <w:trHeight w:val="268"/>
        </w:trPr>
        <w:tc>
          <w:tcPr>
            <w:tcW w:w="4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4"/>
              </w:rPr>
              <w:t>Sustainable Opportunities Holdings LLC (our sponsor)</w:t>
            </w:r>
            <w:r>
              <w:rPr>
                <w:rFonts w:ascii="Arial" w:cs="Arial" w:eastAsia="Arial" w:hAnsi="Arial"/>
                <w:sz w:val="20"/>
                <w:szCs w:val="20"/>
                <w:color w:val="auto"/>
                <w:w w:val="94"/>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8,565,000</w:t>
            </w:r>
            <w:r>
              <w:rPr>
                <w:rFonts w:ascii="Arial" w:cs="Arial" w:eastAsia="Arial" w:hAnsi="Arial"/>
                <w:sz w:val="20"/>
                <w:szCs w:val="20"/>
                <w:color w:val="auto"/>
                <w:vertAlign w:val="superscript"/>
              </w:rPr>
              <w:t>(4)</w:t>
            </w:r>
          </w:p>
        </w:tc>
        <w:tc>
          <w:tcPr>
            <w:tcW w:w="8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8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83"/>
        </w:trPr>
        <w:tc>
          <w:tcPr>
            <w:tcW w:w="4240" w:type="dxa"/>
            <w:vAlign w:val="bottom"/>
            <w:gridSpan w:val="2"/>
          </w:tcPr>
          <w:p>
            <w:pPr>
              <w:spacing w:after="0"/>
              <w:rPr>
                <w:sz w:val="20"/>
                <w:szCs w:val="20"/>
                <w:color w:val="auto"/>
              </w:rPr>
            </w:pPr>
            <w:r>
              <w:rPr>
                <w:rFonts w:ascii="Arial" w:cs="Arial" w:eastAsia="Arial" w:hAnsi="Arial"/>
                <w:sz w:val="18"/>
                <w:szCs w:val="18"/>
                <w:color w:val="auto"/>
              </w:rPr>
              <w:t>Scott Leonard</w:t>
            </w:r>
            <w:r>
              <w:rPr>
                <w:rFonts w:ascii="Arial" w:cs="Arial" w:eastAsia="Arial" w:hAnsi="Arial"/>
                <w:sz w:val="20"/>
                <w:szCs w:val="20"/>
                <w:color w:val="auto"/>
                <w:vertAlign w:val="superscript"/>
              </w:rPr>
              <w:t>(3)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8,565,000</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99.3%</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84"/>
        </w:trPr>
        <w:tc>
          <w:tcPr>
            <w:tcW w:w="4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Scott Honour</w:t>
            </w:r>
            <w:r>
              <w:rPr>
                <w:rFonts w:ascii="Arial" w:cs="Arial" w:eastAsia="Arial" w:hAnsi="Arial"/>
                <w:sz w:val="20"/>
                <w:szCs w:val="20"/>
                <w:color w:val="auto"/>
                <w:vertAlign w:val="superscript"/>
              </w:rPr>
              <w:t>(3)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8,565,000</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240" w:type="dxa"/>
            <w:vAlign w:val="bottom"/>
            <w:gridSpan w:val="2"/>
          </w:tcPr>
          <w:p>
            <w:pPr>
              <w:spacing w:after="0"/>
              <w:rPr>
                <w:sz w:val="20"/>
                <w:szCs w:val="20"/>
                <w:color w:val="auto"/>
              </w:rPr>
            </w:pPr>
            <w:r>
              <w:rPr>
                <w:rFonts w:ascii="Arial" w:cs="Arial" w:eastAsia="Arial" w:hAnsi="Arial"/>
                <w:sz w:val="18"/>
                <w:szCs w:val="18"/>
                <w:color w:val="auto"/>
              </w:rPr>
              <w:t>David Quiram</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Rick Gaenzle</w:t>
            </w:r>
          </w:p>
        </w:tc>
        <w:tc>
          <w:tcPr>
            <w:tcW w:w="124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30,000</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gridSpan w:val="2"/>
          </w:tcPr>
          <w:p>
            <w:pPr>
              <w:spacing w:after="0"/>
              <w:rPr>
                <w:sz w:val="20"/>
                <w:szCs w:val="20"/>
                <w:color w:val="auto"/>
              </w:rPr>
            </w:pPr>
            <w:r>
              <w:rPr>
                <w:rFonts w:ascii="Arial" w:cs="Arial" w:eastAsia="Arial" w:hAnsi="Arial"/>
                <w:sz w:val="18"/>
                <w:szCs w:val="18"/>
                <w:color w:val="auto"/>
              </w:rPr>
              <w:t>Isaac Barchas</w:t>
            </w:r>
          </w:p>
        </w:tc>
        <w:tc>
          <w:tcPr>
            <w:tcW w:w="1240" w:type="dxa"/>
            <w:vAlign w:val="bottom"/>
            <w:gridSpan w:val="2"/>
          </w:tcPr>
          <w:p>
            <w:pPr>
              <w:jc w:val="right"/>
              <w:ind w:right="56"/>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1"/>
                <w:szCs w:val="21"/>
                <w:color w:val="auto"/>
              </w:rPr>
            </w:pPr>
          </w:p>
        </w:tc>
        <w:tc>
          <w:tcPr>
            <w:tcW w:w="1180" w:type="dxa"/>
            <w:vAlign w:val="bottom"/>
          </w:tcPr>
          <w:p>
            <w:pPr>
              <w:jc w:val="right"/>
              <w:ind w:right="94"/>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2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42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6"/>
              </w:rPr>
              <w:t>All officers, directors and director nominees as a group</w:t>
            </w: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individuals)</w:t>
            </w:r>
          </w:p>
        </w:tc>
        <w:tc>
          <w:tcPr>
            <w:tcW w:w="1240" w:type="dxa"/>
            <w:vAlign w:val="bottom"/>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8,625,000</w:t>
            </w:r>
          </w:p>
        </w:tc>
        <w:tc>
          <w:tcPr>
            <w:tcW w:w="8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40"/>
        </w:trPr>
        <w:tc>
          <w:tcPr>
            <w:tcW w:w="400" w:type="dxa"/>
            <w:vAlign w:val="bottom"/>
            <w:shd w:val="clear" w:color="auto" w:fill="CCEEFF"/>
          </w:tcPr>
          <w:p>
            <w:pPr>
              <w:spacing w:after="0"/>
              <w:rPr>
                <w:sz w:val="3"/>
                <w:szCs w:val="3"/>
                <w:color w:val="auto"/>
              </w:rPr>
            </w:pPr>
          </w:p>
        </w:tc>
        <w:tc>
          <w:tcPr>
            <w:tcW w:w="38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1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60" w:hanging="406"/>
        <w:spacing w:after="0"/>
        <w:tabs>
          <w:tab w:leader="none" w:pos="8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2" w:lineRule="exact"/>
        <w:rPr>
          <w:sz w:val="20"/>
          <w:szCs w:val="20"/>
          <w:color w:val="auto"/>
        </w:rPr>
      </w:pPr>
    </w:p>
    <w:p>
      <w:pPr>
        <w:ind w:left="880" w:right="739" w:hanging="426"/>
        <w:spacing w:after="0" w:line="264" w:lineRule="auto"/>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our shareholders is 1601 Bryan Street, Suite 4141, Dallas, Texas 75201.</w:t>
      </w:r>
    </w:p>
    <w:p>
      <w:pPr>
        <w:jc w:val="both"/>
        <w:ind w:left="880" w:right="479" w:hanging="426"/>
        <w:spacing w:after="0" w:line="264" w:lineRule="auto"/>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Interests shown consist solely of founder shares, classified as Class B ordinary shares. Such shares will automatically convert into Class A ordinary shares at the time of our initial business combination as described in the section entitled “Description of Securities.”</w:t>
      </w:r>
    </w:p>
    <w:p>
      <w:pPr>
        <w:ind w:left="880" w:right="779" w:hanging="426"/>
        <w:spacing w:after="0" w:line="281" w:lineRule="auto"/>
        <w:tabs>
          <w:tab w:leader="none" w:pos="8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Scott Leonard and Scott Honour are the managers of our sponsor and share voting and dispositive power over the securities held by our sponsor and therefore each may be deemed to be a beneficial owner thereof.</w:t>
      </w:r>
    </w:p>
    <w:p>
      <w:pPr>
        <w:spacing w:after="0" w:line="1" w:lineRule="exact"/>
        <w:rPr>
          <w:rFonts w:ascii="Arial" w:cs="Arial" w:eastAsia="Arial" w:hAnsi="Arial"/>
          <w:sz w:val="15"/>
          <w:szCs w:val="15"/>
          <w:color w:val="auto"/>
        </w:rPr>
      </w:pPr>
    </w:p>
    <w:p>
      <w:pPr>
        <w:ind w:left="880" w:right="539" w:hanging="426"/>
        <w:spacing w:after="0" w:line="288" w:lineRule="auto"/>
        <w:tabs>
          <w:tab w:leader="none" w:pos="8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Includes up to 1,125,000 founder shares that will be surrendered to us for no consideration by our sponsor depending on the extent to which the underwriter’s over-allotment option is exercised.</w:t>
      </w:r>
    </w:p>
    <w:p>
      <w:pPr>
        <w:spacing w:after="0" w:line="90"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Immediately after this offering, our sponsor will beneficially own 20% of the then issued and outstanding ordinary shares (assuming they do not purchase any units in this offering) and will have the right to elect all of our directors prior to our initial business combination. Holders of our public shares will not have the right to elect any directors to our board of directors prior to our initial business combination. Because of this ownership block, our sponsor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w:t>
      </w:r>
    </w:p>
    <w:p>
      <w:pPr>
        <w:sectPr>
          <w:pgSz w:w="11900" w:h="16838" w:orient="portrait"/>
          <w:cols w:equalWidth="0" w:num="1">
            <w:col w:w="9019"/>
          </w:cols>
          <w:pgMar w:left="1440" w:top="337"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11" w:name="page112"/>
    <w:bookmarkEnd w:id="111"/>
    <w:p>
      <w:pPr>
        <w:ind w:left="460" w:right="879" w:firstLine="432"/>
        <w:spacing w:after="0" w:line="263" w:lineRule="auto"/>
        <w:rPr>
          <w:sz w:val="20"/>
          <w:szCs w:val="20"/>
          <w:color w:val="auto"/>
        </w:rPr>
      </w:pPr>
      <w:r>
        <w:rPr>
          <w:rFonts w:ascii="Arial" w:cs="Arial" w:eastAsia="Arial" w:hAnsi="Arial"/>
          <w:sz w:val="18"/>
          <w:szCs w:val="18"/>
          <w:color w:val="auto"/>
        </w:rPr>
        <w:t>Our sponsor has agreed (a) to vote any founder shares owned by it in favor of any proposed business combination and (b) not to redeem any founder shares in connection with a shareholder vote to approve a proposed initial business combination.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sponsor is deemed to be our “promoter” as such term is defined under the federal securities laws.</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162" w:lineRule="exact"/>
        <w:rPr>
          <w:sz w:val="20"/>
          <w:szCs w:val="20"/>
          <w:color w:val="auto"/>
        </w:rPr>
      </w:pPr>
    </w:p>
    <w:p>
      <w:pPr>
        <w:ind w:left="460" w:right="559" w:firstLine="432"/>
        <w:spacing w:after="0" w:line="285" w:lineRule="auto"/>
        <w:rPr>
          <w:sz w:val="20"/>
          <w:szCs w:val="20"/>
          <w:color w:val="auto"/>
        </w:rPr>
      </w:pPr>
      <w:r>
        <w:rPr>
          <w:rFonts w:ascii="Arial" w:cs="Arial" w:eastAsia="Arial" w:hAnsi="Arial"/>
          <w:sz w:val="16"/>
          <w:szCs w:val="16"/>
          <w:color w:val="auto"/>
        </w:rPr>
        <w:t>The founder shares, private placement warrants and any Class A ordinary shares issued upon conversion or exercise thereof are each subject to transfer restrictions pursuant to lock-up provisions in the agreements entered into by our sponsor and management team. Our sponsor and each member of our management team have agreed not to transfer, assign or sell any of their founder shares until the earliest of (a) one year after the completion of our initial business combination and (b) upon consummation of our initial business combination,</w:t>
      </w:r>
    </w:p>
    <w:p>
      <w:pPr>
        <w:spacing w:after="0" w:line="2" w:lineRule="exact"/>
        <w:rPr>
          <w:sz w:val="20"/>
          <w:szCs w:val="20"/>
          <w:color w:val="auto"/>
        </w:rPr>
      </w:pPr>
    </w:p>
    <w:p>
      <w:pPr>
        <w:ind w:left="460" w:right="479" w:hanging="6"/>
        <w:spacing w:after="0" w:line="281" w:lineRule="auto"/>
        <w:tabs>
          <w:tab w:leader="none" w:pos="715" w:val="left"/>
        </w:tabs>
        <w:numPr>
          <w:ilvl w:val="0"/>
          <w:numId w:val="58"/>
        </w:numPr>
        <w:rPr>
          <w:rFonts w:ascii="Arial" w:cs="Arial" w:eastAsia="Arial" w:hAnsi="Arial"/>
          <w:sz w:val="16"/>
          <w:szCs w:val="16"/>
          <w:color w:val="auto"/>
        </w:rPr>
      </w:pPr>
      <w:r>
        <w:rPr>
          <w:rFonts w:ascii="Arial" w:cs="Arial" w:eastAsia="Arial" w:hAnsi="Arial"/>
          <w:sz w:val="16"/>
          <w:szCs w:val="16"/>
          <w:color w:val="auto"/>
        </w:rPr>
        <w:t>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after our initial business combination that results in all of our shareholders having the right to exchange their Class A ordinary shares for cash, securities or other property. The private placement warrants and the respective Class A ordinary shares underlying such warrants are not transferable or salable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founder shares, private placement warrants or Class A ordinary shares,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w:t>
      </w:r>
    </w:p>
    <w:p>
      <w:pPr>
        <w:spacing w:after="0" w:line="11" w:lineRule="exact"/>
        <w:rPr>
          <w:rFonts w:ascii="Arial" w:cs="Arial" w:eastAsia="Arial" w:hAnsi="Arial"/>
          <w:sz w:val="16"/>
          <w:szCs w:val="16"/>
          <w:color w:val="auto"/>
        </w:rPr>
      </w:pPr>
    </w:p>
    <w:p>
      <w:pPr>
        <w:ind w:left="460" w:right="519" w:hanging="6"/>
        <w:spacing w:after="0" w:line="292" w:lineRule="auto"/>
        <w:tabs>
          <w:tab w:leader="none" w:pos="675"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in the event of our completion of a liquidation, merger, share exchange or other similar transaction which results in all of our shareholders having the right to exchange their Class A ordinary shares for cash, securities or other property subsequent to our completion of our initial business combination; </w:t>
      </w:r>
      <w:r>
        <w:rPr>
          <w:rFonts w:ascii="Arial" w:cs="Arial" w:eastAsia="Arial" w:hAnsi="Arial"/>
          <w:sz w:val="16"/>
          <w:szCs w:val="16"/>
          <w:i w:val="1"/>
          <w:iCs w:val="1"/>
          <w:color w:val="auto"/>
        </w:rPr>
        <w:t>provided</w:t>
      </w:r>
      <w:r>
        <w:rPr>
          <w:rFonts w:ascii="Arial" w:cs="Arial" w:eastAsia="Arial" w:hAnsi="Arial"/>
          <w:sz w:val="16"/>
          <w:szCs w:val="16"/>
          <w:color w:val="auto"/>
        </w:rPr>
        <w:t>, however, that in the case of clauses (a) through (f) these permitted transferees must enter into a written agreement agreeing to be bound by these transfer restrictions and the other restrictions contained in the letter agreements.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2"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On December 31, 2019, the sponsor paid $25,000, or approximately $0.003 per share, to cover certain of our offering costs in consideration of 8,625,000 Class B ordinary shares, par value $0.0001. In March 2020, our sponsor transferred 30,000 founder shares to each of our independent directors. These 60,000 shares shall not be subject to forfeiture in the event the underwriter’s over-allotment option is not exercised. The number of founder shares issued was determined based on the expectation that such founder shares would represent 20% of the issued and outstanding shares upon completion of this offering. If we further increase or decrease the size of the offering, we will effect a share capitalization or a share surrender or other appropriate mechanism, as applicable, with respect to our Class B ordinary shares immediately prior to the consummation of the offering in such amount as to maintain the ownership of our sponsor (and its permitted transferees, if any) at 20% of the issued and outstanding ordinary shares upon the consummation of this offering. Up to 1,125,000 founder shares are subject to forfeiture by our sponsor depending on the extent to which the underwriter’s over-allotment option is exercised. The founder shares (including the Class A ordinary shares issuable upon exercise thereof) may not, subject to certain limited exceptions, be transferred, assigned or sold by the holder.</w:t>
      </w:r>
    </w:p>
    <w:p>
      <w:pPr>
        <w:spacing w:after="0" w:line="66" w:lineRule="exact"/>
        <w:rPr>
          <w:sz w:val="20"/>
          <w:szCs w:val="20"/>
          <w:color w:val="auto"/>
        </w:rPr>
      </w:pPr>
    </w:p>
    <w:p>
      <w:pPr>
        <w:ind w:left="460" w:right="579" w:firstLine="432"/>
        <w:spacing w:after="0" w:line="254" w:lineRule="auto"/>
        <w:rPr>
          <w:sz w:val="20"/>
          <w:szCs w:val="20"/>
          <w:color w:val="auto"/>
        </w:rPr>
      </w:pPr>
      <w:r>
        <w:rPr>
          <w:rFonts w:ascii="Arial" w:cs="Arial" w:eastAsia="Arial" w:hAnsi="Arial"/>
          <w:sz w:val="18"/>
          <w:szCs w:val="18"/>
          <w:color w:val="auto"/>
        </w:rPr>
        <w:t>Our sponsor has committed, pursuant to a written agreement, to purchase an aggregate of 10,000,000 private placement warrants for a purchase price of $1.00 per whole warrant in a private placement that will occur simultaneously with the closing of this offering. As such, our sponsor’s interest in this transaction is valued at $10,000,000. Each private placement warrant entitles the holder to purchase one share of our Class A ordinary shares at $11.50 per share. The private placement warrants (including the Class A ordinary shares issuable upon exercise thereof) may not, subject to certain limited exceptions, be transferred, assigned or sold by the holder.</w:t>
      </w:r>
    </w:p>
    <w:p>
      <w:pPr>
        <w:spacing w:after="0" w:line="87"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As more fully discussed in the section of this prospectus entitled “Management — Conflicts of Interest,”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84"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We currently maintain our executive offices at 1601 Bryan Street, Suite 4141, Dallas, Texas 75201. The cost for our use of this space is included in the $10,000 per month fee we will pay to an affiliate of our sponsor for office space, administrative and support services, commencing on the date that our securities are first listed on the NYSE. Upon completion of our initial business combination or our liquidation, we will cease paying these monthly fees.</w:t>
      </w:r>
    </w:p>
    <w:p>
      <w:pPr>
        <w:spacing w:after="0" w:line="80"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No compensation of any kind, including finder’s and consulting fees, will be paid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57"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Prior to the consummation of this offering, our sponsor has agreed to loan us up to $300,000 to be used for a portion of the expenses of this offering. These loans are non-interest bearing, unsecured and are due at the earlier of June 30, 2020 or the closing of this offering. The loan will be repaid upon the closing of this offering out of the offering proceeds not held in the trust account.</w:t>
      </w:r>
    </w:p>
    <w:p>
      <w:pPr>
        <w:spacing w:after="0" w:line="79"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including as to exercise price, exercisability and exercise period. The terms of such loans by our officers and directors,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ectPr>
          <w:pgSz w:w="11900" w:h="16838" w:orient="portrait"/>
          <w:cols w:equalWidth="0" w:num="1">
            <w:col w:w="9019"/>
          </w:cols>
          <w:pgMar w:left="1440" w:top="337" w:right="1440"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13" w:name="page114"/>
    <w:bookmarkEnd w:id="113"/>
    <w:p>
      <w:pPr>
        <w:ind w:left="460" w:right="639" w:firstLine="432"/>
        <w:spacing w:after="0" w:line="272"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96"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will enter into a registration and shareholder rights agreement pursuant to which our sponsor will be entitled to certain registration rights with respect to the private placement warrants, the warrants issuable upon conversion of working capital loans (if any) and the Class A ordinary shares issuable upon exercise of the foregoing and upon conversion of the founder shares, and, upon consummation of our initial business combination, to nominate three individuals for election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99"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have agreed with our sponsor that, prior to the consummation of an initial business combination, we may not, without the consent of our sponsor, issue any additional equity securities.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6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audit committee of our board of directors will adopt a charter, providing for the review, approval and/or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62" w:lineRule="exact"/>
        <w:rPr>
          <w:sz w:val="20"/>
          <w:szCs w:val="20"/>
          <w:color w:val="auto"/>
        </w:rPr>
      </w:pPr>
    </w:p>
    <w:p>
      <w:pPr>
        <w:ind w:left="460" w:right="599" w:firstLine="432"/>
        <w:spacing w:after="0" w:line="271" w:lineRule="auto"/>
        <w:rPr>
          <w:sz w:val="20"/>
          <w:szCs w:val="20"/>
          <w:color w:val="auto"/>
        </w:rPr>
      </w:pPr>
      <w:r>
        <w:rPr>
          <w:rFonts w:ascii="Arial" w:cs="Arial" w:eastAsia="Arial" w:hAnsi="Arial"/>
          <w:sz w:val="17"/>
          <w:szCs w:val="17"/>
          <w:color w:val="auto"/>
        </w:rPr>
        <w:t>We are a Cayman Islands exempted company and our affairs will be governed by our amended and restated memorandum and articles of association, the Companies Law and the common law of the Cayman Islands. Pursuant to our amended and restated memorandum and articles of association, which will be adopted prior to the consummation of this offering, we will be authorized to issue 300,000,000 Class A ordinary shares and 30,000,000 Class B ordinary shares, as well as 1,000,000 preference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14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Each unit has an offering price of $10.00 and consists of one Class A ordinary share and one-half of one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 No fractional warrants will be issued upon separation of the units and only whole warrants will trade. Accordingly, unless you purchase at least two units, you will not be able to receive or trade a whole warrant.</w:t>
      </w:r>
    </w:p>
    <w:p>
      <w:pPr>
        <w:spacing w:after="0" w:line="99" w:lineRule="exact"/>
        <w:rPr>
          <w:sz w:val="20"/>
          <w:szCs w:val="20"/>
          <w:color w:val="auto"/>
        </w:rPr>
      </w:pPr>
    </w:p>
    <w:p>
      <w:pPr>
        <w:ind w:left="460" w:right="519" w:firstLine="432"/>
        <w:spacing w:after="0" w:line="266" w:lineRule="auto"/>
        <w:rPr>
          <w:sz w:val="20"/>
          <w:szCs w:val="20"/>
          <w:color w:val="auto"/>
        </w:rPr>
      </w:pPr>
      <w:r>
        <w:rPr>
          <w:rFonts w:ascii="Arial" w:cs="Arial" w:eastAsia="Arial" w:hAnsi="Arial"/>
          <w:sz w:val="17"/>
          <w:szCs w:val="17"/>
          <w:color w:val="auto"/>
        </w:rPr>
        <w:t>The Class A ordinary shares and warrants comprising the units are expected to begin separate trading on the 52</w:t>
      </w:r>
      <w:r>
        <w:rPr>
          <w:rFonts w:ascii="Arial" w:cs="Arial" w:eastAsia="Arial" w:hAnsi="Arial"/>
          <w:sz w:val="19"/>
          <w:szCs w:val="19"/>
          <w:color w:val="auto"/>
          <w:vertAlign w:val="superscript"/>
        </w:rPr>
        <w:t>nd</w:t>
      </w:r>
      <w:r>
        <w:rPr>
          <w:rFonts w:ascii="Arial" w:cs="Arial" w:eastAsia="Arial" w:hAnsi="Arial"/>
          <w:sz w:val="17"/>
          <w:szCs w:val="17"/>
          <w:color w:val="auto"/>
        </w:rPr>
        <w:t xml:space="preserve"> day following the date of this prospectus unless (or if such day is not a business day, the immediately succeeding business day) Citigroup Global Markets Inc.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w:t>
      </w:r>
    </w:p>
    <w:p>
      <w:pPr>
        <w:spacing w:after="0" w:line="118"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In no event will the Class A ordinary shares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83"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Ordinary Shares</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Prior to the date of this prospectus, there were 8,625,000 Class B ordinary shares issued and outstanding, all of which were held of record by our sponsor, so that our sponsor will own 20% of our issued and outstanding shares after this offering (assuming our sponsor does not purchase any units in this offering). Upon the closing of this offering, 37,500,000 of our ordinary shares will be outstanding (assuming no exercise of the underwriter’s over-allotment option) including:</w:t>
      </w:r>
    </w:p>
    <w:p>
      <w:pPr>
        <w:spacing w:after="0" w:line="120" w:lineRule="exact"/>
        <w:rPr>
          <w:sz w:val="20"/>
          <w:szCs w:val="20"/>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30,000,000 Class A ordinary shares underlying the units issued as part of this offering;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7,500,000 Class B ordinary shares held by our sponsor.</w:t>
      </w:r>
    </w:p>
    <w:p>
      <w:pPr>
        <w:spacing w:after="0" w:line="15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If we increase or decrease the size of this offering, we will effect a share capitalization or share compulsory redemption or redemption or other appropriate mechanism, as applicable, with respect to our Class B ordinary shares immediately prior to the consummation of this offering in such amount as to maintain the ownership of our sponsor (and its permitted transferees, if any) at 20% of our issued and outstanding ordinary shares upon the consummation of this offering.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5" w:name="page116"/>
    <w:bookmarkEnd w:id="115"/>
    <w:p>
      <w:pPr>
        <w:ind w:left="460" w:right="479" w:firstLine="432"/>
        <w:spacing w:after="0" w:line="267" w:lineRule="auto"/>
        <w:rPr>
          <w:sz w:val="20"/>
          <w:szCs w:val="20"/>
          <w:color w:val="auto"/>
        </w:rPr>
      </w:pPr>
      <w:r>
        <w:rPr>
          <w:rFonts w:ascii="Arial" w:cs="Arial" w:eastAsia="Arial" w:hAnsi="Arial"/>
          <w:sz w:val="17"/>
          <w:szCs w:val="17"/>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Law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shareholders are entitled to receive ratable dividends when, as and if declared by the board of directors out of funds legally available therefor. 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w:t>
      </w:r>
    </w:p>
    <w:p>
      <w:pPr>
        <w:spacing w:after="0" w:line="107"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Because our amended and restated memorandum and articles of association will authorize the issuance of up to 300,000,000 Class A ordinary shares, if we were to enter into a business combination, we may (depending on the terms of such a business combination) be required to increase the number of Class A ordinary shares which we will be authorized to issue at the same time as our shareholders vote on the business combination to the extent we seek shareholder approval in connection with our initial business combination.</w:t>
      </w:r>
    </w:p>
    <w:p>
      <w:pPr>
        <w:spacing w:after="0" w:line="94" w:lineRule="exact"/>
        <w:rPr>
          <w:sz w:val="20"/>
          <w:szCs w:val="20"/>
          <w:color w:val="auto"/>
        </w:rPr>
      </w:pPr>
    </w:p>
    <w:p>
      <w:pPr>
        <w:ind w:left="460" w:right="559" w:firstLine="432"/>
        <w:spacing w:after="0" w:line="288" w:lineRule="auto"/>
        <w:rPr>
          <w:sz w:val="20"/>
          <w:szCs w:val="20"/>
          <w:color w:val="auto"/>
        </w:rPr>
      </w:pPr>
      <w:r>
        <w:rPr>
          <w:rFonts w:ascii="Arial" w:cs="Arial" w:eastAsia="Arial" w:hAnsi="Arial"/>
          <w:sz w:val="16"/>
          <w:szCs w:val="16"/>
          <w:color w:val="auto"/>
        </w:rPr>
        <w:t>Our board of directors is divided into three classes with only one class of directors being elected in each year and each class (except for those directors appointed prior to our first annual meeting of shareholders) serving a three-year term. In accordance with the NYSE corporate governance requirements, we are not required to hold an annual meeting until one year after our first fiscal year end following our listing on the NYSE. There is no requirement under the Companies Law for us to hold annual or general meetings or elect directors. We may not hold an annual meeting of shareholders to elect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01" w:lineRule="exact"/>
        <w:rPr>
          <w:sz w:val="20"/>
          <w:szCs w:val="20"/>
          <w:color w:val="auto"/>
        </w:rPr>
      </w:pPr>
    </w:p>
    <w:p>
      <w:pPr>
        <w:ind w:left="460" w:right="499" w:firstLine="432"/>
        <w:spacing w:after="0" w:line="283"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 The redemption rights will include the requirement that a beneficial owner must identify itself in order to valid redeem its shares. Our sponsor and each member of our management team have entered into agreements with us, pursuant to which they have agreed to waive their redemption rights with respect to their founder shares and public shares in connection with (i) the completion of our initial business combination and</w:t>
      </w:r>
    </w:p>
    <w:p>
      <w:pPr>
        <w:spacing w:after="0" w:line="3" w:lineRule="exact"/>
        <w:rPr>
          <w:sz w:val="20"/>
          <w:szCs w:val="20"/>
          <w:color w:val="auto"/>
        </w:rPr>
      </w:pPr>
    </w:p>
    <w:p>
      <w:pPr>
        <w:ind w:left="460" w:right="519" w:hanging="6"/>
        <w:spacing w:after="0" w:line="267" w:lineRule="auto"/>
        <w:tabs>
          <w:tab w:leader="none" w:pos="725" w:val="left"/>
        </w:tabs>
        <w:numPr>
          <w:ilvl w:val="0"/>
          <w:numId w:val="61"/>
        </w:numPr>
        <w:rPr>
          <w:rFonts w:ascii="Arial" w:cs="Arial" w:eastAsia="Arial" w:hAnsi="Arial"/>
          <w:sz w:val="17"/>
          <w:szCs w:val="17"/>
          <w:color w:val="auto"/>
        </w:rPr>
      </w:pPr>
      <w:r>
        <w:rPr>
          <w:rFonts w:ascii="Arial" w:cs="Arial" w:eastAsia="Arial" w:hAnsi="Arial"/>
          <w:sz w:val="17"/>
          <w:szCs w:val="17"/>
          <w:color w:val="auto"/>
        </w:rPr>
        <w:t>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right="459"/>
        <w:spacing w:after="0" w:line="268" w:lineRule="auto"/>
        <w:rPr>
          <w:sz w:val="20"/>
          <w:szCs w:val="20"/>
          <w:color w:val="auto"/>
        </w:rPr>
      </w:pPr>
      <w:r>
        <w:rPr>
          <w:rFonts w:ascii="Arial" w:cs="Arial" w:eastAsia="Arial" w:hAnsi="Arial"/>
          <w:sz w:val="17"/>
          <w:szCs w:val="17"/>
          <w:color w:val="auto"/>
        </w:rPr>
        <w:t>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law, or we decide to obtain shareholder approval for business or other legal reasons, we will, like many blank check companies, offer to redeem shares in conjunction with a proxy solicitation pursuant to the proxy rules and not pursuant to the tender offer rules. If we seek shareholder approval, we will complete our initial business combination only if a majority of the ordinary shares, represented in person or by proxy and entitled to vote thereon, voted at a shareholder meeting vote in favor of the initial business combination.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For purposes of seeking approval of the majority of our issued and outstanding ordinary shares, non-votes will have no effect on the approval of our initial business combination once a quorum is obtained. Our amended and restated memorandum and articles of association will require that at least five days’ notice will be given of any shareholder meeting.</w:t>
      </w:r>
    </w:p>
    <w:p>
      <w:pPr>
        <w:spacing w:after="0" w:line="99"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106"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and any public shares purchased during or after this offering in favor of our initial business combination. 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Additionally, each public shareholder may elect to redeem their public shares irrespective of whether they vote for or against the proposed transaction.</w:t>
      </w:r>
    </w:p>
    <w:p>
      <w:pPr>
        <w:spacing w:after="0" w:line="104"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Pursuant to our amended and restated memorandum and articles of association, if we have not consummated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Our sponsor and members of our management team have entered into agreements with us, pursuant to which they have agreed to waive their rights to liquidating distributions from the trust account with respect to their founder shares if we fail to consummate an initial business combination within 24 months from the closing of this offering. However, if our sponsor or members of our management team acquire public shares in or after this offering, they will be entitled to liquidating distributions from the trust account with respect to such</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right="619"/>
        <w:spacing w:after="0" w:line="275" w:lineRule="auto"/>
        <w:rPr>
          <w:sz w:val="20"/>
          <w:szCs w:val="20"/>
          <w:color w:val="auto"/>
        </w:rPr>
      </w:pPr>
      <w:r>
        <w:rPr>
          <w:rFonts w:ascii="Arial" w:cs="Arial" w:eastAsia="Arial" w:hAnsi="Arial"/>
          <w:sz w:val="17"/>
          <w:szCs w:val="17"/>
          <w:color w:val="auto"/>
        </w:rPr>
        <w:t>public shares if we fail to complete our initial business combination within the prescribed time period.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9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upon the completion of our initial business combination, subject to the limitations described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The founder shares are designated as Class B ordinary shares and, except as described below, are identical to the Class A ordinary shares included in the units being sold in this offering, and holders of founder shares have the same shareholder rights as public shareholders, except that (i) the founder shares are subject to certain transfer restrictions, as described in more detail below; (ii) our sponsor, officers and directors have entered into agreements with us, pursuant to which they have agreed (A) to waive their redemption rights with respect to their founder shares and public shares in connection with the completion of our initial business combination, (B) to waive their redemption rights with respect to their founder shares and public shares in connection with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and (C) to waive their rights to liquidating distributions from the trust account with respect to its founder shares if we fail to consummate an initial business combination within 24 months from the closing of this offering, although it will be entitled to liquidating distributions from the trust account with respect to any public shares it holds if we fail to complete our initial business combination within such time period; (iii) the founder shares will automatically convert into Class A ordinary shares at the time of our initial business combination as described herein; and (iv) prior to the completion of our initial business combination, only our founder shares will have the right to vote on the election of our directors. If we submit our initial business combination to our public shareholders for a vote, our sponsor, our Founders and each member of our management team have agreed to vote their founder shares and any public shares purchased during or after this offering in favor of our initial business combination.</w:t>
      </w:r>
    </w:p>
    <w:p>
      <w:pPr>
        <w:spacing w:after="0" w:line="112"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on the first business day following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In no event will the Class B ordinary shares convert into Class A ordinary shares at a rate of less than one-to-one.</w:t>
      </w:r>
    </w:p>
    <w:p>
      <w:pPr>
        <w:spacing w:after="0" w:line="101"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Except as described herein, our sponsor and our directors and executive officers have agreed not to transfer, assign or sell any of their founder shares until (a) one year after the completion of our initial business combination, or (b) the date on which we complete a liquidation, merger, share exchange or other similar transaction after our initial business combination that results in all of our shareholders having the right to exchange their Class A ordinary shares for cash, securities or other property. Any permitted transferees will be subject to the same restrictions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right="699"/>
        <w:spacing w:after="0" w:line="255" w:lineRule="auto"/>
        <w:rPr>
          <w:sz w:val="20"/>
          <w:szCs w:val="20"/>
          <w:color w:val="auto"/>
        </w:rPr>
      </w:pPr>
      <w:r>
        <w:rPr>
          <w:rFonts w:ascii="Arial" w:cs="Arial" w:eastAsia="Arial" w:hAnsi="Arial"/>
          <w:sz w:val="18"/>
          <w:szCs w:val="18"/>
          <w:color w:val="auto"/>
        </w:rPr>
        <w:t>other agreements of our sponsor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11"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not less than two-thirds of our ordinary shares who attend and vote at our shareholder meeting which shall include the affirmative vote of a simple majority of our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Register of Members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Under Cayman Islands law, we must keep a register of members and there will be entered therein:</w:t>
      </w:r>
    </w:p>
    <w:p>
      <w:pPr>
        <w:spacing w:after="0" w:line="169" w:lineRule="exact"/>
        <w:rPr>
          <w:sz w:val="20"/>
          <w:szCs w:val="20"/>
          <w:color w:val="auto"/>
        </w:rPr>
      </w:pPr>
    </w:p>
    <w:p>
      <w:pPr>
        <w:jc w:val="both"/>
        <w:ind w:left="1320" w:right="539" w:hanging="434"/>
        <w:spacing w:after="0" w:line="263" w:lineRule="auto"/>
        <w:tabs>
          <w:tab w:leader="none" w:pos="1311"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 and the voting rights of shares;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15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Preference Shares</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amended and restated memorandum and articles of association will authorize 1,000,000 preference shares and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are being issued or registered in this offering.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Public Shareholders’ Warrants</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 xml:space="preserve">Each whole warrant entitles the registered holder to purchase one Class A ordinary share at a price of $11.50 per share, subject to adjustment as discussed below, at any time commencing on the later of one year from the closing of this offering or 30 days after the completion of our initial business combination,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we have an effective registration statement under the Securities Act covering the Class A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9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06"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We have agreed that as soon as practicable, but in no event later than 20 business days after the closing of our initial business combination, we will use our commercially reasonable efforts to file with the SEC a registration statement for the registration, under the Securities Act, of the Class A ordinary shares issuable upon exercise of the warrants. We will use our commercially reasonable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In addition, if our Class A ordinary shares are at the time of any exercise of a warrant not listed on a national securities exchange such that it satisfies the definition of a “covered security” under Section 18(b)(1) of the Securities Act, we may, at our option, require holders of our public warrants who exercise their warrants to do so on a “cashless basis” in accordance with Section 3(a)(9) of the Securities Act and, in the event we elect to do so, we will not be required to file or maintain in effect a registration statement, but we will use our best efforts to register or qualify the shares under applicable blue sky laws to the extent an exemption is not available.</w:t>
      </w:r>
    </w:p>
    <w:p>
      <w:pPr>
        <w:spacing w:after="0" w:line="106"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i w:val="1"/>
          <w:iCs w:val="1"/>
          <w:color w:val="auto"/>
        </w:rPr>
        <w:t xml:space="preserve">Redemptions of warrants. </w:t>
      </w:r>
      <w:r>
        <w:rPr>
          <w:rFonts w:ascii="Arial" w:cs="Arial" w:eastAsia="Arial" w:hAnsi="Arial"/>
          <w:sz w:val="18"/>
          <w:szCs w:val="18"/>
          <w:color w:val="auto"/>
        </w:rPr>
        <w:t>Once the warrants become exercisable, we may call the warrants for</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w:t>
      </w:r>
    </w:p>
    <w:p>
      <w:pPr>
        <w:spacing w:after="0" w:line="89" w:lineRule="exact"/>
        <w:rPr>
          <w:sz w:val="20"/>
          <w:szCs w:val="20"/>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44" w:lineRule="exact"/>
        <w:rPr>
          <w:rFonts w:ascii="Arial" w:cs="Arial" w:eastAsia="Arial" w:hAnsi="Arial"/>
          <w:sz w:val="18"/>
          <w:szCs w:val="18"/>
          <w:color w:val="auto"/>
        </w:rPr>
      </w:pPr>
    </w:p>
    <w:p>
      <w:pPr>
        <w:jc w:val="both"/>
        <w:ind w:left="1320" w:right="639" w:hanging="434"/>
        <w:spacing w:after="0" w:line="279" w:lineRule="auto"/>
        <w:tabs>
          <w:tab w:leader="none" w:pos="1311" w:val="left"/>
        </w:tabs>
        <w:numPr>
          <w:ilvl w:val="0"/>
          <w:numId w:val="63"/>
        </w:numPr>
        <w:rPr>
          <w:rFonts w:ascii="Arial" w:cs="Arial" w:eastAsia="Arial" w:hAnsi="Arial"/>
          <w:sz w:val="17"/>
          <w:szCs w:val="17"/>
          <w:color w:val="auto"/>
        </w:rPr>
      </w:pPr>
      <w:r>
        <w:rPr>
          <w:rFonts w:ascii="Arial" w:cs="Arial" w:eastAsia="Arial" w:hAnsi="Arial"/>
          <w:sz w:val="17"/>
          <w:szCs w:val="17"/>
          <w:color w:val="auto"/>
        </w:rPr>
        <w:t>if, and only if, the reported closing price of the ordinary shares equals or exceeds $18.00 per share (as adjusted for share subdivisions, share capitalizations, reorganizations, recapitalizations and the like) for any 20 trading days within a 30-trading day period ending three business days before we send to the notice of redemption to the warrant holders.</w:t>
      </w:r>
    </w:p>
    <w:p>
      <w:pPr>
        <w:sectPr>
          <w:pgSz w:w="11900" w:h="16838" w:orient="portrait"/>
          <w:cols w:equalWidth="0" w:num="1">
            <w:col w:w="9019"/>
          </w:cols>
          <w:pgMar w:left="1440" w:top="337"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20" w:name="page121"/>
    <w:bookmarkEnd w:id="120"/>
    <w:p>
      <w:pPr>
        <w:ind w:left="460" w:right="559" w:firstLine="432"/>
        <w:spacing w:after="0" w:line="342" w:lineRule="auto"/>
        <w:rPr>
          <w:sz w:val="20"/>
          <w:szCs w:val="20"/>
          <w:color w:val="auto"/>
        </w:rPr>
      </w:pPr>
      <w:r>
        <w:rPr>
          <w:rFonts w:ascii="Arial" w:cs="Arial" w:eastAsia="Arial" w:hAnsi="Arial"/>
          <w:sz w:val="16"/>
          <w:szCs w:val="16"/>
          <w:color w:val="auto"/>
        </w:rPr>
        <w:t>If and when the warrants become redeemable by us, we may exercise our redemption right even if we are unable to register or qualify the underlying securities for sale under all applicable state securities laws.</w:t>
      </w:r>
    </w:p>
    <w:p>
      <w:pPr>
        <w:spacing w:after="0" w:line="4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share subdivisions, share capitalizations, reorganizations, recapitalizations and the like) as well as the $11.50 (for whole shares) warrant exercise price after the redemption notice is issued.</w:t>
      </w:r>
    </w:p>
    <w:p>
      <w:pPr>
        <w:spacing w:after="0" w:line="110"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i w:val="1"/>
          <w:iCs w:val="1"/>
          <w:color w:val="auto"/>
        </w:rPr>
        <w:t xml:space="preserve">Redemption procedures and cashless exercise. </w:t>
      </w:r>
      <w:r>
        <w:rPr>
          <w:rFonts w:ascii="Arial" w:cs="Arial" w:eastAsia="Arial" w:hAnsi="Arial"/>
          <w:sz w:val="16"/>
          <w:szCs w:val="16"/>
          <w:color w:val="auto"/>
        </w:rPr>
        <w:t>If we call the warrants for redemption as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Class A ordinary shares issuable upon the exercise of our warrants. If our management takes advantage of this option, all holders of warrants would pay the exercise price by surrendering their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reported closing price of the Class A ordinary shares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Class A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328"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ordinary shares issued and outstanding immediately after giving effect to such exercise.</w:t>
      </w:r>
    </w:p>
    <w:p>
      <w:pPr>
        <w:spacing w:after="0" w:line="95"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If the number of outstanding Class A ordinary shares is increased by a share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payable in Class A ordinary shares, or by a split-up of ordinary shares or other similar event, then, on the effective date of such share dividend, split-up or similar event, the number of Class A ordinary shares issuable on exercise of each warrant will be increased in proportion to such increase in the issued and outstanding ordinary shares. A rights offering to holders of ordinary shares entitling holders to purchase Class A ordinary shares at a price less than the fair market value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right="499" w:firstLine="432"/>
        <w:spacing w:after="0" w:line="284" w:lineRule="auto"/>
        <w:rPr>
          <w:sz w:val="20"/>
          <w:szCs w:val="20"/>
          <w:color w:val="auto"/>
        </w:rPr>
      </w:pPr>
      <w:r>
        <w:rPr>
          <w:rFonts w:ascii="Arial" w:cs="Arial" w:eastAsia="Arial" w:hAnsi="Arial"/>
          <w:sz w:val="16"/>
          <w:szCs w:val="16"/>
          <w:color w:val="auto"/>
        </w:rPr>
        <w:t>In addition, if we, at any time while the warrants are outstanding and unexpired, pay a dividend or make a distribution in cash, securities or other assets to the holders of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Class A ordinary shares issuable on exercise of each warrant) but only with respect to the amount of the aggregate cash dividends or cash distributions equal to or less than $0.50 per share;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 (A) to modify the substance or timing of our obligation to provide holders of our Class A ordinary shares the right to have their shares redeemed in connection with our initial business combination or to redeem 100% of our Class A ordinary shares if we do not consummate an initial business combination within 24 months from the closing of this offering or (B) with respect to any other provisions relating to the rights of holders of our Class A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01"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outstanding Class A ordinary shares.</w:t>
      </w:r>
    </w:p>
    <w:p>
      <w:pPr>
        <w:spacing w:after="0" w:line="120"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9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us and, (i) in the case of any such issuance to our sponsor or its affiliates, without taking into account any founder shares held by our sponsor or such affiliates, as applicable, prior to such issuance, and (ii) without taking into account the transfer of founder shares or private placement warrants (including if such transfer is effectuated as a surrender to us and subsequent reissuance by us) by our sponsor in connection with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in “— Redemption of warrants” will be adjusted (to the nearest cent) to be equal to 180% of the higher of the Market Value and the Newly Issued Price.</w:t>
      </w:r>
    </w:p>
    <w:p>
      <w:pPr>
        <w:spacing w:after="0" w:line="95"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right="499"/>
        <w:spacing w:after="0" w:line="286" w:lineRule="auto"/>
        <w:rPr>
          <w:sz w:val="20"/>
          <w:szCs w:val="20"/>
          <w:color w:val="auto"/>
        </w:rPr>
      </w:pPr>
      <w:r>
        <w:rPr>
          <w:rFonts w:ascii="Arial" w:cs="Arial" w:eastAsia="Arial" w:hAnsi="Arial"/>
          <w:sz w:val="16"/>
          <w:szCs w:val="16"/>
          <w:color w:val="auto"/>
        </w:rPr>
        <w:t>conditions specified in the warrants and in lieu of the Class A ordinary shares immediately theretofore purchasable and receivable upon the 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90" w:lineRule="exact"/>
        <w:rPr>
          <w:sz w:val="20"/>
          <w:szCs w:val="20"/>
          <w:color w:val="auto"/>
        </w:rPr>
      </w:pPr>
    </w:p>
    <w:p>
      <w:pPr>
        <w:ind w:left="460" w:right="639" w:firstLine="432"/>
        <w:spacing w:after="0" w:line="291" w:lineRule="auto"/>
        <w:rPr>
          <w:sz w:val="20"/>
          <w:szCs w:val="20"/>
          <w:color w:val="auto"/>
        </w:rPr>
      </w:pPr>
      <w:r>
        <w:rPr>
          <w:rFonts w:ascii="Arial" w:cs="Arial" w:eastAsia="Arial" w:hAnsi="Arial"/>
          <w:sz w:val="16"/>
          <w:szCs w:val="16"/>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cure any ambiguity or correct any mistake or defective provision, but requires the approval by the holders of at least 65% of the then-outstanding public warrants to make any change that adversely affects the interests of the registered holders. You should review a copy of the warrant agreement, which will be filed as an exhibit to the registration statement of which this prospectus is a part, for a complete description of the terms and conditions applicable to the warrants.</w:t>
      </w:r>
    </w:p>
    <w:p>
      <w:pPr>
        <w:spacing w:after="0" w:line="99"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11" w:lineRule="exact"/>
        <w:rPr>
          <w:sz w:val="20"/>
          <w:szCs w:val="20"/>
          <w:color w:val="auto"/>
        </w:rPr>
      </w:pPr>
    </w:p>
    <w:p>
      <w:pPr>
        <w:ind w:left="460" w:right="779" w:firstLine="432"/>
        <w:spacing w:after="0" w:line="311"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down to the nearest whole number the number of Class A ordinary shares to be issued to the warrant holder.</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Private Placement Warrants</w:t>
      </w:r>
    </w:p>
    <w:p>
      <w:pPr>
        <w:spacing w:after="0" w:line="144"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The private placement warrants (including the Class A ordinary shares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and Private Placement Warrants,” to our officers and directors and other persons or entities affiliated with the initial purchasers of the private placement warrants) and they will not be redeemable by us so long as they are held by our sponsor or its permitted transferees. Our sponsor, or its permitted transferees, has the option to exercise the private placement warrants on a cashless basis. Except as described below, the private placement warrants have terms and provisions that are identical to those of the warrants being sold as part of the units in this offering.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pacing w:after="0" w:line="104"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w:t>
      </w:r>
    </w:p>
    <w:p>
      <w:pPr>
        <w:spacing w:after="0" w:line="1" w:lineRule="exact"/>
        <w:rPr>
          <w:sz w:val="20"/>
          <w:szCs w:val="20"/>
          <w:color w:val="auto"/>
        </w:rPr>
      </w:pPr>
    </w:p>
    <w:p>
      <w:pPr>
        <w:ind w:left="460" w:right="559" w:hanging="6"/>
        <w:spacing w:after="0" w:line="253" w:lineRule="auto"/>
        <w:tabs>
          <w:tab w:leader="none" w:pos="715"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fair market value. The “fair market value” shall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permitted transferees is because it is not known at this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3" w:name="page124"/>
    <w:bookmarkEnd w:id="123"/>
    <w:p>
      <w:pPr>
        <w:ind w:left="460" w:right="499"/>
        <w:spacing w:after="0" w:line="253" w:lineRule="auto"/>
        <w:rPr>
          <w:sz w:val="20"/>
          <w:szCs w:val="20"/>
          <w:color w:val="auto"/>
        </w:rPr>
      </w:pPr>
      <w:r>
        <w:rPr>
          <w:rFonts w:ascii="Arial" w:cs="Arial" w:eastAsia="Arial" w:hAnsi="Arial"/>
          <w:sz w:val="18"/>
          <w:szCs w:val="18"/>
          <w:color w:val="auto"/>
        </w:rPr>
        <w:t>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15"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In order to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warrants of the post business combination entity at a price of $1.00 per warrant at the option of the lender. Such warrants would be identical to the private placement warrants.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the size of this offering, then we will effect a share capitalization with respect to our founder shares immediately prior to the consummation of this offering in such amount as to maintain the number of founder shares at 20% of our issued and outstanding ordinary shares upon the consummation of this offering. Further, if we incur any indebtedness, our ability to declare dividends may be limited by restrictive covenants we may agree to in connection therewith.</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62"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Differences in Corporate Law</w:t>
      </w:r>
    </w:p>
    <w:p>
      <w:pPr>
        <w:spacing w:after="0" w:line="148"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20"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i w:val="1"/>
          <w:iCs w:val="1"/>
          <w:color w:val="auto"/>
        </w:rPr>
        <w:t xml:space="preserve">Mergers and Similar Arrangements. </w:t>
      </w:r>
      <w:r>
        <w:rPr>
          <w:rFonts w:ascii="Arial" w:cs="Arial" w:eastAsia="Arial" w:hAnsi="Arial"/>
          <w:sz w:val="16"/>
          <w:szCs w:val="16"/>
          <w:color w:val="auto"/>
        </w:rPr>
        <w:t>In certain circumstances, the Companies Law allows for mergers or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consolidations between two Cayman Islands companies, or between a Cayman Islands exempted company and a company incorporated in another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is facilitated by the laws of that other jurisdiction).</w:t>
      </w:r>
    </w:p>
    <w:p>
      <w:pPr>
        <w:spacing w:after="0" w:line="81" w:lineRule="exact"/>
        <w:rPr>
          <w:sz w:val="20"/>
          <w:szCs w:val="20"/>
          <w:color w:val="auto"/>
        </w:rPr>
      </w:pPr>
    </w:p>
    <w:p>
      <w:pPr>
        <w:ind w:left="460" w:right="819" w:firstLine="432"/>
        <w:spacing w:after="0" w:line="287" w:lineRule="auto"/>
        <w:rPr>
          <w:sz w:val="20"/>
          <w:szCs w:val="20"/>
          <w:color w:val="auto"/>
        </w:rPr>
      </w:pPr>
      <w:r>
        <w:rPr>
          <w:rFonts w:ascii="Arial" w:cs="Arial" w:eastAsia="Arial" w:hAnsi="Arial"/>
          <w:sz w:val="16"/>
          <w:szCs w:val="16"/>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w:t>
      </w:r>
    </w:p>
    <w:p>
      <w:pPr>
        <w:spacing w:after="0" w:line="2" w:lineRule="exact"/>
        <w:rPr>
          <w:sz w:val="20"/>
          <w:szCs w:val="20"/>
          <w:color w:val="auto"/>
        </w:rPr>
      </w:pPr>
    </w:p>
    <w:p>
      <w:pPr>
        <w:ind w:left="460" w:right="539"/>
        <w:spacing w:after="0" w:line="266" w:lineRule="auto"/>
        <w:rPr>
          <w:sz w:val="20"/>
          <w:szCs w:val="20"/>
          <w:color w:val="auto"/>
        </w:rPr>
      </w:pPr>
      <w:r>
        <w:rPr>
          <w:rFonts w:ascii="Arial" w:cs="Arial" w:eastAsia="Arial" w:hAnsi="Arial"/>
          <w:sz w:val="16"/>
          <w:szCs w:val="16"/>
          <w:color w:val="auto"/>
        </w:rPr>
        <w:t>majority of 66</w:t>
      </w:r>
      <w:r>
        <w:rPr>
          <w:rFonts w:ascii="Arial" w:cs="Arial" w:eastAsia="Arial" w:hAnsi="Arial"/>
          <w:sz w:val="30"/>
          <w:szCs w:val="30"/>
          <w:color w:val="auto"/>
          <w:vertAlign w:val="superscript"/>
        </w:rPr>
        <w:t>2/3</w:t>
      </w:r>
      <w:r>
        <w:rPr>
          <w:rFonts w:ascii="Arial" w:cs="Arial" w:eastAsia="Arial" w:hAnsi="Arial"/>
          <w:sz w:val="16"/>
          <w:szCs w:val="16"/>
          <w:color w:val="auto"/>
        </w:rPr>
        <w:t xml:space="preserve"> % in value of the voting shares voted at a general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right="599" w:firstLine="432"/>
        <w:spacing w:after="0" w:line="287" w:lineRule="auto"/>
        <w:rPr>
          <w:sz w:val="20"/>
          <w:szCs w:val="20"/>
          <w:color w:val="auto"/>
        </w:rPr>
      </w:pPr>
      <w:r>
        <w:rPr>
          <w:rFonts w:ascii="Arial" w:cs="Arial" w:eastAsia="Arial" w:hAnsi="Arial"/>
          <w:sz w:val="16"/>
          <w:szCs w:val="16"/>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87"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11"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Where the above procedures are adopted, the Companies Law provides for a right of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318"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right="539"/>
        <w:spacing w:after="0" w:line="288" w:lineRule="auto"/>
        <w:rPr>
          <w:sz w:val="20"/>
          <w:szCs w:val="20"/>
          <w:color w:val="auto"/>
        </w:rPr>
      </w:pPr>
      <w:r>
        <w:rPr>
          <w:rFonts w:ascii="Arial" w:cs="Arial" w:eastAsia="Arial" w:hAnsi="Arial"/>
          <w:sz w:val="16"/>
          <w:szCs w:val="16"/>
          <w:color w:val="auto"/>
        </w:rPr>
        <w:t>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87" w:lineRule="exact"/>
        <w:rPr>
          <w:sz w:val="20"/>
          <w:szCs w:val="20"/>
          <w:color w:val="auto"/>
        </w:rPr>
      </w:pPr>
    </w:p>
    <w:p>
      <w:pPr>
        <w:ind w:left="1320" w:right="499" w:hanging="434"/>
        <w:spacing w:after="0" w:line="277" w:lineRule="auto"/>
        <w:tabs>
          <w:tab w:leader="none" w:pos="13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the statutory provisions as to majority vote have been complied with;</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arrangement is such as a businessman would reasonably approve; and</w:t>
      </w:r>
    </w:p>
    <w:p>
      <w:pPr>
        <w:spacing w:after="0" w:line="144"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65"/>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 or that would amount to a “fraud on the minority.”</w:t>
      </w:r>
    </w:p>
    <w:p>
      <w:pPr>
        <w:spacing w:after="0" w:line="10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19"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i w:val="1"/>
          <w:iCs w:val="1"/>
          <w:color w:val="auto"/>
        </w:rPr>
        <w:t xml:space="preserve">Squeeze-out Provisions. </w:t>
      </w:r>
      <w:r>
        <w:rPr>
          <w:rFonts w:ascii="Arial" w:cs="Arial" w:eastAsia="Arial" w:hAnsi="Arial"/>
          <w:sz w:val="18"/>
          <w:szCs w:val="18"/>
          <w:color w:val="auto"/>
        </w:rPr>
        <w:t>When a takeover offer is made and accepted by holders of 90% of the shares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the offer relates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07" w:lineRule="exact"/>
        <w:rPr>
          <w:sz w:val="20"/>
          <w:szCs w:val="20"/>
          <w:color w:val="auto"/>
        </w:rPr>
      </w:pPr>
    </w:p>
    <w:p>
      <w:pPr>
        <w:ind w:left="460" w:right="1199" w:firstLine="432"/>
        <w:spacing w:after="0" w:line="340" w:lineRule="auto"/>
        <w:rPr>
          <w:sz w:val="20"/>
          <w:szCs w:val="20"/>
          <w:color w:val="auto"/>
        </w:rPr>
      </w:pPr>
      <w:r>
        <w:rPr>
          <w:rFonts w:ascii="Arial" w:cs="Arial" w:eastAsia="Arial" w:hAnsi="Arial"/>
          <w:sz w:val="15"/>
          <w:szCs w:val="15"/>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63"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i w:val="1"/>
          <w:iCs w:val="1"/>
          <w:color w:val="auto"/>
        </w:rPr>
        <w:t xml:space="preserve">Shareholders’ Suits. </w:t>
      </w:r>
      <w:r>
        <w:rPr>
          <w:rFonts w:ascii="Arial" w:cs="Arial" w:eastAsia="Arial" w:hAnsi="Arial"/>
          <w:sz w:val="16"/>
          <w:szCs w:val="16"/>
          <w:color w:val="auto"/>
        </w:rPr>
        <w:t>Our Cayman Islands counsel is not aware of any reported class action having been</w:t>
      </w:r>
      <w:r>
        <w:rPr>
          <w:rFonts w:ascii="Arial" w:cs="Arial" w:eastAsia="Arial" w:hAnsi="Arial"/>
          <w:sz w:val="16"/>
          <w:szCs w:val="16"/>
          <w:i w:val="1"/>
          <w:iCs w:val="1"/>
          <w:color w:val="auto"/>
        </w:rPr>
        <w:t xml:space="preserve"> </w:t>
      </w:r>
      <w:r>
        <w:rPr>
          <w:rFonts w:ascii="Arial" w:cs="Arial" w:eastAsia="Arial" w:hAnsi="Arial"/>
          <w:sz w:val="16"/>
          <w:szCs w:val="16"/>
          <w:color w:val="auto"/>
        </w:rPr>
        <w:t>brought in a 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99" w:lineRule="exact"/>
        <w:rPr>
          <w:sz w:val="20"/>
          <w:szCs w:val="20"/>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44" w:lineRule="exact"/>
        <w:rPr>
          <w:rFonts w:ascii="Arial" w:cs="Arial" w:eastAsia="Arial" w:hAnsi="Arial"/>
          <w:sz w:val="18"/>
          <w:szCs w:val="18"/>
          <w:color w:val="auto"/>
        </w:rPr>
      </w:pPr>
    </w:p>
    <w:p>
      <w:pPr>
        <w:ind w:left="1320" w:right="879" w:hanging="434"/>
        <w:spacing w:after="0" w:line="308" w:lineRule="auto"/>
        <w:tabs>
          <w:tab w:leader="none" w:pos="1311"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act complained of, although not beyond the scope of the authority, could be effected if duly authorized by more than the number of votes which have actually been obtained; or</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15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A shareholder may have a direct right of action against us where the individual rights of that shareholder have been infringed or are about to be infringed.</w:t>
      </w:r>
    </w:p>
    <w:p>
      <w:pPr>
        <w:spacing w:after="0" w:line="89" w:lineRule="exact"/>
        <w:rPr>
          <w:sz w:val="20"/>
          <w:szCs w:val="20"/>
          <w:color w:val="auto"/>
        </w:rPr>
      </w:pPr>
    </w:p>
    <w:p>
      <w:pPr>
        <w:jc w:val="both"/>
        <w:ind w:left="460" w:right="1199" w:firstLine="432"/>
        <w:spacing w:after="0" w:line="286" w:lineRule="auto"/>
        <w:rPr>
          <w:sz w:val="20"/>
          <w:szCs w:val="20"/>
          <w:color w:val="auto"/>
        </w:rPr>
      </w:pPr>
      <w:r>
        <w:rPr>
          <w:rFonts w:ascii="Arial" w:cs="Arial" w:eastAsia="Arial" w:hAnsi="Arial"/>
          <w:sz w:val="17"/>
          <w:szCs w:val="17"/>
          <w:i w:val="1"/>
          <w:iCs w:val="1"/>
          <w:color w:val="auto"/>
        </w:rPr>
        <w:t xml:space="preserve">Enforcement of Civil Liabilities. </w:t>
      </w:r>
      <w:r>
        <w:rPr>
          <w:rFonts w:ascii="Arial" w:cs="Arial" w:eastAsia="Arial" w:hAnsi="Arial"/>
          <w:sz w:val="17"/>
          <w:szCs w:val="17"/>
          <w:color w:val="auto"/>
        </w:rPr>
        <w:t>The Cayman Islands has a different body of securities laws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United States and provides less protection to investors. Additionally, Cayman Islands companies may not have standing to sue before the Federal courts of the United States.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right="479" w:firstLine="432"/>
        <w:spacing w:after="0" w:line="285" w:lineRule="auto"/>
        <w:rPr>
          <w:sz w:val="20"/>
          <w:szCs w:val="20"/>
          <w:color w:val="auto"/>
        </w:rPr>
      </w:pPr>
      <w:r>
        <w:rPr>
          <w:rFonts w:ascii="Arial" w:cs="Arial" w:eastAsia="Arial" w:hAnsi="Arial"/>
          <w:sz w:val="16"/>
          <w:szCs w:val="16"/>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95"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i w:val="1"/>
          <w:iCs w:val="1"/>
          <w:color w:val="auto"/>
        </w:rPr>
        <w:t xml:space="preserve">Special Considerations for Exempted Companies. </w:t>
      </w:r>
      <w:r>
        <w:rPr>
          <w:rFonts w:ascii="Arial" w:cs="Arial" w:eastAsia="Arial" w:hAnsi="Arial"/>
          <w:sz w:val="17"/>
          <w:szCs w:val="17"/>
          <w:color w:val="auto"/>
        </w:rPr>
        <w:t>We are an exempted company with limited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(meaning our public shareholders have no 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10" w:lineRule="exact"/>
        <w:rPr>
          <w:sz w:val="20"/>
          <w:szCs w:val="20"/>
          <w:color w:val="auto"/>
        </w:rPr>
      </w:pPr>
    </w:p>
    <w:p>
      <w:pPr>
        <w:ind w:left="1320" w:right="619" w:hanging="434"/>
        <w:spacing w:after="0" w:line="263" w:lineRule="auto"/>
        <w:tabs>
          <w:tab w:leader="none" w:pos="13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Law;</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exempted company may issue negotiable or bearer shares or shares with no par value;</w:t>
      </w:r>
    </w:p>
    <w:p>
      <w:pPr>
        <w:spacing w:after="0" w:line="157"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30 years in the first instance);</w:t>
      </w:r>
    </w:p>
    <w:p>
      <w:pPr>
        <w:spacing w:after="0" w:line="89" w:lineRule="exact"/>
        <w:rPr>
          <w:rFonts w:ascii="Arial" w:cs="Arial" w:eastAsia="Arial" w:hAnsi="Arial"/>
          <w:sz w:val="18"/>
          <w:szCs w:val="18"/>
          <w:color w:val="auto"/>
        </w:rPr>
      </w:pPr>
    </w:p>
    <w:p>
      <w:pPr>
        <w:ind w:left="1320" w:right="1299" w:hanging="434"/>
        <w:spacing w:after="0" w:line="277" w:lineRule="auto"/>
        <w:tabs>
          <w:tab w:leader="none" w:pos="13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under Cayman Islands law.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general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general meeting of the company (i.e., the lowest threshold permissible under Cayman Islands law), or by a unanimous written resolution of all of our shareholders.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right="479" w:firstLine="432"/>
        <w:spacing w:after="0" w:line="275" w:lineRule="auto"/>
        <w:rPr>
          <w:sz w:val="20"/>
          <w:szCs w:val="20"/>
          <w:color w:val="auto"/>
        </w:rPr>
      </w:pPr>
      <w:r>
        <w:rPr>
          <w:rFonts w:ascii="Arial" w:cs="Arial" w:eastAsia="Arial" w:hAnsi="Arial"/>
          <w:sz w:val="17"/>
          <w:szCs w:val="17"/>
          <w:color w:val="auto"/>
        </w:rPr>
        <w:t>Our sponsor and its permitted transferees, if any, who will collectively beneficially own 20% of our ordinary shares upon the closing of this offering (assuming they do not purchase any units in this offering), will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95" w:lineRule="exact"/>
        <w:rPr>
          <w:sz w:val="20"/>
          <w:szCs w:val="20"/>
          <w:color w:val="auto"/>
        </w:rPr>
      </w:pPr>
    </w:p>
    <w:p>
      <w:pPr>
        <w:ind w:left="1320" w:right="459" w:hanging="434"/>
        <w:spacing w:after="0" w:line="287" w:lineRule="auto"/>
        <w:tabs>
          <w:tab w:leader="none" w:pos="1311"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we have not consummated an initial business combination within 24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100" w:lineRule="exact"/>
        <w:rPr>
          <w:rFonts w:ascii="Arial" w:cs="Arial" w:eastAsia="Arial" w:hAnsi="Arial"/>
          <w:sz w:val="16"/>
          <w:szCs w:val="16"/>
          <w:color w:val="auto"/>
        </w:rPr>
      </w:pPr>
    </w:p>
    <w:p>
      <w:pPr>
        <w:ind w:left="1320" w:right="479" w:hanging="434"/>
        <w:spacing w:after="0" w:line="291" w:lineRule="auto"/>
        <w:tabs>
          <w:tab w:leader="none" w:pos="1311" w:val="left"/>
        </w:tabs>
        <w:numPr>
          <w:ilvl w:val="0"/>
          <w:numId w:val="68"/>
        </w:numPr>
        <w:rPr>
          <w:rFonts w:ascii="Arial" w:cs="Arial" w:eastAsia="Arial" w:hAnsi="Arial"/>
          <w:sz w:val="16"/>
          <w:szCs w:val="16"/>
          <w:color w:val="auto"/>
        </w:rPr>
      </w:pPr>
      <w:r>
        <w:rPr>
          <w:rFonts w:ascii="Arial" w:cs="Arial" w:eastAsia="Arial" w:hAnsi="Arial"/>
          <w:sz w:val="16"/>
          <w:szCs w:val="16"/>
          <w:color w:val="auto"/>
        </w:rPr>
        <w:t>prior to or in connection with our initial business combination, we may not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24 months from the closing of this offering or (y) amend the foregoing provisions;</w:t>
      </w:r>
    </w:p>
    <w:p>
      <w:pPr>
        <w:spacing w:after="0" w:line="98" w:lineRule="exact"/>
        <w:rPr>
          <w:rFonts w:ascii="Arial" w:cs="Arial" w:eastAsia="Arial" w:hAnsi="Arial"/>
          <w:sz w:val="16"/>
          <w:szCs w:val="16"/>
          <w:color w:val="auto"/>
        </w:rPr>
      </w:pPr>
    </w:p>
    <w:p>
      <w:pPr>
        <w:ind w:left="1320" w:right="499" w:hanging="434"/>
        <w:spacing w:after="0" w:line="255" w:lineRule="auto"/>
        <w:tabs>
          <w:tab w:leader="none" w:pos="13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which is a member of FINRA or an independent accounting firm that such a business combination is fair to our company from a financial point of view;</w:t>
      </w:r>
    </w:p>
    <w:p>
      <w:pPr>
        <w:spacing w:after="0" w:line="111" w:lineRule="exact"/>
        <w:rPr>
          <w:rFonts w:ascii="Arial" w:cs="Arial" w:eastAsia="Arial" w:hAnsi="Arial"/>
          <w:sz w:val="18"/>
          <w:szCs w:val="18"/>
          <w:color w:val="auto"/>
        </w:rPr>
      </w:pPr>
    </w:p>
    <w:p>
      <w:pPr>
        <w:ind w:left="1320" w:right="479" w:hanging="434"/>
        <w:spacing w:after="0" w:line="293" w:lineRule="auto"/>
        <w:tabs>
          <w:tab w:leader="none" w:pos="1311"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a shareholder vote on our initial business combination is not required by law and we do not decide to hold a shareholder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96" w:lineRule="exact"/>
        <w:rPr>
          <w:rFonts w:ascii="Arial" w:cs="Arial" w:eastAsia="Arial" w:hAnsi="Arial"/>
          <w:sz w:val="16"/>
          <w:szCs w:val="16"/>
          <w:color w:val="auto"/>
        </w:rPr>
      </w:pPr>
    </w:p>
    <w:p>
      <w:pPr>
        <w:ind w:left="1320" w:right="479" w:hanging="434"/>
        <w:spacing w:after="0" w:line="301" w:lineRule="auto"/>
        <w:tabs>
          <w:tab w:leader="none" w:pos="1311" w:val="left"/>
        </w:tabs>
        <w:numPr>
          <w:ilvl w:val="0"/>
          <w:numId w:val="68"/>
        </w:numPr>
        <w:rPr>
          <w:rFonts w:ascii="Arial" w:cs="Arial" w:eastAsia="Arial" w:hAnsi="Arial"/>
          <w:sz w:val="16"/>
          <w:szCs w:val="16"/>
          <w:color w:val="auto"/>
        </w:rPr>
      </w:pPr>
      <w:r>
        <w:rPr>
          <w:rFonts w:ascii="Arial" w:cs="Arial" w:eastAsia="Arial" w:hAnsi="Arial"/>
          <w:sz w:val="16"/>
          <w:szCs w:val="16"/>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the agreement to enter into the initial business combination;</w:t>
      </w:r>
    </w:p>
    <w:p>
      <w:pPr>
        <w:spacing w:after="0" w:line="89" w:lineRule="exact"/>
        <w:rPr>
          <w:rFonts w:ascii="Arial" w:cs="Arial" w:eastAsia="Arial" w:hAnsi="Arial"/>
          <w:sz w:val="16"/>
          <w:szCs w:val="16"/>
          <w:color w:val="auto"/>
        </w:rPr>
      </w:pPr>
    </w:p>
    <w:p>
      <w:pPr>
        <w:ind w:left="1320" w:right="499" w:hanging="434"/>
        <w:spacing w:after="0" w:line="288" w:lineRule="auto"/>
        <w:tabs>
          <w:tab w:leader="none" w:pos="1311" w:val="left"/>
        </w:tabs>
        <w:numPr>
          <w:ilvl w:val="0"/>
          <w:numId w:val="68"/>
        </w:numPr>
        <w:rPr>
          <w:rFonts w:ascii="Arial" w:cs="Arial" w:eastAsia="Arial" w:hAnsi="Arial"/>
          <w:sz w:val="16"/>
          <w:szCs w:val="16"/>
          <w:color w:val="auto"/>
        </w:rPr>
      </w:pPr>
      <w:r>
        <w:rPr>
          <w:rFonts w:ascii="Arial" w:cs="Arial" w:eastAsia="Arial" w:hAnsi="Arial"/>
          <w:sz w:val="16"/>
          <w:szCs w:val="16"/>
          <w:color w:val="auto"/>
        </w:rPr>
        <w:t>if our shareholders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24 months from the closing of this offering,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p>
      <w:pPr>
        <w:spacing w:after="0" w:line="87" w:lineRule="exact"/>
        <w:rPr>
          <w:rFonts w:ascii="Arial" w:cs="Arial" w:eastAsia="Arial" w:hAnsi="Arial"/>
          <w:sz w:val="16"/>
          <w:szCs w:val="16"/>
          <w:color w:val="auto"/>
        </w:rPr>
      </w:pPr>
    </w:p>
    <w:p>
      <w:pPr>
        <w:ind w:left="1320" w:right="919" w:hanging="434"/>
        <w:spacing w:after="0" w:line="277" w:lineRule="auto"/>
        <w:tabs>
          <w:tab w:leader="none" w:pos="1311" w:val="left"/>
        </w:tabs>
        <w:numPr>
          <w:ilvl w:val="0"/>
          <w:numId w:val="68"/>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with another blank check company or a similar company with nominal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jc w:val="both"/>
        <w:ind w:left="460" w:right="519" w:firstLine="432"/>
        <w:spacing w:after="0" w:line="263" w:lineRule="auto"/>
        <w:rPr>
          <w:sz w:val="20"/>
          <w:szCs w:val="20"/>
          <w:color w:val="auto"/>
        </w:rPr>
      </w:pPr>
      <w:r>
        <w:rPr>
          <w:rFonts w:ascii="Arial" w:cs="Arial" w:eastAsia="Arial" w:hAnsi="Arial"/>
          <w:sz w:val="18"/>
          <w:szCs w:val="18"/>
          <w:color w:val="auto"/>
        </w:rPr>
        <w:t>In addition, our amended and restated memorandum and articles of association will provide that under no circumstances will we redeem our public shares in an amount that would cause our net tangible assets to be less than $5,000,001.</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Companies Law permits a company incorporated in the Cayman Islands to amend its memorandum and articles of association with the approval of a special resolution which requires the approval of the holders of at least two-thirds of such company’s issued and outstanding ordinary shares who attend and vote at a general meeting or by way of unanimous written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11"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have agreed with our sponsor that, prior to the consummation of an initial business combination, we may not, without the consent of our sponsor, issue any additional equity securities.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Anti-Money Laundering — Cayman Islands</w:t>
      </w:r>
    </w:p>
    <w:p>
      <w:pPr>
        <w:spacing w:after="0" w:line="162" w:lineRule="exact"/>
        <w:rPr>
          <w:sz w:val="20"/>
          <w:szCs w:val="20"/>
          <w:color w:val="auto"/>
        </w:rPr>
      </w:pPr>
    </w:p>
    <w:p>
      <w:pPr>
        <w:ind w:left="460" w:right="679" w:firstLine="432"/>
        <w:spacing w:after="0" w:line="275" w:lineRule="auto"/>
        <w:rPr>
          <w:sz w:val="20"/>
          <w:szCs w:val="20"/>
          <w:color w:val="auto"/>
        </w:rPr>
      </w:pPr>
      <w:r>
        <w:rPr>
          <w:rFonts w:ascii="Arial" w:cs="Arial" w:eastAsia="Arial" w:hAnsi="Arial"/>
          <w:sz w:val="17"/>
          <w:szCs w:val="17"/>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95"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(2020 Revision) of the Cayman Islands, as amended and revised from time to time (the “Regulations”). Depending on the circumstances of each application, a detailed verification of identity might not be required where:</w:t>
      </w:r>
    </w:p>
    <w:p>
      <w:pPr>
        <w:spacing w:after="0" w:line="120" w:lineRule="exact"/>
        <w:rPr>
          <w:sz w:val="20"/>
          <w:szCs w:val="20"/>
          <w:color w:val="auto"/>
        </w:rPr>
      </w:pPr>
    </w:p>
    <w:p>
      <w:pPr>
        <w:ind w:left="1320" w:right="619" w:hanging="434"/>
        <w:spacing w:after="0" w:line="342" w:lineRule="auto"/>
        <w:tabs>
          <w:tab w:leader="none" w:pos="1298"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subscriber is a relevant financial business required to comply with the Anti-Money Laundering Regulations (2020 Revision) or is a majority-owned subsidiary of such a business; or</w:t>
      </w:r>
    </w:p>
    <w:p>
      <w:pPr>
        <w:spacing w:after="0" w:line="29" w:lineRule="exact"/>
        <w:rPr>
          <w:rFonts w:ascii="Arial" w:cs="Arial" w:eastAsia="Arial" w:hAnsi="Arial"/>
          <w:sz w:val="16"/>
          <w:szCs w:val="16"/>
          <w:color w:val="auto"/>
        </w:rPr>
      </w:pPr>
    </w:p>
    <w:p>
      <w:pPr>
        <w:ind w:left="1320" w:right="619" w:hanging="434"/>
        <w:spacing w:after="0" w:line="259" w:lineRule="auto"/>
        <w:tabs>
          <w:tab w:leader="none" w:pos="130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subscriber is acting in the course of a business in relation to which a regulatory authority exercises regulatory functions and which is in a country listed by the Cayman Islands Anti-Money Laundering Steering Committee (“Equivalent Jurisdiction”) or is a majority-owned subsidiary of such subscriber; or</w:t>
      </w:r>
    </w:p>
    <w:p>
      <w:pPr>
        <w:spacing w:after="0" w:line="105" w:lineRule="exact"/>
        <w:rPr>
          <w:rFonts w:ascii="Arial" w:cs="Arial" w:eastAsia="Arial" w:hAnsi="Arial"/>
          <w:sz w:val="18"/>
          <w:szCs w:val="18"/>
          <w:color w:val="auto"/>
        </w:rPr>
      </w:pPr>
    </w:p>
    <w:p>
      <w:pPr>
        <w:ind w:left="1320" w:right="479" w:hanging="434"/>
        <w:spacing w:after="0" w:line="277" w:lineRule="auto"/>
        <w:tabs>
          <w:tab w:leader="none" w:pos="129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subscriber is a central or local government organization, statutory body or agency of government in the Cayman Islands or an Equivalent Jurisdiction; or</w:t>
      </w:r>
    </w:p>
    <w:p>
      <w:pPr>
        <w:spacing w:after="0" w:line="75" w:lineRule="exact"/>
        <w:rPr>
          <w:rFonts w:ascii="Arial" w:cs="Arial" w:eastAsia="Arial" w:hAnsi="Arial"/>
          <w:sz w:val="18"/>
          <w:szCs w:val="18"/>
          <w:color w:val="auto"/>
        </w:rPr>
      </w:pPr>
    </w:p>
    <w:p>
      <w:pPr>
        <w:jc w:val="both"/>
        <w:ind w:left="1320" w:right="599" w:hanging="434"/>
        <w:spacing w:after="0" w:line="263" w:lineRule="auto"/>
        <w:tabs>
          <w:tab w:leader="none" w:pos="130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subscriber is a company that is listed on a recognized stock exchange and subject to disclosure requirements which impose requirements to ensure adequate transparency of beneficial ownership, or is a majority-owned subsidiary of such a company; or</w:t>
      </w:r>
    </w:p>
    <w:p>
      <w:pPr>
        <w:spacing w:after="0" w:line="89" w:lineRule="exact"/>
        <w:rPr>
          <w:rFonts w:ascii="Arial" w:cs="Arial" w:eastAsia="Arial" w:hAnsi="Arial"/>
          <w:sz w:val="18"/>
          <w:szCs w:val="18"/>
          <w:color w:val="auto"/>
        </w:rPr>
      </w:pPr>
    </w:p>
    <w:p>
      <w:pPr>
        <w:ind w:left="1320" w:right="639" w:hanging="434"/>
        <w:spacing w:after="0" w:line="277" w:lineRule="auto"/>
        <w:tabs>
          <w:tab w:leader="none" w:pos="129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subscriber is a pension fund for a professional association, trade union or is acting on behalf of employees of an entity referred to in sub-paragraphs (a) to (d); or</w:t>
      </w:r>
    </w:p>
    <w:p>
      <w:pPr>
        <w:spacing w:after="0" w:line="89" w:lineRule="exact"/>
        <w:rPr>
          <w:sz w:val="20"/>
          <w:szCs w:val="20"/>
          <w:color w:val="auto"/>
        </w:rPr>
      </w:pPr>
    </w:p>
    <w:p>
      <w:pPr>
        <w:ind w:left="1320" w:right="479" w:hanging="431"/>
        <w:spacing w:after="0" w:line="272" w:lineRule="auto"/>
        <w:rPr>
          <w:sz w:val="20"/>
          <w:szCs w:val="20"/>
          <w:color w:val="auto"/>
        </w:rPr>
      </w:pPr>
      <w:r>
        <w:rPr>
          <w:rFonts w:ascii="Arial" w:cs="Arial" w:eastAsia="Arial" w:hAnsi="Arial"/>
          <w:sz w:val="17"/>
          <w:szCs w:val="17"/>
          <w:color w:val="auto"/>
        </w:rPr>
        <w:t>f)the application is made through an intermediary which falls within one of sub-paragraphs (a) to (e). In this situation the company may rely on a written assurance from the intermediary which confirms (i) that the requisite identification and verification procedures on the applicant for business and its beneficial owners have been carried out; (ii) the nature and intended purpose of the business relationship; (iii) that the intermediary has identified the source of funds of the applicant for business; and (iv) that the intermediary shall make available copies of any identification and verification data or information and relevant documents.</w:t>
      </w:r>
    </w:p>
    <w:p>
      <w:pPr>
        <w:spacing w:after="0" w:line="96"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right="819" w:firstLine="432"/>
        <w:spacing w:after="0" w:line="286" w:lineRule="auto"/>
        <w:rPr>
          <w:sz w:val="20"/>
          <w:szCs w:val="20"/>
          <w:color w:val="auto"/>
        </w:rPr>
      </w:pPr>
      <w:r>
        <w:rPr>
          <w:rFonts w:ascii="Arial" w:cs="Arial" w:eastAsia="Arial" w:hAnsi="Arial"/>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84"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We also reserve the right to refuse to make any payment to a shareholder if our directors or officers suspect or are advised that the payment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20"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(2019 Revision) of the Cayman Islands if the disclosure relates to criminal conduct or money laundering or (ii) a police officer of the rank of constable or higher, or the Financial Reporting Authority, pursuant to the Terrorism Law (2020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Data Protection — Cayman Islands</w:t>
      </w:r>
    </w:p>
    <w:p>
      <w:pPr>
        <w:spacing w:after="0" w:line="162"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We have certain duties under the Data Protection Law, 2017 of the Cayman Islands (the “DPL”) based on internationally accepted principles of data privacy.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Privacy Notice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Introduction</w:t>
      </w:r>
    </w:p>
    <w:p>
      <w:pPr>
        <w:spacing w:after="0" w:line="14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This privacy notice puts our shareholders on notice that through your investment in the company you will provide us with certain personal information which constitutes personal data within the meaning of the DPL (“personal data”). In the following discussion, the “company” refers to us and our affiliates and/or delegates, except where the context requires otherwise.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Investor Data</w:t>
      </w:r>
    </w:p>
    <w:p>
      <w:pPr>
        <w:spacing w:after="0" w:line="15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99"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90" w:lineRule="exact"/>
        <w:rPr>
          <w:sz w:val="20"/>
          <w:szCs w:val="20"/>
          <w:color w:val="auto"/>
        </w:rPr>
      </w:pPr>
    </w:p>
    <w:p>
      <w:pPr>
        <w:ind w:left="460" w:right="699" w:firstLine="432"/>
        <w:spacing w:after="0" w:line="255" w:lineRule="auto"/>
        <w:rPr>
          <w:sz w:val="20"/>
          <w:szCs w:val="20"/>
          <w:color w:val="auto"/>
        </w:rPr>
      </w:pPr>
      <w:r>
        <w:rPr>
          <w:rFonts w:ascii="Arial" w:cs="Arial" w:eastAsia="Arial" w:hAnsi="Arial"/>
          <w:sz w:val="18"/>
          <w:szCs w:val="18"/>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sz w:val="20"/>
          <w:szCs w:val="20"/>
          <w:color w:val="auto"/>
        </w:rPr>
      </w:pPr>
      <w:r>
        <w:rPr>
          <w:rFonts w:ascii="Arial" w:cs="Arial" w:eastAsia="Arial" w:hAnsi="Arial"/>
          <w:sz w:val="18"/>
          <w:szCs w:val="18"/>
          <w:i w:val="1"/>
          <w:iCs w:val="1"/>
          <w:color w:val="auto"/>
        </w:rPr>
        <w:t>Who this Affects</w:t>
      </w:r>
    </w:p>
    <w:p>
      <w:pPr>
        <w:spacing w:after="0" w:line="158"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How the Company May Use a Shareholder’s Personal Data</w:t>
      </w:r>
    </w:p>
    <w:p>
      <w:pPr>
        <w:spacing w:after="0" w:line="144" w:lineRule="exact"/>
        <w:rPr>
          <w:sz w:val="20"/>
          <w:szCs w:val="20"/>
          <w:color w:val="auto"/>
        </w:rPr>
      </w:pPr>
    </w:p>
    <w:p>
      <w:pPr>
        <w:ind w:left="460" w:right="1139" w:firstLine="432"/>
        <w:spacing w:after="0" w:line="277" w:lineRule="auto"/>
        <w:rPr>
          <w:sz w:val="20"/>
          <w:szCs w:val="20"/>
          <w:color w:val="auto"/>
        </w:rPr>
      </w:pPr>
      <w:r>
        <w:rPr>
          <w:rFonts w:ascii="Arial" w:cs="Arial" w:eastAsia="Arial" w:hAnsi="Arial"/>
          <w:sz w:val="18"/>
          <w:szCs w:val="18"/>
          <w:color w:val="auto"/>
        </w:rPr>
        <w:t>The company, as the data controller, may collect, store and use personal data for lawful purposes, including, in particular:</w:t>
      </w:r>
    </w:p>
    <w:p>
      <w:pPr>
        <w:spacing w:after="0" w:line="103" w:lineRule="exact"/>
        <w:rPr>
          <w:sz w:val="20"/>
          <w:szCs w:val="20"/>
          <w:color w:val="auto"/>
        </w:rPr>
      </w:pPr>
    </w:p>
    <w:p>
      <w:pPr>
        <w:ind w:left="1320" w:right="1059" w:hanging="434"/>
        <w:spacing w:after="0" w:line="277" w:lineRule="auto"/>
        <w:tabs>
          <w:tab w:leader="none" w:pos="131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where this is necessary for the performance of our rights and obligations under any purchase agreements;</w:t>
      </w:r>
    </w:p>
    <w:p>
      <w:pPr>
        <w:spacing w:after="0" w:line="102" w:lineRule="exact"/>
        <w:rPr>
          <w:rFonts w:ascii="Arial" w:cs="Arial" w:eastAsia="Arial" w:hAnsi="Arial"/>
          <w:sz w:val="18"/>
          <w:szCs w:val="18"/>
          <w:color w:val="auto"/>
        </w:rPr>
      </w:pPr>
    </w:p>
    <w:p>
      <w:pPr>
        <w:ind w:left="1320" w:right="459" w:hanging="434"/>
        <w:spacing w:after="0" w:line="308" w:lineRule="auto"/>
        <w:tabs>
          <w:tab w:leader="none" w:pos="1278" w:val="left"/>
        </w:tabs>
        <w:numPr>
          <w:ilvl w:val="0"/>
          <w:numId w:val="70"/>
        </w:numPr>
        <w:rPr>
          <w:rFonts w:ascii="Arial" w:cs="Arial" w:eastAsia="Arial" w:hAnsi="Arial"/>
          <w:sz w:val="17"/>
          <w:szCs w:val="17"/>
          <w:color w:val="auto"/>
        </w:rPr>
      </w:pPr>
      <w:r>
        <w:rPr>
          <w:rFonts w:ascii="Arial" w:cs="Arial" w:eastAsia="Arial" w:hAnsi="Arial"/>
          <w:sz w:val="17"/>
          <w:szCs w:val="17"/>
          <w:color w:val="auto"/>
        </w:rPr>
        <w:t>where this is necessary for compliance with a legal and regulatory obligation to which we are subject (such as compliance with anti-money laundering and FATCA/CRS requirements); and/or</w:t>
      </w:r>
    </w:p>
    <w:p>
      <w:pPr>
        <w:spacing w:after="0" w:line="65" w:lineRule="exact"/>
        <w:rPr>
          <w:rFonts w:ascii="Arial" w:cs="Arial" w:eastAsia="Arial" w:hAnsi="Arial"/>
          <w:sz w:val="17"/>
          <w:szCs w:val="17"/>
          <w:color w:val="auto"/>
        </w:rPr>
      </w:pPr>
    </w:p>
    <w:p>
      <w:pPr>
        <w:ind w:left="1320" w:right="1099" w:hanging="434"/>
        <w:spacing w:after="0" w:line="277" w:lineRule="auto"/>
        <w:tabs>
          <w:tab w:leader="none" w:pos="1313" w:val="left"/>
        </w:tabs>
        <w:numPr>
          <w:ilvl w:val="0"/>
          <w:numId w:val="70"/>
        </w:numPr>
        <w:rPr>
          <w:rFonts w:ascii="Arial" w:cs="Arial" w:eastAsia="Arial" w:hAnsi="Arial"/>
          <w:sz w:val="18"/>
          <w:szCs w:val="18"/>
          <w:color w:val="auto"/>
        </w:rPr>
      </w:pPr>
      <w:r>
        <w:rPr>
          <w:rFonts w:ascii="Arial" w:cs="Arial" w:eastAsia="Arial" w:hAnsi="Arial"/>
          <w:sz w:val="18"/>
          <w:szCs w:val="18"/>
          <w:color w:val="auto"/>
        </w:rPr>
        <w:t>where this is necessary for the purposes of our legitimate interests and such interests are not overridden by your interests, fundamental rights or freedoms.</w:t>
      </w:r>
    </w:p>
    <w:p>
      <w:pPr>
        <w:spacing w:after="0" w:line="103"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Should we wish to use personal data for other specific purposes (including, if applicable, any purpose that requires your consent), we will contact you.</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Why We May Transfer Your Personal Data</w:t>
      </w:r>
    </w:p>
    <w:p>
      <w:pPr>
        <w:spacing w:after="0" w:line="158" w:lineRule="exact"/>
        <w:rPr>
          <w:sz w:val="20"/>
          <w:szCs w:val="20"/>
          <w:color w:val="auto"/>
        </w:rPr>
      </w:pPr>
    </w:p>
    <w:p>
      <w:pPr>
        <w:ind w:left="460" w:right="859" w:firstLine="432"/>
        <w:spacing w:after="0" w:line="259" w:lineRule="auto"/>
        <w:rPr>
          <w:sz w:val="20"/>
          <w:szCs w:val="20"/>
          <w:color w:val="auto"/>
        </w:rPr>
      </w:pPr>
      <w:r>
        <w:rPr>
          <w:rFonts w:ascii="Arial" w:cs="Arial" w:eastAsia="Arial" w:hAnsi="Arial"/>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06" w:lineRule="exact"/>
        <w:rPr>
          <w:sz w:val="20"/>
          <w:szCs w:val="20"/>
          <w:color w:val="auto"/>
        </w:rPr>
      </w:pPr>
    </w:p>
    <w:p>
      <w:pPr>
        <w:ind w:left="460" w:right="999" w:firstLine="432"/>
        <w:spacing w:after="0" w:line="311" w:lineRule="auto"/>
        <w:rPr>
          <w:sz w:val="20"/>
          <w:szCs w:val="20"/>
          <w:color w:val="auto"/>
        </w:rPr>
      </w:pPr>
      <w:r>
        <w:rPr>
          <w:rFonts w:ascii="Arial" w:cs="Arial" w:eastAsia="Arial" w:hAnsi="Arial"/>
          <w:sz w:val="16"/>
          <w:szCs w:val="16"/>
          <w:color w:val="auto"/>
        </w:rPr>
        <w:t>We anticipates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Data Protection Measures We Take</w:t>
      </w:r>
    </w:p>
    <w:p>
      <w:pPr>
        <w:spacing w:after="0" w:line="158"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Any transfer of personal data by us or our duly authorized affiliates and/or delegates outside of the Cayman Islands shall be in accordance with the requirements of the DPL.</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84" w:lineRule="exact"/>
        <w:rPr>
          <w:sz w:val="20"/>
          <w:szCs w:val="20"/>
          <w:color w:val="auto"/>
        </w:rPr>
      </w:pPr>
    </w:p>
    <w:p>
      <w:pPr>
        <w:ind w:left="460" w:right="899" w:firstLine="432"/>
        <w:spacing w:after="0" w:line="342" w:lineRule="auto"/>
        <w:rPr>
          <w:sz w:val="20"/>
          <w:szCs w:val="20"/>
          <w:color w:val="auto"/>
        </w:rPr>
      </w:pPr>
      <w:r>
        <w:rPr>
          <w:rFonts w:ascii="Arial" w:cs="Arial" w:eastAsia="Arial" w:hAnsi="Arial"/>
          <w:sz w:val="16"/>
          <w:szCs w:val="16"/>
          <w:color w:val="auto"/>
        </w:rPr>
        <w:t>We shall notify you of any personal data breach that is reasonably likely to result in a risk to your interests, fundamental rights or freedoms or those data subjects to whom the relevant personal data relates.</w:t>
      </w:r>
    </w:p>
    <w:p>
      <w:pPr>
        <w:spacing w:after="0" w:line="120" w:lineRule="exact"/>
        <w:rPr>
          <w:sz w:val="20"/>
          <w:szCs w:val="20"/>
          <w:color w:val="auto"/>
        </w:rPr>
      </w:pPr>
    </w:p>
    <w:p>
      <w:pPr>
        <w:ind w:left="460" w:right="1339"/>
        <w:spacing w:after="0" w:line="282" w:lineRule="auto"/>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98"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Our amended and restated memorandum and articles of association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81"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Our authorized but unissued Class A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1" w:name="page132"/>
    <w:bookmarkEnd w:id="131"/>
    <w:p>
      <w:pPr>
        <w:ind w:left="4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62"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Immediately after this offering, we will have 37,500,000 Class A ordinary shares (or 43,125,000 Class A ordinary shares if the underwriter’s over-allotment option is exercised in full) issued and outstanding on an as-converted basis. Of these shares, the Class A ordinary shares sold in this offering (30,000,000 Class A ordinary shares if the underwriter’s over-allotment option is not exercised and 34,500,000 Class A ordinary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(7,500,000 founder shares if the underwriter’s over-allotment option is not exercised and 8,625,000 founder shares if the underwriter’s over-allotment option is exercised in full) and all of the outstanding private placement warrants (10,000,000) will be restricted securities under Rule 144, in that they were issued in private transactions not involving a public offering.</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Rule 144</w:t>
      </w:r>
    </w:p>
    <w:p>
      <w:pPr>
        <w:spacing w:after="0" w:line="144"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110"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9" w:lineRule="exact"/>
        <w:rPr>
          <w:sz w:val="20"/>
          <w:szCs w:val="20"/>
          <w:color w:val="auto"/>
        </w:rPr>
      </w:pPr>
    </w:p>
    <w:p>
      <w:pPr>
        <w:ind w:left="1320" w:right="799" w:hanging="434"/>
        <w:spacing w:after="0" w:line="263" w:lineRule="auto"/>
        <w:tabs>
          <w:tab w:leader="none" w:pos="13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1% of the total number of ordinary shares then outstanding, which will equal 375,000 shares immediately after this offering (or 431,250 shares if the underwriter exercises its over-allotment option in full); or</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103" w:lineRule="exact"/>
        <w:rPr>
          <w:sz w:val="20"/>
          <w:szCs w:val="20"/>
          <w:color w:val="auto"/>
        </w:rPr>
      </w:pPr>
    </w:p>
    <w:p>
      <w:pPr>
        <w:ind w:left="460" w:right="1359" w:firstLine="432"/>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68" w:lineRule="exact"/>
        <w:rPr>
          <w:sz w:val="20"/>
          <w:szCs w:val="20"/>
          <w:color w:val="auto"/>
        </w:rPr>
      </w:pPr>
    </w:p>
    <w:p>
      <w:pPr>
        <w:ind w:left="1300" w:hanging="414"/>
        <w:spacing w:after="0"/>
        <w:tabs>
          <w:tab w:leader="none" w:pos="1300"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80" w:lineRule="exact"/>
        <w:rPr>
          <w:rFonts w:ascii="Arial" w:cs="Arial" w:eastAsia="Arial" w:hAnsi="Arial"/>
          <w:sz w:val="16"/>
          <w:szCs w:val="16"/>
          <w:color w:val="auto"/>
        </w:rPr>
      </w:pPr>
    </w:p>
    <w:p>
      <w:pPr>
        <w:ind w:left="1320" w:right="899" w:hanging="434"/>
        <w:spacing w:after="0" w:line="277" w:lineRule="auto"/>
        <w:tabs>
          <w:tab w:leader="none" w:pos="13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ind w:left="1320" w:right="599" w:hanging="434"/>
        <w:spacing w:after="0" w:line="263" w:lineRule="auto"/>
        <w:tabs>
          <w:tab w:leader="none" w:pos="13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02"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460" w:right="899" w:firstLine="432"/>
        <w:spacing w:after="0" w:line="263" w:lineRule="auto"/>
        <w:rPr>
          <w:sz w:val="20"/>
          <w:szCs w:val="20"/>
          <w:color w:val="auto"/>
        </w:rPr>
      </w:pPr>
      <w:r>
        <w:rPr>
          <w:rFonts w:ascii="Arial" w:cs="Arial" w:eastAsia="Arial" w:hAnsi="Arial"/>
          <w:sz w:val="18"/>
          <w:szCs w:val="18"/>
          <w:color w:val="auto"/>
        </w:rPr>
        <w:t>As a result, our sponsor will be able to sell its founder shares and private placement warrants, as applicable, pursuant to Rule 144 without registration one year after we have completed our initial business combination.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2" w:name="page133"/>
    <w:bookmarkEnd w:id="132"/>
    <w:p>
      <w:pPr>
        <w:ind w:left="460"/>
        <w:spacing w:after="0"/>
        <w:rPr>
          <w:sz w:val="20"/>
          <w:szCs w:val="20"/>
          <w:color w:val="auto"/>
        </w:rPr>
      </w:pPr>
      <w:r>
        <w:rPr>
          <w:rFonts w:ascii="Arial" w:cs="Arial" w:eastAsia="Arial" w:hAnsi="Arial"/>
          <w:sz w:val="18"/>
          <w:szCs w:val="18"/>
          <w:b w:val="1"/>
          <w:bCs w:val="1"/>
          <w:color w:val="auto"/>
        </w:rPr>
        <w:t>Registration and Shareholder Rights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will be entitled to registration rights pursuant to a registration and shareholder rights agreement to be signed prior to or on the effective date of this offering.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as described in the following paragraph, and (ii)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9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Except as described herein, our sponsor and our directors and executive officers have agreed not to transfer, assign or sell any of their founder shares until (i) one year after the completion of our initial business combination, or (ii) the date on which we complete a liquidation, merger, share exchange or other similar transaction after our initial business combination that results in all of our shareholders having the right to exchange their Class A ordinary shares for cash, securities or other property. Any permitted transferees will be subject to the same restrictions and other agreements of our sponsor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14"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In addition, pursuant to the registration and shareholder rights agreement, our sponsor, upon consummation of an initial business combination, will be entitled to nominate three individuals for election to our board of directors, as long as the sponsor holds any securities covered by the registration and shareholder rights agreement.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intend to apply to have our units listed on the NYSE under the symbol “SOAC.U.” Once the securities comprising the units begin separate trading, we expect that the Class A ordinary shares and warrants will be listed on the NYSE under the symbols “SOAC” and “SOAC WS,” respectively. The units will automatically separate into their component parts and will not be traded following the completion of our initial business combination.</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162"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The following summary of certain Cayman Islands and U.S. federal income tax consequences of an investment in our units, each consisting of one Class A ordinary share and one-half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97"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Prospective investors should consult their advisors on the possible tax consequences of investing in our securities under the laws of their country of citizenship, residence or domicile.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Cayman Islands Tax Considerations</w:t>
      </w:r>
    </w:p>
    <w:p>
      <w:pPr>
        <w:spacing w:after="0" w:line="162"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 Existing Cayman Islands Laws:</w:t>
      </w:r>
    </w:p>
    <w:p>
      <w:pPr>
        <w:spacing w:after="0" w:line="162"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corporation tax. The Cayman Islands currently have no income, corporation or capital gains tax and no estate duty, inheritance tax or gift tax.</w:t>
      </w:r>
    </w:p>
    <w:p>
      <w:pPr>
        <w:spacing w:after="0" w:line="107"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No stamp duty is payable in respect of the issue of the warrants. An instrument of transfer in respect of a warrant is stampable if executed in or brought into the Cayman Islands.</w:t>
      </w:r>
    </w:p>
    <w:p>
      <w:pPr>
        <w:spacing w:after="0" w:line="103"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No stamp duty is payable in respect of the issue of our Class A ordinary shares or on an instrument of transfer in respect of such shares.</w:t>
      </w:r>
    </w:p>
    <w:p>
      <w:pPr>
        <w:spacing w:after="0" w:line="10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company has been incorporated under the laws of the Cayman Islands as an exempted company with limited liability and, as such, has applied for and expects to obtain after the effectiveness of the registration statement of which this prospectus forms a part an undertaking from the Financial Secretary of the Cayman Islands in the following form:</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Tax Concessions Law</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(2020 Revision)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Undertaking as to Tax Concessions</w:t>
      </w:r>
    </w:p>
    <w:p>
      <w:pPr>
        <w:spacing w:after="0" w:line="130"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accordance with the provision of Section 6 of The Tax Concessions Law (2020 Revision), the Financial Secretary undertakes with Sustainable Opportunities Acquisition Corp. (the “Company”):</w:t>
      </w:r>
    </w:p>
    <w:p>
      <w:pPr>
        <w:spacing w:after="0" w:line="103" w:lineRule="exact"/>
        <w:rPr>
          <w:sz w:val="20"/>
          <w:szCs w:val="20"/>
          <w:color w:val="auto"/>
        </w:rPr>
      </w:pPr>
    </w:p>
    <w:p>
      <w:pPr>
        <w:ind w:left="1320" w:right="979" w:hanging="434"/>
        <w:spacing w:after="0" w:line="308" w:lineRule="auto"/>
        <w:tabs>
          <w:tab w:leader="none" w:pos="1290" w:val="left"/>
        </w:tabs>
        <w:numPr>
          <w:ilvl w:val="0"/>
          <w:numId w:val="73"/>
        </w:numPr>
        <w:rPr>
          <w:rFonts w:ascii="Arial" w:cs="Arial" w:eastAsia="Arial" w:hAnsi="Arial"/>
          <w:sz w:val="17"/>
          <w:szCs w:val="17"/>
          <w:color w:val="auto"/>
        </w:rPr>
      </w:pPr>
      <w:r>
        <w:rPr>
          <w:rFonts w:ascii="Arial" w:cs="Arial" w:eastAsia="Arial" w:hAnsi="Arial"/>
          <w:sz w:val="17"/>
          <w:szCs w:val="17"/>
          <w:color w:val="auto"/>
        </w:rPr>
        <w:t>That no law which is hereafter enacted in the Islands imposing any tax to be levied on profits, income, gains or appreciations shall apply to the Company or its operations; and</w:t>
      </w:r>
    </w:p>
    <w:p>
      <w:pPr>
        <w:spacing w:after="0" w:line="78" w:lineRule="exact"/>
        <w:rPr>
          <w:rFonts w:ascii="Arial" w:cs="Arial" w:eastAsia="Arial" w:hAnsi="Arial"/>
          <w:sz w:val="17"/>
          <w:szCs w:val="17"/>
          <w:color w:val="auto"/>
        </w:rPr>
      </w:pPr>
    </w:p>
    <w:p>
      <w:pPr>
        <w:ind w:left="1320" w:right="879" w:hanging="434"/>
        <w:spacing w:after="0" w:line="277" w:lineRule="auto"/>
        <w:tabs>
          <w:tab w:leader="none" w:pos="1293"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addition, that no tax to be levied on profits, income, gains or appreciations or which is in the nature of estate duty or inheritance tax shall be payable:</w:t>
      </w:r>
    </w:p>
    <w:p>
      <w:pPr>
        <w:spacing w:after="0" w:line="89" w:lineRule="exact"/>
        <w:rPr>
          <w:sz w:val="20"/>
          <w:szCs w:val="20"/>
          <w:color w:val="auto"/>
        </w:rPr>
      </w:pPr>
    </w:p>
    <w:p>
      <w:pPr>
        <w:ind w:left="1320"/>
        <w:spacing w:after="0"/>
        <w:tabs>
          <w:tab w:leader="none" w:pos="17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On or in respect of the shares, debentures or other obligations of the Company; or</w:t>
      </w:r>
    </w:p>
    <w:p>
      <w:pPr>
        <w:spacing w:after="0" w:line="158" w:lineRule="exact"/>
        <w:rPr>
          <w:sz w:val="20"/>
          <w:szCs w:val="20"/>
          <w:color w:val="auto"/>
        </w:rPr>
      </w:pPr>
    </w:p>
    <w:p>
      <w:pPr>
        <w:ind w:left="1720" w:right="479" w:hanging="431"/>
        <w:spacing w:after="0" w:line="277" w:lineRule="auto"/>
        <w:tabs>
          <w:tab w:leader="none" w:pos="1700" w:val="left"/>
        </w:tabs>
        <w:rPr>
          <w:sz w:val="20"/>
          <w:szCs w:val="20"/>
          <w:color w:val="auto"/>
        </w:rPr>
      </w:pPr>
      <w:r>
        <w:rPr>
          <w:rFonts w:ascii="Arial" w:cs="Arial" w:eastAsia="Arial" w:hAnsi="Arial"/>
          <w:sz w:val="18"/>
          <w:szCs w:val="18"/>
          <w:color w:val="auto"/>
        </w:rPr>
        <w:t>2.2</w:t>
        <w:tab/>
        <w:t>by way of the withholding in whole or part, of any relevant payment as defined in Section 6(3) of the Tax Concessions Law (2020 Revision).</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These concessions shall be for a period of 20 years from the date hereof.</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15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following discussion summarizes certain U.S. federal income tax considerations generally applicable to the acquisition, ownership and disposition of our units (each consisting of one Class A ordinary share and one-half of one redeemable warrant) that are purchased in this offering by U.S. Holders (as defined below) and Non-U.S. Holders (as defined below). Because the components of a unit are generally separable at the option of the holder, the holder of a unit generally should be treated, for U.S.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84"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This discussion is limited to certain U.S. federal income tax considerations to beneficial owners of our securities who are initial purchasers of a unit pursuant to this offering and hold the unit and each component of the unit as a capital asset under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including:</w:t>
      </w:r>
    </w:p>
    <w:p>
      <w:pPr>
        <w:spacing w:after="0" w:line="113" w:lineRule="exact"/>
        <w:rPr>
          <w:sz w:val="20"/>
          <w:szCs w:val="20"/>
          <w:color w:val="auto"/>
        </w:rPr>
      </w:pPr>
    </w:p>
    <w:p>
      <w:pPr>
        <w:ind w:left="1300" w:hanging="41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our sponsor, Founders, officers or directors;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w:t>
      </w:r>
    </w:p>
    <w:p>
      <w:pPr>
        <w:spacing w:after="0" w:line="157" w:lineRule="exact"/>
        <w:rPr>
          <w:rFonts w:ascii="Arial" w:cs="Arial" w:eastAsia="Arial" w:hAnsi="Arial"/>
          <w:sz w:val="18"/>
          <w:szCs w:val="18"/>
          <w:color w:val="auto"/>
        </w:rPr>
      </w:pPr>
    </w:p>
    <w:p>
      <w:pPr>
        <w:ind w:left="1320" w:right="479" w:hanging="434"/>
        <w:spacing w:after="0" w:line="342" w:lineRule="auto"/>
        <w:tabs>
          <w:tab w:leader="none" w:pos="1311" w:val="left"/>
        </w:tabs>
        <w:numPr>
          <w:ilvl w:val="0"/>
          <w:numId w:val="74"/>
        </w:numPr>
        <w:rPr>
          <w:rFonts w:ascii="Arial" w:cs="Arial" w:eastAsia="Arial" w:hAnsi="Arial"/>
          <w:sz w:val="16"/>
          <w:szCs w:val="16"/>
          <w:color w:val="auto"/>
        </w:rPr>
      </w:pPr>
      <w:r>
        <w:rPr>
          <w:rFonts w:ascii="Arial" w:cs="Arial" w:eastAsia="Arial" w:hAnsi="Arial"/>
          <w:sz w:val="16"/>
          <w:szCs w:val="16"/>
          <w:color w:val="auto"/>
        </w:rPr>
        <w:t>persons that acquired our securities pursuant to an exercise of employee share options, in connection with employee share incentive plans or otherwise as compensation or in connection with services;</w:t>
      </w:r>
    </w:p>
    <w:p>
      <w:pPr>
        <w:spacing w:after="0" w:line="56" w:lineRule="exact"/>
        <w:rPr>
          <w:rFonts w:ascii="Arial" w:cs="Arial" w:eastAsia="Arial" w:hAnsi="Arial"/>
          <w:sz w:val="16"/>
          <w:szCs w:val="16"/>
          <w:color w:val="auto"/>
        </w:rPr>
      </w:pPr>
    </w:p>
    <w:p>
      <w:pPr>
        <w:ind w:left="1320" w:right="559" w:hanging="434"/>
        <w:spacing w:after="0" w:line="277" w:lineRule="auto"/>
        <w:tabs>
          <w:tab w:leader="none" w:pos="13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persons that hold our securities as part of a straddle, constructive sale, hedging, conversion or other integrated or similar transaction; or</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58"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5" w:name="page136"/>
    <w:bookmarkEnd w:id="135"/>
    <w:p>
      <w:pPr>
        <w:ind w:left="460" w:right="619" w:firstLine="432"/>
        <w:spacing w:after="0" w:line="301" w:lineRule="auto"/>
        <w:rPr>
          <w:sz w:val="20"/>
          <w:szCs w:val="20"/>
          <w:color w:val="auto"/>
        </w:rPr>
      </w:pPr>
      <w:r>
        <w:rPr>
          <w:rFonts w:ascii="Arial" w:cs="Arial" w:eastAsia="Arial" w:hAnsi="Arial"/>
          <w:sz w:val="16"/>
          <w:szCs w:val="16"/>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76" w:lineRule="exact"/>
        <w:rPr>
          <w:sz w:val="20"/>
          <w:szCs w:val="20"/>
          <w:color w:val="auto"/>
        </w:rPr>
      </w:pPr>
    </w:p>
    <w:p>
      <w:pPr>
        <w:ind w:left="460" w:right="679" w:firstLine="432"/>
        <w:spacing w:after="0" w:line="291" w:lineRule="auto"/>
        <w:rPr>
          <w:sz w:val="20"/>
          <w:szCs w:val="20"/>
          <w:color w:val="auto"/>
        </w:rPr>
      </w:pPr>
      <w:r>
        <w:rPr>
          <w:rFonts w:ascii="Arial" w:cs="Arial" w:eastAsia="Arial" w:hAnsi="Arial"/>
          <w:sz w:val="16"/>
          <w:szCs w:val="16"/>
          <w:color w:val="auto"/>
        </w:rPr>
        <w:t>As used herein, the term “U.S. Holder” means a beneficial owner of units, Class A ordinary shares or warrants that is for U.S. federal income tax purposes: (i) an individual citizen or resident of the United States;</w:t>
      </w:r>
    </w:p>
    <w:p>
      <w:pPr>
        <w:ind w:left="460" w:right="499" w:hanging="6"/>
        <w:spacing w:after="0" w:line="290" w:lineRule="auto"/>
        <w:tabs>
          <w:tab w:leader="none" w:pos="725" w:val="left"/>
        </w:tabs>
        <w:numPr>
          <w:ilvl w:val="0"/>
          <w:numId w:val="75"/>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U.S. persons have the authority to control all substantial decisions of the trust, or (B) it has in effect a valid election to be treated as a U.S. person.</w:t>
      </w:r>
    </w:p>
    <w:p>
      <w:pPr>
        <w:spacing w:after="0" w:line="96"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This discussion does not consider the tax treatment of partnerships or other pass-through entities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of a partnership holding our securities, we urge you to consult your tax advisor.</w:t>
      </w:r>
    </w:p>
    <w:p>
      <w:pPr>
        <w:spacing w:after="0" w:line="110"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ACQUISITION, OWNERSHIP AND DISPOSITION OF OUR SECURITIES. EACH PROSPECTIVE INVESTOR IN OUR SECURITIES IS URGED TO CONSULT ITS TAX ADVISOR WITH RESPECT TO THE PARTICULAR TAX CONSEQUENCES TO SUCH INVESTOR OF THE ACQUISITION, OWNERSHIP AND DISPOSITION OF OUR SECURITIES, INCLUDING THE APPLICABILITY AND EFFECT OF ANY STATE, LOCAL, AND NON-UNITED STATES TAX LAWS.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 of Purchase Price and Characterization of a Unit</w:t>
      </w:r>
    </w:p>
    <w:p>
      <w:pPr>
        <w:spacing w:after="0" w:line="144"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share of our Class A ordinary shares and one-half of one warrant, a whole one of which is exercisable to acquire one share of our Class A ordinary shares. We intend to treat the acquisition of a unit in this manner and, by purchasing a unit, you must adopt such treatment for applicable tax purposes. For U.S. federal income tax purposes, each holder of a unit will agree to allocate the purchase price paid by such holder for such unit between the one Class A ordinary share and the one-half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Class A ordinary share and one-half of one warrant should constitute the shareholder’s initial tax basis in such share or warrant. Any disposition of a unit should be treated for U.S. federal income tax purposes as a disposition of the Class A ordinary share and one-half of one warrant comprising the unit, and the amount realized on the disposition should be allocated between the Class A ordinary share and one-half of one warrant based on their respective relative fair market values at the time of disposition. Neither the separation of the Class A ordinary share and the one-half of one warrant constituting a unit nor the combination of halves of warrants into a single warrant should be a taxable event for U.S. federal income tax purposes.</w:t>
      </w:r>
    </w:p>
    <w:p>
      <w:pPr>
        <w:spacing w:after="0" w:line="104"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The foregoing treatment of the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b w:val="1"/>
          <w:bCs w:val="1"/>
          <w:i w:val="1"/>
          <w:iCs w:val="1"/>
          <w:color w:val="auto"/>
        </w:rPr>
        <w:t>U.S. 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Taxation of Distributions</w:t>
      </w:r>
    </w:p>
    <w:p>
      <w:pPr>
        <w:spacing w:after="0" w:line="158"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Subject to the passive foreign investment company (“PFIC”) rules discussed below, a U.S. Holder generally will be required to include in gross income as dividends the amount of any distribution paid on our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(see “— Gain or Loss on Sale, Taxable Exchange or Other Taxable Disposition of Class A Ordinary Shares and Warrants” below).</w:t>
      </w:r>
    </w:p>
    <w:p>
      <w:pPr>
        <w:spacing w:after="0" w:line="87"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 Gain or Loss on Sale, Taxable Exchange or Other Taxable Disposition of Class A Ordinary Shares and Warrants” below) only if our Class A ordinary shares are readily tradable on an established securities market in the United States, the company is not treated as a PFIC at the time the dividend was paid or in the preceding year and provided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185" w:lineRule="exact"/>
        <w:rPr>
          <w:sz w:val="20"/>
          <w:szCs w:val="20"/>
          <w:color w:val="auto"/>
        </w:rPr>
      </w:pPr>
    </w:p>
    <w:p>
      <w:pPr>
        <w:ind w:left="460" w:right="1159"/>
        <w:spacing w:after="0" w:line="277" w:lineRule="auto"/>
        <w:rPr>
          <w:sz w:val="20"/>
          <w:szCs w:val="20"/>
          <w:color w:val="auto"/>
        </w:rPr>
      </w:pPr>
      <w:r>
        <w:rPr>
          <w:rFonts w:ascii="Arial" w:cs="Arial" w:eastAsia="Arial" w:hAnsi="Arial"/>
          <w:sz w:val="18"/>
          <w:szCs w:val="18"/>
          <w:i w:val="1"/>
          <w:iCs w:val="1"/>
          <w:color w:val="auto"/>
        </w:rPr>
        <w:t>Gain or Loss on Sale, Taxable Exchange or Other Taxable Disposition of Class A Ordinary Shares and Warrants</w:t>
      </w:r>
    </w:p>
    <w:p>
      <w:pPr>
        <w:spacing w:after="0" w:line="103"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Subject to the PFIC rules discussed below, a U.S. Holder generally will recognize capital gain or loss on the sale or other taxable disposition of our Class A ordinary shares or warrants (including on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spacing w:after="0" w:line="97"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amount of gain or loss recognized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 based upon the then relative fair market values of the Class A ordinary shares and the warrants included in the units) and (ii) the U.S. Holder’s adjusted tax basis in its Class A ordinary shares or warrants so disposed of. A U.S. Holder’s adjusted tax basis in its Class A ordinary shares and warrants generally will equal the U.S. Holder’s acquisition cost (that is, the portion of the purchase price of a unit allocated to a share of Class A ordinary shares or one-half of one warrant, as described above under “— Allocation of Purchase Price and Characterization of a Unit”) reduced by any prior distributions treated as a return of capital. Long-term capital gain realized by a non-corporate U.S. Holder is currently eligible to be taxed at reduced rates. See “— Exercise, Lapse or Redemption of a Warrant” below for a discussion regarding a U.S. Holder’s tax basis in the Class A ordinary share acquired pursuant to the exercise of a warrant. The deduction of capital losses is subject to certain limitations.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of Class A Ordinary Shares</w:t>
      </w:r>
    </w:p>
    <w:p>
      <w:pPr>
        <w:spacing w:after="0" w:line="144" w:lineRule="exact"/>
        <w:rPr>
          <w:sz w:val="20"/>
          <w:szCs w:val="20"/>
          <w:color w:val="auto"/>
        </w:rPr>
      </w:pPr>
    </w:p>
    <w:p>
      <w:pPr>
        <w:ind w:left="460" w:right="679" w:firstLine="432"/>
        <w:spacing w:after="0" w:line="291" w:lineRule="auto"/>
        <w:rPr>
          <w:sz w:val="20"/>
          <w:szCs w:val="20"/>
          <w:color w:val="auto"/>
        </w:rPr>
      </w:pPr>
      <w:r>
        <w:rPr>
          <w:rFonts w:ascii="Arial" w:cs="Arial" w:eastAsia="Arial" w:hAnsi="Arial"/>
          <w:sz w:val="16"/>
          <w:szCs w:val="16"/>
          <w:color w:val="auto"/>
        </w:rPr>
        <w:t>Subject to the PFIC rules discussed below, in the event that a U.S. Holder’s Class A ordinary shares are redeemed pursuant to the redemption provisions described in this prospectus under “Description of Securities</w:t>
      </w:r>
    </w:p>
    <w:p>
      <w:pPr>
        <w:ind w:left="460" w:right="499"/>
        <w:spacing w:after="0" w:line="253" w:lineRule="auto"/>
        <w:rPr>
          <w:sz w:val="20"/>
          <w:szCs w:val="20"/>
          <w:color w:val="auto"/>
        </w:rPr>
      </w:pPr>
      <w:r>
        <w:rPr>
          <w:rFonts w:ascii="Arial" w:cs="Arial" w:eastAsia="Arial" w:hAnsi="Arial"/>
          <w:sz w:val="18"/>
          <w:szCs w:val="18"/>
          <w:color w:val="auto"/>
        </w:rPr>
        <w:t>— Ordinary Shares” or if we purchase a U.S. Holder’s Class A ordinary shares in an open market transaction (referred to herein as a redemption), the treatment of the redemption for U.S. federal income tax purposes will depend on whether it qualifies as a sale of the Class A ordinary shares under Section 302 of the Code. If the redemption qualifies as a sale of Class A ordinary shares, the U.S. Holder will be treated as described under “— Gain or Loss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7" w:name="page138"/>
    <w:bookmarkEnd w:id="137"/>
    <w:p>
      <w:pPr>
        <w:ind w:left="460" w:right="479"/>
        <w:spacing w:after="0" w:line="288" w:lineRule="auto"/>
        <w:rPr>
          <w:sz w:val="20"/>
          <w:szCs w:val="20"/>
          <w:color w:val="auto"/>
        </w:rPr>
      </w:pPr>
      <w:r>
        <w:rPr>
          <w:rFonts w:ascii="Arial" w:cs="Arial" w:eastAsia="Arial" w:hAnsi="Arial"/>
          <w:sz w:val="16"/>
          <w:szCs w:val="16"/>
          <w:color w:val="auto"/>
        </w:rPr>
        <w:t>on Sale, Taxable Exchange or Other Taxable Disposition of Class A Ordinary Shares and Warrants” above. If the redemption does not qualify as a sale of Class A ordinary shares, the U.S. Holder will be treated as receiving a corporate distribution with the tax consequences described above under “— Taxation of Distributions.” Whether a redemption qualifies for sale treatment will depend largely on the total number of our shares treated as held by the U.S. Holder (including any shares constructively owned by the U.S. Holder described in the following paragraph) relative to all of our shares outstanding both before and after such redemption. The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87"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our shares actually owned by the U.S. Holder, but also our shares that are constructively owned by it.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tax advisors as to the tax consequences of a redemption.</w:t>
      </w:r>
    </w:p>
    <w:p>
      <w:pPr>
        <w:spacing w:after="0" w:line="109"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If none of the foregoing tests are satisfied, then the redemption will be treated as a corporate distribution and the tax effects will be as described under “— Taxation of Distributions” above. After the application of those rules, any remaining tax basis of the U.S. Holder in the redeemed Class A ordinary shares will be added to the U.S. Holder’s adjusted tax basis in its remaining shares, or, if it has none, to the U.S. Holder’s adjusted tax basis in its warrants or possibly in other shares constructively owned by it.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58"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initial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87"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In either situation, a U.S. Holder’s tax basis in the Class A ordinary shares received generally would equal the U.S. Holder’s tax basis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8" w:name="page139"/>
    <w:bookmarkEnd w:id="138"/>
    <w:p>
      <w:pPr>
        <w:ind w:left="460" w:right="519"/>
        <w:spacing w:after="0" w:line="301" w:lineRule="auto"/>
        <w:rPr>
          <w:sz w:val="20"/>
          <w:szCs w:val="20"/>
          <w:color w:val="auto"/>
        </w:rPr>
      </w:pPr>
      <w:r>
        <w:rPr>
          <w:rFonts w:ascii="Arial" w:cs="Arial" w:eastAsia="Arial" w:hAnsi="Arial"/>
          <w:sz w:val="16"/>
          <w:szCs w:val="16"/>
          <w:color w:val="auto"/>
        </w:rPr>
        <w:t>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76"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It is also possible that a cashless exercise may be treated as a taxable exchange in which gain or loss would be recognized. In such event, a U.S. Holder may be deemed to have surrendered a number of warrants having a value equal to the exercise price for the total number of warrants to be exercised. Subject to the PFIC rules discussed below,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initial investment in the warrants exercised (i.e., the portion of the U.S. Holder’s purchase price for the units that is allocated to the warrant, as described above under “—Allocation of Purchase Price and Characterization of a Unit”) and the exercise price of such warrants. It is unclear whether a U.S. Holder’s holding period for the Class A ordinary share would commence on the date of exercise of the warrant or the day following the date of exercise of the warrant.</w:t>
      </w:r>
    </w:p>
    <w:p>
      <w:pPr>
        <w:spacing w:after="0" w:line="11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spacing w:after="0" w:line="119"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Subject to the PFIC rules described below, if we redeem warrants for cash pursuant to the redemption provisions described in the section of this prospectus entitled “Description of Securities — Warrants — Public Shareholders’ Warrants — Redemption of warrants” or if we purchase warrants in an open market transaction, such redemption or purchase generally will be treated as a taxable disposition to the U.S. Holder, taxed as described above under “— Gain or Loss on Sale, Taxable Exchange or Other Taxable Disposition of Class A Ordinary Shares and Warrants.”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44"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 — Warrants — Public Shareholders’ Warrants.” An adjustment which has the effect of preventing dilution generally is not taxable. The U.S. Holders of the warrants would, however, be treated as receiving a constructive distribution from us if, for example, the adjustment increases the warrant holders’ proportionate interest in our assets or earnings and profits (e.g., through an increase in the number of Class A ordinary shares that would be obtained upon exercise or through a decrease to the exercise price, including, for example, the decrease to the exercise price of the warrants where additional Class A ordinary shares or equity-linked securities are issued in connection with the closing of our initial business combination at an issue price or effective issue price of less than $9.20 per ordinary share, as described under “Description of Securities — Warrants — Public Shareholders’ Warrants — Anti-Dilution Adjustments”) as a result of a distribution of cash or other property to the holders of our Class A ordinary shares which is taxable to the U.S. Holders of such Class A ordinary shares as described under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58"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9" w:name="page140"/>
    <w:bookmarkEnd w:id="139"/>
    <w:p>
      <w:pPr>
        <w:ind w:left="460" w:right="519" w:firstLine="432"/>
        <w:spacing w:after="0" w:line="286" w:lineRule="auto"/>
        <w:rPr>
          <w:sz w:val="20"/>
          <w:szCs w:val="20"/>
          <w:color w:val="auto"/>
        </w:rPr>
      </w:pPr>
      <w:r>
        <w:rPr>
          <w:rFonts w:ascii="Arial" w:cs="Arial" w:eastAsia="Arial" w:hAnsi="Arial"/>
          <w:sz w:val="16"/>
          <w:szCs w:val="16"/>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(i) no predecessor of the corporation was a PFIC; (ii) the corporation satisfies the IRS that it will not be a PFIC for either of the two taxable years following the start-up year; and (iii) the corporation is not in fact a PFIC for either of those years. The applicability of the start-up exception to us is uncertain and will not be known until after the close of our current taxable year (or possibly not until after the close of the first two taxable years following our start-up year, as described under the start-up exception).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however, will not be determinable until after the end of such taxable year. Accordingly, there can be no assurance with respect to our status as a PFIC for our current taxable year or any future taxable year.</w:t>
      </w:r>
    </w:p>
    <w:p>
      <w:pPr>
        <w:spacing w:after="0" w:line="86"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Although our PFIC status is determined annually, an initial determination that our company is a PFIC will generally apply for subsequent years to a U.S. Holder who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qualified electing fund (“QEF”) election for our first taxable year as a PFIC in which the U.S. Holder held (or was deemed to hold) Class A ordinary shares, a QEF election along with a purging election, or a mark-to-market election, each as described below, such U.S. Holder generally will be subject to special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Under these rules:</w:t>
      </w:r>
    </w:p>
    <w:p>
      <w:pPr>
        <w:spacing w:after="0" w:line="158" w:lineRule="exact"/>
        <w:rPr>
          <w:sz w:val="20"/>
          <w:szCs w:val="20"/>
          <w:color w:val="auto"/>
        </w:rPr>
      </w:pPr>
    </w:p>
    <w:p>
      <w:pPr>
        <w:ind w:left="1320" w:right="479" w:hanging="434"/>
        <w:spacing w:after="0" w:line="277" w:lineRule="auto"/>
        <w:tabs>
          <w:tab w:leader="none" w:pos="131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Class A ordinary shares or warrants;</w:t>
      </w:r>
    </w:p>
    <w:p>
      <w:pPr>
        <w:spacing w:after="0" w:line="89" w:lineRule="exact"/>
        <w:rPr>
          <w:rFonts w:ascii="Arial" w:cs="Arial" w:eastAsia="Arial" w:hAnsi="Arial"/>
          <w:sz w:val="18"/>
          <w:szCs w:val="18"/>
          <w:color w:val="auto"/>
        </w:rPr>
      </w:pPr>
    </w:p>
    <w:p>
      <w:pPr>
        <w:ind w:left="1320" w:right="499" w:hanging="434"/>
        <w:spacing w:after="0" w:line="311" w:lineRule="auto"/>
        <w:tabs>
          <w:tab w:leader="none" w:pos="1311" w:val="left"/>
        </w:tabs>
        <w:numPr>
          <w:ilvl w:val="0"/>
          <w:numId w:val="77"/>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81" w:lineRule="exact"/>
        <w:rPr>
          <w:rFonts w:ascii="Arial" w:cs="Arial" w:eastAsia="Arial" w:hAnsi="Arial"/>
          <w:sz w:val="16"/>
          <w:szCs w:val="16"/>
          <w:color w:val="auto"/>
        </w:rPr>
      </w:pPr>
    </w:p>
    <w:p>
      <w:pPr>
        <w:ind w:left="1320" w:right="599" w:hanging="434"/>
        <w:spacing w:after="0" w:line="263" w:lineRule="auto"/>
        <w:tabs>
          <w:tab w:leader="none" w:pos="1311"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16" w:lineRule="exact"/>
        <w:rPr>
          <w:rFonts w:ascii="Arial" w:cs="Arial" w:eastAsia="Arial" w:hAnsi="Arial"/>
          <w:sz w:val="18"/>
          <w:szCs w:val="18"/>
          <w:color w:val="auto"/>
        </w:rPr>
      </w:pPr>
    </w:p>
    <w:p>
      <w:pPr>
        <w:ind w:left="1320" w:right="459" w:hanging="434"/>
        <w:spacing w:after="0" w:line="263" w:lineRule="auto"/>
        <w:tabs>
          <w:tab w:leader="none" w:pos="1311"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03"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In general, if we are determined to be a PFIC, a U.S. Holder may avoid the PFIC tax consequences described above in respect of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99"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right="499"/>
        <w:spacing w:after="0" w:line="287" w:lineRule="auto"/>
        <w:rPr>
          <w:sz w:val="20"/>
          <w:szCs w:val="20"/>
          <w:color w:val="auto"/>
        </w:rPr>
      </w:pPr>
      <w:r>
        <w:rPr>
          <w:rFonts w:ascii="Arial" w:cs="Arial" w:eastAsia="Arial" w:hAnsi="Arial"/>
          <w:sz w:val="16"/>
          <w:szCs w:val="16"/>
          <w:color w:val="auto"/>
        </w:rPr>
        <w:t>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such QEF election,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 new basis and holding period in the Class A ordinary shares acquired upon the exercise of the warrants for purposes of the PFIC rules.</w:t>
      </w:r>
    </w:p>
    <w:p>
      <w:pPr>
        <w:spacing w:after="0" w:line="91"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11"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97"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taxable year.</w:t>
      </w:r>
    </w:p>
    <w:p>
      <w:pPr>
        <w:spacing w:after="0" w:line="105"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00"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The mark-to-market election is available only for “marketable stock,” generally, stock that is regularly traded on a national securities exchange that is registered with the Securities and Exchange Commission, including the NYSE (on which we intend to list the Class A ordinary shares), or on a foreign exchange or market that the IRS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right="519"/>
        <w:spacing w:after="0" w:line="311" w:lineRule="auto"/>
        <w:rPr>
          <w:sz w:val="20"/>
          <w:szCs w:val="20"/>
          <w:color w:val="auto"/>
        </w:rPr>
      </w:pPr>
      <w:r>
        <w:rPr>
          <w:rFonts w:ascii="Arial" w:cs="Arial" w:eastAsia="Arial" w:hAnsi="Arial"/>
          <w:sz w:val="16"/>
          <w:szCs w:val="16"/>
          <w:color w:val="auto"/>
        </w:rPr>
        <w:t>determines has rules sufficient to ensure that the market price represents a legitimate and sound fair market value. U.S. Holders should consult their tax advisors regarding the availability and tax consequences of a mark-to-market election with respect to our Class A ordinary shares under their particular circumstances.</w:t>
      </w:r>
    </w:p>
    <w:p>
      <w:pPr>
        <w:spacing w:after="0" w:line="68"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101" w:lineRule="exact"/>
        <w:rPr>
          <w:sz w:val="20"/>
          <w:szCs w:val="20"/>
          <w:color w:val="auto"/>
        </w:rPr>
      </w:pPr>
    </w:p>
    <w:p>
      <w:pPr>
        <w:ind w:left="460" w:right="659" w:firstLine="432"/>
        <w:spacing w:after="0" w:line="279" w:lineRule="auto"/>
        <w:rPr>
          <w:sz w:val="20"/>
          <w:szCs w:val="20"/>
          <w:color w:val="auto"/>
        </w:rPr>
      </w:pPr>
      <w:r>
        <w:rPr>
          <w:rFonts w:ascii="Arial" w:cs="Arial" w:eastAsia="Arial" w:hAnsi="Arial"/>
          <w:sz w:val="17"/>
          <w:szCs w:val="17"/>
          <w:color w:val="auto"/>
        </w:rPr>
        <w:t>A U.S. Holder that owns (or is deemed to own) shares in a PFIC during any taxable year of the U.S. Holder, may have to file an IRS Form 8621 (whether or not a QEF or market-to-market election is made) and such other information as may be required by the U.S. Treasury Department. Failure to do so, if required, will extend the statute of limitations until such required information is furnished to the IRS.</w:t>
      </w:r>
    </w:p>
    <w:p>
      <w:pPr>
        <w:spacing w:after="0" w:line="104"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our Class A ordinary shares and warrants should consult their tax advisors concerning the application of the PFIC rules to our securities under their particular circumstances.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Reporting</w:t>
      </w:r>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An interest in the company constitutes a specified foreign financial asset for these purposes. Persons who are required to report specified foreign financial assets and fail to do so may be subject to substantial penalties. Potential investors are urged to consult their tax advisors regarding the foreign financial asset and other reporting obligations and their application to an investment in our Class A ordinary shares and warrants.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Non-U.S. Holders</w:t>
      </w:r>
    </w:p>
    <w:p>
      <w:pPr>
        <w:spacing w:after="0" w:line="158"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ordinary shares or warrants (other than a partnership or other entity or arrangement treated as a partnership for U.S. federal income tax purposes) who or that is for U.S. federal income tax purposes:</w:t>
      </w:r>
    </w:p>
    <w:p>
      <w:pPr>
        <w:spacing w:after="0" w:line="119" w:lineRule="exact"/>
        <w:rPr>
          <w:sz w:val="20"/>
          <w:szCs w:val="20"/>
          <w:color w:val="auto"/>
        </w:rPr>
      </w:pPr>
    </w:p>
    <w:p>
      <w:pPr>
        <w:ind w:left="1320" w:right="559" w:hanging="434"/>
        <w:spacing w:after="0" w:line="277" w:lineRule="auto"/>
        <w:tabs>
          <w:tab w:leader="none" w:pos="1311"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United States subject to U.S. tax as expatriates);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58"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spacing w:after="0" w:line="84"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Dividends (including constructive dividends) paid or deemed paid to a Non-U.S. Holder in respect of our Class A ordinary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right="479"/>
        <w:spacing w:after="0" w:line="257" w:lineRule="auto"/>
        <w:rPr>
          <w:sz w:val="20"/>
          <w:szCs w:val="20"/>
          <w:color w:val="auto"/>
        </w:rPr>
      </w:pPr>
      <w:r>
        <w:rPr>
          <w:rFonts w:ascii="Arial" w:cs="Arial" w:eastAsia="Arial" w:hAnsi="Arial"/>
          <w:sz w:val="18"/>
          <w:szCs w:val="18"/>
          <w:color w:val="auto"/>
        </w:rPr>
        <w:t>in the United States). In addition, a Non-U.S. Holder generally will not be subject to U.S. federal income tax on any gain attributable to a sale or other taxable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07"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w:t>
      </w:r>
    </w:p>
    <w:p>
      <w:pPr>
        <w:spacing w:after="0" w:line="1" w:lineRule="exact"/>
        <w:rPr>
          <w:sz w:val="20"/>
          <w:szCs w:val="20"/>
          <w:color w:val="auto"/>
        </w:rPr>
      </w:pPr>
    </w:p>
    <w:p>
      <w:pPr>
        <w:ind w:left="460" w:right="699"/>
        <w:spacing w:after="0" w:line="260" w:lineRule="auto"/>
        <w:rPr>
          <w:sz w:val="20"/>
          <w:szCs w:val="20"/>
          <w:color w:val="auto"/>
        </w:rPr>
      </w:pPr>
      <w:r>
        <w:rPr>
          <w:rFonts w:ascii="Arial" w:cs="Arial" w:eastAsia="Arial" w:hAnsi="Arial"/>
          <w:sz w:val="18"/>
          <w:szCs w:val="18"/>
          <w:color w:val="auto"/>
        </w:rPr>
        <w:t>Holder that is a corporation for U.S. federal income tax purposes, also may be subject to an additional branch profits tax at a 30% rate or a lower applicable tax treaty rate.</w:t>
      </w:r>
    </w:p>
    <w:p>
      <w:pPr>
        <w:spacing w:after="0" w:line="118"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 U.S. Holders — Exercise or Lapse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58"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1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119"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and warrants, including the tax consequences under state, local, estate, foreign and other tax laws and tax treaties and the possible effects of changes in U.S. or other tax laws.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Subject to the terms and conditions of the underwriting agreement, Citigroup Global Markets Inc. has agreed to purchase from us on a firm commitment basis the 30,000,000 units offered by this prospectus at a public offering price less the underwriting discounts and commissions set forth on the cover page of this prospectus.</w:t>
      </w:r>
    </w:p>
    <w:p>
      <w:pPr>
        <w:spacing w:after="0" w:line="106" w:lineRule="exact"/>
        <w:rPr>
          <w:sz w:val="20"/>
          <w:szCs w:val="20"/>
          <w:color w:val="auto"/>
        </w:rPr>
      </w:pPr>
    </w:p>
    <w:p>
      <w:pPr>
        <w:ind w:left="460" w:right="939" w:firstLine="432"/>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 to purchase the units included in this offering are subject to approval of legal matters by counsel and to other conditions. The underwriter is obligated to purchase all of the units (other than those covered by the over-allotment option described below) if it purchases any of the units.</w:t>
      </w:r>
    </w:p>
    <w:p>
      <w:pPr>
        <w:spacing w:after="0" w:line="119" w:lineRule="exact"/>
        <w:rPr>
          <w:sz w:val="20"/>
          <w:szCs w:val="20"/>
          <w:color w:val="auto"/>
        </w:rPr>
      </w:pPr>
    </w:p>
    <w:p>
      <w:pPr>
        <w:jc w:val="both"/>
        <w:ind w:left="460" w:right="639" w:firstLine="432"/>
        <w:spacing w:after="0" w:line="259" w:lineRule="auto"/>
        <w:rPr>
          <w:sz w:val="20"/>
          <w:szCs w:val="20"/>
          <w:color w:val="auto"/>
        </w:rPr>
      </w:pPr>
      <w:r>
        <w:rPr>
          <w:rFonts w:ascii="Arial" w:cs="Arial" w:eastAsia="Arial" w:hAnsi="Arial"/>
          <w:sz w:val="18"/>
          <w:szCs w:val="18"/>
          <w:color w:val="auto"/>
        </w:rPr>
        <w:t>Units sold by the underwriter to the public will initially be offered at the initial public offering price set forth on the cover of this prospectus. If all of the units are not sold at the initial offering price, the underwriter may change the offering price and the other selling terms. Citigroup Global Markets Inc. has advised us that it does not intend to make sales to discretionary accounts.</w:t>
      </w:r>
    </w:p>
    <w:p>
      <w:pPr>
        <w:spacing w:after="0" w:line="119"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If the underwriter sells more units than the total number set forth in the table above, we have granted to the underwriter an option, exercisable for 45 days from the date of this prospectus, to purchase up to 4,500,000 additional units at the public offering price less the underwriting discount. The underwriter may exercise this option solely for the purpose of covering over-allotments, if any, in connection with this offering. To the extent the option is exercised, the underwriter must purchase a number of additional units approximately proportionate to its initial purchase commitment. Any units issued or sold under the option will be issued and sold on the same terms and conditions as the other units that are the subject of this offering.</w:t>
      </w:r>
    </w:p>
    <w:p>
      <w:pPr>
        <w:spacing w:after="0" w:line="85"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We, our sponsor and our officers and directors have agreed that, for a period of 180 days from the date of this prospectus, we and they will not, without the prior written consent of Citigroup Global Markets Inc., offer, sell, contract to sell, pledge or otherwise dispose of, directly or indirectly, any units, warrants, Class A ordinary shares or any other securities convertible into, or exercisable, or exchangeable for, Class A ordinary shares; provided, however, that we may (i) issue and sell the private placement warrants, (ii) issue and sell the additional units to cover our underwriter’s over-allotment option (if any), (iii) register with the SEC pursuant to an agreement to be entered into on or prior to the closing of this offering, the resale of the founder shares and the private placement warrants or the warrants and Class A ordinary shares issuable upon exercise of the warrants and (iv) issue securities in connection with an initial business combination. Citigroup Global Markets Inc. in its sole discretion may release any of the securities subject to these lock-up agreements at any time without notice.</w:t>
      </w:r>
    </w:p>
    <w:p>
      <w:pPr>
        <w:spacing w:after="0" w:line="11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initial shareholders have agreed not to transfer, assign or sell any of their founder shares until the earlier to occur of: (i) one year after the completion of our initial business combination or (ii) the date on which we complete a liquidation, merger, share exchange or other similar transaction after our initial business combination that results in all of our shareholders having the right to exchange their Class A ordinary shares for cash, securities or other property (except as described herein under “Principal Shareholders — Transfers of Founder Shares and Private Placement Warrants”). Any permitted transferees will be subject to the same restrictions and other agreements of our initial shareholders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11"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The private placement warrants (including the Class A ordinary shares issuable upon exercise of the private placement warrants) will not be transferable, assignable or salable until 30 days after the completion of our initial business combination (except with respect to permitted transferees as described herein under “Principal Shareholders — Transfers of Founder Shares and Private Placement Warrants”).</w:t>
      </w:r>
    </w:p>
    <w:p>
      <w:pPr>
        <w:spacing w:after="0" w:line="90"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Prior to this offering, there has been no public market for our securities. Consequently, the initial public offering price for the units was determined by negotiations between us and the underwriter.</w:t>
      </w:r>
    </w:p>
    <w:p>
      <w:pPr>
        <w:spacing w:after="0" w:line="7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determination of our per unit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w:t>
      </w:r>
    </w:p>
    <w:p>
      <w:pPr>
        <w:sectPr>
          <w:pgSz w:w="11900" w:h="16838" w:orient="portrait"/>
          <w:cols w:equalWidth="0" w:num="1">
            <w:col w:w="9019"/>
          </w:cols>
          <w:pgMar w:left="1440" w:top="337"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44" w:name="page145"/>
    <w:bookmarkEnd w:id="144"/>
    <w:p>
      <w:pPr>
        <w:ind w:left="460" w:right="539"/>
        <w:spacing w:after="0" w:line="257" w:lineRule="auto"/>
        <w:rPr>
          <w:sz w:val="20"/>
          <w:szCs w:val="20"/>
          <w:color w:val="auto"/>
        </w:rPr>
      </w:pPr>
      <w:r>
        <w:rPr>
          <w:rFonts w:ascii="Arial" w:cs="Arial" w:eastAsia="Arial" w:hAnsi="Arial"/>
          <w:sz w:val="18"/>
          <w:szCs w:val="18"/>
          <w:color w:val="auto"/>
        </w:rPr>
        <w:t>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107"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intend to apply to have our units listed on the NYSE under the symbol “SOAC.U” commencing on or promptly after the date of this prospectus. We cannot guarantee that our securities will be approved for listing on the NYSE. Once the securities comprising the units begin separate trading, we expect that the Class A ordinary shares and warrants will be listed on the NYSE under the symbols “SOAC” and “SOAC WS”, respectively.</w:t>
      </w:r>
    </w:p>
    <w:p>
      <w:pPr>
        <w:spacing w:after="0" w:line="120" w:lineRule="exact"/>
        <w:rPr>
          <w:sz w:val="20"/>
          <w:szCs w:val="20"/>
          <w:color w:val="auto"/>
        </w:rPr>
      </w:pPr>
    </w:p>
    <w:p>
      <w:pPr>
        <w:ind w:left="460" w:right="919" w:firstLine="432"/>
        <w:spacing w:after="0" w:line="263"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 in connection with this offering. These amounts are shown assuming both no exercise and full exercise of the underwriter’s over-allotment option.</w:t>
      </w:r>
    </w:p>
    <w:p>
      <w:pPr>
        <w:spacing w:after="0" w:line="144" w:lineRule="exact"/>
        <w:rPr>
          <w:sz w:val="20"/>
          <w:szCs w:val="20"/>
          <w:color w:val="auto"/>
        </w:rPr>
      </w:pPr>
    </w:p>
    <w:p>
      <w:pPr>
        <w:jc w:val="center"/>
        <w:ind w:left="5600"/>
        <w:spacing w:after="0"/>
        <w:rPr>
          <w:sz w:val="20"/>
          <w:szCs w:val="20"/>
          <w:color w:val="auto"/>
        </w:rPr>
      </w:pPr>
      <w:r>
        <w:rPr>
          <w:rFonts w:ascii="Arial" w:cs="Arial" w:eastAsia="Arial" w:hAnsi="Arial"/>
          <w:sz w:val="15"/>
          <w:szCs w:val="15"/>
          <w:b w:val="1"/>
          <w:bCs w:val="1"/>
          <w:color w:val="auto"/>
        </w:rPr>
        <w:t>Paid by Sustainable Opportunities</w:t>
      </w:r>
    </w:p>
    <w:p>
      <w:pPr>
        <w:spacing w:after="0" w:line="38"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7"/>
              </w:rPr>
              <w:t>No Exercise</w:t>
            </w:r>
          </w:p>
        </w:tc>
        <w:tc>
          <w:tcPr>
            <w:tcW w:w="160" w:type="dxa"/>
            <w:vAlign w:val="bottom"/>
          </w:tcPr>
          <w:p>
            <w:pPr>
              <w:spacing w:after="0"/>
              <w:rPr>
                <w:sz w:val="18"/>
                <w:szCs w:val="18"/>
                <w:color w:val="auto"/>
              </w:rPr>
            </w:pPr>
          </w:p>
        </w:tc>
        <w:tc>
          <w:tcPr>
            <w:tcW w:w="1100" w:type="dxa"/>
            <w:vAlign w:val="bottom"/>
          </w:tcPr>
          <w:p>
            <w:pPr>
              <w:jc w:val="right"/>
              <w:ind w:right="93"/>
              <w:spacing w:after="0"/>
              <w:rPr>
                <w:sz w:val="20"/>
                <w:szCs w:val="20"/>
                <w:color w:val="auto"/>
              </w:rPr>
            </w:pPr>
            <w:r>
              <w:rPr>
                <w:rFonts w:ascii="Arial" w:cs="Arial" w:eastAsia="Arial" w:hAnsi="Arial"/>
                <w:sz w:val="16"/>
                <w:szCs w:val="16"/>
                <w:b w:val="1"/>
                <w:bCs w:val="1"/>
                <w:color w:val="auto"/>
                <w:w w:val="91"/>
              </w:rPr>
              <w:t>Full Exercise</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Per Unit</w:t>
            </w:r>
            <w:r>
              <w:rPr>
                <w:rFonts w:ascii="Arial" w:cs="Arial" w:eastAsia="Arial" w:hAnsi="Arial"/>
                <w:sz w:val="20"/>
                <w:szCs w:val="20"/>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0"/>
                <w:szCs w:val="20"/>
                <w:color w:val="auto"/>
                <w:vertAlign w:val="superscript"/>
              </w:rPr>
              <w:t>(1)</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16,500,000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18,975,000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67" w:lineRule="exact"/>
        <w:rPr>
          <w:sz w:val="20"/>
          <w:szCs w:val="20"/>
          <w:color w:val="auto"/>
        </w:rPr>
      </w:pPr>
    </w:p>
    <w:p>
      <w:pPr>
        <w:ind w:left="880" w:right="599" w:hanging="426"/>
        <w:spacing w:after="0" w:line="273" w:lineRule="auto"/>
        <w:tabs>
          <w:tab w:leader="none" w:pos="839" w:val="left"/>
        </w:tabs>
        <w:numPr>
          <w:ilvl w:val="0"/>
          <w:numId w:val="79"/>
        </w:numPr>
        <w:rPr>
          <w:rFonts w:ascii="Arial" w:cs="Arial" w:eastAsia="Arial" w:hAnsi="Arial"/>
          <w:sz w:val="16"/>
          <w:szCs w:val="16"/>
          <w:color w:val="auto"/>
        </w:rPr>
      </w:pPr>
      <w:r>
        <w:rPr>
          <w:rFonts w:ascii="Arial" w:cs="Arial" w:eastAsia="Arial" w:hAnsi="Arial"/>
          <w:sz w:val="16"/>
          <w:szCs w:val="16"/>
          <w:color w:val="auto"/>
        </w:rPr>
        <w:t>Includes $0.35 per unit, or $10,500,000 in the aggregate (or $12,075,000 in the aggregate if the underwriter’s over-allotment option is exercised in full), payable to the underwriter for deferred underwriting commissions to be placed in a trust account located in the United States as described herein and released to the underwriter only upon the consummation of an initial business combination.</w:t>
      </w:r>
    </w:p>
    <w:p>
      <w:pPr>
        <w:spacing w:after="0" w:line="117" w:lineRule="exact"/>
        <w:rPr>
          <w:sz w:val="20"/>
          <w:szCs w:val="20"/>
          <w:color w:val="auto"/>
        </w:rPr>
      </w:pPr>
    </w:p>
    <w:p>
      <w:pPr>
        <w:ind w:left="460" w:right="799" w:firstLine="432"/>
        <w:spacing w:after="0" w:line="296" w:lineRule="auto"/>
        <w:rPr>
          <w:sz w:val="20"/>
          <w:szCs w:val="20"/>
          <w:color w:val="auto"/>
        </w:rPr>
      </w:pPr>
      <w:r>
        <w:rPr>
          <w:rFonts w:ascii="Arial" w:cs="Arial" w:eastAsia="Arial" w:hAnsi="Arial"/>
          <w:sz w:val="16"/>
          <w:szCs w:val="16"/>
          <w:color w:val="auto"/>
        </w:rPr>
        <w:t>If we do not consummate an initial business combination within 24 months from the closing of this offering, the underwriter has agreed that (i) it will forfeit any rights or claims to its deferred underwriting discounts and commissions, including any accrued interest thereon, then in the trust account and (ii) that the deferred underwriter’s discounts and commissions will be distributed on a pro rata basis, together with any accrued interest thereon (which interest will be net of taxes paid or payable) to the public shareholders.</w:t>
      </w:r>
    </w:p>
    <w:p>
      <w:pPr>
        <w:spacing w:after="0" w:line="80"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In connection with the offering, the underwriter may purchase and sell units in the open market. Purchases and sales in the open market may include short sales, purchases to cover short positions, which may include purchases pursuant to the over-allotment option, and stabilizing purchases.</w:t>
      </w:r>
    </w:p>
    <w:p>
      <w:pPr>
        <w:spacing w:after="0" w:line="116" w:lineRule="exact"/>
        <w:rPr>
          <w:sz w:val="20"/>
          <w:szCs w:val="20"/>
          <w:color w:val="auto"/>
        </w:rPr>
      </w:pPr>
    </w:p>
    <w:p>
      <w:pPr>
        <w:ind w:left="1320" w:right="539" w:hanging="434"/>
        <w:spacing w:after="0" w:line="277" w:lineRule="auto"/>
        <w:tabs>
          <w:tab w:leader="none" w:pos="13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 of a greater number of units than it is required to purchase in the offering.</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“Covered” short sales are sales of units in an amount up to the number of units represented by the underwriter’s over-allotment option.</w:t>
      </w:r>
    </w:p>
    <w:p>
      <w:pPr>
        <w:spacing w:after="0" w:line="89"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“Naked” short sales are sales of units in an amount in excess of the number of units represented by the underwriter’s over-allotment option.</w:t>
      </w:r>
    </w:p>
    <w:p>
      <w:pPr>
        <w:spacing w:after="0" w:line="102" w:lineRule="exact"/>
        <w:rPr>
          <w:rFonts w:ascii="Arial" w:cs="Arial" w:eastAsia="Arial" w:hAnsi="Arial"/>
          <w:sz w:val="18"/>
          <w:szCs w:val="18"/>
          <w:color w:val="auto"/>
        </w:rPr>
      </w:pPr>
    </w:p>
    <w:p>
      <w:pPr>
        <w:ind w:left="1320" w:right="659" w:hanging="434"/>
        <w:spacing w:after="0" w:line="342" w:lineRule="auto"/>
        <w:tabs>
          <w:tab w:leader="none" w:pos="1311" w:val="left"/>
        </w:tabs>
        <w:numPr>
          <w:ilvl w:val="0"/>
          <w:numId w:val="80"/>
        </w:numPr>
        <w:rPr>
          <w:rFonts w:ascii="Arial" w:cs="Arial" w:eastAsia="Arial" w:hAnsi="Arial"/>
          <w:sz w:val="16"/>
          <w:szCs w:val="16"/>
          <w:color w:val="auto"/>
        </w:rPr>
      </w:pPr>
      <w:r>
        <w:rPr>
          <w:rFonts w:ascii="Arial" w:cs="Arial" w:eastAsia="Arial" w:hAnsi="Arial"/>
          <w:sz w:val="16"/>
          <w:szCs w:val="16"/>
          <w:color w:val="auto"/>
        </w:rPr>
        <w:t>Covering transactions involve purchases of units either pursuant to the over-allotment option or in the open market after the distribution has been completed in order to cover short positions.</w:t>
      </w:r>
    </w:p>
    <w:p>
      <w:pPr>
        <w:spacing w:after="0" w:line="56" w:lineRule="exact"/>
        <w:rPr>
          <w:rFonts w:ascii="Arial" w:cs="Arial" w:eastAsia="Arial" w:hAnsi="Arial"/>
          <w:sz w:val="16"/>
          <w:szCs w:val="16"/>
          <w:color w:val="auto"/>
        </w:rPr>
      </w:pPr>
    </w:p>
    <w:p>
      <w:pPr>
        <w:ind w:left="1320" w:right="579" w:hanging="434"/>
        <w:spacing w:after="0" w:line="279" w:lineRule="auto"/>
        <w:tabs>
          <w:tab w:leader="none" w:pos="1311" w:val="left"/>
        </w:tabs>
        <w:numPr>
          <w:ilvl w:val="0"/>
          <w:numId w:val="80"/>
        </w:numPr>
        <w:rPr>
          <w:rFonts w:ascii="Arial" w:cs="Arial" w:eastAsia="Arial" w:hAnsi="Arial"/>
          <w:sz w:val="17"/>
          <w:szCs w:val="17"/>
          <w:color w:val="auto"/>
        </w:rPr>
      </w:pPr>
      <w:r>
        <w:rPr>
          <w:rFonts w:ascii="Arial" w:cs="Arial" w:eastAsia="Arial" w:hAnsi="Arial"/>
          <w:sz w:val="17"/>
          <w:szCs w:val="17"/>
          <w:color w:val="auto"/>
        </w:rPr>
        <w:t>To close a naked short position, the underwriter must purchase units in the open market after the distribution has been completed. A naked short position is more likely to be created if the underwriter is concerned that there may be downward pressure on the price of the units in the open market after pricing that could adversely affect investors who purchase in the offering.</w:t>
      </w:r>
    </w:p>
    <w:p>
      <w:pPr>
        <w:spacing w:after="0" w:line="90" w:lineRule="exact"/>
        <w:rPr>
          <w:rFonts w:ascii="Arial" w:cs="Arial" w:eastAsia="Arial" w:hAnsi="Arial"/>
          <w:sz w:val="17"/>
          <w:szCs w:val="17"/>
          <w:color w:val="auto"/>
        </w:rPr>
      </w:pPr>
    </w:p>
    <w:p>
      <w:pPr>
        <w:ind w:left="1320" w:right="479" w:hanging="434"/>
        <w:spacing w:after="0" w:line="257" w:lineRule="auto"/>
        <w:tabs>
          <w:tab w:leader="none" w:pos="13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To close a covered short position, the underwriter must purchase units in the open market after the distribution has been completed or must exercise the over-allotment option. In determining the source of units to close the covered short position, the underwriter will consider, among other things, the price of units available for purchase in the open market as compared to the price at which it may purchase units through the over-allotment option.</w:t>
      </w:r>
    </w:p>
    <w:p>
      <w:pPr>
        <w:spacing w:after="0" w:line="120"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units so long as the stabilizing bids do not exceed a specified maximum.</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5" w:name="page146"/>
    <w:bookmarkEnd w:id="145"/>
    <w:p>
      <w:pPr>
        <w:ind w:left="460" w:right="479" w:firstLine="432"/>
        <w:spacing w:after="0" w:line="255"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 for its own accounts, may have the effect of preventing or retarding a decline in the market price of the units. They may also cause the price of the units to be higher than the price that would otherwise exist in the open market in the absence of these transactions. The underwriter may conduct these transactions in the over-the-counter market or otherwise. If the underwriter commences any of these transactions, it may discontinue them at any time.</w:t>
      </w:r>
    </w:p>
    <w:p>
      <w:pPr>
        <w:spacing w:after="0" w:line="111" w:lineRule="exact"/>
        <w:rPr>
          <w:sz w:val="20"/>
          <w:szCs w:val="20"/>
          <w:color w:val="auto"/>
        </w:rPr>
      </w:pPr>
    </w:p>
    <w:p>
      <w:pPr>
        <w:ind w:left="460" w:right="1259" w:firstLine="432"/>
        <w:spacing w:after="0" w:line="277" w:lineRule="auto"/>
        <w:rPr>
          <w:sz w:val="20"/>
          <w:szCs w:val="20"/>
          <w:color w:val="auto"/>
        </w:rPr>
      </w:pPr>
      <w:r>
        <w:rPr>
          <w:rFonts w:ascii="Arial" w:cs="Arial" w:eastAsia="Arial" w:hAnsi="Arial"/>
          <w:sz w:val="18"/>
          <w:szCs w:val="18"/>
          <w:color w:val="auto"/>
        </w:rPr>
        <w:t>We estimate that the total expenses of this offering payable by us will be $1,000,000, excluding underwriting discounts and commissions.</w:t>
      </w:r>
    </w:p>
    <w:p>
      <w:pPr>
        <w:spacing w:after="0" w:line="103"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or to contribute to payments the underwriter may be required to make because of any of those liabilities. We have also agreed to pay for the FINRA-related fees and expenses of the underwriter’s legal counsel, not to exceed $ .</w:t>
      </w:r>
    </w:p>
    <w:p>
      <w:pPr>
        <w:spacing w:after="0" w:line="119"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We are not under any contractual obligation to engage the underwriter to provide any services for us after this offering, and have no present intent to do so. However, the underwriter may introduce us to potential target businesses or assist us in raising additional capital in the future. If the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that is 90 days from the date of this prospectus, unless FINRA determines that such payment would not be deemed underwriter’s compensation in connection with this offering and we may pay the underwriter of this offering or any entity with which it is affiliated a finder’s fee or other compensation for services rendered to us in connection with the completion of a business combination.</w:t>
      </w:r>
    </w:p>
    <w:p>
      <w:pPr>
        <w:spacing w:after="0" w:line="104"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 xml:space="preserve">The units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Securities Act (Ontario), and are permitted clients, as defined in National Instrument 31-103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w:t>
      </w:r>
      <w:r>
        <w:rPr>
          <w:rFonts w:ascii="Arial" w:cs="Arial" w:eastAsia="Arial" w:hAnsi="Arial"/>
          <w:sz w:val="18"/>
          <w:szCs w:val="18"/>
          <w:color w:val="auto"/>
        </w:rPr>
        <w:t>,</w:t>
      </w:r>
      <w:r>
        <w:rPr>
          <w:rFonts w:ascii="Arial" w:cs="Arial" w:eastAsia="Arial" w:hAnsi="Arial"/>
          <w:sz w:val="18"/>
          <w:szCs w:val="18"/>
          <w:i w:val="1"/>
          <w:iCs w:val="1"/>
          <w:color w:val="auto"/>
        </w:rPr>
        <w:t xml:space="preserve"> Exemptions and Ongoing Registrant Obligations</w:t>
      </w:r>
      <w:r>
        <w:rPr>
          <w:rFonts w:ascii="Arial" w:cs="Arial" w:eastAsia="Arial" w:hAnsi="Arial"/>
          <w:sz w:val="18"/>
          <w:szCs w:val="18"/>
          <w:color w:val="auto"/>
        </w:rPr>
        <w:t>. Any resale of the units must be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an exemption from, or in a transaction not subject to, the prospectus requirements of applicable securities laws.</w:t>
      </w:r>
    </w:p>
    <w:p>
      <w:pPr>
        <w:spacing w:after="0" w:line="125"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ind w:left="460" w:right="659" w:firstLine="432"/>
        <w:spacing w:after="0" w:line="279" w:lineRule="auto"/>
        <w:rPr>
          <w:sz w:val="20"/>
          <w:szCs w:val="20"/>
          <w:color w:val="auto"/>
        </w:rPr>
      </w:pPr>
      <w:r>
        <w:rPr>
          <w:rFonts w:ascii="Arial" w:cs="Arial" w:eastAsia="Arial" w:hAnsi="Arial"/>
          <w:sz w:val="17"/>
          <w:szCs w:val="17"/>
          <w:color w:val="auto"/>
        </w:rPr>
        <w:t>Pursuant to section 3A.3 (or, in the case of securities issued or guaranteed by the government of a non-Canadian jurisdiction, section 3A.4) of National Instrument 33-105 Underwriting Conflicts, or NI 33-105, the underwriter is not required to comply with the disclosure requirements of NI 33-105 regarding underwriter conflicts of interest in connection with this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162"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units have been offered or will be offered to the public in that Relevant State prior to the publication of a prospectus in relation to the units which has been approved by the competent authority in that Relevant State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right="479"/>
        <w:spacing w:after="0" w:line="311" w:lineRule="auto"/>
        <w:rPr>
          <w:sz w:val="20"/>
          <w:szCs w:val="20"/>
          <w:color w:val="auto"/>
        </w:rPr>
      </w:pPr>
      <w:r>
        <w:rPr>
          <w:rFonts w:ascii="Arial" w:cs="Arial" w:eastAsia="Arial" w:hAnsi="Arial"/>
          <w:sz w:val="16"/>
          <w:szCs w:val="16"/>
          <w:color w:val="auto"/>
        </w:rPr>
        <w:t>or, where appropriate, approved in another Relevant State and notified to the competent authority in that Relevant State, all in accordance with the Prospectus Regulation), except that offers of units may be made to the public in that Relevant State at any time under the following exemptions under the Prospectus Regulation:</w:t>
      </w:r>
    </w:p>
    <w:p>
      <w:pPr>
        <w:spacing w:after="0" w:line="68" w:lineRule="exact"/>
        <w:rPr>
          <w:sz w:val="20"/>
          <w:szCs w:val="20"/>
          <w:color w:val="auto"/>
        </w:rPr>
      </w:pPr>
    </w:p>
    <w:p>
      <w:pPr>
        <w:ind w:left="1300" w:hanging="414"/>
        <w:spacing w:after="0"/>
        <w:tabs>
          <w:tab w:leader="none" w:pos="13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Prospectus Regulation;</w:t>
      </w:r>
    </w:p>
    <w:p>
      <w:pPr>
        <w:spacing w:after="0" w:line="169" w:lineRule="exact"/>
        <w:rPr>
          <w:rFonts w:ascii="Arial" w:cs="Arial" w:eastAsia="Arial" w:hAnsi="Arial"/>
          <w:sz w:val="17"/>
          <w:szCs w:val="17"/>
          <w:color w:val="auto"/>
        </w:rPr>
      </w:pPr>
    </w:p>
    <w:p>
      <w:pPr>
        <w:ind w:left="1320" w:right="599" w:hanging="434"/>
        <w:spacing w:after="0" w:line="263" w:lineRule="auto"/>
        <w:tabs>
          <w:tab w:leader="none" w:pos="1311"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Citigroup Global Markets Inc. for any such offer; or</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460" w:right="899"/>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units shall require us or the underwriter to publish a prospectus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3 of the Prospectus Regulation or supplement a prospectus pursuant to Article 23 of the Prospectus Regulation.</w:t>
      </w:r>
    </w:p>
    <w:p>
      <w:pPr>
        <w:spacing w:after="0" w:line="116" w:lineRule="exact"/>
        <w:rPr>
          <w:sz w:val="20"/>
          <w:szCs w:val="20"/>
          <w:color w:val="auto"/>
        </w:rPr>
      </w:pPr>
    </w:p>
    <w:p>
      <w:pPr>
        <w:ind w:left="460" w:right="619" w:firstLine="432"/>
        <w:spacing w:after="0" w:line="279" w:lineRule="auto"/>
        <w:rPr>
          <w:sz w:val="20"/>
          <w:szCs w:val="20"/>
          <w:color w:val="auto"/>
        </w:rPr>
      </w:pPr>
      <w:r>
        <w:rPr>
          <w:rFonts w:ascii="Arial" w:cs="Arial" w:eastAsia="Arial" w:hAnsi="Arial"/>
          <w:sz w:val="17"/>
          <w:szCs w:val="17"/>
          <w:color w:val="auto"/>
        </w:rPr>
        <w:t>For the purposes of this provision, the expression an “offer to the public” in relation to any units in any Relevant State means the communication in any form and by any means of sufficient information on the terms of the offer and any units to be offered so as to enable an investor to decide to purchase or subscribe for any units, and the expression “Prospectus Regulation” means Regulation (EU) 2017/1129.</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62" w:lineRule="exact"/>
        <w:rPr>
          <w:sz w:val="20"/>
          <w:szCs w:val="20"/>
          <w:color w:val="auto"/>
        </w:rPr>
      </w:pPr>
    </w:p>
    <w:p>
      <w:pPr>
        <w:ind w:left="460" w:right="619" w:firstLine="432"/>
        <w:spacing w:after="0" w:line="27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48"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9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20"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62"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96"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units has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62"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94" w:lineRule="exact"/>
        <w:rPr>
          <w:sz w:val="20"/>
          <w:szCs w:val="20"/>
          <w:color w:val="auto"/>
        </w:rPr>
      </w:pPr>
    </w:p>
    <w:p>
      <w:pPr>
        <w:ind w:left="1300" w:hanging="414"/>
        <w:spacing w:after="0"/>
        <w:tabs>
          <w:tab w:leader="none" w:pos="13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w:t>
      </w:r>
    </w:p>
    <w:p>
      <w:pPr>
        <w:spacing w:after="0" w:line="167" w:lineRule="exact"/>
        <w:rPr>
          <w:rFonts w:ascii="Arial" w:cs="Arial" w:eastAsia="Arial" w:hAnsi="Arial"/>
          <w:sz w:val="16"/>
          <w:szCs w:val="16"/>
          <w:color w:val="auto"/>
        </w:rPr>
      </w:pPr>
    </w:p>
    <w:p>
      <w:pPr>
        <w:ind w:left="1320" w:right="639" w:hanging="434"/>
        <w:spacing w:after="0" w:line="277" w:lineRule="auto"/>
        <w:tabs>
          <w:tab w:leader="none" w:pos="13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units to the public in France. Such offers, sales and distributions will be made in France only:</w:t>
      </w:r>
    </w:p>
    <w:p>
      <w:pPr>
        <w:spacing w:after="0" w:line="102" w:lineRule="exact"/>
        <w:rPr>
          <w:rFonts w:ascii="Arial" w:cs="Arial" w:eastAsia="Arial" w:hAnsi="Arial"/>
          <w:sz w:val="18"/>
          <w:szCs w:val="18"/>
          <w:color w:val="auto"/>
        </w:rPr>
      </w:pPr>
    </w:p>
    <w:p>
      <w:pPr>
        <w:ind w:left="1760" w:right="479" w:hanging="442"/>
        <w:spacing w:after="0" w:line="259" w:lineRule="auto"/>
        <w:tabs>
          <w:tab w:leader="none" w:pos="1751"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119" w:lineRule="exact"/>
        <w:rPr>
          <w:rFonts w:ascii="Arial" w:cs="Arial" w:eastAsia="Arial" w:hAnsi="Arial"/>
          <w:sz w:val="18"/>
          <w:szCs w:val="18"/>
          <w:color w:val="auto"/>
        </w:rPr>
      </w:pPr>
    </w:p>
    <w:p>
      <w:pPr>
        <w:ind w:left="1760" w:right="679" w:hanging="442"/>
        <w:spacing w:after="0" w:line="277" w:lineRule="auto"/>
        <w:tabs>
          <w:tab w:leader="none" w:pos="1751" w:val="left"/>
        </w:tabs>
        <w:numPr>
          <w:ilvl w:val="1"/>
          <w:numId w:val="82"/>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89" w:lineRule="exact"/>
        <w:rPr>
          <w:rFonts w:ascii="Arial" w:cs="Arial" w:eastAsia="Arial" w:hAnsi="Arial"/>
          <w:sz w:val="18"/>
          <w:szCs w:val="18"/>
          <w:color w:val="auto"/>
        </w:rPr>
      </w:pPr>
    </w:p>
    <w:p>
      <w:pPr>
        <w:ind w:left="1760" w:right="639" w:hanging="442"/>
        <w:spacing w:after="0" w:line="259" w:lineRule="auto"/>
        <w:tabs>
          <w:tab w:leader="none" w:pos="1751" w:val="left"/>
        </w:tabs>
        <w:numPr>
          <w:ilvl w:val="1"/>
          <w:numId w:val="82"/>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19"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62"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8" w:name="page149"/>
    <w:bookmarkEnd w:id="148"/>
    <w:p>
      <w:pPr>
        <w:ind w:left="4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units and underlying Class A ordinary shares and warrants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will mean any person resident in Japan, including any corporation or other entity organized under the laws of Japan.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48" w:lineRule="exact"/>
        <w:rPr>
          <w:sz w:val="20"/>
          <w:szCs w:val="20"/>
          <w:color w:val="auto"/>
        </w:rPr>
      </w:pPr>
    </w:p>
    <w:p>
      <w:pPr>
        <w:ind w:left="460" w:right="599" w:firstLine="432"/>
        <w:spacing w:after="0" w:line="289"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Where the units are subscribed or purchased under Section 275 of the SFA by a relevant person which is:</w:t>
      </w:r>
    </w:p>
    <w:p>
      <w:pPr>
        <w:spacing w:after="0" w:line="181" w:lineRule="exact"/>
        <w:rPr>
          <w:sz w:val="20"/>
          <w:szCs w:val="20"/>
          <w:color w:val="auto"/>
        </w:rPr>
      </w:pPr>
    </w:p>
    <w:p>
      <w:pPr>
        <w:ind w:left="1320" w:right="719" w:hanging="434"/>
        <w:spacing w:after="0" w:line="263" w:lineRule="auto"/>
        <w:tabs>
          <w:tab w:leader="none" w:pos="13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2" w:lineRule="exact"/>
        <w:rPr>
          <w:rFonts w:ascii="Arial" w:cs="Arial" w:eastAsia="Arial" w:hAnsi="Arial"/>
          <w:sz w:val="18"/>
          <w:szCs w:val="18"/>
          <w:color w:val="auto"/>
        </w:rPr>
      </w:pPr>
    </w:p>
    <w:p>
      <w:pPr>
        <w:ind w:left="1320" w:right="739" w:hanging="434"/>
        <w:spacing w:after="0" w:line="277" w:lineRule="auto"/>
        <w:tabs>
          <w:tab w:leader="none" w:pos="13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103" w:lineRule="exact"/>
        <w:rPr>
          <w:sz w:val="20"/>
          <w:szCs w:val="20"/>
          <w:color w:val="auto"/>
        </w:rPr>
      </w:pPr>
    </w:p>
    <w:p>
      <w:pPr>
        <w:ind w:left="880" w:right="519"/>
        <w:spacing w:after="0" w:line="311"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will not be transferred within six months after that corporation or that trust has acquired the shares pursuant to an offer made under Section 275 of the SFA except:</w:t>
      </w:r>
    </w:p>
    <w:p>
      <w:pPr>
        <w:spacing w:after="0" w:line="81" w:lineRule="exact"/>
        <w:rPr>
          <w:sz w:val="20"/>
          <w:szCs w:val="20"/>
          <w:color w:val="auto"/>
        </w:rPr>
      </w:pPr>
    </w:p>
    <w:p>
      <w:pPr>
        <w:ind w:left="1320" w:right="539" w:hanging="434"/>
        <w:spacing w:after="0" w:line="272" w:lineRule="auto"/>
        <w:tabs>
          <w:tab w:leader="none" w:pos="1311" w:val="left"/>
        </w:tabs>
        <w:numPr>
          <w:ilvl w:val="0"/>
          <w:numId w:val="84"/>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96" w:lineRule="exact"/>
        <w:rPr>
          <w:rFonts w:ascii="Arial" w:cs="Arial" w:eastAsia="Arial" w:hAnsi="Arial"/>
          <w:sz w:val="17"/>
          <w:szCs w:val="17"/>
          <w:color w:val="auto"/>
        </w:rPr>
      </w:pPr>
    </w:p>
    <w:p>
      <w:pPr>
        <w:ind w:left="1300" w:hanging="41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Cayman Islands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 offer or invitation to subscribe for shares or units may be made to the public in the Cayman Islands.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Kirkland &amp; Ellis LLP, New York, New York will pass upon the validity of the securities offered in this prospectus with respect to units and warrants. Maples and Calder will pass upon the validity of the securities offered in this prospectus with respect to the ordinary shares and matters of Cayman Islands law. In connection with this offering, Davis Polk &amp; Wardwell LLP advised the underwriter in connection with the offering of the securities.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financial statements of Sustainable Opportunities Acquisition Corp. as of December 31, 2019 and for the period from December 18, 2019 (inception) through December 31, 2019 appearing in this prospectus have been audited by Marcum LLP, independent registered public accounting firm, as set forth in their report thereon (which contains an explanatory paragraph relating to substantial doubt about the ability of Sustainable Opportunities Acquisition Corp.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11"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Audited Financial Statements for Sustainable Opportunities Acquisition Corp.:</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6"/>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0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60" w:type="dxa"/>
            <w:vAlign w:val="bottom"/>
            <w:tcBorders>
              <w:bottom w:val="single" w:sz="8" w:color="CCEEFF"/>
            </w:tcBorders>
          </w:tcPr>
          <w:p>
            <w:pPr>
              <w:spacing w:after="0"/>
              <w:rPr>
                <w:sz w:val="4"/>
                <w:szCs w:val="4"/>
                <w:color w:val="auto"/>
              </w:rPr>
            </w:pPr>
          </w:p>
        </w:tc>
        <w:tc>
          <w:tcPr>
            <w:tcW w:w="1360" w:type="dxa"/>
            <w:vAlign w:val="bottom"/>
            <w:tcBorders>
              <w:bottom w:val="single" w:sz="8" w:color="CCEEFF"/>
            </w:tcBorders>
          </w:tcPr>
          <w:p>
            <w:pPr>
              <w:spacing w:after="0"/>
              <w:rPr>
                <w:sz w:val="4"/>
                <w:szCs w:val="4"/>
                <w:color w:val="auto"/>
              </w:rPr>
            </w:pPr>
          </w:p>
        </w:tc>
        <w:tc>
          <w:tcPr>
            <w:tcW w:w="28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183"/>
        </w:trPr>
        <w:tc>
          <w:tcPr>
            <w:tcW w:w="7540" w:type="dxa"/>
            <w:vAlign w:val="bottom"/>
            <w:gridSpan w:val="10"/>
            <w:shd w:val="clear" w:color="auto" w:fill="CCEEFF"/>
          </w:tcPr>
          <w:p>
            <w:pPr>
              <w:spacing w:after="0" w:line="182" w:lineRule="exact"/>
              <w:rPr>
                <w:rFonts w:ascii="Arial" w:cs="Arial" w:eastAsia="Arial" w:hAnsi="Arial"/>
                <w:sz w:val="18"/>
                <w:szCs w:val="18"/>
                <w:color w:val="0000EE"/>
              </w:rPr>
            </w:pPr>
            <w:hyperlink w:anchor="page152">
              <w:r>
                <w:rPr>
                  <w:rFonts w:ascii="Arial" w:cs="Arial" w:eastAsia="Arial" w:hAnsi="Arial"/>
                  <w:sz w:val="18"/>
                  <w:szCs w:val="18"/>
                  <w:color w:val="0000EE"/>
                </w:rPr>
                <w:t>Report of Independent Registered Public Accounting Firm</w:t>
              </w:r>
            </w:hyperlink>
          </w:p>
        </w:tc>
        <w:tc>
          <w:tcPr>
            <w:tcW w:w="560" w:type="dxa"/>
            <w:vAlign w:val="bottom"/>
            <w:shd w:val="clear" w:color="auto" w:fill="CCEEFF"/>
          </w:tcPr>
          <w:p>
            <w:pPr>
              <w:jc w:val="center"/>
              <w:spacing w:after="0" w:line="182" w:lineRule="exact"/>
              <w:rPr>
                <w:sz w:val="20"/>
                <w:szCs w:val="20"/>
                <w:color w:val="auto"/>
              </w:rPr>
            </w:pPr>
            <w:r>
              <w:rPr>
                <w:rFonts w:ascii="Arial" w:cs="Arial" w:eastAsia="Arial" w:hAnsi="Arial"/>
                <w:sz w:val="18"/>
                <w:szCs w:val="18"/>
                <w:color w:val="auto"/>
                <w:w w:val="88"/>
              </w:rPr>
              <w:t>F-2</w:t>
            </w:r>
          </w:p>
        </w:tc>
      </w:tr>
      <w:tr>
        <w:trPr>
          <w:trHeight w:val="61"/>
        </w:trPr>
        <w:tc>
          <w:tcPr>
            <w:tcW w:w="180" w:type="dxa"/>
            <w:vAlign w:val="bottom"/>
            <w:tcBorders>
              <w:top w:val="single" w:sz="8" w:color="0000EE"/>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660" w:type="dxa"/>
            <w:vAlign w:val="bottom"/>
            <w:tcBorders>
              <w:top w:val="single" w:sz="8" w:color="0000EE"/>
            </w:tcBorders>
            <w:shd w:val="clear" w:color="auto" w:fill="CCEEFF"/>
          </w:tcPr>
          <w:p>
            <w:pPr>
              <w:spacing w:after="0"/>
              <w:rPr>
                <w:sz w:val="5"/>
                <w:szCs w:val="5"/>
                <w:color w:val="auto"/>
              </w:rPr>
            </w:pPr>
          </w:p>
        </w:tc>
        <w:tc>
          <w:tcPr>
            <w:tcW w:w="1360" w:type="dxa"/>
            <w:vAlign w:val="bottom"/>
            <w:tcBorders>
              <w:top w:val="single" w:sz="8" w:color="0000EE"/>
            </w:tcBorders>
            <w:shd w:val="clear" w:color="auto" w:fill="CCEEFF"/>
          </w:tcPr>
          <w:p>
            <w:pPr>
              <w:spacing w:after="0"/>
              <w:rPr>
                <w:sz w:val="5"/>
                <w:szCs w:val="5"/>
                <w:color w:val="auto"/>
              </w:rPr>
            </w:pPr>
          </w:p>
        </w:tc>
        <w:tc>
          <w:tcPr>
            <w:tcW w:w="2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r>
      <w:tr>
        <w:trPr>
          <w:trHeight w:val="203"/>
        </w:trPr>
        <w:tc>
          <w:tcPr>
            <w:tcW w:w="7540" w:type="dxa"/>
            <w:vAlign w:val="bottom"/>
            <w:gridSpan w:val="10"/>
          </w:tcPr>
          <w:p>
            <w:pPr>
              <w:spacing w:after="0" w:line="202" w:lineRule="exact"/>
              <w:rPr>
                <w:rFonts w:ascii="Arial" w:cs="Arial" w:eastAsia="Arial" w:hAnsi="Arial"/>
                <w:sz w:val="18"/>
                <w:szCs w:val="18"/>
                <w:color w:val="0000EE"/>
              </w:rPr>
            </w:pPr>
            <w:hyperlink w:anchor="page153">
              <w:r>
                <w:rPr>
                  <w:rFonts w:ascii="Arial" w:cs="Arial" w:eastAsia="Arial" w:hAnsi="Arial"/>
                  <w:sz w:val="18"/>
                  <w:szCs w:val="18"/>
                  <w:color w:val="0000EE"/>
                </w:rPr>
                <w:t>Balance Sheet as of December 31, 2019</w:t>
              </w:r>
            </w:hyperlink>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88"/>
              </w:rPr>
              <w:t>F-3</w:t>
            </w:r>
          </w:p>
        </w:tc>
      </w:tr>
      <w:tr>
        <w:trPr>
          <w:trHeight w:val="61"/>
        </w:trPr>
        <w:tc>
          <w:tcPr>
            <w:tcW w:w="180" w:type="dxa"/>
            <w:vAlign w:val="bottom"/>
            <w:tcBorders>
              <w:top w:val="single" w:sz="8" w:color="0000EE"/>
            </w:tcBorders>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Borders>
              <w:top w:val="single" w:sz="8" w:color="0000EE"/>
            </w:tcBorders>
          </w:tcPr>
          <w:p>
            <w:pPr>
              <w:spacing w:after="0"/>
              <w:rPr>
                <w:sz w:val="5"/>
                <w:szCs w:val="5"/>
                <w:color w:val="auto"/>
              </w:rPr>
            </w:pPr>
          </w:p>
        </w:tc>
        <w:tc>
          <w:tcPr>
            <w:tcW w:w="13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175"/>
        </w:trPr>
        <w:tc>
          <w:tcPr>
            <w:tcW w:w="7540" w:type="dxa"/>
            <w:vAlign w:val="bottom"/>
            <w:gridSpan w:val="10"/>
            <w:shd w:val="clear" w:color="auto" w:fill="CCEEFF"/>
          </w:tcPr>
          <w:p>
            <w:pPr>
              <w:spacing w:after="0" w:line="176" w:lineRule="exact"/>
              <w:rPr>
                <w:rFonts w:ascii="Arial" w:cs="Arial" w:eastAsia="Arial" w:hAnsi="Arial"/>
                <w:sz w:val="18"/>
                <w:szCs w:val="18"/>
                <w:color w:val="0000EE"/>
                <w:w w:val="95"/>
              </w:rPr>
            </w:pPr>
            <w:hyperlink w:anchor="page154">
              <w:r>
                <w:rPr>
                  <w:rFonts w:ascii="Arial" w:cs="Arial" w:eastAsia="Arial" w:hAnsi="Arial"/>
                  <w:sz w:val="18"/>
                  <w:szCs w:val="18"/>
                  <w:color w:val="0000EE"/>
                  <w:w w:val="95"/>
                </w:rPr>
                <w:t>Statement of Operations for the Period from December 18, 2019 (inception) through December 31,</w:t>
              </w:r>
            </w:hyperlink>
          </w:p>
        </w:tc>
        <w:tc>
          <w:tcPr>
            <w:tcW w:w="560" w:type="dxa"/>
            <w:vAlign w:val="bottom"/>
            <w:shd w:val="clear" w:color="auto" w:fill="CCEEFF"/>
          </w:tcPr>
          <w:p>
            <w:pPr>
              <w:spacing w:after="0"/>
              <w:rPr>
                <w:sz w:val="15"/>
                <w:szCs w:val="15"/>
                <w:color w:val="auto"/>
              </w:rPr>
            </w:pPr>
          </w:p>
        </w:tc>
      </w:tr>
      <w:tr>
        <w:trPr>
          <w:trHeight w:val="196"/>
        </w:trPr>
        <w:tc>
          <w:tcPr>
            <w:tcW w:w="2140" w:type="dxa"/>
            <w:vAlign w:val="bottom"/>
            <w:tcBorders>
              <w:top w:val="single" w:sz="8" w:color="0000EE"/>
            </w:tcBorders>
            <w:gridSpan w:val="3"/>
            <w:shd w:val="clear" w:color="auto" w:fill="CCEEFF"/>
          </w:tcPr>
          <w:p>
            <w:pPr>
              <w:ind w:left="180"/>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2019</w:t>
              </w:r>
            </w:hyperlink>
          </w:p>
        </w:tc>
        <w:tc>
          <w:tcPr>
            <w:tcW w:w="60" w:type="dxa"/>
            <w:vAlign w:val="bottom"/>
            <w:tcBorders>
              <w:top w:val="single" w:sz="8" w:color="0000EE"/>
            </w:tcBorders>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1360" w:type="dxa"/>
            <w:vAlign w:val="bottom"/>
            <w:tcBorders>
              <w:top w:val="single" w:sz="8" w:color="0000EE"/>
            </w:tcBorders>
            <w:shd w:val="clear" w:color="auto" w:fill="CCEEFF"/>
          </w:tcPr>
          <w:p>
            <w:pPr>
              <w:spacing w:after="0"/>
              <w:rPr>
                <w:sz w:val="17"/>
                <w:szCs w:val="17"/>
                <w:color w:val="auto"/>
              </w:rPr>
            </w:pPr>
          </w:p>
        </w:tc>
        <w:tc>
          <w:tcPr>
            <w:tcW w:w="28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2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r>
      <w:tr>
        <w:trPr>
          <w:trHeight w:val="175"/>
        </w:trPr>
        <w:tc>
          <w:tcPr>
            <w:tcW w:w="7540" w:type="dxa"/>
            <w:vAlign w:val="bottom"/>
            <w:gridSpan w:val="10"/>
          </w:tcPr>
          <w:p>
            <w:pPr>
              <w:spacing w:after="0" w:line="176" w:lineRule="exact"/>
              <w:rPr>
                <w:rFonts w:ascii="Arial" w:cs="Arial" w:eastAsia="Arial" w:hAnsi="Arial"/>
                <w:sz w:val="18"/>
                <w:szCs w:val="18"/>
                <w:color w:val="0000EE"/>
                <w:w w:val="96"/>
              </w:rPr>
            </w:pPr>
            <w:hyperlink w:anchor="page155">
              <w:r>
                <w:rPr>
                  <w:rFonts w:ascii="Arial" w:cs="Arial" w:eastAsia="Arial" w:hAnsi="Arial"/>
                  <w:sz w:val="18"/>
                  <w:szCs w:val="18"/>
                  <w:color w:val="0000EE"/>
                  <w:w w:val="96"/>
                </w:rPr>
                <w:t>Statement of Changes in Shareholder’s Equity for the Period from December 18, 2019 (inception)</w:t>
              </w:r>
            </w:hyperlink>
          </w:p>
        </w:tc>
        <w:tc>
          <w:tcPr>
            <w:tcW w:w="56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through December 31, 2019</w:t>
              </w:r>
            </w:hyperlink>
          </w:p>
        </w:tc>
        <w:tc>
          <w:tcPr>
            <w:tcW w:w="500" w:type="dxa"/>
            <w:vAlign w:val="bottom"/>
            <w:gridSpan w:val="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60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660" w:type="dxa"/>
            <w:vAlign w:val="bottom"/>
          </w:tcPr>
          <w:p>
            <w:pPr>
              <w:spacing w:after="0"/>
              <w:rPr>
                <w:sz w:val="5"/>
                <w:szCs w:val="5"/>
                <w:color w:val="auto"/>
              </w:rPr>
            </w:pPr>
          </w:p>
        </w:tc>
        <w:tc>
          <w:tcPr>
            <w:tcW w:w="1360" w:type="dxa"/>
            <w:vAlign w:val="bottom"/>
          </w:tcPr>
          <w:p>
            <w:pPr>
              <w:spacing w:after="0"/>
              <w:rPr>
                <w:sz w:val="5"/>
                <w:szCs w:val="5"/>
                <w:color w:val="auto"/>
              </w:rPr>
            </w:pPr>
          </w:p>
        </w:tc>
        <w:tc>
          <w:tcPr>
            <w:tcW w:w="2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175"/>
        </w:trPr>
        <w:tc>
          <w:tcPr>
            <w:tcW w:w="7540" w:type="dxa"/>
            <w:vAlign w:val="bottom"/>
            <w:gridSpan w:val="10"/>
            <w:shd w:val="clear" w:color="auto" w:fill="CCEEFF"/>
          </w:tcPr>
          <w:p>
            <w:pPr>
              <w:spacing w:after="0" w:line="176" w:lineRule="exact"/>
              <w:rPr>
                <w:rFonts w:ascii="Arial" w:cs="Arial" w:eastAsia="Arial" w:hAnsi="Arial"/>
                <w:sz w:val="18"/>
                <w:szCs w:val="18"/>
                <w:color w:val="0000EE"/>
                <w:w w:val="94"/>
              </w:rPr>
            </w:pPr>
            <w:hyperlink w:anchor="page156">
              <w:r>
                <w:rPr>
                  <w:rFonts w:ascii="Arial" w:cs="Arial" w:eastAsia="Arial" w:hAnsi="Arial"/>
                  <w:sz w:val="18"/>
                  <w:szCs w:val="18"/>
                  <w:color w:val="0000EE"/>
                  <w:w w:val="94"/>
                </w:rPr>
                <w:t>Statement Of Cash Flows for the Period from December 18, 2019 (inception) through December 31,</w:t>
              </w:r>
            </w:hyperlink>
          </w:p>
        </w:tc>
        <w:tc>
          <w:tcPr>
            <w:tcW w:w="560" w:type="dxa"/>
            <w:vAlign w:val="bottom"/>
            <w:shd w:val="clear" w:color="auto" w:fill="CCEEFF"/>
          </w:tcPr>
          <w:p>
            <w:pPr>
              <w:spacing w:after="0"/>
              <w:rPr>
                <w:sz w:val="15"/>
                <w:szCs w:val="15"/>
                <w:color w:val="auto"/>
              </w:rPr>
            </w:pPr>
          </w:p>
        </w:tc>
      </w:tr>
      <w:tr>
        <w:trPr>
          <w:trHeight w:val="196"/>
        </w:trPr>
        <w:tc>
          <w:tcPr>
            <w:tcW w:w="2140" w:type="dxa"/>
            <w:vAlign w:val="bottom"/>
            <w:tcBorders>
              <w:top w:val="single" w:sz="8" w:color="0000EE"/>
            </w:tcBorders>
            <w:gridSpan w:val="3"/>
            <w:shd w:val="clear" w:color="auto" w:fill="CCEEFF"/>
          </w:tcPr>
          <w:p>
            <w:pPr>
              <w:ind w:left="180"/>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2019</w:t>
              </w:r>
            </w:hyperlink>
          </w:p>
        </w:tc>
        <w:tc>
          <w:tcPr>
            <w:tcW w:w="60" w:type="dxa"/>
            <w:vAlign w:val="bottom"/>
            <w:tcBorders>
              <w:top w:val="single" w:sz="8" w:color="0000EE"/>
            </w:tcBorders>
            <w:shd w:val="clear" w:color="auto" w:fill="CCEEFF"/>
          </w:tcPr>
          <w:p>
            <w:pPr>
              <w:spacing w:after="0"/>
              <w:rPr>
                <w:sz w:val="17"/>
                <w:szCs w:val="17"/>
                <w:color w:val="auto"/>
              </w:rPr>
            </w:pPr>
          </w:p>
        </w:tc>
        <w:tc>
          <w:tcPr>
            <w:tcW w:w="660" w:type="dxa"/>
            <w:vAlign w:val="bottom"/>
            <w:tcBorders>
              <w:top w:val="single" w:sz="8" w:color="0000EE"/>
            </w:tcBorders>
            <w:shd w:val="clear" w:color="auto" w:fill="CCEEFF"/>
          </w:tcPr>
          <w:p>
            <w:pPr>
              <w:spacing w:after="0"/>
              <w:rPr>
                <w:sz w:val="17"/>
                <w:szCs w:val="17"/>
                <w:color w:val="auto"/>
              </w:rPr>
            </w:pPr>
          </w:p>
        </w:tc>
        <w:tc>
          <w:tcPr>
            <w:tcW w:w="1360" w:type="dxa"/>
            <w:vAlign w:val="bottom"/>
            <w:tcBorders>
              <w:top w:val="single" w:sz="8" w:color="0000EE"/>
            </w:tcBorders>
            <w:shd w:val="clear" w:color="auto" w:fill="CCEEFF"/>
          </w:tcPr>
          <w:p>
            <w:pPr>
              <w:spacing w:after="0"/>
              <w:rPr>
                <w:sz w:val="17"/>
                <w:szCs w:val="17"/>
                <w:color w:val="auto"/>
              </w:rPr>
            </w:pPr>
          </w:p>
        </w:tc>
        <w:tc>
          <w:tcPr>
            <w:tcW w:w="282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60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660" w:type="dxa"/>
            <w:vAlign w:val="bottom"/>
            <w:tcBorders>
              <w:top w:val="single" w:sz="8" w:color="CCEEFF"/>
            </w:tcBorders>
            <w:shd w:val="clear" w:color="auto" w:fill="CCEEFF"/>
          </w:tcPr>
          <w:p>
            <w:pPr>
              <w:spacing w:after="0"/>
              <w:rPr>
                <w:sz w:val="5"/>
                <w:szCs w:val="5"/>
                <w:color w:val="auto"/>
              </w:rPr>
            </w:pPr>
          </w:p>
        </w:tc>
        <w:tc>
          <w:tcPr>
            <w:tcW w:w="1360" w:type="dxa"/>
            <w:vAlign w:val="bottom"/>
            <w:tcBorders>
              <w:top w:val="single" w:sz="8" w:color="CCEEFF"/>
            </w:tcBorders>
            <w:shd w:val="clear" w:color="auto" w:fill="CCEEFF"/>
          </w:tcPr>
          <w:p>
            <w:pPr>
              <w:spacing w:after="0"/>
              <w:rPr>
                <w:sz w:val="5"/>
                <w:szCs w:val="5"/>
                <w:color w:val="auto"/>
              </w:rPr>
            </w:pPr>
          </w:p>
        </w:tc>
        <w:tc>
          <w:tcPr>
            <w:tcW w:w="28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r>
      <w:tr>
        <w:trPr>
          <w:trHeight w:val="203"/>
        </w:trPr>
        <w:tc>
          <w:tcPr>
            <w:tcW w:w="7540" w:type="dxa"/>
            <w:vAlign w:val="bottom"/>
            <w:gridSpan w:val="10"/>
          </w:tcPr>
          <w:p>
            <w:pPr>
              <w:spacing w:after="0" w:line="202" w:lineRule="exact"/>
              <w:rPr>
                <w:rFonts w:ascii="Arial" w:cs="Arial" w:eastAsia="Arial" w:hAnsi="Arial"/>
                <w:sz w:val="18"/>
                <w:szCs w:val="18"/>
                <w:color w:val="0000EE"/>
              </w:rPr>
            </w:pPr>
            <w:hyperlink w:anchor="page157">
              <w:r>
                <w:rPr>
                  <w:rFonts w:ascii="Arial" w:cs="Arial" w:eastAsia="Arial" w:hAnsi="Arial"/>
                  <w:sz w:val="18"/>
                  <w:szCs w:val="18"/>
                  <w:color w:val="0000EE"/>
                </w:rPr>
                <w:t>Notes to Financial Statements</w:t>
              </w:r>
            </w:hyperlink>
          </w:p>
        </w:tc>
        <w:tc>
          <w:tcPr>
            <w:tcW w:w="560" w:type="dxa"/>
            <w:vAlign w:val="bottom"/>
          </w:tcPr>
          <w:p>
            <w:pPr>
              <w:jc w:val="center"/>
              <w:spacing w:after="0" w:line="202" w:lineRule="exact"/>
              <w:rPr>
                <w:sz w:val="20"/>
                <w:szCs w:val="20"/>
                <w:color w:val="auto"/>
              </w:rPr>
            </w:pPr>
            <w:r>
              <w:rPr>
                <w:rFonts w:ascii="Arial" w:cs="Arial" w:eastAsia="Arial" w:hAnsi="Arial"/>
                <w:sz w:val="18"/>
                <w:szCs w:val="18"/>
                <w:color w:val="auto"/>
                <w:w w:val="88"/>
              </w:rPr>
              <w:t>F-7</w:t>
            </w:r>
          </w:p>
        </w:tc>
      </w:tr>
      <w:tr>
        <w:trPr>
          <w:trHeight w:val="466"/>
        </w:trPr>
        <w:tc>
          <w:tcPr>
            <w:tcW w:w="18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600" w:type="dxa"/>
            <w:vAlign w:val="bottom"/>
            <w:tcBorders>
              <w:top w:val="single" w:sz="8" w:color="0000EE"/>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gridSpan w:val="5"/>
          </w:tcPr>
          <w:p>
            <w:pPr>
              <w:ind w:left="1060"/>
              <w:spacing w:after="0"/>
              <w:rPr>
                <w:sz w:val="20"/>
                <w:szCs w:val="20"/>
                <w:color w:val="auto"/>
              </w:rPr>
            </w:pPr>
            <w:r>
              <w:rPr>
                <w:rFonts w:ascii="Arial" w:cs="Arial" w:eastAsia="Arial" w:hAnsi="Arial"/>
                <w:sz w:val="18"/>
                <w:szCs w:val="18"/>
                <w:color w:val="auto"/>
              </w:rPr>
              <w:t>F-1</w:t>
            </w: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51" w:name="page152"/>
    <w:bookmarkEnd w:id="151"/>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Sustainable Opportunities Acquisition Corp.</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ind w:left="460" w:right="499"/>
        <w:spacing w:after="0" w:line="291" w:lineRule="auto"/>
        <w:rPr>
          <w:sz w:val="20"/>
          <w:szCs w:val="20"/>
          <w:color w:val="auto"/>
        </w:rPr>
      </w:pPr>
      <w:r>
        <w:rPr>
          <w:rFonts w:ascii="Arial" w:cs="Arial" w:eastAsia="Arial" w:hAnsi="Arial"/>
          <w:sz w:val="16"/>
          <w:szCs w:val="16"/>
          <w:color w:val="auto"/>
        </w:rPr>
        <w:t>We have audited the accompanying balance sheet of Sustainable Opportunities Acquisition Corp. (the “Company”) as of December 31, 2019 and the related statements of operations, changes in shareholder’s equity and cash flows for the period from December 18,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December 18, 2019 (inception) through December 31, 2019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ind w:left="460" w:right="639"/>
        <w:spacing w:after="0" w:line="272"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1 to the financial statements, the Company’s business plan is dependent on the completion of a financing, and the Company’s cash and working capital as of December 31, 2019 are not sufficient to complete its planned activities. These conditions raise substantial doubt about the Company’s ability to continue as a going concern. Management’s plans in regard to these matters are also described in Notes 1 and 3. The financial statements do not include any adjustments that might result from the outcome of this uncertainty.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60" w:right="479"/>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ind w:left="460" w:right="519"/>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460" w:right="499"/>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Marcum LLP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18,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2" w:name="page153"/>
    <w:bookmarkEnd w:id="152"/>
    <w:tbl>
      <w:tblPr>
        <w:tblLayout w:type="fixed"/>
        <w:tblInd w:w="460" w:type="dxa"/>
        <w:tblCellMar>
          <w:top w:w="0" w:type="dxa"/>
          <w:left w:w="0" w:type="dxa"/>
          <w:bottom w:w="0" w:type="dxa"/>
          <w:right w:w="0" w:type="dxa"/>
        </w:tblCellMar>
      </w:tblPr>
      <w:tr>
        <w:trPr>
          <w:trHeight w:val="23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SUSTAINABLE OPPORTUNITIES ACQUISITION CORP.</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BALANCE SHEET</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686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December 31, 2019</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15,961</w:t>
            </w: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15,961</w:t>
            </w:r>
          </w:p>
        </w:tc>
        <w:tc>
          <w:tcPr>
            <w:tcW w:w="140" w:type="dxa"/>
            <w:vAlign w:val="bottom"/>
            <w:gridSpan w:val="2"/>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 associated with initial public offering</w:t>
            </w: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103,660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119,621</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372"/>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23,060</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2"/>
                <w:szCs w:val="22"/>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80,600</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103,660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358"/>
        </w:trPr>
        <w:tc>
          <w:tcPr>
            <w:tcW w:w="68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rPr>
              <w:t>Preference shares, $0.0001 par value; 1,000,000 shares authorized; none issued and</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ordinary shares, $0.0001 par value; 300,000,000 shares authorized; none issued and</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1"/>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2"/>
              </w:rPr>
              <w:t>Class B ordinary shares, $0.0001 par value; 30,000,000 shares authorized; 8,625,000 shares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71"/>
        </w:trPr>
        <w:tc>
          <w:tcPr>
            <w:tcW w:w="6860" w:type="dxa"/>
            <w:vAlign w:val="bottom"/>
          </w:tcPr>
          <w:p>
            <w:pPr>
              <w:ind w:left="180"/>
              <w:spacing w:after="0"/>
              <w:rPr>
                <w:sz w:val="20"/>
                <w:szCs w:val="20"/>
                <w:color w:val="auto"/>
              </w:rPr>
            </w:pPr>
            <w:r>
              <w:rPr>
                <w:rFonts w:ascii="Arial" w:cs="Arial" w:eastAsia="Arial" w:hAnsi="Arial"/>
                <w:sz w:val="18"/>
                <w:szCs w:val="18"/>
                <w:color w:val="auto"/>
              </w:rPr>
              <w:t>issued and outstanding</w:t>
            </w:r>
            <w:r>
              <w:rPr>
                <w:rFonts w:ascii="Arial" w:cs="Arial" w:eastAsia="Arial" w:hAnsi="Arial"/>
                <w:sz w:val="20"/>
                <w:szCs w:val="20"/>
                <w:color w:val="auto"/>
                <w:vertAlign w:val="superscript"/>
              </w:rPr>
              <w:t>(1)</w:t>
            </w:r>
          </w:p>
        </w:tc>
        <w:tc>
          <w:tcPr>
            <w:tcW w:w="320" w:type="dxa"/>
            <w:vAlign w:val="bottom"/>
          </w:tcPr>
          <w:p>
            <w:pPr>
              <w:spacing w:after="0"/>
              <w:rPr>
                <w:sz w:val="23"/>
                <w:szCs w:val="2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863</w:t>
            </w: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24,137</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2"/>
                <w:szCs w:val="22"/>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(9,039)</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15,961</w:t>
            </w:r>
          </w:p>
        </w:tc>
      </w:tr>
      <w:tr>
        <w:trPr>
          <w:trHeight w:val="24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119,621</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right="619" w:hanging="426"/>
        <w:spacing w:after="0" w:line="293" w:lineRule="auto"/>
        <w:tabs>
          <w:tab w:leader="none" w:pos="880" w:val="left"/>
        </w:tabs>
        <w:numPr>
          <w:ilvl w:val="0"/>
          <w:numId w:val="85"/>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includes up to 1,125,000 shares subject to forfeiture if the over-allotment option is not exercised in full or in part by the underwriters (see Note 4).</w:t>
      </w:r>
    </w:p>
    <w:p>
      <w:pPr>
        <w:spacing w:after="0" w:line="86"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December 18, 2019 (inception) through December 31, 2019</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1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basic and diluted</w:t>
            </w:r>
            <w:r>
              <w:rPr>
                <w:rFonts w:ascii="Arial" w:cs="Arial" w:eastAsia="Arial" w:hAnsi="Arial"/>
                <w:sz w:val="20"/>
                <w:szCs w:val="20"/>
                <w:b w:val="1"/>
                <w:bCs w:val="1"/>
                <w:color w:val="auto"/>
                <w:vertAlign w:val="superscript"/>
              </w:rPr>
              <w:t>(1)</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7"/>
        </w:trPr>
        <w:tc>
          <w:tcPr>
            <w:tcW w:w="6860" w:type="dxa"/>
            <w:vAlign w:val="bottom"/>
            <w:vMerge w:val="continue"/>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right="619" w:hanging="426"/>
        <w:spacing w:after="0" w:line="293" w:lineRule="auto"/>
        <w:tabs>
          <w:tab w:leader="none" w:pos="880" w:val="left"/>
        </w:tabs>
        <w:numPr>
          <w:ilvl w:val="0"/>
          <w:numId w:val="86"/>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excludes an aggregate of up to 1,125,000 shares subject to forfeiture if the over-allotment option is not exercised in full or in part by the underwriters (see Note 4).</w:t>
      </w:r>
    </w:p>
    <w:p>
      <w:pPr>
        <w:spacing w:after="0" w:line="86"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December 18, 2019 (inception) through December 31, 2019</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ind w:left="20"/>
              <w:spacing w:after="0"/>
              <w:rPr>
                <w:sz w:val="20"/>
                <w:szCs w:val="20"/>
                <w:color w:val="auto"/>
              </w:rPr>
            </w:pPr>
            <w:r>
              <w:rPr>
                <w:rFonts w:ascii="Arial" w:cs="Arial" w:eastAsia="Arial" w:hAnsi="Arial"/>
                <w:sz w:val="16"/>
                <w:szCs w:val="16"/>
                <w:b w:val="1"/>
                <w:bCs w:val="1"/>
                <w:color w:val="auto"/>
              </w:rPr>
              <w:t>Ordinary Shares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47"/>
        </w:trPr>
        <w:tc>
          <w:tcPr>
            <w:tcW w:w="2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220" w:type="dxa"/>
            <w:vAlign w:val="bottom"/>
          </w:tcPr>
          <w:p>
            <w:pPr>
              <w:spacing w:after="0"/>
              <w:rPr>
                <w:sz w:val="9"/>
                <w:szCs w:val="9"/>
                <w:color w:val="auto"/>
              </w:rPr>
            </w:pPr>
          </w:p>
        </w:tc>
        <w:tc>
          <w:tcPr>
            <w:tcW w:w="132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Class A</w:t>
            </w:r>
          </w:p>
        </w:tc>
        <w:tc>
          <w:tcPr>
            <w:tcW w:w="1080" w:type="dxa"/>
            <w:vAlign w:val="bottom"/>
            <w:gridSpan w:val="3"/>
            <w:vMerge w:val="restart"/>
          </w:tcPr>
          <w:p>
            <w:pPr>
              <w:jc w:val="right"/>
              <w:ind w:right="13"/>
              <w:spacing w:after="0"/>
              <w:rPr>
                <w:sz w:val="20"/>
                <w:szCs w:val="20"/>
                <w:color w:val="auto"/>
              </w:rPr>
            </w:pPr>
            <w:r>
              <w:rPr>
                <w:rFonts w:ascii="Arial" w:cs="Arial" w:eastAsia="Arial" w:hAnsi="Arial"/>
                <w:sz w:val="16"/>
                <w:szCs w:val="16"/>
                <w:b w:val="1"/>
                <w:bCs w:val="1"/>
                <w:color w:val="auto"/>
              </w:rPr>
              <w:t>Class B</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220" w:type="dxa"/>
            <w:vAlign w:val="bottom"/>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Paid-in</w:t>
            </w:r>
          </w:p>
        </w:tc>
        <w:tc>
          <w:tcPr>
            <w:tcW w:w="1020" w:type="dxa"/>
            <w:vAlign w:val="bottom"/>
            <w:gridSpan w:val="4"/>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140" w:type="dxa"/>
            <w:vAlign w:val="bottom"/>
            <w:gridSpan w:val="3"/>
            <w:vMerge w:val="restart"/>
          </w:tcPr>
          <w:p>
            <w:pPr>
              <w:jc w:val="center"/>
              <w:spacing w:after="0" w:line="142" w:lineRule="exact"/>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46"/>
        </w:trPr>
        <w:tc>
          <w:tcPr>
            <w:tcW w:w="2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220" w:type="dxa"/>
            <w:vAlign w:val="bottom"/>
          </w:tcPr>
          <w:p>
            <w:pPr>
              <w:spacing w:after="0"/>
              <w:rPr>
                <w:sz w:val="20"/>
                <w:szCs w:val="20"/>
                <w:color w:val="auto"/>
              </w:rPr>
            </w:pPr>
          </w:p>
        </w:tc>
        <w:tc>
          <w:tcPr>
            <w:tcW w:w="60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w:t>
            </w:r>
          </w:p>
        </w:tc>
        <w:tc>
          <w:tcPr>
            <w:tcW w:w="72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Shares</w:t>
            </w:r>
          </w:p>
        </w:tc>
        <w:tc>
          <w:tcPr>
            <w:tcW w:w="68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20"/>
                <w:szCs w:val="20"/>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Deficit</w:t>
            </w:r>
          </w:p>
        </w:tc>
        <w:tc>
          <w:tcPr>
            <w:tcW w:w="24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46"/>
        </w:trPr>
        <w:tc>
          <w:tcPr>
            <w:tcW w:w="22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2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 December 18,</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2019 (Inception)</w:t>
            </w: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2"/>
        </w:trPr>
        <w:tc>
          <w:tcPr>
            <w:tcW w:w="2220" w:type="dxa"/>
            <w:vAlign w:val="bottom"/>
          </w:tcPr>
          <w:p>
            <w:pPr>
              <w:spacing w:after="0" w:line="182" w:lineRule="exact"/>
              <w:rPr>
                <w:sz w:val="20"/>
                <w:szCs w:val="20"/>
                <w:color w:val="auto"/>
              </w:rPr>
            </w:pPr>
            <w:r>
              <w:rPr>
                <w:rFonts w:ascii="Arial" w:cs="Arial" w:eastAsia="Arial" w:hAnsi="Arial"/>
                <w:sz w:val="18"/>
                <w:szCs w:val="18"/>
                <w:color w:val="auto"/>
                <w:w w:val="96"/>
              </w:rPr>
              <w:t>Issuance of Class B ordinary</w:t>
            </w: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220" w:type="dxa"/>
            <w:vAlign w:val="bottom"/>
          </w:tcPr>
          <w:p>
            <w:pPr>
              <w:ind w:left="180"/>
              <w:spacing w:after="0"/>
              <w:rPr>
                <w:sz w:val="20"/>
                <w:szCs w:val="20"/>
                <w:color w:val="auto"/>
              </w:rPr>
            </w:pPr>
            <w:r>
              <w:rPr>
                <w:rFonts w:ascii="Arial" w:cs="Arial" w:eastAsia="Arial" w:hAnsi="Arial"/>
                <w:sz w:val="18"/>
                <w:szCs w:val="18"/>
                <w:color w:val="auto"/>
              </w:rPr>
              <w:t xml:space="preserve">shares to Sponsor </w:t>
            </w:r>
            <w:r>
              <w:rPr>
                <w:rFonts w:ascii="Arial" w:cs="Arial" w:eastAsia="Arial" w:hAnsi="Arial"/>
                <w:sz w:val="20"/>
                <w:szCs w:val="20"/>
                <w:color w:val="auto"/>
                <w:vertAlign w:val="superscript"/>
              </w:rPr>
              <w:t>(1)</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8,625,000</w:t>
            </w:r>
          </w:p>
        </w:tc>
        <w:tc>
          <w:tcPr>
            <w:tcW w:w="240" w:type="dxa"/>
            <w:vAlign w:val="bottom"/>
          </w:tcPr>
          <w:p>
            <w:pPr>
              <w:spacing w:after="0"/>
              <w:rPr>
                <w:sz w:val="23"/>
                <w:szCs w:val="2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24,137</w:t>
            </w:r>
          </w:p>
        </w:tc>
        <w:tc>
          <w:tcPr>
            <w:tcW w:w="180" w:type="dxa"/>
            <w:vAlign w:val="bottom"/>
          </w:tcPr>
          <w:p>
            <w:pPr>
              <w:spacing w:after="0"/>
              <w:rPr>
                <w:sz w:val="23"/>
                <w:szCs w:val="23"/>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(9,039)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178"/>
        </w:trPr>
        <w:tc>
          <w:tcPr>
            <w:tcW w:w="2220" w:type="dxa"/>
            <w:vAlign w:val="bottom"/>
          </w:tcPr>
          <w:p>
            <w:pPr>
              <w:spacing w:after="0" w:line="177" w:lineRule="exact"/>
              <w:rPr>
                <w:sz w:val="20"/>
                <w:szCs w:val="20"/>
                <w:color w:val="auto"/>
              </w:rPr>
            </w:pPr>
            <w:r>
              <w:rPr>
                <w:rFonts w:ascii="Arial" w:cs="Arial" w:eastAsia="Arial" w:hAnsi="Arial"/>
                <w:sz w:val="18"/>
                <w:szCs w:val="18"/>
                <w:b w:val="1"/>
                <w:bCs w:val="1"/>
                <w:color w:val="auto"/>
              </w:rPr>
              <w:t>Balance – December 31,</w:t>
            </w: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2019</w:t>
            </w:r>
          </w:p>
        </w:tc>
        <w:tc>
          <w:tcPr>
            <w:tcW w:w="60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8,625,000</w:t>
            </w:r>
          </w:p>
        </w:tc>
        <w:tc>
          <w:tcPr>
            <w:tcW w:w="24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863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24,137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(9,039)</w:t>
            </w:r>
          </w:p>
        </w:tc>
        <w:tc>
          <w:tcPr>
            <w:tcW w:w="100" w:type="dxa"/>
            <w:vAlign w:val="bottom"/>
          </w:tcPr>
          <w:p>
            <w:pPr>
              <w:spacing w:after="0"/>
              <w:rPr>
                <w:sz w:val="22"/>
                <w:szCs w:val="22"/>
                <w:color w:val="auto"/>
              </w:rPr>
            </w:pPr>
          </w:p>
        </w:tc>
        <w:tc>
          <w:tcPr>
            <w:tcW w:w="24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15,961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right="619" w:hanging="426"/>
        <w:spacing w:after="0" w:line="293" w:lineRule="auto"/>
        <w:tabs>
          <w:tab w:leader="none" w:pos="880" w:val="left"/>
        </w:tabs>
        <w:numPr>
          <w:ilvl w:val="0"/>
          <w:numId w:val="87"/>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includes up to 1,125,000 shares subject to forfeiture if the over-allotment option is not exercised in full or in part by the underwriters (see Note 4).</w:t>
      </w:r>
    </w:p>
    <w:p>
      <w:pPr>
        <w:spacing w:after="0" w:line="86"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period from December 18, 2019 (inception) through December 31, 2019</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(9,039)</w:t>
            </w:r>
          </w:p>
        </w:tc>
      </w:tr>
      <w:tr>
        <w:trPr>
          <w:trHeight w:val="41"/>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385"/>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202"/>
        </w:trPr>
        <w:tc>
          <w:tcPr>
            <w:tcW w:w="6860" w:type="dxa"/>
            <w:vAlign w:val="bottom"/>
          </w:tcPr>
          <w:p>
            <w:pPr>
              <w:ind w:left="180"/>
              <w:spacing w:after="0" w:line="201" w:lineRule="exact"/>
              <w:rPr>
                <w:sz w:val="20"/>
                <w:szCs w:val="20"/>
                <w:color w:val="auto"/>
              </w:rPr>
            </w:pPr>
            <w:r>
              <w:rPr>
                <w:rFonts w:ascii="Arial" w:cs="Arial" w:eastAsia="Arial" w:hAnsi="Arial"/>
                <w:sz w:val="18"/>
                <w:szCs w:val="18"/>
                <w:color w:val="auto"/>
                <w:w w:val="92"/>
              </w:rPr>
              <w:t>General and administrative expenses paid by Sponsor in exchange for issuance of Class B</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4"/>
        </w:trPr>
        <w:tc>
          <w:tcPr>
            <w:tcW w:w="6860" w:type="dxa"/>
            <w:vAlign w:val="bottom"/>
          </w:tcPr>
          <w:p>
            <w:pPr>
              <w:ind w:left="360"/>
              <w:spacing w:after="0"/>
              <w:rPr>
                <w:sz w:val="20"/>
                <w:szCs w:val="20"/>
                <w:color w:val="auto"/>
              </w:rPr>
            </w:pPr>
            <w:r>
              <w:rPr>
                <w:rFonts w:ascii="Arial" w:cs="Arial" w:eastAsia="Arial" w:hAnsi="Arial"/>
                <w:sz w:val="18"/>
                <w:szCs w:val="18"/>
                <w:color w:val="auto"/>
              </w:rPr>
              <w:t>ordinary shares to Sponsor</w:t>
            </w:r>
          </w:p>
        </w:tc>
        <w:tc>
          <w:tcPr>
            <w:tcW w:w="3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9,039</w:t>
            </w:r>
          </w:p>
        </w:tc>
      </w:tr>
      <w:tr>
        <w:trPr>
          <w:trHeight w:val="27"/>
        </w:trPr>
        <w:tc>
          <w:tcPr>
            <w:tcW w:w="6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58"/>
        </w:trPr>
        <w:tc>
          <w:tcPr>
            <w:tcW w:w="686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r>
      <w:tr>
        <w:trPr>
          <w:trHeight w:val="40"/>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405"/>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3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 end of the period</w:t>
            </w: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r>
      <w:tr>
        <w:trPr>
          <w:trHeight w:val="372"/>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Deferred offering costs included in accounts payable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23,060</w:t>
            </w:r>
          </w:p>
        </w:tc>
      </w:tr>
      <w:tr>
        <w:trPr>
          <w:trHeight w:val="41"/>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offering costs included in accrued expenses</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80,600</w:t>
            </w:r>
          </w:p>
        </w:tc>
      </w:tr>
      <w:tr>
        <w:trPr>
          <w:trHeight w:val="202"/>
        </w:trPr>
        <w:tc>
          <w:tcPr>
            <w:tcW w:w="6860" w:type="dxa"/>
            <w:vAlign w:val="bottom"/>
          </w:tcPr>
          <w:p>
            <w:pPr>
              <w:ind w:left="180"/>
              <w:spacing w:after="0" w:line="201" w:lineRule="exact"/>
              <w:rPr>
                <w:sz w:val="20"/>
                <w:szCs w:val="20"/>
                <w:color w:val="auto"/>
              </w:rPr>
            </w:pPr>
            <w:r>
              <w:rPr>
                <w:rFonts w:ascii="Arial" w:cs="Arial" w:eastAsia="Arial" w:hAnsi="Arial"/>
                <w:sz w:val="18"/>
                <w:szCs w:val="18"/>
                <w:color w:val="auto"/>
                <w:w w:val="98"/>
              </w:rPr>
              <w:t>Deferred offering costs paid by Sponsor in exchange for issuance of Class B ordinary</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6860" w:type="dxa"/>
            <w:vAlign w:val="bottom"/>
          </w:tcPr>
          <w:p>
            <w:pPr>
              <w:ind w:left="360"/>
              <w:spacing w:after="0"/>
              <w:rPr>
                <w:sz w:val="20"/>
                <w:szCs w:val="20"/>
                <w:color w:val="auto"/>
              </w:rPr>
            </w:pPr>
            <w:r>
              <w:rPr>
                <w:rFonts w:ascii="Arial" w:cs="Arial" w:eastAsia="Arial" w:hAnsi="Arial"/>
                <w:sz w:val="18"/>
                <w:szCs w:val="18"/>
                <w:color w:val="auto"/>
              </w:rPr>
              <w:t>shares to Sponsor</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15,961</w:t>
            </w:r>
          </w:p>
        </w:tc>
      </w:tr>
    </w:tbl>
    <w:p>
      <w:pPr>
        <w:spacing w:after="0" w:line="215"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Business Operations and Basis of Presentation</w:t>
      </w:r>
    </w:p>
    <w:p>
      <w:pPr>
        <w:spacing w:after="0" w:line="162"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has not selected any Business Combination target and the Company has not, nor has anyone on its behalf, initiated any substantive discussions, directly or indirectly, with any Business Combination target. The Company is an emerging growth company and, as such, the Company is subject to all of the risks associated with emerging growth companies.</w:t>
      </w:r>
    </w:p>
    <w:p>
      <w:pPr>
        <w:spacing w:after="0" w:line="97"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As of December 31, 2019, the Company had not commenced any operations. All activity for the period from December 18, 2019 (inception) through December 31, 2019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97"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Company’s sponsor is Sustainable Opportunities Holdings LLC, a Delaware limited liability company (the “Sponsor”). The Company’s ability to commence operations is contingent upon obtaining adequate financial resources through a proposed public offering (the “Proposed Public Offering”) of 30,000,000 units (each, a “Unit” and collectively, the “Units”) at $10.00 per Unit (or 34,500,000 units if the underwriter’s over-allotment option is exercised in full), which is discussed in Note 3, and the sale of 10,000,000 warrants (each, a “Private Placement Warrant” and collectively, the “Private Placement Warrants”) at a price of $1.00 per Private Placement Warrant in a private placement to the Sponsor that will close simultaneously with the Proposed Public Offering.</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Company’s management has broad discretion with respect to the specific application of the net</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proceeds of the Proposed Public Offering and the sale of Private Placement Warrants, although substantially all</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the net proceeds are intended to be applied generally toward consummating a Business Combination. There is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no assurance that the Company will be able to complete a Business Combination successfully. The Company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must complete one or more initial Business Combinations having an aggregate fair market value of at least 80%</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of the assets held in the Trust Account (as defined below) (excluding the deferred underwriting commissions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and taxes payable on income earned on the Trust Account) at the time of the signing of the agreement to enter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into the initial Business Combination. However, the Company will only complete a Business Combination if the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post-transaction company owns or acquires 50% or more of the outstanding voting securities of the target or</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otherwise acquires a controlling interest in the target sufficient for it not to be required to register as an</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investment company under the Investment Company Act 1940, as amended (the “Investment Company Act”).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Upon the closing of the Proposed Public Offering, management has agreed that an amount equal to at least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$10.00 per Unit sold in the Proposed Public Offering, including the proceeds of the Private Placement Warrants,</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will be held in a trust account (“Trust Account”), located in the United States at J.P. Morgan Chase Bank, N.A.,</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with Continental Stock Transfer &amp; Trust Company acting as trustee, and invested only in U.S. government</w:t>
      </w:r>
    </w:p>
    <w:p>
      <w:pPr>
        <w:spacing w:after="0" w:line="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securities, within the meaning set forth in Section 2(a)(16) of the Investment Company Act, with a maturity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185 days or less or in any open-ended investment company that holds itself out as a money market fund selected</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by the Company meeting the conditions of paragraphs (d)(2), (d)(3) and (d)(4) of Rule 2a-7 of the Investment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Company Act, as determined by the Company, until the earlier of: (i) the completion of a Business Combination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(ii) the distribution of the Trust Account as described below.</w:t>
      </w:r>
    </w:p>
    <w:p>
      <w:pPr>
        <w:spacing w:after="0" w:line="130"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The Company will provide the holders (the “Public Shareholders”) of its Class A ordinary shares, par value $0.0001 per share sold in the Proposed Public Offering (the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67" w:lineRule="auto"/>
        <w:rPr>
          <w:sz w:val="20"/>
          <w:szCs w:val="20"/>
          <w:color w:val="auto"/>
        </w:rPr>
      </w:pPr>
      <w:r>
        <w:rPr>
          <w:rFonts w:ascii="Arial" w:cs="Arial" w:eastAsia="Arial" w:hAnsi="Arial"/>
          <w:sz w:val="17"/>
          <w:szCs w:val="17"/>
          <w:color w:val="auto"/>
        </w:rPr>
        <w:t>The per-share amount to be distributed to Public Shareholders who redeem their Public Shares will not be reduced by the deferred underwriting commissions the Company will pay to the underwriter (as discussed in Note 5). These Public Shares will be recorded at a redemption value and classified as temporary equity upon the completion of the Proposed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will adopt upon the consummation of the Proposed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4) and any Public Shares purchased during or after the Proposed Public Offering in favor of a Business Combination. In addition, the initial shareholders have agreed to waive their redemption rights with respect to their Founder Shares and Public Shares in connection with the completion of a Business Combination.</w:t>
      </w:r>
    </w:p>
    <w:p>
      <w:pPr>
        <w:spacing w:after="0" w:line="115"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Notwithstanding the foregoing,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Proposed Public Offering, without the prior consent of the Company.</w:t>
      </w:r>
    </w:p>
    <w:p>
      <w:pPr>
        <w:spacing w:after="0" w:line="110"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our Public Shares the right to have their shares redeemed in connection with our initial business combination or to redeem 100% of its Public Shares if the Company does not complete a Business Combination within 24 months from the closing of the Proposed Public Offering (the “Combination Period”) or (b) with respect to any other provision relating to shareholders’ rights, unless the Company provides the Public Shareholders with the opportunity to redeem their Class A ordinary shares in conjunction with any such amendment.</w:t>
      </w:r>
    </w:p>
    <w:p>
      <w:pPr>
        <w:spacing w:after="0" w:line="97"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the Company’s board of directors, liquidate and dissolve, subject in the case of clauses (ii) and (iii), to the Company’s obligations under Cayman Islands law to provide for claims of creditors and the requirements of other applicable law.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5) held in the Trust Account in the event the Company does not complete a Business Combination within 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7"/>
          <w:szCs w:val="17"/>
          <w:color w:val="auto"/>
        </w:rPr>
        <w:t>As of December 31, 2019, the Company has no cash and a working capital deficit of approximately</w:t>
      </w:r>
    </w:p>
    <w:p>
      <w:pPr>
        <w:spacing w:after="0" w:line="35" w:lineRule="exact"/>
        <w:rPr>
          <w:sz w:val="20"/>
          <w:szCs w:val="20"/>
          <w:color w:val="auto"/>
        </w:rPr>
      </w:pPr>
    </w:p>
    <w:p>
      <w:pPr>
        <w:ind w:left="460" w:right="499"/>
        <w:spacing w:after="0" w:line="268" w:lineRule="auto"/>
        <w:rPr>
          <w:sz w:val="20"/>
          <w:szCs w:val="20"/>
          <w:color w:val="auto"/>
        </w:rPr>
      </w:pPr>
      <w:r>
        <w:rPr>
          <w:rFonts w:ascii="Arial" w:cs="Arial" w:eastAsia="Arial" w:hAnsi="Arial"/>
          <w:sz w:val="17"/>
          <w:szCs w:val="17"/>
          <w:color w:val="auto"/>
        </w:rPr>
        <w:t>$88,000. As a result, the Company does not have sufficient liquidity to meet its anticipated obligations over the next year from the issuance date of these financial statements. In connection with the Company’s assessment of going concern considerations in accordance with FASB’s Accounting Standards Update (“ASU”) 2014-15, “Disclosures of Uncertainties about an Entity’s Ability to Continue as a Going Concern,” management has determined that these conditions raise substantial doubt about the Company’s ability to continue as a going concern within one year after the date that the financial statements are issued. Management plans to address this uncertainty through a Proposed Public Offering as discussed in Note 3. There is no assurance that the Company’s plans to raise capital or consummate a Business Combination will be successful. The Company currently relies on the Sponsor to provide working capital needs until the consummation of the Proposed Public Offering.</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19"/>
        <w:spacing w:after="0" w:line="275" w:lineRule="auto"/>
        <w:rPr>
          <w:sz w:val="20"/>
          <w:szCs w:val="20"/>
          <w:color w:val="auto"/>
        </w:rPr>
      </w:pPr>
      <w:r>
        <w:rPr>
          <w:rFonts w:ascii="Arial" w:cs="Arial" w:eastAsia="Arial" w:hAnsi="Arial"/>
          <w:sz w:val="17"/>
          <w:szCs w:val="17"/>
          <w:color w:val="auto"/>
        </w:rPr>
        <w:t>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09"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15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Company complies with accounting and disclosure requirements of FASB ASC Topic 260, “Earnings Per Share.” Net loss per share is computed by dividing net loss by the weighted average number of ordinary shares outstanding during the period. Weighted average shares were reduced for the effect of an aggregate of 1,125,000 ordinary shares that are subject to forfeiture if the over-allotment option is not exercised by the underwriters. At December 31, 2019,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Coverage of $250,000. At December 31, 2019, the Company has not experienced losses on these accounts and management believes the Company is not exposed to significant risks on such 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 primarily due to their short-term nature.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 Associated with the Proposed Public Offering</w:t>
      </w:r>
    </w:p>
    <w:p>
      <w:pPr>
        <w:spacing w:after="0" w:line="144"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Deferred offering costs consist of legal, accounting, underwriting fees and other costs incurred through the balance sheet date that are directly related to the Proposed Public Offering and that will be charged to additional paid-in capital upon the completion of the Proposed Public Offering. Should the Proposed Public Offering prove to be unsuccessful, these deferred costs, as well as additional expenses to be incurred, will be charged to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97"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2019.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for the period from December 18, 2019 (inception) through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8"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is zero for the period presented.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July 2017, the FASB issued ASU 2017-11, Earnings Per Share (Topic 260), Distinguishing Liabilities from Equity (Topic 480) and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Part I of this update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Also, entities must adjust their basic Earnings Per Share (“EPS”) calculation for the effect of the down round provision when triggered (that is, when the exercise price of the related equity-linked financial instrument is adjusted downward because of the down round feature). That effect is treated as a dividend and as a reduction of income available to common shareholders in basic EPS. An entity will also recognize the effect of the trigger within equity. The guidance is effective for fiscal years, and interim periods within those fiscal years, beginning after December 15, 2018. The Company adopted this guidance. The adoption of this guidance is not expected to have a material impact on the Company’s financial position, results of operations, cash flows or disclosures until a trigger event occurs.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are not expected to have an impact on the Company.</w:t>
      </w:r>
    </w:p>
    <w:p>
      <w:pPr>
        <w:spacing w:after="0" w:line="304" w:lineRule="exact"/>
        <w:rPr>
          <w:sz w:val="20"/>
          <w:szCs w:val="20"/>
          <w:color w:val="auto"/>
        </w:rPr>
      </w:pPr>
    </w:p>
    <w:p>
      <w:pPr>
        <w:ind w:left="460" w:right="659" w:firstLine="432"/>
        <w:spacing w:after="0" w:line="342" w:lineRule="auto"/>
        <w:rPr>
          <w:sz w:val="20"/>
          <w:szCs w:val="20"/>
          <w:color w:val="auto"/>
        </w:rPr>
      </w:pPr>
      <w:r>
        <w:rPr>
          <w:rFonts w:ascii="Arial" w:cs="Arial" w:eastAsia="Arial" w:hAnsi="Arial"/>
          <w:sz w:val="16"/>
          <w:szCs w:val="16"/>
          <w:color w:val="auto"/>
        </w:rPr>
        <w:t>The Company’s management does not believe that any recently issued, but not yet effective, accounting standards, if currently adopted, would have a material effect on the accompanying financial statements.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62" w:lineRule="exact"/>
        <w:rPr>
          <w:sz w:val="20"/>
          <w:szCs w:val="20"/>
          <w:color w:val="auto"/>
        </w:rPr>
      </w:pPr>
    </w:p>
    <w:p>
      <w:pPr>
        <w:ind w:left="460" w:right="739" w:firstLine="432"/>
        <w:spacing w:after="0" w:line="279" w:lineRule="auto"/>
        <w:rPr>
          <w:sz w:val="20"/>
          <w:szCs w:val="20"/>
          <w:color w:val="auto"/>
        </w:rPr>
      </w:pPr>
      <w:r>
        <w:rPr>
          <w:rFonts w:ascii="Arial" w:cs="Arial" w:eastAsia="Arial" w:hAnsi="Arial"/>
          <w:sz w:val="17"/>
          <w:szCs w:val="17"/>
          <w:color w:val="auto"/>
        </w:rPr>
        <w:t>Pursuant to the Proposed Public Offering, the Company intends to offer for sale 30,000,000 Units at a price of $10.00 per Unit. Each Unit consists of one Class A ordinary share and one-half of one redeemable warrant (each, a “Public Warrant”). Each Public Warrant entitles the holder to purchase one Class A ordinary share at a price of $11.50 per share, subject to adjustment (see Note 6).</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44"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On December 31, 2019, the Sponsor purchased 8,625,000 shares (the “Founder Shares”) of the Company’s Class B ordinary shares, par value $0.0001 for an aggregate price of $25,000. The Founder Shares will automatically convert into Class A ordinary shares at the time of the Company’s initial Business Combination and are subject to certain transfer restrictions, as described in Note 6. The Sponsor has agreed to forfeit up to 1,125,000 Founder Shares to the extent that the over-allotment option is not exercised in full by the underwriter. The forfeiture will be adjusted to the extent that the over-allotment option is not exercised in full by the underwriter so that the Founder Shares will represent 20.0% of the Company’s issued and outstanding shares after the Proposed Public Offering. If the Company increases or decreases the size of the Proposed Public Offering, the Company will effect a share dividend or share contribution back to capital, as applicable, prior to the consummation of the Proposed Public Offering in such amount as to maintain the Founder Share ownership of the Company’s shareholders prior to the Proposed Public Offering at 20% of the Company’s issued and outstanding ordinary shares upon the consummation of the Proposed Public Offering.</w:t>
      </w:r>
    </w:p>
    <w:p>
      <w:pPr>
        <w:spacing w:after="0" w:line="100"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The initial shareholders will agree,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58"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The Sponsor will agree to purchase an aggregate of 10,000,000 Private Placement Warrants at a price of $1.00 per Private Placement Warrant (or $10.0 million in the aggregate) in a private placement that will occur simultaneously with the closing of the Proposed Public Offering. Each Private Placement Warrant is exercisable for one whole Class A ordinary share at a price of $11.50 per share. A portion of the proceeds from the sale of the Private Placement Warrants will be added to the proceeds from the Proposed Public Offering to be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15"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Sponsor and the Company’s officers and directors will agree, subject to limited exceptions, not to transfer, assign or sell any of their Private Placement Warrants until 30 days after the completion of the initial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5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On December 31, 2019, the Sponsor agreed to loan the Company an aggregate of up to $300,000 to cover expenses related to the Proposed Public Offering pursuant to a promissory note (the “Note”). This loan is non-interest bearing and payable on the earlier of June 30, 2020 or the completion of the Proposed Public Offering. As of December 31, 2019, the Company has not borrowed any amount under the Note.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As of December 31, 2019, the Company has approximately $23,000 in accounts payable to related parties for certain offering costs and general and administrative expenses as presented in the accompanying balance sheet.</w:t>
      </w:r>
    </w:p>
    <w:p>
      <w:pPr>
        <w:spacing w:after="0" w:line="116"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$1.50 per warrant. The warrants would be identical to the Private Placement Warrants. To date, the Company had no borrowings under the Working Capital Loans.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58" w:lineRule="exact"/>
        <w:rPr>
          <w:sz w:val="20"/>
          <w:szCs w:val="20"/>
          <w:color w:val="auto"/>
        </w:rPr>
      </w:pPr>
    </w:p>
    <w:p>
      <w:pPr>
        <w:jc w:val="both"/>
        <w:ind w:left="460" w:right="539" w:firstLine="432"/>
        <w:spacing w:after="0" w:line="311" w:lineRule="auto"/>
        <w:rPr>
          <w:sz w:val="20"/>
          <w:szCs w:val="20"/>
          <w:color w:val="auto"/>
        </w:rPr>
      </w:pPr>
      <w:r>
        <w:rPr>
          <w:rFonts w:ascii="Arial" w:cs="Arial" w:eastAsia="Arial" w:hAnsi="Arial"/>
          <w:sz w:val="16"/>
          <w:szCs w:val="16"/>
          <w:color w:val="auto"/>
        </w:rPr>
        <w:t>The Company has agreed, commencing on the effective date of the Proposed Public Offering through the earlier of the Company’s consummation of a Business Combination and its liquidation, to reimburse an affiliate of the Sponsor a total of $10,000 per month for office space, secretarial and administrative services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44"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to be signed upon consummation of the Proposed Public Offering.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58" w:lineRule="exact"/>
        <w:rPr>
          <w:sz w:val="20"/>
          <w:szCs w:val="20"/>
          <w:color w:val="auto"/>
        </w:rPr>
      </w:pPr>
    </w:p>
    <w:p>
      <w:pPr>
        <w:jc w:val="both"/>
        <w:ind w:left="460" w:right="619" w:firstLine="432"/>
        <w:spacing w:after="0" w:line="263" w:lineRule="auto"/>
        <w:rPr>
          <w:sz w:val="20"/>
          <w:szCs w:val="20"/>
          <w:color w:val="auto"/>
        </w:rPr>
      </w:pPr>
      <w:r>
        <w:rPr>
          <w:rFonts w:ascii="Arial" w:cs="Arial" w:eastAsia="Arial" w:hAnsi="Arial"/>
          <w:sz w:val="18"/>
          <w:szCs w:val="18"/>
          <w:color w:val="auto"/>
        </w:rPr>
        <w:t>The Company will grant the underwriter a 45-day option from the date of the final prospectus relating to the Proposed Public Offering to purchase up to 4,500,000 additional Units to cover over-allotments, if any, at $10.00 per Unit, less the underwriting discounts and commissions.</w:t>
      </w:r>
    </w:p>
    <w:p>
      <w:pPr>
        <w:spacing w:after="0" w:line="116"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underwriter will be entitled to an underwriting discount of $0.20 per unit, or $6.0 million in the aggregate (or approximately $6.9 million in the aggregate if the underwriter’s over-allotment option is exercised in full), payable upon the closing of the Proposed Public Offering. In addition, $0.35 per unit, or $10.5 million in the aggregate (or $12.075 million in the aggregate if the underwriter’s over-allotment option is exercised in full)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Shareholder’s Equity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300,000,000 Class A ordinary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par value of $0.0001 per share. As of December 31, 2019, there were no Class A ordinary shares issued or outstanding.</w:t>
      </w:r>
    </w:p>
    <w:p>
      <w:pPr>
        <w:spacing w:after="0" w:line="103" w:lineRule="exact"/>
        <w:rPr>
          <w:sz w:val="20"/>
          <w:szCs w:val="20"/>
          <w:color w:val="auto"/>
        </w:rPr>
      </w:pPr>
    </w:p>
    <w:p>
      <w:pPr>
        <w:ind w:left="460" w:right="459" w:firstLine="432"/>
        <w:spacing w:after="0" w:line="293" w:lineRule="auto"/>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30,000,000 Class B ordinary shares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 value of $0.0001 per share. Holders of Class B ordinary shares are entitled to one vote for each share. Of the 8,625,000 Class B ordinary shares outstanding, an aggregate of up to 1,125,000 shares are subject to forfeiture to the Company by the Sponsor for no consideration to the extent that the underwriter’s over-allotment option is not exercised in full or in part, so that the initial shareholders will collectively own 20% of the Company’s issued and outstanding ordinary shares after the Proposed Public Offering.</w:t>
      </w:r>
    </w:p>
    <w:p>
      <w:pPr>
        <w:spacing w:after="0" w:line="97"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Holders of the Class A ordinary shares and holders of the Class B ordinary shares will vote together as a single class on all matters submitted to a vote of the Company’s shareholders except as required by law.</w:t>
      </w:r>
    </w:p>
    <w:p>
      <w:pPr>
        <w:spacing w:after="0" w:line="56" w:lineRule="exact"/>
        <w:rPr>
          <w:sz w:val="20"/>
          <w:szCs w:val="20"/>
          <w:color w:val="auto"/>
        </w:rPr>
      </w:pPr>
    </w:p>
    <w:p>
      <w:pPr>
        <w:ind w:left="460" w:right="579" w:firstLine="432"/>
        <w:spacing w:after="0" w:line="268" w:lineRule="auto"/>
        <w:rPr>
          <w:sz w:val="20"/>
          <w:szCs w:val="20"/>
          <w:color w:val="auto"/>
        </w:rPr>
      </w:pPr>
      <w:r>
        <w:rPr>
          <w:rFonts w:ascii="Arial" w:cs="Arial" w:eastAsia="Arial" w:hAnsi="Arial"/>
          <w:sz w:val="17"/>
          <w:szCs w:val="17"/>
          <w:color w:val="auto"/>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the Proposed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105"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b w:val="1"/>
          <w:bCs w:val="1"/>
          <w:i w:val="1"/>
          <w:iCs w:val="1"/>
          <w:color w:val="auto"/>
        </w:rPr>
        <w:t xml:space="preserve">Preference Shares </w:t>
      </w:r>
      <w:r>
        <w:rPr>
          <w:rFonts w:ascii="Arial" w:cs="Arial" w:eastAsia="Arial" w:hAnsi="Arial"/>
          <w:sz w:val="16"/>
          <w:szCs w:val="16"/>
          <w:color w:val="auto"/>
        </w:rPr>
        <w:t>— The Company is authorized to issue 1,000,000 preference shares with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designations, voting and other rights and preferences as may be determined from time to time by the Company’s board of directors. As of December 31, 2019, there were no preference shares issued or outstanding.</w:t>
      </w:r>
    </w:p>
    <w:p>
      <w:pPr>
        <w:spacing w:after="0" w:line="81" w:lineRule="exact"/>
        <w:rPr>
          <w:sz w:val="20"/>
          <w:szCs w:val="20"/>
          <w:color w:val="auto"/>
        </w:rPr>
      </w:pPr>
    </w:p>
    <w:p>
      <w:pPr>
        <w:ind w:left="460" w:right="5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will be issued upon separation of the Units and only whole Public Warrants will trade. The Public Warrants will become exercisable on the later of (a) 30 days after the completion of a Business Combination or</w:t>
      </w:r>
    </w:p>
    <w:p>
      <w:pPr>
        <w:spacing w:after="0" w:line="2" w:lineRule="exact"/>
        <w:rPr>
          <w:sz w:val="20"/>
          <w:szCs w:val="20"/>
          <w:color w:val="auto"/>
        </w:rPr>
      </w:pPr>
    </w:p>
    <w:p>
      <w:pPr>
        <w:ind w:left="460" w:right="519" w:hanging="6"/>
        <w:spacing w:after="0" w:line="282" w:lineRule="auto"/>
        <w:tabs>
          <w:tab w:leader="none" w:pos="715" w:val="left"/>
        </w:tabs>
        <w:numPr>
          <w:ilvl w:val="0"/>
          <w:numId w:val="88"/>
        </w:numPr>
        <w:rPr>
          <w:rFonts w:ascii="Arial" w:cs="Arial" w:eastAsia="Arial" w:hAnsi="Arial"/>
          <w:sz w:val="16"/>
          <w:szCs w:val="16"/>
          <w:color w:val="auto"/>
        </w:rPr>
      </w:pPr>
      <w:r>
        <w:rPr>
          <w:rFonts w:ascii="Arial" w:cs="Arial" w:eastAsia="Arial" w:hAnsi="Arial"/>
          <w:sz w:val="16"/>
          <w:szCs w:val="16"/>
          <w:color w:val="auto"/>
        </w:rPr>
        <w:t>12 months from the closing of the Proposed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 the Class A ordinary shares issuable upon exercise of the warrants is not effective by the 60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Shareholder’s Equity </w:t>
      </w:r>
      <w:r>
        <w:rPr>
          <w:rFonts w:ascii="Arial" w:cs="Arial" w:eastAsia="Arial" w:hAnsi="Arial"/>
          <w:sz w:val="18"/>
          <w:szCs w:val="18"/>
          <w:color w:val="auto"/>
        </w:rPr>
        <w:t>(cont.)</w:t>
      </w:r>
    </w:p>
    <w:p>
      <w:pPr>
        <w:spacing w:after="0" w:line="189"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color w:val="auto"/>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spacing w:after="0" w:line="122"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Company may call the Public Warrants for redemption (except with respect to the Private Placement Warrants):</w:t>
      </w:r>
    </w:p>
    <w:p>
      <w:pPr>
        <w:spacing w:after="0" w:line="103" w:lineRule="exact"/>
        <w:rPr>
          <w:sz w:val="20"/>
          <w:szCs w:val="20"/>
          <w:color w:val="auto"/>
        </w:rPr>
      </w:pPr>
    </w:p>
    <w:p>
      <w:pPr>
        <w:ind w:left="1300" w:hanging="41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57" w:lineRule="exact"/>
        <w:rPr>
          <w:rFonts w:ascii="Arial" w:cs="Arial" w:eastAsia="Arial" w:hAnsi="Arial"/>
          <w:sz w:val="18"/>
          <w:szCs w:val="18"/>
          <w:color w:val="auto"/>
        </w:rPr>
      </w:pPr>
    </w:p>
    <w:p>
      <w:pPr>
        <w:ind w:left="1320" w:right="499" w:hanging="434"/>
        <w:spacing w:after="0" w:line="301" w:lineRule="auto"/>
        <w:tabs>
          <w:tab w:leader="none" w:pos="1311" w:val="left"/>
        </w:tabs>
        <w:numPr>
          <w:ilvl w:val="0"/>
          <w:numId w:val="89"/>
        </w:numPr>
        <w:rPr>
          <w:rFonts w:ascii="Arial" w:cs="Arial" w:eastAsia="Arial" w:hAnsi="Arial"/>
          <w:sz w:val="16"/>
          <w:szCs w:val="16"/>
          <w:color w:val="auto"/>
        </w:rPr>
      </w:pPr>
      <w:r>
        <w:rPr>
          <w:rFonts w:ascii="Arial" w:cs="Arial" w:eastAsia="Arial" w:hAnsi="Arial"/>
          <w:sz w:val="16"/>
          <w:szCs w:val="16"/>
          <w:color w:val="auto"/>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76"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16"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Proposed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11"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Subsequent Events</w:t>
      </w:r>
    </w:p>
    <w:p>
      <w:pPr>
        <w:spacing w:after="0" w:line="16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Management has evaluated subsequent events and transactions that occurred after the balance sheet date up to February 18, 2020, the date these financial statements were available to be issued. Based upon this review, the Company did not identify any subsequent events that would have required adjustment or disclosure in the financial statements.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6" w:name="page167"/>
    <w:bookmarkEnd w:id="166"/>
    <w:p>
      <w:pPr>
        <w:jc w:val="cente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1202690</wp:posOffset>
            </wp:positionH>
            <wp:positionV relativeFrom="page">
              <wp:posOffset>363220</wp:posOffset>
            </wp:positionV>
            <wp:extent cx="5143500"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406400</wp:posOffset>
            </wp:positionV>
            <wp:extent cx="514350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t>Sustainable Opportunities Acquisition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30,000,000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Citigroup Global Markets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______________</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w:t>
      </w:r>
    </w:p>
    <w:p>
      <w:pPr>
        <w:spacing w:after="0" w:line="225" w:lineRule="exact"/>
        <w:rPr>
          <w:sz w:val="20"/>
          <w:szCs w:val="20"/>
          <w:color w:val="auto"/>
        </w:rPr>
      </w:pPr>
    </w:p>
    <w:p>
      <w:pPr>
        <w:ind w:left="4360" w:hanging="81"/>
        <w:spacing w:after="0"/>
        <w:tabs>
          <w:tab w:leader="none" w:pos="436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2020</w:t>
      </w:r>
    </w:p>
    <w:p>
      <w:pPr>
        <w:spacing w:after="0" w:line="27" w:lineRule="exact"/>
        <w:rPr>
          <w:rFonts w:ascii="Arial" w:cs="Arial" w:eastAsia="Arial" w:hAnsi="Arial"/>
          <w:sz w:val="18"/>
          <w:szCs w:val="18"/>
          <w:b w:val="1"/>
          <w:bCs w:val="1"/>
          <w:color w:val="auto"/>
        </w:rPr>
      </w:pPr>
    </w:p>
    <w:p>
      <w:pPr>
        <w:ind w:left="3920"/>
        <w:spacing w:after="0"/>
        <w:rPr>
          <w:rFonts w:ascii="Arial" w:cs="Arial" w:eastAsia="Arial" w:hAnsi="Arial"/>
          <w:sz w:val="18"/>
          <w:szCs w:val="18"/>
          <w:b w:val="1"/>
          <w:bCs w:val="1"/>
          <w:color w:val="auto"/>
        </w:rPr>
      </w:pPr>
      <w:r>
        <w:rPr>
          <w:rFonts w:ascii="Arial" w:cs="Arial" w:eastAsia="Arial" w:hAnsi="Arial"/>
          <w:sz w:val="18"/>
          <w:szCs w:val="18"/>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right="499"/>
        <w:spacing w:after="0" w:line="261" w:lineRule="auto"/>
        <w:rPr>
          <w:sz w:val="20"/>
          <w:szCs w:val="20"/>
          <w:color w:val="auto"/>
        </w:rPr>
      </w:pPr>
      <w:r>
        <w:rPr>
          <w:rFonts w:ascii="Arial" w:cs="Arial" w:eastAsia="Arial" w:hAnsi="Arial"/>
          <w:sz w:val="18"/>
          <w:szCs w:val="18"/>
          <w:b w:val="1"/>
          <w:bCs w:val="1"/>
          <w:color w:val="auto"/>
        </w:rPr>
        <w:t>Until , 2020 (25 days after the date of this prospectus), all dealers that buy, sell or trade our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459740</wp:posOffset>
            </wp:positionV>
            <wp:extent cx="514350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502920</wp:posOffset>
            </wp:positionV>
            <wp:extent cx="514350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777240</wp:posOffset>
            </wp:positionV>
            <wp:extent cx="514350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077" w:right="1440"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62" w:lineRule="exact"/>
        <w:rPr>
          <w:sz w:val="20"/>
          <w:szCs w:val="20"/>
          <w:color w:val="auto"/>
        </w:rPr>
      </w:pPr>
    </w:p>
    <w:p>
      <w:pPr>
        <w:ind w:left="460" w:right="1039" w:firstLine="432"/>
        <w:spacing w:after="0" w:line="308" w:lineRule="auto"/>
        <w:rPr>
          <w:sz w:val="20"/>
          <w:szCs w:val="20"/>
          <w:color w:val="auto"/>
        </w:rPr>
      </w:pPr>
      <w:r>
        <w:rPr>
          <w:rFonts w:ascii="Arial" w:cs="Arial" w:eastAsia="Arial" w:hAnsi="Arial"/>
          <w:sz w:val="17"/>
          <w:szCs w:val="17"/>
          <w:color w:val="auto"/>
        </w:rPr>
        <w:t>The estimated expenses payable by us in connection with the offering described in this registration statement (other than the underwriting discount and commissions) will be as follows:</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expenses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44,781</w:t>
            </w: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FINRA expenses</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52,250</w:t>
            </w:r>
          </w:p>
        </w:tc>
      </w:tr>
      <w:tr>
        <w:trPr>
          <w:trHeight w:val="41"/>
        </w:trPr>
        <w:tc>
          <w:tcPr>
            <w:tcW w:w="54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40"/>
        </w:trPr>
        <w:tc>
          <w:tcPr>
            <w:tcW w:w="54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Travel and road show expenses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350,000</w:t>
            </w:r>
          </w:p>
        </w:tc>
      </w:tr>
      <w:tr>
        <w:trPr>
          <w:trHeight w:val="41"/>
        </w:trPr>
        <w:tc>
          <w:tcPr>
            <w:tcW w:w="54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780" w:type="dxa"/>
            <w:vAlign w:val="bottom"/>
          </w:tcPr>
          <w:p>
            <w:pPr>
              <w:spacing w:after="0"/>
              <w:rPr>
                <w:sz w:val="3"/>
                <w:szCs w:val="3"/>
                <w:color w:val="auto"/>
              </w:rPr>
            </w:pPr>
          </w:p>
        </w:tc>
      </w:tr>
      <w:tr>
        <w:trPr>
          <w:trHeight w:val="26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NYSE listing and filing fees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r>
      <w:tr>
        <w:trPr>
          <w:trHeight w:val="283"/>
        </w:trPr>
        <w:tc>
          <w:tcPr>
            <w:tcW w:w="5400" w:type="dxa"/>
            <w:vAlign w:val="bottom"/>
          </w:tcPr>
          <w:p>
            <w:pPr>
              <w:spacing w:after="0"/>
              <w:rPr>
                <w:sz w:val="20"/>
                <w:szCs w:val="20"/>
                <w:color w:val="auto"/>
              </w:rPr>
            </w:pPr>
            <w:r>
              <w:rPr>
                <w:rFonts w:ascii="Arial" w:cs="Arial" w:eastAsia="Arial" w:hAnsi="Arial"/>
                <w:sz w:val="18"/>
                <w:szCs w:val="18"/>
                <w:color w:val="auto"/>
              </w:rPr>
              <w:t>Director &amp; Officers liability insurance premiums</w:t>
            </w:r>
            <w:r>
              <w:rPr>
                <w:rFonts w:ascii="Arial" w:cs="Arial" w:eastAsia="Arial" w:hAnsi="Arial"/>
                <w:sz w:val="20"/>
                <w:szCs w:val="20"/>
                <w:color w:val="auto"/>
                <w:vertAlign w:val="superscript"/>
              </w:rPr>
              <w:t>(1)</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250,000</w:t>
            </w:r>
          </w:p>
        </w:tc>
      </w:tr>
      <w:tr>
        <w:trPr>
          <w:trHeight w:val="263"/>
        </w:trPr>
        <w:tc>
          <w:tcPr>
            <w:tcW w:w="5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127,969</w:t>
            </w:r>
          </w:p>
        </w:tc>
      </w:tr>
      <w:tr>
        <w:trPr>
          <w:trHeight w:val="243"/>
        </w:trPr>
        <w:tc>
          <w:tcPr>
            <w:tcW w:w="5400" w:type="dxa"/>
            <w:vAlign w:val="bottom"/>
          </w:tcPr>
          <w:p>
            <w:pPr>
              <w:spacing w:after="0"/>
              <w:rPr>
                <w:sz w:val="20"/>
                <w:szCs w:val="20"/>
                <w:color w:val="auto"/>
              </w:rPr>
            </w:pPr>
            <w:r>
              <w:rPr>
                <w:rFonts w:ascii="Arial" w:cs="Arial" w:eastAsia="Arial" w:hAnsi="Arial"/>
                <w:sz w:val="18"/>
                <w:szCs w:val="18"/>
                <w:color w:val="auto"/>
              </w:rPr>
              <w:t>Total</w:t>
            </w:r>
          </w:p>
        </w:tc>
        <w:tc>
          <w:tcPr>
            <w:tcW w:w="192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1,000,000</w:t>
            </w: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699" w:hanging="426"/>
        <w:spacing w:after="0" w:line="278" w:lineRule="auto"/>
        <w:tabs>
          <w:tab w:leader="none" w:pos="877"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This amount represents the approximate amount of annual director and officer liability insurance premiums the registrant anticipates paying following the completion of its initial public offering and until it completes a business combination.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2"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27"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14"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62"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On December 31, 2019, the sponsor paid $25,000, or approximately $0.003 per share, to cover certain of our offering costs in consideration of 8,625,000 Class B ordinary shares, par value $0.0001. Such securities were issued in connection with our organization pursuant to the exemption from registration contained in Section 4(a)(2) of the Securities Act.</w:t>
      </w:r>
    </w:p>
    <w:p>
      <w:pPr>
        <w:spacing w:after="0" w:line="119" w:lineRule="exact"/>
        <w:rPr>
          <w:sz w:val="20"/>
          <w:szCs w:val="20"/>
          <w:color w:val="auto"/>
        </w:rPr>
      </w:pPr>
    </w:p>
    <w:p>
      <w:pPr>
        <w:jc w:val="both"/>
        <w:ind w:left="460" w:right="979" w:firstLine="432"/>
        <w:spacing w:after="0" w:line="286" w:lineRule="auto"/>
        <w:rPr>
          <w:sz w:val="20"/>
          <w:szCs w:val="20"/>
          <w:color w:val="auto"/>
        </w:rPr>
      </w:pPr>
      <w:r>
        <w:rPr>
          <w:rFonts w:ascii="Arial" w:cs="Arial" w:eastAsia="Arial" w:hAnsi="Arial"/>
          <w:sz w:val="17"/>
          <w:szCs w:val="17"/>
          <w:color w:val="auto"/>
        </w:rPr>
        <w:t>Our sponsor is an accredited investor for purposes of Rule 501 of Regulation D. Each of the equity holders in our sponsor is an accredited investor under Rule 501 of Regulation D. The sole business of our sponsor is to act as the company’s sponsor in connection with this offering.</w:t>
      </w:r>
    </w:p>
    <w:p>
      <w:pPr>
        <w:spacing w:after="0" w:line="84" w:lineRule="exact"/>
        <w:rPr>
          <w:sz w:val="20"/>
          <w:szCs w:val="20"/>
          <w:color w:val="auto"/>
        </w:rPr>
      </w:pPr>
    </w:p>
    <w:p>
      <w:pPr>
        <w:ind w:left="460" w:right="739" w:firstLine="432"/>
        <w:spacing w:after="0" w:line="263" w:lineRule="auto"/>
        <w:rPr>
          <w:sz w:val="20"/>
          <w:szCs w:val="20"/>
          <w:color w:val="auto"/>
        </w:rPr>
      </w:pPr>
      <w:r>
        <w:rPr>
          <w:rFonts w:ascii="Arial" w:cs="Arial" w:eastAsia="Arial" w:hAnsi="Arial"/>
          <w:sz w:val="18"/>
          <w:szCs w:val="18"/>
          <w:color w:val="auto"/>
        </w:rPr>
        <w:t>Our sponsor has committed, pursuant to a written agreement, to purchase an aggregate of 10,000,000 private placement warrants, each exercisable to purchase one ordinary share at $11.50 per share, at a price of $1.00 per</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8" w:name="page169"/>
    <w:bookmarkEnd w:id="168"/>
    <w:p>
      <w:pPr>
        <w:ind w:left="460" w:right="499"/>
        <w:spacing w:after="0" w:line="263" w:lineRule="auto"/>
        <w:rPr>
          <w:sz w:val="20"/>
          <w:szCs w:val="20"/>
          <w:color w:val="auto"/>
        </w:rPr>
      </w:pPr>
      <w:r>
        <w:rPr>
          <w:rFonts w:ascii="Arial" w:cs="Arial" w:eastAsia="Arial" w:hAnsi="Arial"/>
          <w:sz w:val="18"/>
          <w:szCs w:val="18"/>
          <w:color w:val="auto"/>
        </w:rPr>
        <w:t>warrant ($10,000,000 in the aggregate), in a private placement that will close simultaneously with the closing of this offering. These issuances will be made pursuant to the exemption from registration contained in Section 4(a)(2) of the Securities Act.</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62" w:lineRule="exact"/>
        <w:rPr>
          <w:sz w:val="20"/>
          <w:szCs w:val="20"/>
          <w:color w:val="auto"/>
        </w:rPr>
      </w:pPr>
    </w:p>
    <w:p>
      <w:pPr>
        <w:ind w:left="1520" w:hanging="400"/>
        <w:spacing w:after="0"/>
        <w:tabs>
          <w:tab w:leader="none" w:pos="152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Exhibit Index is incorporated herein by reference.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62" w:lineRule="exact"/>
        <w:rPr>
          <w:sz w:val="20"/>
          <w:szCs w:val="20"/>
          <w:color w:val="auto"/>
        </w:rPr>
      </w:pPr>
    </w:p>
    <w:p>
      <w:pPr>
        <w:ind w:left="1560" w:right="739" w:hanging="440"/>
        <w:spacing w:after="0" w:line="311" w:lineRule="auto"/>
        <w:tabs>
          <w:tab w:leader="none" w:pos="1519"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67" w:lineRule="exact"/>
        <w:rPr>
          <w:rFonts w:ascii="Arial" w:cs="Arial" w:eastAsia="Arial" w:hAnsi="Arial"/>
          <w:sz w:val="16"/>
          <w:szCs w:val="16"/>
          <w:color w:val="auto"/>
        </w:rPr>
      </w:pPr>
    </w:p>
    <w:p>
      <w:pPr>
        <w:ind w:left="1560" w:right="499" w:hanging="440"/>
        <w:spacing w:after="0" w:line="269" w:lineRule="auto"/>
        <w:tabs>
          <w:tab w:leader="none" w:pos="1528" w:val="left"/>
        </w:tabs>
        <w:numPr>
          <w:ilvl w:val="0"/>
          <w:numId w:val="9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rFonts w:ascii="Arial" w:cs="Arial" w:eastAsia="Arial" w:hAnsi="Arial"/>
          <w:sz w:val="17"/>
          <w:szCs w:val="17"/>
          <w:color w:val="auto"/>
        </w:rPr>
      </w:pPr>
    </w:p>
    <w:p>
      <w:pPr>
        <w:ind w:left="1520" w:hanging="400"/>
        <w:spacing w:after="0"/>
        <w:tabs>
          <w:tab w:leader="none" w:pos="15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7" w:lineRule="exact"/>
        <w:rPr>
          <w:rFonts w:ascii="Arial" w:cs="Arial" w:eastAsia="Arial" w:hAnsi="Arial"/>
          <w:sz w:val="18"/>
          <w:szCs w:val="18"/>
          <w:color w:val="auto"/>
        </w:rPr>
      </w:pPr>
    </w:p>
    <w:p>
      <w:pPr>
        <w:ind w:left="1980" w:right="539" w:hanging="428"/>
        <w:spacing w:after="0" w:line="275" w:lineRule="auto"/>
        <w:tabs>
          <w:tab w:leader="none" w:pos="1953" w:val="left"/>
        </w:tabs>
        <w:numPr>
          <w:ilvl w:val="1"/>
          <w:numId w:val="93"/>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5" w:lineRule="exact"/>
        <w:rPr>
          <w:rFonts w:ascii="Arial" w:cs="Arial" w:eastAsia="Arial" w:hAnsi="Arial"/>
          <w:sz w:val="17"/>
          <w:szCs w:val="17"/>
          <w:color w:val="auto"/>
        </w:rPr>
      </w:pPr>
    </w:p>
    <w:p>
      <w:pPr>
        <w:ind w:left="1980" w:right="719" w:hanging="428"/>
        <w:spacing w:after="0" w:line="301" w:lineRule="auto"/>
        <w:tabs>
          <w:tab w:leader="none" w:pos="1953" w:val="left"/>
        </w:tabs>
        <w:numPr>
          <w:ilvl w:val="1"/>
          <w:numId w:val="93"/>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spacing w:after="0" w:line="396" w:lineRule="exact"/>
        <w:rPr>
          <w:sz w:val="20"/>
          <w:szCs w:val="20"/>
          <w:color w:val="auto"/>
        </w:rPr>
      </w:pPr>
    </w:p>
    <w:p>
      <w:pPr>
        <w:jc w:val="center"/>
        <w:ind w:left="460"/>
        <w:spacing w:after="0"/>
        <w:rPr>
          <w:sz w:val="20"/>
          <w:szCs w:val="20"/>
          <w:color w:val="auto"/>
        </w:rPr>
      </w:pPr>
      <w:r>
        <w:rPr>
          <w:rFonts w:ascii="Arial" w:cs="Arial" w:eastAsia="Arial" w:hAnsi="Arial"/>
          <w:sz w:val="15"/>
          <w:szCs w:val="15"/>
          <w:b w:val="1"/>
          <w:bCs w:val="1"/>
          <w:color w:val="auto"/>
        </w:rPr>
        <w:t>Exhibit</w:t>
      </w:r>
    </w:p>
    <w:p>
      <w:pPr>
        <w:spacing w:after="0" w:line="38" w:lineRule="exact"/>
        <w:rPr>
          <w:sz w:val="20"/>
          <w:szCs w:val="20"/>
          <w:color w:val="auto"/>
        </w:rPr>
      </w:pPr>
    </w:p>
    <w:p>
      <w:pPr>
        <w:jc w:val="center"/>
        <w:ind w:left="460"/>
        <w:spacing w:after="0"/>
        <w:rPr>
          <w:sz w:val="20"/>
          <w:szCs w:val="20"/>
          <w:color w:val="auto"/>
        </w:rPr>
      </w:pPr>
      <w:r>
        <w:rPr>
          <w:rFonts w:ascii="Arial" w:cs="Arial" w:eastAsia="Arial" w:hAnsi="Arial"/>
          <w:sz w:val="16"/>
          <w:szCs w:val="16"/>
          <w:b w:val="1"/>
          <w:bCs w:val="1"/>
          <w:color w:val="auto"/>
        </w:rPr>
        <w:t>No.</w:t>
      </w:r>
    </w:p>
    <w:p>
      <w:pPr>
        <w:spacing w:after="0" w:line="6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1.1</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3.1</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3.2</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4.1</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4.2</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4.3</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4.4</w:t>
      </w:r>
    </w:p>
    <w:p>
      <w:pPr>
        <w:spacing w:after="0" w:line="26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5.1</w:t>
      </w:r>
    </w:p>
    <w:p>
      <w:pPr>
        <w:spacing w:after="0" w:line="7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5.2</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10.1</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10.2</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10.3</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10.4</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10.5</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10.6</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10.7</w:t>
      </w:r>
    </w:p>
    <w:p>
      <w:pPr>
        <w:spacing w:after="0" w:line="26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10.8</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10.9</w:t>
      </w:r>
    </w:p>
    <w:p>
      <w:pPr>
        <w:spacing w:after="0" w:line="266"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23.1</w:t>
      </w:r>
    </w:p>
    <w:p>
      <w:pPr>
        <w:spacing w:after="0" w:line="7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23.2</w:t>
      </w:r>
    </w:p>
    <w:p>
      <w:pPr>
        <w:spacing w:after="0" w:line="7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23.3</w:t>
      </w:r>
    </w:p>
    <w:p>
      <w:pPr>
        <w:spacing w:after="0" w:line="7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24</w:t>
      </w:r>
    </w:p>
    <w:p>
      <w:pPr>
        <w:spacing w:after="0" w:line="7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99.1</w:t>
      </w:r>
    </w:p>
    <w:p>
      <w:pPr>
        <w:spacing w:after="0" w:line="77" w:lineRule="exact"/>
        <w:rPr>
          <w:sz w:val="20"/>
          <w:szCs w:val="20"/>
          <w:color w:val="auto"/>
        </w:rPr>
      </w:pPr>
    </w:p>
    <w:p>
      <w:pPr>
        <w:jc w:val="center"/>
        <w:ind w:left="520"/>
        <w:spacing w:after="0"/>
        <w:rPr>
          <w:sz w:val="20"/>
          <w:szCs w:val="20"/>
          <w:color w:val="auto"/>
        </w:rPr>
      </w:pPr>
      <w:r>
        <w:rPr>
          <w:rFonts w:ascii="Arial" w:cs="Arial" w:eastAsia="Arial" w:hAnsi="Arial"/>
          <w:sz w:val="18"/>
          <w:szCs w:val="18"/>
          <w:color w:val="auto"/>
        </w:rPr>
        <w:t>99.2</w:t>
      </w:r>
    </w:p>
    <w:p>
      <w:pPr>
        <w:spacing w:after="0" w:line="20" w:lineRule="exact"/>
        <w:rPr>
          <w:sz w:val="20"/>
          <w:szCs w:val="20"/>
          <w:color w:val="auto"/>
        </w:rPr>
      </w:pPr>
      <w:r>
        <w:rPr>
          <w:sz w:val="20"/>
          <w:szCs w:val="20"/>
          <w:color w:val="auto"/>
        </w:rPr>
        <w:br w:type="column"/>
      </w:r>
    </w:p>
    <w:p>
      <w:pPr>
        <w:ind w:left="2680"/>
        <w:spacing w:after="0"/>
        <w:rPr>
          <w:sz w:val="20"/>
          <w:szCs w:val="20"/>
          <w:color w:val="auto"/>
        </w:rPr>
      </w:pPr>
      <w:r>
        <w:rPr>
          <w:rFonts w:ascii="Arial" w:cs="Arial" w:eastAsia="Arial" w:hAnsi="Arial"/>
          <w:sz w:val="18"/>
          <w:szCs w:val="18"/>
          <w:b w:val="1"/>
          <w:bCs w:val="1"/>
          <w:color w:val="auto"/>
        </w:rPr>
        <w:t>EXHIBIT INDEX</w:t>
      </w:r>
    </w:p>
    <w:p>
      <w:pPr>
        <w:spacing w:after="0" w:line="392" w:lineRule="exact"/>
        <w:rPr>
          <w:sz w:val="20"/>
          <w:szCs w:val="20"/>
          <w:color w:val="auto"/>
        </w:rPr>
      </w:pPr>
    </w:p>
    <w:p>
      <w:pPr>
        <w:jc w:val="center"/>
        <w:ind w:right="459"/>
        <w:spacing w:after="0"/>
        <w:rPr>
          <w:sz w:val="20"/>
          <w:szCs w:val="20"/>
          <w:color w:val="auto"/>
        </w:rPr>
      </w:pPr>
      <w:r>
        <w:rPr>
          <w:rFonts w:ascii="Arial" w:cs="Arial" w:eastAsia="Arial" w:hAnsi="Arial"/>
          <w:sz w:val="16"/>
          <w:szCs w:val="16"/>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46355</wp:posOffset>
            </wp:positionV>
            <wp:extent cx="5143500" cy="1797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Form of Underwriting Agreement.*</w:t>
      </w:r>
    </w:p>
    <w:p>
      <w:pPr>
        <w:spacing w:after="0" w:line="77" w:lineRule="exact"/>
        <w:rPr>
          <w:sz w:val="20"/>
          <w:szCs w:val="20"/>
          <w:color w:val="auto"/>
        </w:rPr>
      </w:pPr>
    </w:p>
    <w:p>
      <w:pPr>
        <w:spacing w:after="0"/>
        <w:rPr>
          <w:rFonts w:ascii="Arial" w:cs="Arial" w:eastAsia="Arial" w:hAnsi="Arial"/>
          <w:sz w:val="18"/>
          <w:szCs w:val="18"/>
          <w:u w:val="single" w:color="auto"/>
          <w:color w:val="215E9E"/>
        </w:rPr>
      </w:pPr>
      <w:hyperlink w:anchor="page172">
        <w:r>
          <w:rPr>
            <w:rFonts w:ascii="Arial" w:cs="Arial" w:eastAsia="Arial" w:hAnsi="Arial"/>
            <w:sz w:val="18"/>
            <w:szCs w:val="18"/>
            <w:u w:val="single" w:color="auto"/>
            <w:color w:val="215E9E"/>
          </w:rPr>
          <w:t>Memorandum and Articles of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5143500" cy="1803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right="2379"/>
        <w:spacing w:after="0" w:line="328" w:lineRule="auto"/>
        <w:rPr>
          <w:sz w:val="20"/>
          <w:szCs w:val="20"/>
          <w:color w:val="auto"/>
        </w:rPr>
      </w:pPr>
      <w:r>
        <w:rPr>
          <w:rFonts w:ascii="Arial" w:cs="Arial" w:eastAsia="Arial" w:hAnsi="Arial"/>
          <w:sz w:val="18"/>
          <w:szCs w:val="18"/>
          <w:color w:val="auto"/>
        </w:rPr>
        <w:t>Form of Amended and Restated Memorandum and Articles of Association.* Specimen Unit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-6350</wp:posOffset>
            </wp:positionV>
            <wp:extent cx="5143500" cy="1797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Specimen Class A Ordinary Share Certificate.*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Specimen Warrant Certificate.*</w:t>
      </w:r>
    </w:p>
    <w:p>
      <w:pPr>
        <w:spacing w:after="0" w:line="50" w:lineRule="exact"/>
        <w:rPr>
          <w:sz w:val="20"/>
          <w:szCs w:val="20"/>
          <w:color w:val="auto"/>
        </w:rPr>
      </w:pPr>
    </w:p>
    <w:p>
      <w:pPr>
        <w:ind w:right="1299"/>
        <w:spacing w:after="0" w:line="277" w:lineRule="auto"/>
        <w:rPr>
          <w:sz w:val="20"/>
          <w:szCs w:val="20"/>
          <w:color w:val="auto"/>
        </w:rPr>
      </w:pPr>
      <w:r>
        <w:rPr>
          <w:rFonts w:ascii="Arial" w:cs="Arial" w:eastAsia="Arial" w:hAnsi="Arial"/>
          <w:sz w:val="18"/>
          <w:szCs w:val="18"/>
          <w:color w:val="auto"/>
        </w:rPr>
        <w:t>Form of Warrant Agreement between Continental Stock Transfer &amp; Trust Company and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-293370</wp:posOffset>
            </wp:positionV>
            <wp:extent cx="5143500" cy="3003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Opinion of Kirkland &amp; Ellis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5143500" cy="17970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Opinion of Maples and Calder, Cayman Islands Counsel to the Registrant.*</w:t>
      </w:r>
    </w:p>
    <w:p>
      <w:pPr>
        <w:spacing w:after="0" w:line="50" w:lineRule="exact"/>
        <w:rPr>
          <w:sz w:val="20"/>
          <w:szCs w:val="20"/>
          <w:color w:val="auto"/>
        </w:rPr>
      </w:pPr>
    </w:p>
    <w:p>
      <w:pPr>
        <w:ind w:right="979"/>
        <w:spacing w:after="0" w:line="273" w:lineRule="auto"/>
        <w:rPr>
          <w:sz w:val="20"/>
          <w:szCs w:val="20"/>
          <w:color w:val="auto"/>
        </w:rPr>
      </w:pPr>
      <w:r>
        <w:rPr>
          <w:rFonts w:ascii="Arial" w:cs="Arial" w:eastAsia="Arial" w:hAnsi="Arial"/>
          <w:sz w:val="18"/>
          <w:szCs w:val="18"/>
          <w:color w:val="auto"/>
        </w:rPr>
        <w:t>Form of Investment Management Trust Agreement between Continental Stock Transfer &amp; Trust Company and the Registrant.*</w:t>
      </w:r>
    </w:p>
    <w:p>
      <w:pPr>
        <w:spacing w:after="0" w:line="2" w:lineRule="exact"/>
        <w:rPr>
          <w:sz w:val="20"/>
          <w:szCs w:val="20"/>
          <w:color w:val="auto"/>
        </w:rPr>
      </w:pPr>
    </w:p>
    <w:p>
      <w:pPr>
        <w:ind w:right="699"/>
        <w:spacing w:after="0" w:line="277" w:lineRule="auto"/>
        <w:rPr>
          <w:sz w:val="20"/>
          <w:szCs w:val="20"/>
          <w:color w:val="auto"/>
        </w:rPr>
      </w:pPr>
      <w:r>
        <w:rPr>
          <w:rFonts w:ascii="Arial" w:cs="Arial" w:eastAsia="Arial" w:hAnsi="Arial"/>
          <w:sz w:val="18"/>
          <w:szCs w:val="18"/>
          <w:color w:val="auto"/>
        </w:rPr>
        <w:t>Form of Registration and Shareholder Rights Agreement among the Registrant, the Sponsor and the Holders signatory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-293370</wp:posOffset>
            </wp:positionV>
            <wp:extent cx="5143500" cy="3003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spacing w:after="0" w:line="2" w:lineRule="exact"/>
        <w:rPr>
          <w:sz w:val="20"/>
          <w:szCs w:val="20"/>
          <w:color w:val="auto"/>
        </w:rPr>
      </w:pPr>
    </w:p>
    <w:p>
      <w:pPr>
        <w:ind w:right="699"/>
        <w:spacing w:after="0" w:line="328" w:lineRule="auto"/>
        <w:rPr>
          <w:sz w:val="20"/>
          <w:szCs w:val="20"/>
          <w:color w:val="auto"/>
        </w:rPr>
      </w:pPr>
      <w:r>
        <w:rPr>
          <w:rFonts w:ascii="Arial" w:cs="Arial" w:eastAsia="Arial" w:hAnsi="Arial"/>
          <w:sz w:val="18"/>
          <w:szCs w:val="18"/>
          <w:color w:val="auto"/>
        </w:rPr>
        <w:t>Form of Private Placement Warrants Purchase Agreement between the Registrant and the Sponsor.* Form of Indemnity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-186690</wp:posOffset>
            </wp:positionV>
            <wp:extent cx="5143500" cy="1803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ind w:right="1359"/>
        <w:spacing w:after="0" w:line="352" w:lineRule="auto"/>
        <w:rPr>
          <w:rFonts w:ascii="Arial" w:cs="Arial" w:eastAsia="Arial" w:hAnsi="Arial"/>
          <w:sz w:val="16"/>
          <w:szCs w:val="16"/>
          <w:u w:val="single" w:color="auto"/>
          <w:color w:val="215E9E"/>
        </w:rPr>
      </w:pPr>
      <w:r>
        <w:rPr>
          <w:rFonts w:ascii="Arial" w:cs="Arial" w:eastAsia="Arial" w:hAnsi="Arial"/>
          <w:sz w:val="16"/>
          <w:szCs w:val="16"/>
          <w:color w:val="auto"/>
        </w:rPr>
        <w:t xml:space="preserve">Form of Administrative Services Agreement between the Registrant and the Sponsor.* </w:t>
      </w:r>
      <w:hyperlink w:anchor="page205">
        <w:r>
          <w:rPr>
            <w:rFonts w:ascii="Arial" w:cs="Arial" w:eastAsia="Arial" w:hAnsi="Arial"/>
            <w:sz w:val="16"/>
            <w:szCs w:val="16"/>
            <w:u w:val="single" w:color="auto"/>
            <w:color w:val="215E9E"/>
          </w:rPr>
          <w:t>Promissory Note, dated as of December 31, 2019, between the Registrant and the Sponsor.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-170180</wp:posOffset>
            </wp:positionV>
            <wp:extent cx="5143500" cy="1797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ind w:right="1139"/>
        <w:spacing w:after="0" w:line="277" w:lineRule="auto"/>
        <w:rPr>
          <w:rFonts w:ascii="Arial" w:cs="Arial" w:eastAsia="Arial" w:hAnsi="Arial"/>
          <w:sz w:val="18"/>
          <w:szCs w:val="18"/>
          <w:u w:val="single" w:color="auto"/>
          <w:color w:val="215E9E"/>
        </w:rPr>
      </w:pPr>
      <w:hyperlink w:anchor="page209">
        <w:r>
          <w:rPr>
            <w:rFonts w:ascii="Arial" w:cs="Arial" w:eastAsia="Arial" w:hAnsi="Arial"/>
            <w:sz w:val="18"/>
            <w:szCs w:val="18"/>
            <w:u w:val="single" w:color="auto"/>
            <w:color w:val="215E9E"/>
          </w:rPr>
          <w:t>Securities Subscription Agreement, dated December 31, 2019, between the Registrant and the</w:t>
        </w:r>
      </w:hyperlink>
      <w:r>
        <w:rPr>
          <w:rFonts w:ascii="Arial" w:cs="Arial" w:eastAsia="Arial" w:hAnsi="Arial"/>
          <w:sz w:val="18"/>
          <w:szCs w:val="18"/>
          <w:u w:val="single" w:color="auto"/>
          <w:color w:val="215E9E"/>
        </w:rPr>
        <w:t xml:space="preserve"> </w:t>
      </w:r>
      <w:hyperlink w:anchor="page209">
        <w:r>
          <w:rPr>
            <w:rFonts w:ascii="Arial" w:cs="Arial" w:eastAsia="Arial" w:hAnsi="Arial"/>
            <w:sz w:val="18"/>
            <w:szCs w:val="18"/>
            <w:u w:val="single" w:color="auto"/>
            <w:color w:val="215E9E"/>
          </w:rPr>
          <w:t>Sponsor.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5715</wp:posOffset>
            </wp:positionV>
            <wp:extent cx="514350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Form of Letter Agreement between the Registrant and the Sponsor.*</w:t>
      </w:r>
    </w:p>
    <w:p>
      <w:pPr>
        <w:spacing w:after="0" w:line="50" w:lineRule="exact"/>
        <w:rPr>
          <w:sz w:val="20"/>
          <w:szCs w:val="20"/>
          <w:color w:val="auto"/>
        </w:rPr>
      </w:pPr>
    </w:p>
    <w:p>
      <w:pPr>
        <w:ind w:right="1099"/>
        <w:spacing w:after="0" w:line="277" w:lineRule="auto"/>
        <w:rPr>
          <w:sz w:val="20"/>
          <w:szCs w:val="20"/>
          <w:color w:val="auto"/>
        </w:rPr>
      </w:pPr>
      <w:r>
        <w:rPr>
          <w:rFonts w:ascii="Arial" w:cs="Arial" w:eastAsia="Arial" w:hAnsi="Arial"/>
          <w:sz w:val="18"/>
          <w:szCs w:val="18"/>
          <w:color w:val="auto"/>
        </w:rPr>
        <w:t>Form of Letter Agreement among the Registrant and each director and executive officer of the Registrant.*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5715</wp:posOffset>
            </wp:positionV>
            <wp:extent cx="514350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2" w:lineRule="exact"/>
        <w:rPr>
          <w:sz w:val="20"/>
          <w:szCs w:val="20"/>
          <w:color w:val="auto"/>
        </w:rPr>
      </w:pPr>
    </w:p>
    <w:p>
      <w:pPr>
        <w:spacing w:after="0"/>
        <w:rPr>
          <w:rFonts w:ascii="Arial" w:cs="Arial" w:eastAsia="Arial" w:hAnsi="Arial"/>
          <w:sz w:val="18"/>
          <w:szCs w:val="18"/>
          <w:u w:val="single" w:color="auto"/>
          <w:color w:val="215E9E"/>
        </w:rPr>
      </w:pPr>
      <w:hyperlink w:anchor="page216">
        <w:r>
          <w:rPr>
            <w:rFonts w:ascii="Arial" w:cs="Arial" w:eastAsia="Arial" w:hAnsi="Arial"/>
            <w:sz w:val="18"/>
            <w:szCs w:val="18"/>
            <w:u w:val="single" w:color="auto"/>
            <w:color w:val="215E9E"/>
          </w:rPr>
          <w:t>Consent of Marcum LLP.</w:t>
        </w:r>
      </w:hyperlink>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Consent of Kirkland &amp; Ellis LLP (included on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5143500"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Consent of Maples and Calder (included on Exhibit 5.2).*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Power of Attorney (included on signature 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wp:posOffset>
            </wp:positionH>
            <wp:positionV relativeFrom="paragraph">
              <wp:posOffset>40640</wp:posOffset>
            </wp:positionV>
            <wp:extent cx="5143500"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spacing w:after="0"/>
        <w:rPr>
          <w:rFonts w:ascii="Arial" w:cs="Arial" w:eastAsia="Arial" w:hAnsi="Arial"/>
          <w:sz w:val="18"/>
          <w:szCs w:val="18"/>
          <w:u w:val="single" w:color="auto"/>
          <w:color w:val="215E9E"/>
        </w:rPr>
      </w:pPr>
      <w:hyperlink w:anchor="page217">
        <w:r>
          <w:rPr>
            <w:rFonts w:ascii="Arial" w:cs="Arial" w:eastAsia="Arial" w:hAnsi="Arial"/>
            <w:sz w:val="18"/>
            <w:szCs w:val="18"/>
            <w:u w:val="single" w:color="auto"/>
            <w:color w:val="215E9E"/>
          </w:rPr>
          <w:t>Consent of Rick Gaenzle</w:t>
        </w:r>
      </w:hyperlink>
    </w:p>
    <w:p>
      <w:pPr>
        <w:spacing w:after="0" w:line="77" w:lineRule="exact"/>
        <w:rPr>
          <w:sz w:val="20"/>
          <w:szCs w:val="20"/>
          <w:color w:val="auto"/>
        </w:rPr>
      </w:pPr>
    </w:p>
    <w:p>
      <w:pPr>
        <w:spacing w:after="0"/>
        <w:rPr>
          <w:rFonts w:ascii="Arial" w:cs="Arial" w:eastAsia="Arial" w:hAnsi="Arial"/>
          <w:sz w:val="18"/>
          <w:szCs w:val="18"/>
          <w:u w:val="single" w:color="auto"/>
          <w:color w:val="215E9E"/>
        </w:rPr>
      </w:pPr>
      <w:hyperlink w:anchor="page218">
        <w:r>
          <w:rPr>
            <w:rFonts w:ascii="Arial" w:cs="Arial" w:eastAsia="Arial" w:hAnsi="Arial"/>
            <w:sz w:val="18"/>
            <w:szCs w:val="18"/>
            <w:u w:val="single" w:color="auto"/>
            <w:color w:val="215E9E"/>
          </w:rPr>
          <w:t>Consent of Isaac Barchas</w:t>
        </w:r>
      </w:hyperlink>
    </w:p>
    <w:p>
      <w:pPr>
        <w:spacing w:after="0" w:line="108" w:lineRule="exact"/>
        <w:rPr>
          <w:sz w:val="20"/>
          <w:szCs w:val="20"/>
          <w:color w:val="auto"/>
        </w:rPr>
      </w:pPr>
    </w:p>
    <w:p>
      <w:pPr>
        <w:sectPr>
          <w:pgSz w:w="11900" w:h="16838" w:orient="portrait"/>
          <w:cols w:equalWidth="0" w:num="2">
            <w:col w:w="980" w:space="140"/>
            <w:col w:w="7899"/>
          </w:cols>
          <w:pgMar w:left="1440" w:top="337" w:right="1440" w:bottom="1440" w:gutter="0" w:footer="0" w:header="0"/>
        </w:sect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60" w:hanging="406"/>
        <w:spacing w:after="0"/>
        <w:tabs>
          <w:tab w:leader="none" w:pos="86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To be filed by amendment.</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460" w:right="499" w:firstLine="432"/>
        <w:spacing w:after="0" w:line="276"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the 17</w:t>
      </w:r>
      <w:r>
        <w:rPr>
          <w:rFonts w:ascii="Arial" w:cs="Arial" w:eastAsia="Arial" w:hAnsi="Arial"/>
          <w:sz w:val="20"/>
          <w:szCs w:val="20"/>
          <w:color w:val="auto"/>
          <w:vertAlign w:val="superscript"/>
        </w:rPr>
        <w:t>th</w:t>
      </w:r>
      <w:r>
        <w:rPr>
          <w:rFonts w:ascii="Arial" w:cs="Arial" w:eastAsia="Arial" w:hAnsi="Arial"/>
          <w:sz w:val="18"/>
          <w:szCs w:val="18"/>
          <w:color w:val="auto"/>
        </w:rPr>
        <w:t xml:space="preserve"> day of March, 2020.</w:t>
      </w:r>
    </w:p>
    <w:p>
      <w:pPr>
        <w:spacing w:after="0" w:line="7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SUSTAINABLE OPPORTUNITIES</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ACQUISITION CORP.</w:t>
      </w:r>
    </w:p>
    <w:p>
      <w:pPr>
        <w:spacing w:after="0" w:line="184" w:lineRule="exact"/>
        <w:rPr>
          <w:sz w:val="20"/>
          <w:szCs w:val="20"/>
          <w:color w:val="auto"/>
        </w:rPr>
      </w:pPr>
    </w:p>
    <w:p>
      <w:pPr>
        <w:ind w:left="506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40640</wp:posOffset>
            </wp:positionV>
            <wp:extent cx="182562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Scott Leonard</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 Chief Executive Officer</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62"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KNOW ALL MEN BY THESE PRESENTS, that each of the undersigned constitutes and appoints each of Scott Leonard, Scott Honour and David Quiram, each acting alone, his true and lawful attorneys-in-fact and agents, with full power of substitution and resubstitution, for such person and in his name, place and stead, in any and all capacities, to sign this registration statement on Form S-1 (including all pre-effective and post-effective amendments and registration statements filed pursuant to Rule 462 under the Securities Act of 1933), and to file the same, with all exhibits thereto, and other documents in connection therewith, with the Securities and Exchange Commission, granting unto said attorneys-in-fact and agents, each acting alone, full power and authority to do and perform each and every act and thing requisite and necessary to be done in and about the premises, as fully to all intents and purposes as he might or could do in person, hereby ratifying and confirming that any such attorney-in-fact and agent, or his substitute or substitutes, may lawfully do or cause to be done by virtue hereof.</w:t>
      </w:r>
    </w:p>
    <w:p>
      <w:pPr>
        <w:spacing w:after="0" w:line="101" w:lineRule="exact"/>
        <w:rPr>
          <w:sz w:val="20"/>
          <w:szCs w:val="20"/>
          <w:color w:val="auto"/>
        </w:rPr>
      </w:pPr>
    </w:p>
    <w:p>
      <w:pPr>
        <w:ind w:left="460" w:right="779" w:firstLine="432"/>
        <w:spacing w:after="0" w:line="30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580" w:type="dxa"/>
            <w:vAlign w:val="bottom"/>
          </w:tcPr>
          <w:p>
            <w:pPr>
              <w:ind w:left="1060"/>
              <w:spacing w:after="0"/>
              <w:rPr>
                <w:sz w:val="20"/>
                <w:szCs w:val="20"/>
                <w:color w:val="auto"/>
              </w:rPr>
            </w:pPr>
            <w:r>
              <w:rPr>
                <w:rFonts w:ascii="Arial" w:cs="Arial" w:eastAsia="Arial" w:hAnsi="Arial"/>
                <w:sz w:val="16"/>
                <w:szCs w:val="16"/>
                <w:b w:val="1"/>
                <w:bCs w:val="1"/>
                <w:color w:val="auto"/>
              </w:rPr>
              <w:t>Name</w:t>
            </w:r>
          </w:p>
        </w:tc>
        <w:tc>
          <w:tcPr>
            <w:tcW w:w="80" w:type="dxa"/>
            <w:vAlign w:val="bottom"/>
          </w:tcPr>
          <w:p>
            <w:pPr>
              <w:spacing w:after="0"/>
              <w:rPr>
                <w:sz w:val="18"/>
                <w:szCs w:val="18"/>
                <w:color w:val="auto"/>
              </w:rPr>
            </w:pPr>
          </w:p>
        </w:tc>
        <w:tc>
          <w:tcPr>
            <w:tcW w:w="3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Position</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7"/>
        </w:trPr>
        <w:tc>
          <w:tcPr>
            <w:tcW w:w="2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2580" w:type="dxa"/>
            <w:vAlign w:val="bottom"/>
          </w:tcPr>
          <w:p>
            <w:pPr>
              <w:jc w:val="center"/>
              <w:spacing w:after="0"/>
              <w:rPr>
                <w:sz w:val="20"/>
                <w:szCs w:val="20"/>
                <w:color w:val="auto"/>
              </w:rPr>
            </w:pPr>
            <w:r>
              <w:rPr>
                <w:rFonts w:ascii="Arial" w:cs="Arial" w:eastAsia="Arial" w:hAnsi="Arial"/>
                <w:sz w:val="18"/>
                <w:szCs w:val="18"/>
                <w:color w:val="auto"/>
                <w:w w:val="91"/>
              </w:rPr>
              <w:t>/s/ Scott Leonard</w:t>
            </w:r>
          </w:p>
        </w:tc>
        <w:tc>
          <w:tcPr>
            <w:tcW w:w="80" w:type="dxa"/>
            <w:vAlign w:val="bottom"/>
          </w:tcPr>
          <w:p>
            <w:pPr>
              <w:spacing w:after="0"/>
              <w:rPr>
                <w:sz w:val="24"/>
                <w:szCs w:val="24"/>
                <w:color w:val="auto"/>
              </w:rPr>
            </w:pPr>
          </w:p>
        </w:tc>
        <w:tc>
          <w:tcPr>
            <w:tcW w:w="33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Chief Executive Officer and Director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3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(Principal Executive Officer)</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2"/>
              </w:rPr>
              <w:t>March 17, 2020</w:t>
            </w: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0"/>
              </w:rPr>
              <w:t>Scott Leonard</w:t>
            </w:r>
          </w:p>
        </w:tc>
        <w:tc>
          <w:tcPr>
            <w:tcW w:w="80" w:type="dxa"/>
            <w:vAlign w:val="bottom"/>
          </w:tcPr>
          <w:p>
            <w:pPr>
              <w:spacing w:after="0"/>
              <w:rPr>
                <w:sz w:val="19"/>
                <w:szCs w:val="19"/>
                <w:color w:val="auto"/>
              </w:rPr>
            </w:pPr>
          </w:p>
        </w:tc>
        <w:tc>
          <w:tcPr>
            <w:tcW w:w="3320" w:type="dxa"/>
            <w:vAlign w:val="bottom"/>
            <w:gridSpan w:val="2"/>
            <w:vMerge w:val="continue"/>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580" w:type="dxa"/>
            <w:vAlign w:val="bottom"/>
          </w:tcPr>
          <w:p>
            <w:pPr>
              <w:jc w:val="center"/>
              <w:spacing w:after="0"/>
              <w:rPr>
                <w:sz w:val="20"/>
                <w:szCs w:val="20"/>
                <w:color w:val="auto"/>
              </w:rPr>
            </w:pPr>
            <w:r>
              <w:rPr>
                <w:rFonts w:ascii="Arial" w:cs="Arial" w:eastAsia="Arial" w:hAnsi="Arial"/>
                <w:sz w:val="18"/>
                <w:szCs w:val="18"/>
                <w:color w:val="auto"/>
                <w:w w:val="91"/>
              </w:rPr>
              <w:t>/s/ Scott Honour</w:t>
            </w:r>
          </w:p>
        </w:tc>
        <w:tc>
          <w:tcPr>
            <w:tcW w:w="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3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2"/>
              </w:rPr>
              <w:t>Chairman</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2"/>
              </w:rPr>
              <w:t>March 17, 2020</w:t>
            </w: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1"/>
              </w:rPr>
              <w:t>Scott Honour</w:t>
            </w:r>
          </w:p>
        </w:tc>
        <w:tc>
          <w:tcPr>
            <w:tcW w:w="80" w:type="dxa"/>
            <w:vAlign w:val="bottom"/>
          </w:tcPr>
          <w:p>
            <w:pPr>
              <w:spacing w:after="0"/>
              <w:rPr>
                <w:sz w:val="19"/>
                <w:szCs w:val="19"/>
                <w:color w:val="auto"/>
              </w:rPr>
            </w:pPr>
          </w:p>
        </w:tc>
        <w:tc>
          <w:tcPr>
            <w:tcW w:w="3320" w:type="dxa"/>
            <w:vAlign w:val="bottom"/>
            <w:gridSpan w:val="2"/>
            <w:vMerge w:val="continue"/>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580" w:type="dxa"/>
            <w:vAlign w:val="bottom"/>
          </w:tcPr>
          <w:p>
            <w:pPr>
              <w:jc w:val="center"/>
              <w:spacing w:after="0"/>
              <w:rPr>
                <w:sz w:val="20"/>
                <w:szCs w:val="20"/>
                <w:color w:val="auto"/>
              </w:rPr>
            </w:pPr>
            <w:r>
              <w:rPr>
                <w:rFonts w:ascii="Arial" w:cs="Arial" w:eastAsia="Arial" w:hAnsi="Arial"/>
                <w:sz w:val="18"/>
                <w:szCs w:val="18"/>
                <w:color w:val="auto"/>
                <w:w w:val="92"/>
              </w:rPr>
              <w:t>/s/ David Quiram</w:t>
            </w:r>
          </w:p>
        </w:tc>
        <w:tc>
          <w:tcPr>
            <w:tcW w:w="80" w:type="dxa"/>
            <w:vAlign w:val="bottom"/>
          </w:tcPr>
          <w:p>
            <w:pPr>
              <w:spacing w:after="0"/>
              <w:rPr>
                <w:sz w:val="24"/>
                <w:szCs w:val="24"/>
                <w:color w:val="auto"/>
              </w:rPr>
            </w:pPr>
          </w:p>
        </w:tc>
        <w:tc>
          <w:tcPr>
            <w:tcW w:w="33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Chief Financial Officer</w:t>
            </w: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2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3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(Principal Financial and Accounting Officer)</w:t>
            </w:r>
          </w:p>
        </w:tc>
        <w:tc>
          <w:tcPr>
            <w:tcW w:w="2120" w:type="dxa"/>
            <w:vAlign w:val="bottom"/>
            <w:vMerge w:val="restart"/>
          </w:tcPr>
          <w:p>
            <w:pPr>
              <w:jc w:val="center"/>
              <w:spacing w:after="0"/>
              <w:rPr>
                <w:sz w:val="20"/>
                <w:szCs w:val="20"/>
                <w:color w:val="auto"/>
              </w:rPr>
            </w:pPr>
            <w:r>
              <w:rPr>
                <w:rFonts w:ascii="Arial" w:cs="Arial" w:eastAsia="Arial" w:hAnsi="Arial"/>
                <w:sz w:val="18"/>
                <w:szCs w:val="18"/>
                <w:color w:val="auto"/>
                <w:w w:val="92"/>
              </w:rPr>
              <w:t>March 17, 2020</w:t>
            </w: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4"/>
              </w:rPr>
              <w:t>David Quiram</w:t>
            </w:r>
          </w:p>
        </w:tc>
        <w:tc>
          <w:tcPr>
            <w:tcW w:w="80" w:type="dxa"/>
            <w:vAlign w:val="bottom"/>
          </w:tcPr>
          <w:p>
            <w:pPr>
              <w:spacing w:after="0"/>
              <w:rPr>
                <w:sz w:val="19"/>
                <w:szCs w:val="19"/>
                <w:color w:val="auto"/>
              </w:rPr>
            </w:pPr>
          </w:p>
        </w:tc>
        <w:tc>
          <w:tcPr>
            <w:tcW w:w="3320" w:type="dxa"/>
            <w:vAlign w:val="bottom"/>
            <w:gridSpan w:val="2"/>
            <w:vMerge w:val="continue"/>
          </w:tcPr>
          <w:p>
            <w:pPr>
              <w:spacing w:after="0"/>
              <w:rPr>
                <w:sz w:val="19"/>
                <w:szCs w:val="19"/>
                <w:color w:val="auto"/>
              </w:rPr>
            </w:pPr>
          </w:p>
        </w:tc>
        <w:tc>
          <w:tcPr>
            <w:tcW w:w="2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5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2"/>
          </w:tcPr>
          <w:p>
            <w:pPr>
              <w:ind w:left="1240"/>
              <w:spacing w:after="0"/>
              <w:rPr>
                <w:sz w:val="20"/>
                <w:szCs w:val="20"/>
                <w:color w:val="auto"/>
              </w:rPr>
            </w:pPr>
            <w:r>
              <w:rPr>
                <w:rFonts w:ascii="Arial" w:cs="Arial" w:eastAsia="Arial" w:hAnsi="Arial"/>
                <w:sz w:val="18"/>
                <w:szCs w:val="18"/>
                <w:color w:val="auto"/>
              </w:rPr>
              <w:t>II-4</w:t>
            </w:r>
          </w:p>
        </w:tc>
        <w:tc>
          <w:tcPr>
            <w:tcW w:w="2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337" w:right="1440" w:bottom="1440" w:gutter="0" w:footer="0" w:header="0"/>
        </w:sectPr>
      </w:pPr>
    </w:p>
    <w:bookmarkStart w:id="171" w:name="page172"/>
    <w:bookmarkEnd w:id="171"/>
    <w:p>
      <w:pPr>
        <w:ind w:left="9120"/>
        <w:spacing w:after="0"/>
        <w:rPr>
          <w:sz w:val="20"/>
          <w:szCs w:val="20"/>
          <w:color w:val="auto"/>
        </w:rPr>
      </w:pPr>
      <w:r>
        <w:rPr>
          <w:rFonts w:ascii="Arial" w:cs="Arial" w:eastAsia="Arial" w:hAnsi="Arial"/>
          <w:sz w:val="19"/>
          <w:szCs w:val="19"/>
          <w:b w:val="1"/>
          <w:bCs w:val="1"/>
          <w:color w:val="auto"/>
        </w:rPr>
        <w:t>Exhibit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4848860</wp:posOffset>
            </wp:positionH>
            <wp:positionV relativeFrom="paragraph">
              <wp:posOffset>170815</wp:posOffset>
            </wp:positionV>
            <wp:extent cx="1551305" cy="19888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THE COMPANIES LAW (2018 REVISION)</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COMPANY LIMITED BY SHARES</w:t>
      </w:r>
    </w:p>
    <w:p>
      <w:pPr>
        <w:spacing w:after="0" w:line="20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MEMORANDUM AND ARTICLES OF ASSOCIATION</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K35746939708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297180</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172" w:name="page173"/>
    <w:bookmarkEnd w:id="1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COMPANIES LAW (2018 REVISION)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07" w:lineRule="exact"/>
        <w:rPr>
          <w:sz w:val="20"/>
          <w:szCs w:val="20"/>
          <w:color w:val="auto"/>
        </w:rPr>
      </w:pPr>
    </w:p>
    <w:p>
      <w:pPr>
        <w:ind w:left="660" w:hanging="652"/>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name of the Company is </w:t>
      </w:r>
      <w:r>
        <w:rPr>
          <w:rFonts w:ascii="Arial" w:cs="Arial" w:eastAsia="Arial" w:hAnsi="Arial"/>
          <w:sz w:val="18"/>
          <w:szCs w:val="18"/>
          <w:b w:val="1"/>
          <w:bCs w:val="1"/>
          <w:color w:val="auto"/>
        </w:rPr>
        <w:t>Sustainable Opportunities Acquisition Corp.</w:t>
      </w:r>
    </w:p>
    <w:p>
      <w:pPr>
        <w:spacing w:after="0" w:line="229" w:lineRule="exact"/>
        <w:rPr>
          <w:sz w:val="20"/>
          <w:szCs w:val="20"/>
          <w:color w:val="auto"/>
        </w:rPr>
      </w:pPr>
    </w:p>
    <w:p>
      <w:pPr>
        <w:ind w:left="660" w:hanging="652"/>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Registered Office of the Company shall be at the offices of Maples Corporate Services Limited, PO Box 309, Ugland House, Grand Cayman, KY1-1104, Cayman Islands, or at such other place within the Cayman Islands as the Directors may decide.</w:t>
      </w:r>
    </w:p>
    <w:p>
      <w:pPr>
        <w:spacing w:after="0" w:line="170" w:lineRule="exact"/>
        <w:rPr>
          <w:sz w:val="20"/>
          <w:szCs w:val="20"/>
          <w:color w:val="auto"/>
        </w:rPr>
      </w:pPr>
    </w:p>
    <w:p>
      <w:pPr>
        <w:ind w:left="660" w:hanging="652"/>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objects for which the Company is established are unrestricted and the Company shall have full power and authority to carry out any object not prohibited by the laws of the Cayman Islands.</w:t>
      </w:r>
    </w:p>
    <w:p>
      <w:pPr>
        <w:spacing w:after="0" w:line="170"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liability of each Member is limited to the amount unpaid on such Member’s shares.</w:t>
      </w:r>
    </w:p>
    <w:p>
      <w:pPr>
        <w:spacing w:after="0" w:line="225" w:lineRule="exact"/>
        <w:rPr>
          <w:sz w:val="20"/>
          <w:szCs w:val="20"/>
          <w:color w:val="auto"/>
        </w:rPr>
      </w:pPr>
    </w:p>
    <w:p>
      <w:pPr>
        <w:ind w:left="660" w:hanging="652"/>
        <w:spacing w:after="0" w:line="308" w:lineRule="auto"/>
        <w:tabs>
          <w:tab w:leader="none" w:pos="66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share capital of the Company is US$33,100 divided into 300,000,000 Class A ordinary shares of a par value of US$0.0001 each, 30,000,000 Class B ordinary shares of a par value of US$0.0001 each and 1,000,000 preference shares of a par value of US$0.0001 each.</w:t>
      </w:r>
    </w:p>
    <w:p>
      <w:pPr>
        <w:spacing w:after="0" w:line="146" w:lineRule="exact"/>
        <w:rPr>
          <w:sz w:val="20"/>
          <w:szCs w:val="20"/>
          <w:color w:val="auto"/>
        </w:rPr>
      </w:pPr>
    </w:p>
    <w:p>
      <w:pPr>
        <w:ind w:left="660" w:hanging="652"/>
        <w:spacing w:after="0" w:line="277"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170" w:lineRule="exact"/>
        <w:rPr>
          <w:sz w:val="20"/>
          <w:szCs w:val="20"/>
          <w:color w:val="auto"/>
        </w:rPr>
      </w:pPr>
    </w:p>
    <w:p>
      <w:pPr>
        <w:ind w:left="660" w:hanging="652"/>
        <w:spacing w:after="0" w:line="277"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Capitalised terms that are not defined in this Memorandum of Association bear the respective meanings given to them in the Articles of Association of the Company.</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K35746939708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WE, the subscriber to this Memorandum of Association, wish to form a company pursuant to this Memorandum of Association, and we agree to take the number of shares shown opposite our name.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Dated this 18th day of December 2019.</w:t>
            </w:r>
          </w:p>
        </w:tc>
        <w:tc>
          <w:tcPr>
            <w:tcW w:w="3100" w:type="dxa"/>
            <w:vAlign w:val="bottom"/>
          </w:tcPr>
          <w:p>
            <w:pPr>
              <w:spacing w:after="0"/>
              <w:rPr>
                <w:sz w:val="20"/>
                <w:szCs w:val="20"/>
                <w:color w:val="auto"/>
              </w:rPr>
            </w:pPr>
          </w:p>
        </w:tc>
      </w:tr>
      <w:tr>
        <w:trPr>
          <w:trHeight w:val="432"/>
        </w:trPr>
        <w:tc>
          <w:tcPr>
            <w:tcW w:w="4500" w:type="dxa"/>
            <w:vAlign w:val="bottom"/>
          </w:tcPr>
          <w:p>
            <w:pPr>
              <w:spacing w:after="0"/>
              <w:rPr>
                <w:sz w:val="20"/>
                <w:szCs w:val="20"/>
                <w:color w:val="auto"/>
              </w:rPr>
            </w:pPr>
            <w:r>
              <w:rPr>
                <w:rFonts w:ascii="Arial" w:cs="Arial" w:eastAsia="Arial" w:hAnsi="Arial"/>
                <w:sz w:val="18"/>
                <w:szCs w:val="18"/>
                <w:b w:val="1"/>
                <w:bCs w:val="1"/>
                <w:color w:val="auto"/>
              </w:rPr>
              <w:t>Signature and Address of Subscriber</w:t>
            </w:r>
          </w:p>
        </w:tc>
        <w:tc>
          <w:tcPr>
            <w:tcW w:w="3100" w:type="dxa"/>
            <w:vAlign w:val="bottom"/>
          </w:tcPr>
          <w:p>
            <w:pPr>
              <w:ind w:left="1120"/>
              <w:spacing w:after="0"/>
              <w:rPr>
                <w:sz w:val="20"/>
                <w:szCs w:val="20"/>
                <w:color w:val="auto"/>
              </w:rPr>
            </w:pPr>
            <w:r>
              <w:rPr>
                <w:rFonts w:ascii="Arial" w:cs="Arial" w:eastAsia="Arial" w:hAnsi="Arial"/>
                <w:sz w:val="18"/>
                <w:szCs w:val="18"/>
                <w:b w:val="1"/>
                <w:bCs w:val="1"/>
                <w:color w:val="auto"/>
                <w:w w:val="92"/>
              </w:rPr>
              <w:t>Number of Shares Taken</w:t>
            </w:r>
          </w:p>
        </w:tc>
      </w:tr>
      <w:tr>
        <w:trPr>
          <w:trHeight w:val="418"/>
        </w:trPr>
        <w:tc>
          <w:tcPr>
            <w:tcW w:w="4500" w:type="dxa"/>
            <w:vAlign w:val="bottom"/>
          </w:tcPr>
          <w:p>
            <w:pPr>
              <w:spacing w:after="0"/>
              <w:rPr>
                <w:sz w:val="20"/>
                <w:szCs w:val="20"/>
                <w:color w:val="auto"/>
              </w:rPr>
            </w:pPr>
            <w:r>
              <w:rPr>
                <w:rFonts w:ascii="Arial" w:cs="Arial" w:eastAsia="Arial" w:hAnsi="Arial"/>
                <w:sz w:val="18"/>
                <w:szCs w:val="18"/>
                <w:color w:val="auto"/>
              </w:rPr>
              <w:t>Maples Corporate Services Limited</w:t>
            </w:r>
          </w:p>
        </w:tc>
        <w:tc>
          <w:tcPr>
            <w:tcW w:w="3100" w:type="dxa"/>
            <w:vAlign w:val="bottom"/>
          </w:tcPr>
          <w:p>
            <w:pPr>
              <w:ind w:left="1120"/>
              <w:spacing w:after="0"/>
              <w:rPr>
                <w:sz w:val="20"/>
                <w:szCs w:val="20"/>
                <w:color w:val="auto"/>
              </w:rPr>
            </w:pPr>
            <w:r>
              <w:rPr>
                <w:rFonts w:ascii="Arial" w:cs="Arial" w:eastAsia="Arial" w:hAnsi="Arial"/>
                <w:sz w:val="18"/>
                <w:szCs w:val="18"/>
                <w:color w:val="auto"/>
                <w:w w:val="88"/>
              </w:rPr>
              <w:t>One Class B ordinary share</w:t>
            </w: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of PO Box 309, Ugland House</w:t>
            </w:r>
          </w:p>
        </w:tc>
        <w:tc>
          <w:tcPr>
            <w:tcW w:w="310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Grand Cayman</w:t>
            </w:r>
          </w:p>
        </w:tc>
        <w:tc>
          <w:tcPr>
            <w:tcW w:w="3100" w:type="dxa"/>
            <w:vAlign w:val="bottom"/>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Arial" w:cs="Arial" w:eastAsia="Arial" w:hAnsi="Arial"/>
                <w:sz w:val="18"/>
                <w:szCs w:val="18"/>
                <w:color w:val="auto"/>
              </w:rPr>
              <w:t>KY1-1104</w:t>
            </w:r>
          </w:p>
        </w:tc>
        <w:tc>
          <w:tcPr>
            <w:tcW w:w="3100" w:type="dxa"/>
            <w:vAlign w:val="bottom"/>
          </w:tcPr>
          <w:p>
            <w:pPr>
              <w:spacing w:after="0"/>
              <w:rPr>
                <w:sz w:val="18"/>
                <w:szCs w:val="18"/>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Cayman Islands</w:t>
            </w:r>
          </w:p>
        </w:tc>
        <w:tc>
          <w:tcPr>
            <w:tcW w:w="3100" w:type="dxa"/>
            <w:vAlign w:val="bottom"/>
          </w:tcPr>
          <w:p>
            <w:pPr>
              <w:spacing w:after="0"/>
              <w:rPr>
                <w:sz w:val="20"/>
                <w:szCs w:val="20"/>
                <w:color w:val="auto"/>
              </w:rPr>
            </w:pPr>
          </w:p>
        </w:tc>
      </w:tr>
      <w:tr>
        <w:trPr>
          <w:trHeight w:val="432"/>
        </w:trPr>
        <w:tc>
          <w:tcPr>
            <w:tcW w:w="4500" w:type="dxa"/>
            <w:vAlign w:val="bottom"/>
          </w:tcPr>
          <w:p>
            <w:pPr>
              <w:spacing w:after="0"/>
              <w:rPr>
                <w:sz w:val="20"/>
                <w:szCs w:val="20"/>
                <w:color w:val="auto"/>
              </w:rPr>
            </w:pPr>
            <w:r>
              <w:rPr>
                <w:rFonts w:ascii="Arial" w:cs="Arial" w:eastAsia="Arial" w:hAnsi="Arial"/>
                <w:sz w:val="18"/>
                <w:szCs w:val="18"/>
                <w:color w:val="auto"/>
              </w:rPr>
              <w:t>acting by:</w:t>
            </w:r>
          </w:p>
        </w:tc>
        <w:tc>
          <w:tcPr>
            <w:tcW w:w="3100" w:type="dxa"/>
            <w:vAlign w:val="bottom"/>
          </w:tcPr>
          <w:p>
            <w:pPr>
              <w:spacing w:after="0"/>
              <w:rPr>
                <w:sz w:val="24"/>
                <w:szCs w:val="24"/>
                <w:color w:val="auto"/>
              </w:rPr>
            </w:pPr>
          </w:p>
        </w:tc>
      </w:tr>
      <w:tr>
        <w:trPr>
          <w:trHeight w:val="452"/>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Mitzie Forbes</w:t>
            </w:r>
          </w:p>
        </w:tc>
        <w:tc>
          <w:tcPr>
            <w:tcW w:w="3100" w:type="dxa"/>
            <w:vAlign w:val="bottom"/>
          </w:tcPr>
          <w:p>
            <w:pPr>
              <w:spacing w:after="0"/>
              <w:rPr>
                <w:sz w:val="24"/>
                <w:szCs w:val="24"/>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Mitzie Forbes</w:t>
            </w:r>
          </w:p>
        </w:tc>
        <w:tc>
          <w:tcPr>
            <w:tcW w:w="3100" w:type="dxa"/>
            <w:vAlign w:val="bottom"/>
          </w:tcPr>
          <w:p>
            <w:pPr>
              <w:spacing w:after="0"/>
              <w:rPr>
                <w:sz w:val="20"/>
                <w:szCs w:val="20"/>
                <w:color w:val="auto"/>
              </w:rPr>
            </w:pPr>
          </w:p>
        </w:tc>
      </w:tr>
      <w:tr>
        <w:trPr>
          <w:trHeight w:val="425"/>
        </w:trPr>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Maggie Ebanks</w:t>
            </w:r>
          </w:p>
        </w:tc>
        <w:tc>
          <w:tcPr>
            <w:tcW w:w="3100" w:type="dxa"/>
            <w:vAlign w:val="bottom"/>
          </w:tcPr>
          <w:p>
            <w:pPr>
              <w:spacing w:after="0"/>
              <w:rPr>
                <w:sz w:val="24"/>
                <w:szCs w:val="24"/>
                <w:color w:val="auto"/>
              </w:rPr>
            </w:pPr>
          </w:p>
        </w:tc>
      </w:tr>
      <w:tr>
        <w:trPr>
          <w:trHeight w:val="202"/>
        </w:trPr>
        <w:tc>
          <w:tcPr>
            <w:tcW w:w="4500" w:type="dxa"/>
            <w:vAlign w:val="bottom"/>
          </w:tcPr>
          <w:p>
            <w:pPr>
              <w:spacing w:after="0" w:line="201" w:lineRule="exact"/>
              <w:rPr>
                <w:sz w:val="20"/>
                <w:szCs w:val="20"/>
                <w:color w:val="auto"/>
              </w:rPr>
            </w:pPr>
            <w:r>
              <w:rPr>
                <w:rFonts w:ascii="Arial" w:cs="Arial" w:eastAsia="Arial" w:hAnsi="Arial"/>
                <w:sz w:val="18"/>
                <w:szCs w:val="18"/>
                <w:color w:val="auto"/>
              </w:rPr>
              <w:t>Maggie Ebanks</w:t>
            </w:r>
          </w:p>
        </w:tc>
        <w:tc>
          <w:tcPr>
            <w:tcW w:w="3100" w:type="dxa"/>
            <w:vAlign w:val="bottom"/>
          </w:tcPr>
          <w:p>
            <w:pPr>
              <w:spacing w:after="0"/>
              <w:rPr>
                <w:sz w:val="17"/>
                <w:szCs w:val="17"/>
                <w:color w:val="auto"/>
              </w:rPr>
            </w:pPr>
          </w:p>
        </w:tc>
      </w:tr>
      <w:tr>
        <w:trPr>
          <w:trHeight w:val="230"/>
        </w:trPr>
        <w:tc>
          <w:tcPr>
            <w:tcW w:w="4500" w:type="dxa"/>
            <w:vAlign w:val="bottom"/>
          </w:tcPr>
          <w:p>
            <w:pPr>
              <w:spacing w:after="0"/>
              <w:rPr>
                <w:sz w:val="20"/>
                <w:szCs w:val="20"/>
                <w:color w:val="auto"/>
              </w:rPr>
            </w:pPr>
            <w:r>
              <w:rPr>
                <w:rFonts w:ascii="Arial" w:cs="Arial" w:eastAsia="Arial" w:hAnsi="Arial"/>
                <w:sz w:val="18"/>
                <w:szCs w:val="18"/>
                <w:color w:val="auto"/>
              </w:rPr>
              <w:t>Witness to the above signature</w:t>
            </w:r>
          </w:p>
        </w:tc>
        <w:tc>
          <w:tcPr>
            <w:tcW w:w="3100" w:type="dxa"/>
            <w:vAlign w:val="bottom"/>
          </w:tcPr>
          <w:p>
            <w:pPr>
              <w:spacing w:after="0"/>
              <w:rPr>
                <w:sz w:val="20"/>
                <w:szCs w:val="20"/>
                <w:color w:val="auto"/>
              </w:rPr>
            </w:pPr>
          </w:p>
        </w:tc>
      </w:tr>
    </w:tbl>
    <w:p>
      <w:pPr>
        <w:spacing w:after="0" w:line="20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K35746939708</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2057400" cy="9944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clrChange>
                        <a:clrFrom>
                          <a:srgbClr val="FFFFFF"/>
                        </a:clrFrom>
                        <a:clrTo>
                          <a:srgbClr val="FFFFFF">
                            <a:alpha val="0"/>
                          </a:srgbClr>
                        </a:clrTo>
                      </a:clrChange>
                      <a:extLst>
                        <a:ext uri="{28A0092B-C50C-407E-A947-70E740481C1C}"/>
                      </a:extLst>
                    </a:blip>
                    <a:srcRect/>
                    <a:stretch>
                      <a:fillRect/>
                    </a:stretch>
                  </pic:blipFill>
                  <pic:spPr bwMode="auto">
                    <a:xfrm>
                      <a:off x="0" y="0"/>
                      <a:ext cx="2057400" cy="994410"/>
                    </a:xfrm>
                    <a:prstGeom prst="rect">
                      <a:avLst/>
                    </a:prstGeom>
                    <a:noFill/>
                  </pic:spPr>
                </pic:pic>
              </a:graphicData>
            </a:graphic>
          </wp:anchor>
        </w:drawing>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THE COMPANIES LAW (2018 REVISION)</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OF THE CAYMAN ISLANDS</w:t>
      </w:r>
    </w:p>
    <w:p>
      <w:pPr>
        <w:spacing w:after="0" w:line="9" w:lineRule="exact"/>
        <w:rPr>
          <w:sz w:val="20"/>
          <w:szCs w:val="20"/>
          <w:color w:val="auto"/>
        </w:rPr>
      </w:pPr>
    </w:p>
    <w:p>
      <w:pPr>
        <w:ind w:left="4240"/>
        <w:spacing w:after="0"/>
        <w:rPr>
          <w:sz w:val="20"/>
          <w:szCs w:val="20"/>
          <w:color w:val="auto"/>
        </w:rPr>
      </w:pPr>
      <w:r>
        <w:rPr>
          <w:rFonts w:ascii="Arial" w:cs="Arial" w:eastAsia="Arial" w:hAnsi="Arial"/>
          <w:sz w:val="18"/>
          <w:szCs w:val="18"/>
          <w:b w:val="1"/>
          <w:bCs w:val="1"/>
          <w:color w:val="auto"/>
        </w:rPr>
        <w:t>COMPANY LIMITED BY SHARES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ARTICLES OF ASSOCIATION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07" w:lineRule="exact"/>
        <w:rPr>
          <w:sz w:val="20"/>
          <w:szCs w:val="20"/>
          <w:color w:val="auto"/>
        </w:rPr>
      </w:pPr>
    </w:p>
    <w:p>
      <w:pPr>
        <w:ind w:left="660" w:hanging="652"/>
        <w:spacing w:after="0"/>
        <w:tabs>
          <w:tab w:leader="none" w:pos="66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229"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the Articles Table A in the First Schedule to the Statute does not apply and, unless there is something in the subject or context inconsistent therewith:</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Articles</w:t>
            </w:r>
            <w:r>
              <w:rPr>
                <w:rFonts w:ascii="Arial" w:cs="Arial" w:eastAsia="Arial" w:hAnsi="Arial"/>
                <w:sz w:val="18"/>
                <w:szCs w:val="18"/>
                <w:color w:val="auto"/>
              </w:rPr>
              <w:t>”</w:t>
            </w:r>
          </w:p>
        </w:tc>
        <w:tc>
          <w:tcPr>
            <w:tcW w:w="7820" w:type="dxa"/>
            <w:vAlign w:val="bottom"/>
          </w:tcPr>
          <w:p>
            <w:pPr>
              <w:ind w:left="900"/>
              <w:spacing w:after="0"/>
              <w:rPr>
                <w:sz w:val="20"/>
                <w:szCs w:val="20"/>
                <w:color w:val="auto"/>
              </w:rPr>
            </w:pPr>
            <w:r>
              <w:rPr>
                <w:rFonts w:ascii="Arial" w:cs="Arial" w:eastAsia="Arial" w:hAnsi="Arial"/>
                <w:sz w:val="18"/>
                <w:szCs w:val="18"/>
                <w:color w:val="auto"/>
              </w:rPr>
              <w:t>means these articles of association of the Company.</w:t>
            </w:r>
          </w:p>
        </w:tc>
      </w:tr>
      <w:tr>
        <w:trPr>
          <w:trHeight w:val="432"/>
        </w:trPr>
        <w:tc>
          <w:tcPr>
            <w:tcW w:w="34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Auditor</w:t>
            </w:r>
            <w:r>
              <w:rPr>
                <w:rFonts w:ascii="Arial" w:cs="Arial" w:eastAsia="Arial" w:hAnsi="Arial"/>
                <w:sz w:val="18"/>
                <w:szCs w:val="18"/>
                <w:color w:val="auto"/>
              </w:rPr>
              <w:t>”</w:t>
            </w:r>
          </w:p>
        </w:tc>
        <w:tc>
          <w:tcPr>
            <w:tcW w:w="7820" w:type="dxa"/>
            <w:vAlign w:val="bottom"/>
          </w:tcPr>
          <w:p>
            <w:pPr>
              <w:ind w:left="900"/>
              <w:spacing w:after="0"/>
              <w:rPr>
                <w:sz w:val="20"/>
                <w:szCs w:val="20"/>
                <w:color w:val="auto"/>
              </w:rPr>
            </w:pPr>
            <w:r>
              <w:rPr>
                <w:rFonts w:ascii="Arial" w:cs="Arial" w:eastAsia="Arial" w:hAnsi="Arial"/>
                <w:sz w:val="18"/>
                <w:szCs w:val="18"/>
                <w:color w:val="auto"/>
                <w:w w:val="93"/>
              </w:rPr>
              <w:t>means the person for the time being performing the duties of auditor of the Company (if any).</w:t>
            </w:r>
          </w:p>
        </w:tc>
      </w:tr>
      <w:tr>
        <w:trPr>
          <w:trHeight w:val="418"/>
        </w:trPr>
        <w:tc>
          <w:tcPr>
            <w:tcW w:w="34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Combination</w:t>
            </w:r>
            <w:r>
              <w:rPr>
                <w:rFonts w:ascii="Arial" w:cs="Arial" w:eastAsia="Arial" w:hAnsi="Arial"/>
                <w:sz w:val="18"/>
                <w:szCs w:val="18"/>
                <w:color w:val="auto"/>
              </w:rPr>
              <w:t>”</w:t>
            </w:r>
          </w:p>
        </w:tc>
        <w:tc>
          <w:tcPr>
            <w:tcW w:w="7820" w:type="dxa"/>
            <w:vAlign w:val="bottom"/>
          </w:tcPr>
          <w:p>
            <w:pPr>
              <w:ind w:left="900"/>
              <w:spacing w:after="0"/>
              <w:rPr>
                <w:sz w:val="20"/>
                <w:szCs w:val="20"/>
                <w:color w:val="auto"/>
              </w:rPr>
            </w:pPr>
            <w:r>
              <w:rPr>
                <w:rFonts w:ascii="Arial" w:cs="Arial" w:eastAsia="Arial" w:hAnsi="Arial"/>
                <w:sz w:val="18"/>
                <w:szCs w:val="18"/>
                <w:color w:val="auto"/>
                <w:w w:val="92"/>
              </w:rPr>
              <w:t>means a merger, share exchange, asset acquisition, share purchase, reorganisation or similar</w:t>
            </w:r>
          </w:p>
        </w:tc>
      </w:tr>
      <w:tr>
        <w:trPr>
          <w:trHeight w:val="216"/>
        </w:trPr>
        <w:tc>
          <w:tcPr>
            <w:tcW w:w="342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w w:val="96"/>
              </w:rPr>
              <w:t>business combination involving the Company, with one or more businesses or entities (the</w:t>
            </w:r>
          </w:p>
        </w:tc>
      </w:tr>
      <w:tr>
        <w:trPr>
          <w:trHeight w:val="216"/>
        </w:trPr>
        <w:tc>
          <w:tcPr>
            <w:tcW w:w="342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w w:val="99"/>
              </w:rPr>
              <w:t>“target business”), which Business Combination: (a) must occur with one or more target</w:t>
            </w:r>
          </w:p>
        </w:tc>
      </w:tr>
      <w:tr>
        <w:trPr>
          <w:trHeight w:val="216"/>
        </w:trPr>
        <w:tc>
          <w:tcPr>
            <w:tcW w:w="342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w w:val="90"/>
              </w:rPr>
              <w:t>businesses that together have an aggregate fair market value of at least 80% of the assets held</w:t>
            </w:r>
          </w:p>
        </w:tc>
      </w:tr>
      <w:tr>
        <w:trPr>
          <w:trHeight w:val="216"/>
        </w:trPr>
        <w:tc>
          <w:tcPr>
            <w:tcW w:w="342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w w:val="92"/>
              </w:rPr>
              <w:t>in the Trust Fund (excluding the deferred underwriting commissions and taxes payable on the</w:t>
            </w:r>
          </w:p>
        </w:tc>
      </w:tr>
      <w:tr>
        <w:trPr>
          <w:trHeight w:val="216"/>
        </w:trPr>
        <w:tc>
          <w:tcPr>
            <w:tcW w:w="342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w w:val="99"/>
              </w:rPr>
              <w:t>income earned on the Trust Fund) at the time of the agreement to enter into a Business</w:t>
            </w:r>
          </w:p>
        </w:tc>
      </w:tr>
      <w:tr>
        <w:trPr>
          <w:trHeight w:val="216"/>
        </w:trPr>
        <w:tc>
          <w:tcPr>
            <w:tcW w:w="3420" w:type="dxa"/>
            <w:vAlign w:val="bottom"/>
          </w:tcPr>
          <w:p>
            <w:pPr>
              <w:spacing w:after="0"/>
              <w:rPr>
                <w:sz w:val="18"/>
                <w:szCs w:val="18"/>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w w:val="99"/>
              </w:rPr>
              <w:t>Combination; and (b) must not be effectuated with another blank cheque company or a</w:t>
            </w:r>
          </w:p>
        </w:tc>
      </w:tr>
      <w:tr>
        <w:trPr>
          <w:trHeight w:val="230"/>
        </w:trPr>
        <w:tc>
          <w:tcPr>
            <w:tcW w:w="3420" w:type="dxa"/>
            <w:vAlign w:val="bottom"/>
          </w:tcPr>
          <w:p>
            <w:pPr>
              <w:spacing w:after="0"/>
              <w:rPr>
                <w:sz w:val="20"/>
                <w:szCs w:val="20"/>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rPr>
              <w:t>similar company with nominal operations.</w:t>
            </w:r>
          </w:p>
        </w:tc>
      </w:tr>
      <w:tr>
        <w:trPr>
          <w:trHeight w:val="418"/>
        </w:trPr>
        <w:tc>
          <w:tcPr>
            <w:tcW w:w="34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Share</w:t>
            </w:r>
            <w:r>
              <w:rPr>
                <w:rFonts w:ascii="Arial" w:cs="Arial" w:eastAsia="Arial" w:hAnsi="Arial"/>
                <w:sz w:val="18"/>
                <w:szCs w:val="18"/>
                <w:color w:val="auto"/>
              </w:rPr>
              <w:t>”</w:t>
            </w:r>
          </w:p>
        </w:tc>
        <w:tc>
          <w:tcPr>
            <w:tcW w:w="7820" w:type="dxa"/>
            <w:vAlign w:val="bottom"/>
          </w:tcPr>
          <w:p>
            <w:pPr>
              <w:ind w:left="900"/>
              <w:spacing w:after="0"/>
              <w:rPr>
                <w:sz w:val="20"/>
                <w:szCs w:val="20"/>
                <w:color w:val="auto"/>
              </w:rPr>
            </w:pPr>
            <w:r>
              <w:rPr>
                <w:rFonts w:ascii="Arial" w:cs="Arial" w:eastAsia="Arial" w:hAnsi="Arial"/>
                <w:sz w:val="18"/>
                <w:szCs w:val="18"/>
                <w:color w:val="auto"/>
                <w:w w:val="99"/>
              </w:rPr>
              <w:t>means a Class A ordinary share of a par value of US$0.0001 in the share capital of the</w:t>
            </w:r>
          </w:p>
        </w:tc>
      </w:tr>
      <w:tr>
        <w:trPr>
          <w:trHeight w:val="230"/>
        </w:trPr>
        <w:tc>
          <w:tcPr>
            <w:tcW w:w="3420" w:type="dxa"/>
            <w:vAlign w:val="bottom"/>
          </w:tcPr>
          <w:p>
            <w:pPr>
              <w:spacing w:after="0"/>
              <w:rPr>
                <w:sz w:val="20"/>
                <w:szCs w:val="20"/>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rPr>
              <w:t>Company.</w:t>
            </w:r>
          </w:p>
        </w:tc>
      </w:tr>
      <w:tr>
        <w:trPr>
          <w:trHeight w:val="418"/>
        </w:trPr>
        <w:tc>
          <w:tcPr>
            <w:tcW w:w="34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B Share</w:t>
            </w:r>
            <w:r>
              <w:rPr>
                <w:rFonts w:ascii="Arial" w:cs="Arial" w:eastAsia="Arial" w:hAnsi="Arial"/>
                <w:sz w:val="18"/>
                <w:szCs w:val="18"/>
                <w:color w:val="auto"/>
              </w:rPr>
              <w:t>”</w:t>
            </w:r>
          </w:p>
        </w:tc>
        <w:tc>
          <w:tcPr>
            <w:tcW w:w="7820" w:type="dxa"/>
            <w:vAlign w:val="bottom"/>
          </w:tcPr>
          <w:p>
            <w:pPr>
              <w:ind w:left="900"/>
              <w:spacing w:after="0"/>
              <w:rPr>
                <w:sz w:val="20"/>
                <w:szCs w:val="20"/>
                <w:color w:val="auto"/>
              </w:rPr>
            </w:pPr>
            <w:r>
              <w:rPr>
                <w:rFonts w:ascii="Arial" w:cs="Arial" w:eastAsia="Arial" w:hAnsi="Arial"/>
                <w:sz w:val="18"/>
                <w:szCs w:val="18"/>
                <w:color w:val="auto"/>
                <w:w w:val="99"/>
              </w:rPr>
              <w:t>means a Class B ordinary share of a par value of US$0.0001 in the share capital of the</w:t>
            </w:r>
          </w:p>
        </w:tc>
      </w:tr>
      <w:tr>
        <w:trPr>
          <w:trHeight w:val="230"/>
        </w:trPr>
        <w:tc>
          <w:tcPr>
            <w:tcW w:w="3420" w:type="dxa"/>
            <w:vAlign w:val="bottom"/>
          </w:tcPr>
          <w:p>
            <w:pPr>
              <w:spacing w:after="0"/>
              <w:rPr>
                <w:sz w:val="20"/>
                <w:szCs w:val="20"/>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rPr>
              <w:t>Company.</w:t>
            </w:r>
          </w:p>
        </w:tc>
      </w:tr>
      <w:tr>
        <w:trPr>
          <w:trHeight w:val="432"/>
        </w:trPr>
        <w:tc>
          <w:tcPr>
            <w:tcW w:w="34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Company</w:t>
            </w:r>
            <w:r>
              <w:rPr>
                <w:rFonts w:ascii="Arial" w:cs="Arial" w:eastAsia="Arial" w:hAnsi="Arial"/>
                <w:sz w:val="18"/>
                <w:szCs w:val="18"/>
                <w:color w:val="auto"/>
              </w:rPr>
              <w:t>”</w:t>
            </w:r>
          </w:p>
        </w:tc>
        <w:tc>
          <w:tcPr>
            <w:tcW w:w="7820" w:type="dxa"/>
            <w:vAlign w:val="bottom"/>
          </w:tcPr>
          <w:p>
            <w:pPr>
              <w:ind w:left="900"/>
              <w:spacing w:after="0"/>
              <w:rPr>
                <w:sz w:val="20"/>
                <w:szCs w:val="20"/>
                <w:color w:val="auto"/>
              </w:rPr>
            </w:pPr>
            <w:r>
              <w:rPr>
                <w:rFonts w:ascii="Arial" w:cs="Arial" w:eastAsia="Arial" w:hAnsi="Arial"/>
                <w:sz w:val="18"/>
                <w:szCs w:val="18"/>
                <w:color w:val="auto"/>
              </w:rPr>
              <w:t>means the above named company.</w:t>
            </w:r>
          </w:p>
        </w:tc>
      </w:tr>
      <w:tr>
        <w:trPr>
          <w:trHeight w:val="432"/>
        </w:trPr>
        <w:tc>
          <w:tcPr>
            <w:tcW w:w="34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Directors</w:t>
            </w:r>
            <w:r>
              <w:rPr>
                <w:rFonts w:ascii="Arial" w:cs="Arial" w:eastAsia="Arial" w:hAnsi="Arial"/>
                <w:sz w:val="18"/>
                <w:szCs w:val="18"/>
                <w:color w:val="auto"/>
              </w:rPr>
              <w:t>”</w:t>
            </w:r>
          </w:p>
        </w:tc>
        <w:tc>
          <w:tcPr>
            <w:tcW w:w="7820" w:type="dxa"/>
            <w:vAlign w:val="bottom"/>
          </w:tcPr>
          <w:p>
            <w:pPr>
              <w:ind w:left="900"/>
              <w:spacing w:after="0"/>
              <w:rPr>
                <w:sz w:val="20"/>
                <w:szCs w:val="20"/>
                <w:color w:val="auto"/>
              </w:rPr>
            </w:pPr>
            <w:r>
              <w:rPr>
                <w:rFonts w:ascii="Arial" w:cs="Arial" w:eastAsia="Arial" w:hAnsi="Arial"/>
                <w:sz w:val="18"/>
                <w:szCs w:val="18"/>
                <w:color w:val="auto"/>
              </w:rPr>
              <w:t>means the directors for the time being of the Company.</w:t>
            </w:r>
          </w:p>
        </w:tc>
      </w:tr>
      <w:tr>
        <w:trPr>
          <w:trHeight w:val="418"/>
        </w:trPr>
        <w:tc>
          <w:tcPr>
            <w:tcW w:w="3420" w:type="dxa"/>
            <w:vAlign w:val="bottom"/>
          </w:tcPr>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Dividend</w:t>
            </w:r>
            <w:r>
              <w:rPr>
                <w:rFonts w:ascii="Arial" w:cs="Arial" w:eastAsia="Arial" w:hAnsi="Arial"/>
                <w:sz w:val="18"/>
                <w:szCs w:val="18"/>
                <w:color w:val="auto"/>
              </w:rPr>
              <w:t>”</w:t>
            </w:r>
          </w:p>
        </w:tc>
        <w:tc>
          <w:tcPr>
            <w:tcW w:w="7820" w:type="dxa"/>
            <w:vAlign w:val="bottom"/>
          </w:tcPr>
          <w:p>
            <w:pPr>
              <w:ind w:left="900"/>
              <w:spacing w:after="0"/>
              <w:rPr>
                <w:sz w:val="20"/>
                <w:szCs w:val="20"/>
                <w:color w:val="auto"/>
              </w:rPr>
            </w:pPr>
            <w:r>
              <w:rPr>
                <w:rFonts w:ascii="Arial" w:cs="Arial" w:eastAsia="Arial" w:hAnsi="Arial"/>
                <w:sz w:val="18"/>
                <w:szCs w:val="18"/>
                <w:color w:val="auto"/>
                <w:w w:val="94"/>
              </w:rPr>
              <w:t>means any dividend (whether interim or final) resolved to be paid on Shares pursuant to the</w:t>
            </w:r>
          </w:p>
        </w:tc>
      </w:tr>
      <w:tr>
        <w:trPr>
          <w:trHeight w:val="230"/>
        </w:trPr>
        <w:tc>
          <w:tcPr>
            <w:tcW w:w="3420" w:type="dxa"/>
            <w:vAlign w:val="bottom"/>
          </w:tcPr>
          <w:p>
            <w:pPr>
              <w:spacing w:after="0"/>
              <w:rPr>
                <w:sz w:val="20"/>
                <w:szCs w:val="20"/>
                <w:color w:val="auto"/>
              </w:rPr>
            </w:pPr>
          </w:p>
        </w:tc>
        <w:tc>
          <w:tcPr>
            <w:tcW w:w="7820" w:type="dxa"/>
            <w:vAlign w:val="bottom"/>
          </w:tcPr>
          <w:p>
            <w:pPr>
              <w:ind w:left="900"/>
              <w:spacing w:after="0"/>
              <w:rPr>
                <w:sz w:val="20"/>
                <w:szCs w:val="20"/>
                <w:color w:val="auto"/>
              </w:rPr>
            </w:pPr>
            <w:r>
              <w:rPr>
                <w:rFonts w:ascii="Arial" w:cs="Arial" w:eastAsia="Arial" w:hAnsi="Arial"/>
                <w:sz w:val="18"/>
                <w:szCs w:val="18"/>
                <w:color w:val="auto"/>
              </w:rPr>
              <w:t>Articles.</w:t>
            </w:r>
          </w:p>
        </w:tc>
      </w:tr>
      <w:tr>
        <w:trPr>
          <w:trHeight w:val="418"/>
        </w:trPr>
        <w:tc>
          <w:tcPr>
            <w:tcW w:w="3420" w:type="dxa"/>
            <w:vAlign w:val="bottom"/>
          </w:tcPr>
          <w:p>
            <w:pPr>
              <w:spacing w:after="0"/>
              <w:rPr>
                <w:sz w:val="24"/>
                <w:szCs w:val="24"/>
                <w:color w:val="auto"/>
              </w:rPr>
            </w:pPr>
          </w:p>
        </w:tc>
        <w:tc>
          <w:tcPr>
            <w:tcW w:w="7820" w:type="dxa"/>
            <w:vAlign w:val="bottom"/>
          </w:tcPr>
          <w:p>
            <w:pPr>
              <w:jc w:val="right"/>
              <w:spacing w:after="0"/>
              <w:rPr>
                <w:sz w:val="20"/>
                <w:szCs w:val="20"/>
                <w:color w:val="auto"/>
              </w:rPr>
            </w:pPr>
            <w:r>
              <w:rPr>
                <w:rFonts w:ascii="Arial" w:cs="Arial" w:eastAsia="Arial" w:hAnsi="Arial"/>
                <w:sz w:val="18"/>
                <w:szCs w:val="18"/>
                <w:i w:val="1"/>
                <w:iCs w:val="1"/>
                <w:color w:val="auto"/>
              </w:rPr>
              <w:t>Auth Code: C03087683553</w:t>
            </w:r>
          </w:p>
        </w:tc>
      </w:tr>
      <w:tr>
        <w:trPr>
          <w:trHeight w:val="230"/>
        </w:trPr>
        <w:tc>
          <w:tcPr>
            <w:tcW w:w="3420" w:type="dxa"/>
            <w:vAlign w:val="bottom"/>
          </w:tcPr>
          <w:p>
            <w:pPr>
              <w:spacing w:after="0"/>
              <w:rPr>
                <w:sz w:val="20"/>
                <w:szCs w:val="20"/>
                <w:color w:val="auto"/>
              </w:rPr>
            </w:pPr>
          </w:p>
        </w:tc>
        <w:tc>
          <w:tcPr>
            <w:tcW w:w="7820" w:type="dxa"/>
            <w:vAlign w:val="bottom"/>
          </w:tcPr>
          <w:p>
            <w:pPr>
              <w:jc w:val="right"/>
              <w:spacing w:after="0"/>
              <w:rPr>
                <w:sz w:val="20"/>
                <w:szCs w:val="20"/>
                <w:color w:val="auto"/>
              </w:rPr>
            </w:pPr>
            <w:r>
              <w:rPr>
                <w:rFonts w:ascii="Arial" w:cs="Arial" w:eastAsia="Arial" w:hAnsi="Arial"/>
                <w:sz w:val="18"/>
                <w:szCs w:val="18"/>
                <w:i w:val="1"/>
                <w:iCs w:val="1"/>
                <w:color w:val="auto"/>
              </w:rPr>
              <w:t>www.verify.gov.ky</w:t>
            </w:r>
          </w:p>
        </w:tc>
      </w:tr>
      <w:tr>
        <w:trPr>
          <w:trHeight w:val="466"/>
        </w:trPr>
        <w:tc>
          <w:tcPr>
            <w:tcW w:w="3420" w:type="dxa"/>
            <w:vAlign w:val="bottom"/>
            <w:tcBorders>
              <w:bottom w:val="single" w:sz="8" w:color="auto"/>
            </w:tcBorders>
          </w:tcPr>
          <w:p>
            <w:pPr>
              <w:spacing w:after="0"/>
              <w:rPr>
                <w:sz w:val="24"/>
                <w:szCs w:val="24"/>
                <w:color w:val="auto"/>
              </w:rPr>
            </w:pPr>
          </w:p>
        </w:tc>
        <w:tc>
          <w:tcPr>
            <w:tcW w:w="7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440" w:right="339" w:bottom="1440" w:gutter="0" w:footer="0" w:header="0"/>
        </w:sectPr>
      </w:pPr>
    </w:p>
    <w:bookmarkStart w:id="175" w:name="page176"/>
    <w:bookmarkEnd w:id="17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Record</w:t>
      </w:r>
      <w:r>
        <w:rPr>
          <w:rFonts w:ascii="Arial" w:cs="Arial" w:eastAsia="Arial" w:hAnsi="Arial"/>
          <w:sz w:val="18"/>
          <w:szCs w:val="18"/>
          <w:color w:val="auto"/>
        </w:rPr>
        <w:t>”</w:t>
      </w:r>
    </w:p>
    <w:p>
      <w:pPr>
        <w:spacing w:after="0" w:line="225" w:lineRule="exact"/>
        <w:rPr>
          <w:sz w:val="20"/>
          <w:szCs w:val="20"/>
          <w:color w:val="auto"/>
        </w:rPr>
      </w:pPr>
    </w:p>
    <w:p>
      <w:pPr>
        <w:ind w:right="580"/>
        <w:spacing w:after="0" w:line="50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Electronic Transactions Law</w:t>
      </w:r>
      <w:r>
        <w:rPr>
          <w:rFonts w:ascii="Arial" w:cs="Arial" w:eastAsia="Arial" w:hAnsi="Arial"/>
          <w:sz w:val="18"/>
          <w:szCs w:val="18"/>
          <w:color w:val="auto"/>
        </w:rPr>
        <w:t>” “</w:t>
      </w:r>
      <w:r>
        <w:rPr>
          <w:rFonts w:ascii="Arial" w:cs="Arial" w:eastAsia="Arial" w:hAnsi="Arial"/>
          <w:sz w:val="18"/>
          <w:szCs w:val="18"/>
          <w:b w:val="1"/>
          <w:bCs w:val="1"/>
          <w:color w:val="auto"/>
        </w:rPr>
        <w:t>IPO</w:t>
      </w:r>
      <w:r>
        <w:rPr>
          <w:rFonts w:ascii="Arial" w:cs="Arial" w:eastAsia="Arial" w:hAnsi="Arial"/>
          <w:sz w:val="18"/>
          <w:szCs w:val="18"/>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Member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Memorandum</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Ordinary Resolution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Preference Share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 of Members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Office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Seal</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Special Resolution</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Statute</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Subscriber</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Treasury Share</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Fund</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has the same meaning as in the Electronic Transactions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2842260</wp:posOffset>
            </wp:positionH>
            <wp:positionV relativeFrom="paragraph">
              <wp:posOffset>-2385060</wp:posOffset>
            </wp:positionV>
            <wp:extent cx="1551305" cy="198882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means the Electronic Transactions Law (2003 Revision) of the Cayman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Company’s initial public offering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has the same meaning as in the Statute.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memorandum of association of the Company.</w:t>
      </w:r>
    </w:p>
    <w:p>
      <w:pPr>
        <w:spacing w:after="0" w:line="225" w:lineRule="exact"/>
        <w:rPr>
          <w:sz w:val="20"/>
          <w:szCs w:val="20"/>
          <w:color w:val="auto"/>
        </w:rPr>
      </w:pPr>
    </w:p>
    <w:p>
      <w:pPr>
        <w:jc w:val="both"/>
        <w:ind w:right="160"/>
        <w:spacing w:after="0" w:line="301" w:lineRule="auto"/>
        <w:rPr>
          <w:sz w:val="20"/>
          <w:szCs w:val="20"/>
          <w:color w:val="auto"/>
        </w:rPr>
      </w:pPr>
      <w:r>
        <w:rPr>
          <w:rFonts w:ascii="Arial" w:cs="Arial" w:eastAsia="Arial" w:hAnsi="Arial"/>
          <w:sz w:val="16"/>
          <w:szCs w:val="16"/>
          <w:color w:val="auto"/>
        </w:rPr>
        <w:t>means a resolution passed by a simple majority of the Members as, being entitled to do so, vote in person or, where proxies are allowed, by proxy at a general meeting, and includes a unanimous written resolution. In computing the majority when a poll is demanded regard shall be had to the number of votes to which each Member is entitled by the Articles.</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means a preference share of a par value of US$0.0001 in the share capital of the Company.</w:t>
      </w:r>
    </w:p>
    <w:p>
      <w:pPr>
        <w:spacing w:after="0" w:line="237" w:lineRule="exact"/>
        <w:rPr>
          <w:sz w:val="20"/>
          <w:szCs w:val="20"/>
          <w:color w:val="auto"/>
        </w:rPr>
      </w:pPr>
    </w:p>
    <w:p>
      <w:pPr>
        <w:jc w:val="both"/>
        <w:ind w:right="140"/>
        <w:spacing w:after="0" w:line="308" w:lineRule="auto"/>
        <w:rPr>
          <w:sz w:val="20"/>
          <w:szCs w:val="20"/>
          <w:color w:val="auto"/>
        </w:rPr>
      </w:pPr>
      <w:r>
        <w:rPr>
          <w:rFonts w:ascii="Arial" w:cs="Arial" w:eastAsia="Arial" w:hAnsi="Arial"/>
          <w:sz w:val="17"/>
          <w:szCs w:val="17"/>
          <w:color w:val="auto"/>
        </w:rPr>
        <w:t>means the register of Members maintained in accordance with the Statute and includes (except where otherwise stated) any branch or duplicate register of Members.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means the registered office for the time being of the Company.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common seal of the Company and includes every duplicate seal.</w:t>
      </w:r>
    </w:p>
    <w:p>
      <w:pPr>
        <w:spacing w:after="0" w:line="225"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means a Class A Share, a Class B Share or a Preference Share in the Company and includes a fraction of a share in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has the same meaning as in the Statute, and includes a unanimous written resolution.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Companies Law (2018 Revision) of the Cayman Islands.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means the subscriber to the Memorandum.</w:t>
      </w:r>
    </w:p>
    <w:p>
      <w:pPr>
        <w:spacing w:after="0" w:line="225"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means a Share held in the name of the Company as a treasury share in accordance with the Statute.</w:t>
      </w:r>
    </w:p>
    <w:p>
      <w:pPr>
        <w:spacing w:after="0" w:line="17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means the trust account established by the Company upon the consummation of its IPO and into which a certain amount of the net proceeds of the IPO, together with the proceeds of the private placement of the warrants simultaneously with the closing date of the IPO, will be deposited.</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ind w:left="12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-2737485</wp:posOffset>
            </wp:positionH>
            <wp:positionV relativeFrom="paragraph">
              <wp:posOffset>6985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2940" w:space="720"/>
            <w:col w:w="6920"/>
          </w:cols>
          <w:pgMar w:left="980" w:top="1440" w:right="339" w:bottom="1440" w:gutter="0" w:footer="0" w:header="0"/>
        </w:sectPr>
      </w:pPr>
    </w:p>
    <w:bookmarkStart w:id="176" w:name="page177"/>
    <w:bookmarkEnd w:id="17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7"/>
          <w:szCs w:val="17"/>
          <w:color w:val="auto"/>
        </w:rPr>
        <w:t>In the Articles:</w:t>
      </w:r>
    </w:p>
    <w:p>
      <w:pPr>
        <w:spacing w:after="0" w:line="225" w:lineRule="exact"/>
        <w:rPr>
          <w:sz w:val="20"/>
          <w:szCs w:val="20"/>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words importing the singular number include the plural number and vice versa;</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words importing the masculine gender include the feminine gender;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words importing persons include corporations as well as any other legal or natural person;</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“written” and “in writing” include all modes of representing or reproducing words in visible form, including in the form of an Electronic Record;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“shall” shall be construed as imperative and “may” shall be construed as permissive;</w:t>
      </w:r>
    </w:p>
    <w:p>
      <w:pPr>
        <w:spacing w:after="0" w:line="225"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references to provisions of any law or regulation shall be construed as references to those provisions as amended, modified, re-enacted or replaced;</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phrase introduced by the terms “including”, “include”, “in particular” or any similar expression shall be construed as illustrative and shall not limit the sense of the words preceding those terms;</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term “and/or” is used herein to mean both “and” as well as “or.” The use of “and/or” in certain contexts in no respects qualifies or modifies the use of the terms “and” or “or” in others. The term “or” shall not be interpreted to be exclusive and the term “and” shall not be interpreted to require the conjunctive (in each case, unless the context otherwise requires);</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headings are inserted for reference only and shall be ignored in construing the Articles;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requirements as to delivery under the Articles include delivery in the form of an Electronic Record;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any requirements as to execution or signature under the Articles including the execution of the Articles themselves can be satisfied in the form of an electronic signature as defined in the Electronic Transactions Law;</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sections 8 and 19(3) of the Electronic Transactions Law shall not apply;</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300" w:right="20" w:hanging="644"/>
        <w:spacing w:after="0" w:line="277"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term “clear days” in relation to the period of a notice means that period excluding the day when the notice is received or deemed to be received and the day for which it is given or on which it is to take effect; and</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term “holder” in relation to a Share means a person whose name is entered in the Register of Members as the holder of such Share.</w:t>
      </w:r>
    </w:p>
    <w:p>
      <w:pPr>
        <w:spacing w:after="0" w:line="244" w:lineRule="exact"/>
        <w:rPr>
          <w:sz w:val="20"/>
          <w:szCs w:val="20"/>
          <w:color w:val="auto"/>
        </w:rPr>
      </w:pPr>
    </w:p>
    <w:p>
      <w:pPr>
        <w:ind w:left="660" w:hanging="652"/>
        <w:spacing w:after="0"/>
        <w:tabs>
          <w:tab w:leader="none" w:pos="660"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business of the Company may be commenced as soon after incorporation of the Company as the Directors shall see fit.</w:t>
      </w:r>
    </w:p>
    <w:p>
      <w:pPr>
        <w:spacing w:after="0" w:line="22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66" w:lineRule="exact"/>
        <w:rPr>
          <w:sz w:val="20"/>
          <w:szCs w:val="20"/>
          <w:color w:val="auto"/>
        </w:rPr>
      </w:pPr>
    </w:p>
    <w:p>
      <w:pPr>
        <w:ind w:left="660" w:hanging="652"/>
        <w:spacing w:after="0"/>
        <w:tabs>
          <w:tab w:leader="none" w:pos="660" w:val="left"/>
        </w:tabs>
        <w:numPr>
          <w:ilvl w:val="0"/>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Issue of Shares</w:t>
      </w:r>
    </w:p>
    <w:p>
      <w:pPr>
        <w:spacing w:after="0" w:line="229"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Subject to the provisions, if any, in the Memorandum (and to any direction that may be given by the Company in general meeting) and without prejudice to any rights attached to any existing Shares, the Directors may allot, issue, grant options over or otherwise dispose of Shares (including fractions of a Share) with or without preferred, deferred or other rights or restrictions, whether in regard to Dividend or other distribution, voting, return of capital or otherwise and to such persons, at such times and on such other terms as they think proper, and may also (subject to the Statute and the Articles) vary such rights, save that the Directors shall not allot, issue, grant options over or otherwise dispose of Shares (including fractions of a Share) to the extent that it may affect the ability of the Company to carry out a Class B Share Conversion described at Article 17.</w:t>
      </w:r>
    </w:p>
    <w:p>
      <w:pPr>
        <w:spacing w:after="0" w:line="16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Notwithstanding the foregoing, the Subscriber shall have the power to:</w:t>
      </w:r>
    </w:p>
    <w:p>
      <w:pPr>
        <w:spacing w:after="0" w:line="225" w:lineRule="exact"/>
        <w:rPr>
          <w:sz w:val="20"/>
          <w:szCs w:val="20"/>
          <w:color w:val="auto"/>
        </w:rPr>
      </w:pPr>
    </w:p>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issue one Share to itself;</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transfer that Share by an instrument of transfer to any person;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update the Register of Members in respect of the issue and transfer of that Share.</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3.3</w:t>
      </w:r>
      <w:r>
        <w:rPr>
          <w:rFonts w:ascii="Arial" w:cs="Arial" w:eastAsia="Arial" w:hAnsi="Arial"/>
          <w:sz w:val="15"/>
          <w:szCs w:val="15"/>
          <w:color w:val="auto"/>
        </w:rPr>
        <w:t>The Company shall not issue Shares to bearer.</w:t>
      </w:r>
    </w:p>
    <w:p>
      <w:pPr>
        <w:spacing w:after="0" w:line="221" w:lineRule="exact"/>
        <w:rPr>
          <w:sz w:val="20"/>
          <w:szCs w:val="20"/>
          <w:color w:val="auto"/>
        </w:rPr>
      </w:pPr>
    </w:p>
    <w:p>
      <w:pPr>
        <w:ind w:left="660" w:hanging="652"/>
        <w:spacing w:after="0"/>
        <w:tabs>
          <w:tab w:leader="none" w:pos="660"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shall maintain or cause to be maintained the Register of Members in accordance with the Statute.</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Statute. The Directors may also determine which register of Members shall constitute the principal register and which shall constitute the branch register or registers, and to vary such determination from time to time.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8" w:name="page179"/>
    <w:bookmarkEnd w:id="17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hanging="652"/>
        <w:spacing w:after="0"/>
        <w:tabs>
          <w:tab w:leader="none" w:pos="660" w:val="left"/>
        </w:tabs>
        <w:numPr>
          <w:ilvl w:val="0"/>
          <w:numId w:val="109"/>
        </w:numPr>
        <w:rPr>
          <w:rFonts w:ascii="Arial" w:cs="Arial" w:eastAsia="Arial" w:hAnsi="Arial"/>
          <w:sz w:val="18"/>
          <w:szCs w:val="18"/>
          <w:b w:val="1"/>
          <w:bCs w:val="1"/>
          <w:color w:val="auto"/>
        </w:rPr>
      </w:pPr>
      <w:r>
        <w:rPr>
          <w:rFonts w:ascii="Arial" w:cs="Arial" w:eastAsia="Arial" w:hAnsi="Arial"/>
          <w:sz w:val="18"/>
          <w:szCs w:val="18"/>
          <w:b w:val="1"/>
          <w:bCs w:val="1"/>
          <w:color w:val="auto"/>
        </w:rPr>
        <w:t>Closing Register of Members or Fixing Record Date</w:t>
      </w:r>
    </w:p>
    <w:p>
      <w:pPr>
        <w:spacing w:after="0" w:line="229"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For the purpose of determining Members entitled to notice of, or to vote at any meeting of Members or any adjournment thereof, or Members entitled to receive payment of any Dividend or other distribution, or in order to make a determination of Members for any other purpose, the Directors may provide that the Register of Members shall be closed for transfers for a stated period which shall not in any case exceed forty days.</w:t>
      </w:r>
    </w:p>
    <w:p>
      <w:pPr>
        <w:spacing w:after="0" w:line="14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8"/>
          <w:szCs w:val="18"/>
          <w:color w:val="auto"/>
        </w:rPr>
        <w:t>In lieu of, or apart from, closing the Register of Members, the Directors may fix in advance or arrears a date as the record date for any such determination of Members entitled to notice of, or to vote at any meeting of the Members or any adjournment thereof, or for the purpose of determining the Members entitled to receive payment of any Dividend or other distribution, or in order to make a determination of Members for any other purpose.</w:t>
      </w:r>
    </w:p>
    <w:p>
      <w:pPr>
        <w:spacing w:after="0" w:line="18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If the Register of Members is not so closed and no record date is fixed for the determination of Members entitled to notice of, or to vote at, a meeting of Members or Members entitled to receive payment of a Dividend or other distribution, the date on which notice of the meeting is sent or the date on which the resolution of the Directors resolving to pay such Dividend or other distribution is passed, as the case may be, shall be the record date for such determination of Members. When a determination of Members entitled to vote at any meeting of Members has been made as provided in this Article, such determination shall apply to any adjournment thereof.</w:t>
      </w:r>
    </w:p>
    <w:p>
      <w:pPr>
        <w:spacing w:after="0" w:line="184" w:lineRule="exact"/>
        <w:rPr>
          <w:sz w:val="20"/>
          <w:szCs w:val="20"/>
          <w:color w:val="auto"/>
        </w:rPr>
      </w:pPr>
    </w:p>
    <w:p>
      <w:pPr>
        <w:ind w:left="660" w:hanging="652"/>
        <w:spacing w:after="0"/>
        <w:tabs>
          <w:tab w:leader="none" w:pos="6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Certificates for Shares</w:t>
      </w:r>
    </w:p>
    <w:p>
      <w:pPr>
        <w:spacing w:after="0" w:line="229"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A Member shall only be entitled to a share certificate if the Directors resolve that share certificates shall be issued. Share certificates representing Shares, if any, shall be in such form as the Directors may determine. Share certificates shall be signed by one or more Directors or other person authorised by the Directors. The Directors may authorise certificates to be issued with the authorised signature(s) affixed by mechanical process. All certificates for Shares shall be consecutively numbered or otherwise identified and shall specify the Shares to which they relate. All certificates surrendered to the Company for transfer shall be cancelled and subject to the Articles no new certificate shall be issued until the former certificate representing a like number of relevant Shares shall have been surrendered and cancelled.</w:t>
      </w:r>
    </w:p>
    <w:p>
      <w:pPr>
        <w:spacing w:after="0" w:line="16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8"/>
          <w:szCs w:val="18"/>
          <w:color w:val="auto"/>
        </w:rPr>
        <w:t>The Company shall not be bound to issue more than one certificate for Shares held jointly by more than one person and delivery of a certificate to one joint holder shall be a sufficient delivery to all of them.</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8"/>
          <w:szCs w:val="18"/>
          <w:color w:val="auto"/>
        </w:rPr>
        <w:t>If a share certificate is defaced, worn out, lost or destroyed, it may be renewed on such terms (if any) as to evidence and indemnity and on the payment of such expenses reasonably incurred by the Company in investigating evidence, as the Directors may prescribe, and (in the case of defacement or wearing out) upon delivery of the old certificate.</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9" w:name="page180"/>
    <w:bookmarkEnd w:id="17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8"/>
          <w:szCs w:val="18"/>
          <w:color w:val="auto"/>
        </w:rPr>
        <w:t>Every share certificate sent in accordance with the Articles will be sent at the risk of the Member or other person entitled to the certificate. The Company will not be responsible for any share certificate lost or delayed in the course of delivery.</w:t>
      </w:r>
    </w:p>
    <w:p>
      <w:pPr>
        <w:spacing w:after="0" w:line="166" w:lineRule="exact"/>
        <w:rPr>
          <w:sz w:val="20"/>
          <w:szCs w:val="20"/>
          <w:color w:val="auto"/>
        </w:rPr>
      </w:pPr>
    </w:p>
    <w:p>
      <w:pPr>
        <w:ind w:left="660" w:hanging="652"/>
        <w:spacing w:after="0"/>
        <w:tabs>
          <w:tab w:leader="none" w:pos="66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8"/>
          <w:szCs w:val="18"/>
          <w:color w:val="auto"/>
        </w:rPr>
        <w:t>Subject to Article 3.1, Shares are transferable subject to the approval of the Directors by resolution who may, in their absolute discretion, decline to register any transfer of Shares without giving any reason. If the Directors refuse to register a transfer they shall notify the transferee within two months of such refusal.</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The instrument of transfer of any Share shall be in writing and shall be executed by or on behalf of the transferor (and if the Directors so require, signed by or on behalf of the transferee). The transferor shall be deemed to remain the holder of a Share until the name of the transferee is entered in the Register of Members.</w:t>
      </w:r>
    </w:p>
    <w:p>
      <w:pPr>
        <w:spacing w:after="0" w:line="180" w:lineRule="exact"/>
        <w:rPr>
          <w:sz w:val="20"/>
          <w:szCs w:val="20"/>
          <w:color w:val="auto"/>
        </w:rPr>
      </w:pPr>
    </w:p>
    <w:p>
      <w:pPr>
        <w:ind w:left="660" w:hanging="652"/>
        <w:spacing w:after="0"/>
        <w:tabs>
          <w:tab w:leader="none" w:pos="66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Redemption, Repurchase and Surrender of Shares</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Subject to the provisions of the Statute the Company may issue Shares that are to be redeemed or are liable to be redeemed at the option of the Member or the Company. The redemption of such Shares shall be effected in such manner and upon such other terms as the Company may, by Special Resolution, determine before the issue of the Shares.</w:t>
      </w:r>
    </w:p>
    <w:p>
      <w:pPr>
        <w:spacing w:after="0" w:line="184"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Subject to the provisions of the Statute, the Company may purchase its own Shares (including any redeemable Shares) in such manner and on such other terms as the Directors may agree with the relevant Member.</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The Company may make a payment in respect of the redemption or purchase of its own Shares in any manner permitted by the Statute, including out of capital.</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color w:val="auto"/>
        </w:rPr>
        <w:t>The Directors may accept the surrender for no consideration of any fully paid Share.</w:t>
      </w:r>
    </w:p>
    <w:p>
      <w:pPr>
        <w:spacing w:after="0" w:line="221" w:lineRule="exact"/>
        <w:rPr>
          <w:sz w:val="20"/>
          <w:szCs w:val="20"/>
          <w:color w:val="auto"/>
        </w:rPr>
      </w:pPr>
    </w:p>
    <w:p>
      <w:pPr>
        <w:ind w:left="660" w:hanging="652"/>
        <w:spacing w:after="0"/>
        <w:tabs>
          <w:tab w:leader="none" w:pos="6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Shares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The Directors may, prior to the purchase, redemption or surrender of any Share, determine that such Share shall be held as a Treasury Share.</w:t>
      </w:r>
    </w:p>
    <w:p>
      <w:pPr>
        <w:spacing w:after="0" w:line="22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The Directors may determine to cancel a Treasury Share or transfer a Treasury Share on such terms as they think proper (including, without limitation, for nil consideration).</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0" w:name="page181"/>
    <w:bookmarkEnd w:id="18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Variation of Rights of Shares</w:t>
      </w:r>
    </w:p>
    <w:p>
      <w:pPr>
        <w:spacing w:after="0" w:line="229"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7"/>
          <w:szCs w:val="17"/>
          <w:color w:val="auto"/>
        </w:rPr>
        <w:t xml:space="preserve">If at any time the share capital of the Company is divided into different classes of Shares, all or any of the rights attached to any class (unless otherwise provided by the terms of issue of the Shares of that class) may, whether or not the Company is being wound up, be varied without the consent of the holders of the issued Shares of that class where such variation is considered by the Directors not to have a material adverse effect upon such rights; otherwise, any such variation shall be made only with the consent in writing of the holders of not less than two thirds of the issued Shares of that class, or with the approval of a resolution passed by a majority of not less than two thirds of the votes cast at a separate meeting of the holders of the Shares of that class. For the avoidance of doubt, the Directors reserve the right, notwithstanding that any such variation may not have a material adverse effect, to obtain consent from the holders of Shares of the relevant class. To any such meeting all the provisions of the Articles relating to general meetings shall apply </w:t>
      </w:r>
      <w:r>
        <w:rPr>
          <w:rFonts w:ascii="Arial" w:cs="Arial" w:eastAsia="Arial" w:hAnsi="Arial"/>
          <w:sz w:val="17"/>
          <w:szCs w:val="17"/>
          <w:i w:val="1"/>
          <w:iCs w:val="1"/>
          <w:color w:val="auto"/>
        </w:rPr>
        <w:t>mutatis mutandis</w:t>
      </w:r>
      <w:r>
        <w:rPr>
          <w:rFonts w:ascii="Arial" w:cs="Arial" w:eastAsia="Arial" w:hAnsi="Arial"/>
          <w:sz w:val="17"/>
          <w:szCs w:val="17"/>
          <w:color w:val="auto"/>
        </w:rPr>
        <w:t>, except that the necessary quorum shall be one person holding or representing by proxy at least one third of the issued Shares of the class and that any holder of Shares of the class present in person or by proxy may demand a poll.</w:t>
      </w:r>
    </w:p>
    <w:p>
      <w:pPr>
        <w:spacing w:after="0" w:line="18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For the purposes of a separate class meeting, the Directors may treat two or more or all the classes of Shares as forming one class of Shares if the Directors consider that such class of Shares would be affected in the same way by the proposals under consideration, but in any other case shall treat them as separate classes of Shares.</w:t>
      </w:r>
    </w:p>
    <w:p>
      <w:pPr>
        <w:spacing w:after="0" w:line="184" w:lineRule="exact"/>
        <w:rPr>
          <w:sz w:val="20"/>
          <w:szCs w:val="20"/>
          <w:color w:val="auto"/>
        </w:rPr>
      </w:pPr>
    </w:p>
    <w:p>
      <w:pPr>
        <w:jc w:val="both"/>
        <w:ind w:left="660" w:right="20" w:hanging="647"/>
        <w:spacing w:after="0" w:line="342" w:lineRule="auto"/>
        <w:tabs>
          <w:tab w:leader="none" w:pos="6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The rights conferred upon the holders of the Shares of any class issued with preferred or other rights shall not, unless otherwise expressly provided by the terms of issue of the Shares of that class, be deemed to be varied by the creation or issue of further Shares ranking pari passu therewith.</w:t>
      </w:r>
    </w:p>
    <w:p>
      <w:pPr>
        <w:spacing w:after="0" w:line="120" w:lineRule="exact"/>
        <w:rPr>
          <w:sz w:val="20"/>
          <w:szCs w:val="20"/>
          <w:color w:val="auto"/>
        </w:rPr>
      </w:pPr>
    </w:p>
    <w:p>
      <w:pPr>
        <w:ind w:left="660" w:hanging="652"/>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Commission on Sale of Shares</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may, in so far as the Statute permits, pay a commission to any person in consideration of his subscribing or agreeing to subscribe (whether absolutely or conditionally) or procuring or agreeing to procure subscriptions (whether absolutely or conditionally) for any Shares. Such commissions may be satisfied by the payment of cash and/or the issue of fully or partly paid-up Shares. The Company may also on any issue of Shares pay such brokerage as may be lawful.</w:t>
      </w:r>
    </w:p>
    <w:p>
      <w:pPr>
        <w:spacing w:after="0" w:line="182" w:lineRule="exact"/>
        <w:rPr>
          <w:rFonts w:ascii="Arial" w:cs="Arial" w:eastAsia="Arial" w:hAnsi="Arial"/>
          <w:sz w:val="18"/>
          <w:szCs w:val="18"/>
          <w:b w:val="1"/>
          <w:bCs w:val="1"/>
          <w:color w:val="auto"/>
        </w:rPr>
      </w:pPr>
    </w:p>
    <w:p>
      <w:pPr>
        <w:ind w:left="660" w:hanging="652"/>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Non Recognition of Trusts</w:t>
      </w:r>
    </w:p>
    <w:p>
      <w:pPr>
        <w:spacing w:after="0" w:line="229" w:lineRule="exact"/>
        <w:rPr>
          <w:rFonts w:ascii="Arial" w:cs="Arial" w:eastAsia="Arial" w:hAnsi="Arial"/>
          <w:sz w:val="18"/>
          <w:szCs w:val="18"/>
          <w:b w:val="1"/>
          <w:bCs w:val="1"/>
          <w:color w:val="auto"/>
        </w:rPr>
      </w:pPr>
    </w:p>
    <w:p>
      <w:pPr>
        <w:jc w:val="both"/>
        <w:ind w:left="6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w:t>
      </w:r>
    </w:p>
    <w:p>
      <w:pPr>
        <w:spacing w:after="0" w:line="179" w:lineRule="exact"/>
        <w:rPr>
          <w:rFonts w:ascii="Arial" w:cs="Arial" w:eastAsia="Arial" w:hAnsi="Arial"/>
          <w:sz w:val="18"/>
          <w:szCs w:val="18"/>
          <w:b w:val="1"/>
          <w:bCs w:val="1"/>
          <w:color w:val="auto"/>
        </w:rPr>
      </w:pPr>
    </w:p>
    <w:p>
      <w:pPr>
        <w:ind w:left="660" w:hanging="652"/>
        <w:spacing w:after="0"/>
        <w:tabs>
          <w:tab w:leader="none" w:pos="66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Lien on Shares</w:t>
      </w:r>
    </w:p>
    <w:p>
      <w:pPr>
        <w:spacing w:after="0" w:line="229"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7"/>
          <w:szCs w:val="17"/>
          <w:color w:val="auto"/>
        </w:rPr>
        <w:t>The Company shall have a first and paramount lien on all Shares (whether fully paid-up or not) registered in the name of a Member (whether solely or jointly with others) for all debts, liabilities or engagements to or with the Company (whether presently payable or not) by such Member or his estate, either alone or jointly with any other person, whether a Member or not, but the Directors may at any time declare any Share to be wholly or in part exempt from the provisions of this Article. The registration of a transfer of any such Share shall operate as a waiver of the Company’s lien thereon. The Company’s lien on a Share shall also extend to any amount payable in respect of that Share.</w:t>
      </w:r>
    </w:p>
    <w:p>
      <w:pPr>
        <w:spacing w:after="0" w:line="17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1" w:name="page182"/>
    <w:bookmarkEnd w:id="18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Company may sell, in such manner as the Directors think fit, any Shares on which the Company has a lien, if a sum in respect of which the lien exists is presently payable, and is not paid within fourteen clear days after notice has been received or deemed to have been received by the holder of the Shares, or to the person entitled to it in consequence of the death or bankruptcy of the holder, demanding payment and stating that if the notice is not complied with the Shares may be sold.</w:t>
      </w:r>
    </w:p>
    <w:p>
      <w:pPr>
        <w:spacing w:after="0" w:line="18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8"/>
          <w:szCs w:val="18"/>
          <w:color w:val="auto"/>
        </w:rPr>
        <w:t>To give effect to any such sale the Directors may authorise any person to execute an instrument of transfer of the Shares sold to, or in accordance with the directions of, the purchaser. The purchaser or his nominee shall be registered as the holder of the Shares comprised in any such transfer, and he shall not be bound to see to the application of the purchase money, nor shall his title to the Shares be affected by any irregularity or invalidity in the sale or the exercise of the Company’s power of sale under the Articles.</w:t>
      </w:r>
    </w:p>
    <w:p>
      <w:pPr>
        <w:spacing w:after="0" w:line="18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The net proceeds of such sale after payment of costs, shall be applied in payment of such part of the amount in respect of which the lien exists as is presently payable and any balance shall (subject to a like lien for sums not presently payable as existed upon the Shares before the sale) be paid to the person entitled to the Shares at the date of the sale.</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8"/>
          <w:szCs w:val="18"/>
          <w:b w:val="1"/>
          <w:bCs w:val="1"/>
          <w:color w:val="auto"/>
        </w:rPr>
        <w:t>Call on Shares</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8"/>
          <w:szCs w:val="18"/>
          <w:color w:val="auto"/>
        </w:rPr>
        <w:t>Subject to the terms of the allotment and issue of any Shares, the Directors may make calls upon the Members in respect of any monies unpaid on their Shares (whether in respect of par value or premium), and each Member shall (subject to receiving at least fourteen clear days’ notice specifying the time or times of payment) pay to the Company at the time or times so specified the amount called on the Shares. A call may be revoked or postponed, in whole or in part, as the Directors may determine. A call may be required to be paid by instalments. A person upon whom a call is made shall remain liable for calls made upon him notwithstanding the subsequent transfer of the Shares in respect of which the call was made.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6"/>
          <w:szCs w:val="16"/>
          <w:color w:val="auto"/>
        </w:rPr>
        <w:t>A call shall be deemed to have been made at the time when the resolution of the Directors authorising such call was passed.</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6"/>
          <w:szCs w:val="16"/>
          <w:color w:val="auto"/>
        </w:rPr>
        <w:t>The joint holders of a Share shall be jointly and severally liable to pay all calls in respect thereof.</w:t>
      </w:r>
    </w:p>
    <w:p>
      <w:pPr>
        <w:spacing w:after="0" w:line="225"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6"/>
          <w:szCs w:val="16"/>
          <w:color w:val="auto"/>
        </w:rPr>
        <w:t>If a call remains unpaid after it has become due and payable, the person from whom it is due shall pay interest on the amount unpaid from the day it became due and payable until it is paid at such rate as the Directors may determine (and in addition all expenses that have been incurred by the Company by reason of such non-payment), but the Directors may waive payment of the interest or expenses wholly or in part.</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2" w:name="page183"/>
    <w:bookmarkEnd w:id="18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An amount payable in respect of a Share on issue or allotment or at any fixed date, whether on account of the par value of the Share or premium or otherwise, shall be deemed to be a call and if it is not paid all the provisions of the Articles shall apply as if that amount had become due and payable by virtue of a call.</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6"/>
          <w:szCs w:val="16"/>
          <w:color w:val="auto"/>
        </w:rPr>
        <w:t>The Directors may issue Shares with different terms as to the amount and times of payment of calls, or the interest to be paid.</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8"/>
          <w:szCs w:val="18"/>
          <w:color w:val="auto"/>
        </w:rPr>
        <w:t>The Directors may, if they think fit, receive an amount from any Member willing to advance all or any part of the monies uncalled and unpaid upon any Shares held by him, and may (until the amount would otherwise become payable) pay interest at such rate as may be agreed upon between the Directors and the Member paying such amount in advance.</w:t>
      </w:r>
    </w:p>
    <w:p>
      <w:pPr>
        <w:spacing w:after="0" w:line="184"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7"/>
          <w:szCs w:val="17"/>
          <w:color w:val="auto"/>
        </w:rPr>
        <w:t>No such amount paid in advance of calls shall entitle the Member paying such amount to any portion of a Dividend or other distribution payable in respect of any period prior to the date upon which such amount would, but for such payment, become payable.</w:t>
      </w:r>
    </w:p>
    <w:p>
      <w:pPr>
        <w:spacing w:after="0" w:line="14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8"/>
          <w:szCs w:val="18"/>
          <w:b w:val="1"/>
          <w:bCs w:val="1"/>
          <w:color w:val="auto"/>
        </w:rPr>
        <w:t>Forfeiture of Shares</w:t>
      </w:r>
    </w:p>
    <w:p>
      <w:pPr>
        <w:spacing w:after="0" w:line="229"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7"/>
          <w:szCs w:val="17"/>
          <w:color w:val="auto"/>
        </w:rPr>
        <w:t>If a call or instalment of a call remains unpaid after it has become due and payable the Directors may give to the person from whom it is due not less than fourteen clear days’ notice requiring payment of the amount unpaid together with any interest which may have accrued and any expenses incurred by the Company by reason of such non-payment. The notice shall specify where payment is to be made and shall state that if the notice is not complied with the Shares in respect of which the call was made will be liable to be forfeited.</w:t>
      </w:r>
    </w:p>
    <w:p>
      <w:pPr>
        <w:spacing w:after="0" w:line="17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8"/>
          <w:szCs w:val="18"/>
          <w:color w:val="auto"/>
        </w:rPr>
        <w:t>If the notice is not complied with, any Share in respect of which it was given may, before the payment required by the notice has been made, be forfeited by a resolution of the Directors. Such forfeiture shall include all Dividends, other distributions or other monies payable in respect of the forfeited Share and not paid before the forfeiture.</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8"/>
          <w:szCs w:val="18"/>
          <w:color w:val="auto"/>
        </w:rPr>
        <w:t>A forfeited Share may be sold, re-allotted or otherwise disposed of on such terms and in such manner as the Directors think fit and at any time before a sale, re-allotment or disposition the forfeiture may be cancelled on such terms as the Directors think fit. Where for the purposes of its disposal a forfeited Share is to be transferred to any person the Directors may authorise some person to execute an instrument of transfer of the Share in favour of that person.</w:t>
      </w:r>
    </w:p>
    <w:p>
      <w:pPr>
        <w:spacing w:after="0" w:line="187"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A person any of whose Shares have been forfeited shall cease to be a Member in respect of them and shall surrender to the Company for cancellation the certificate for the Shares forfeited and shall remain liable to pay to the Company all monies which at the date of forfeiture were payable by him to the Company in respect of those Shares together with interest at such rate as the Directors may determine, but his liability shall cease if and when the Company shall have received payment in full of all monies due and payable by him in respect of those Shares.</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3" w:name="page184"/>
    <w:bookmarkEnd w:id="18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A certificate in writing under the hand of one Director or officer of the Company that a Share has been forfeited on a specified date shall be conclusive evidence of the facts stated in it as against all persons claiming to be entitled to the Share. The certificate shall (subject to the execution of an instrument of transfer) constitute a good title to the Share and the person to whom the Share is sold or otherwise disposed of shall not be bound to see to the application of the purchase money, if any, nor shall his title to the Share be affected by any irregularity or invalidity in the proceedings in reference to the forfeiture, sale or disposal of the Share.</w:t>
      </w:r>
    </w:p>
    <w:p>
      <w:pPr>
        <w:spacing w:after="0" w:line="188"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8"/>
          <w:szCs w:val="18"/>
          <w:color w:val="auto"/>
        </w:rPr>
        <w:t>The provisions of the Articles as to forfeiture shall apply in the case of non payment of any sum which, by the terms of issue of a Share, becomes payable at a fixed time, whether on account of the par value of the Share or by way of premium as if it had been payable by virtue of a call duly made and notified.</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8"/>
          <w:szCs w:val="18"/>
          <w:b w:val="1"/>
          <w:bCs w:val="1"/>
          <w:color w:val="auto"/>
        </w:rPr>
        <w:t>Transmission of Shares</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16.1</w:t>
      </w:r>
      <w:r>
        <w:rPr>
          <w:sz w:val="20"/>
          <w:szCs w:val="20"/>
          <w:color w:val="auto"/>
        </w:rPr>
        <w:tab/>
      </w:r>
      <w:r>
        <w:rPr>
          <w:rFonts w:ascii="Arial" w:cs="Arial" w:eastAsia="Arial" w:hAnsi="Arial"/>
          <w:sz w:val="18"/>
          <w:szCs w:val="18"/>
          <w:color w:val="auto"/>
        </w:rPr>
        <w:t>If a Member dies the survivor or survivors (where he was a joint holder) or his legal personal representatives (where he was a sole holder), shall be the only persons recognised by the Company as having any title to his Shares. The estate of a deceased Member is not thereby released from any liability in respect of any Share, for which he was a joint or sole holder.</w:t>
      </w:r>
    </w:p>
    <w:p>
      <w:pPr>
        <w:spacing w:after="0" w:line="184"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16.2</w:t>
      </w:r>
      <w:r>
        <w:rPr>
          <w:sz w:val="20"/>
          <w:szCs w:val="20"/>
          <w:color w:val="auto"/>
        </w:rPr>
        <w:tab/>
      </w:r>
      <w:r>
        <w:rPr>
          <w:rFonts w:ascii="Arial" w:cs="Arial" w:eastAsia="Arial" w:hAnsi="Arial"/>
          <w:sz w:val="17"/>
          <w:szCs w:val="17"/>
          <w:color w:val="auto"/>
        </w:rPr>
        <w:t>Any person becoming entitled to a Share in consequence of the death or bankruptcy or liquidation or dissolution of a Member (or in any other way than by transfer) may, upon such evidence being produced as may be required by the Directors, elect, by a notice in writing sent by him to the Company, either to become the holder of such Share or to have some person nominated by him registered as the holder of such Share. If he elects to have another person registered as the holder of such Share he shall sign an instrument of transfer of that Share to that person. The Directors shall, in either case, have the same right to decline or suspend registration as they would have had in the case of a transfer of the Share by the relevant Member before his death or bankruptcy or liquidation or dissolution, as the case may be.</w:t>
      </w:r>
    </w:p>
    <w:p>
      <w:pPr>
        <w:spacing w:after="0" w:line="178" w:lineRule="exact"/>
        <w:rPr>
          <w:sz w:val="20"/>
          <w:szCs w:val="20"/>
          <w:color w:val="auto"/>
        </w:rPr>
      </w:pPr>
    </w:p>
    <w:p>
      <w:pPr>
        <w:jc w:val="both"/>
        <w:ind w:left="660" w:hanging="647"/>
        <w:spacing w:after="0" w:line="269" w:lineRule="auto"/>
        <w:tabs>
          <w:tab w:leader="none" w:pos="640" w:val="left"/>
        </w:tabs>
        <w:rPr>
          <w:sz w:val="20"/>
          <w:szCs w:val="20"/>
          <w:color w:val="auto"/>
        </w:rPr>
      </w:pPr>
      <w:r>
        <w:rPr>
          <w:rFonts w:ascii="Arial" w:cs="Arial" w:eastAsia="Arial" w:hAnsi="Arial"/>
          <w:sz w:val="18"/>
          <w:szCs w:val="18"/>
          <w:color w:val="auto"/>
        </w:rPr>
        <w:t>16.3</w:t>
      </w:r>
      <w:r>
        <w:rPr>
          <w:sz w:val="20"/>
          <w:szCs w:val="20"/>
          <w:color w:val="auto"/>
        </w:rPr>
        <w:tab/>
      </w:r>
      <w:r>
        <w:rPr>
          <w:rFonts w:ascii="Arial" w:cs="Arial" w:eastAsia="Arial" w:hAnsi="Arial"/>
          <w:sz w:val="17"/>
          <w:szCs w:val="17"/>
          <w:color w:val="auto"/>
        </w:rPr>
        <w:t>A person becoming entitled to a Share by reason of the death or bankruptcy or liquidation or dissolution of a Member (or in any other case than by transfer) shall be entitled to the same Dividends, other distributions and other advantages to which he would be entitled if he were the holder of such Share. However, he shall not, before becoming a Member in respect of a Share, be entitled in respect of it to exercise any right conferred by membership in relation to general meetings of the Company and the Directors may at any time give notice requiring any such person to elect either to be registered himself or to have some person nominated by him be registered as the holder of the Share (but the Directors shall, in either case, have the same right to decline or suspend registration as they would have had in the case of a transfer of the Share by the relevant Member before his death or bankruptcy or liquidation or dissolution or any other case than by transfer, as the case may be). If the notice is not complied with within ninety days of being received or deemed to be received (as determined pursuant to the Articles) the Directors may thereafter withhold payment of all Dividends, other distributions, bonuses or other monies payable in respect of the Share until the requirements of the notice have been complied with.</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4" w:name="page185"/>
    <w:bookmarkEnd w:id="18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17</w:t>
      </w:r>
      <w:r>
        <w:rPr>
          <w:sz w:val="20"/>
          <w:szCs w:val="20"/>
          <w:color w:val="auto"/>
        </w:rPr>
        <w:tab/>
      </w:r>
      <w:r>
        <w:rPr>
          <w:rFonts w:ascii="Arial" w:cs="Arial" w:eastAsia="Arial" w:hAnsi="Arial"/>
          <w:sz w:val="18"/>
          <w:szCs w:val="18"/>
          <w:b w:val="1"/>
          <w:bCs w:val="1"/>
          <w:color w:val="auto"/>
        </w:rPr>
        <w:t>Class B Share Conversion</w:t>
      </w:r>
    </w:p>
    <w:p>
      <w:pPr>
        <w:spacing w:after="0" w:line="225" w:lineRule="exact"/>
        <w:rPr>
          <w:sz w:val="20"/>
          <w:szCs w:val="20"/>
          <w:color w:val="auto"/>
        </w:rPr>
      </w:pPr>
    </w:p>
    <w:p>
      <w:pPr>
        <w:jc w:val="center"/>
        <w:ind w:right="20"/>
        <w:spacing w:after="0" w:line="312" w:lineRule="auto"/>
        <w:rPr>
          <w:sz w:val="20"/>
          <w:szCs w:val="20"/>
          <w:color w:val="auto"/>
        </w:rPr>
      </w:pPr>
      <w:r>
        <w:rPr>
          <w:rFonts w:ascii="Arial" w:cs="Arial" w:eastAsia="Arial" w:hAnsi="Arial"/>
          <w:sz w:val="17"/>
          <w:szCs w:val="17"/>
          <w:color w:val="auto"/>
        </w:rPr>
        <w:t>17.1    Class B Shares shall automatically convert into Class A Shares on a one-for-one basis (the “</w:t>
      </w:r>
      <w:r>
        <w:rPr>
          <w:rFonts w:ascii="Arial" w:cs="Arial" w:eastAsia="Arial" w:hAnsi="Arial"/>
          <w:sz w:val="17"/>
          <w:szCs w:val="17"/>
          <w:b w:val="1"/>
          <w:bCs w:val="1"/>
          <w:color w:val="auto"/>
        </w:rPr>
        <w:t>Initial Conversion Ratio</w:t>
      </w:r>
      <w:r>
        <w:rPr>
          <w:rFonts w:ascii="Arial" w:cs="Arial" w:eastAsia="Arial" w:hAnsi="Arial"/>
          <w:sz w:val="17"/>
          <w:szCs w:val="17"/>
          <w:color w:val="auto"/>
        </w:rPr>
        <w:t>”): (a) at any time and from time to time at the option of the holder thereof; and (b) automatically on a Business day following the closing of a Business Combination.</w:t>
      </w:r>
    </w:p>
    <w:p>
      <w:pPr>
        <w:spacing w:after="0" w:line="144"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7"/>
          <w:szCs w:val="17"/>
          <w:color w:val="auto"/>
        </w:rPr>
        <w:t>Notwithstanding the Initial Conversion Ratio, in the case that additional Class A Shares or any other equity linked securities, are issued or deemed issued in excess of the amounts offered in the IPO and related to the closing of a Business Combination, all Class B Shares in issue shall automatically convert into Class A Shares at the time of the closing of a Business Combination at a ratio for which the Class B Shares shall convert into Class A Shares will be adjusted (unless the holders of a majority of the Class B Shares in issue agree to waive such anti-dilution adjustment with respect to any such issuance or deemed issuance) so that the number of Class A Shares issuable upon conversion of all Class B Shares will equal, in the aggregate, 20% of the sum of all Class A Shares and Class B Shares in issue upon completion of the IPO plus all Class A Shares and equity-linked securities issued or deemed issued in connection with a Business Combination, excluding any Shares or equity-linked securities issued, or to be issued, to any seller in a Business Combination.</w:t>
      </w:r>
    </w:p>
    <w:p>
      <w:pPr>
        <w:spacing w:after="0" w:line="178" w:lineRule="exact"/>
        <w:rPr>
          <w:sz w:val="20"/>
          <w:szCs w:val="20"/>
          <w:color w:val="auto"/>
        </w:rPr>
      </w:pPr>
    </w:p>
    <w:p>
      <w:pPr>
        <w:jc w:val="both"/>
        <w:ind w:left="660"/>
        <w:spacing w:after="0" w:line="311" w:lineRule="auto"/>
        <w:rPr>
          <w:sz w:val="20"/>
          <w:szCs w:val="20"/>
          <w:color w:val="auto"/>
        </w:rPr>
      </w:pPr>
      <w:r>
        <w:rPr>
          <w:rFonts w:ascii="Arial" w:cs="Arial" w:eastAsia="Arial" w:hAnsi="Arial"/>
          <w:sz w:val="16"/>
          <w:szCs w:val="16"/>
          <w:color w:val="auto"/>
        </w:rPr>
        <w:t>Notwithstanding anything to the contrary contained herein, the foregoing adjustment to the Initial Conversion Ratio may be waived as to any particular issuance or deemed issuance of additional Class A Shares or equity-linked securities by the written consent or agreement of holders of a majority of the Class B Shares then in issue consenting or agreeing separately as a separate class in the manner provided in Article 10.</w:t>
      </w:r>
    </w:p>
    <w:p>
      <w:pPr>
        <w:spacing w:after="0" w:line="14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The foregoing conversion ratio shall also be adjusted to account for any subdivision (by share split, subdivision, exchange, capitalisation, rights issue, reclassification, recapitalisation or otherwise) or combination (by reverse share split, share consolidation, exchange, reclassification, recapitalisation or otherwise) or similar reclassification or recapitalisation of the Class A Shares in issue into a greater or lesser number of shares occurring after the original filing of the Articles without a proportionate and corresponding subdivision, combination or similar reclassification or recapitalisation of the Class B Shares in issue.</w:t>
      </w:r>
    </w:p>
    <w:p>
      <w:pPr>
        <w:spacing w:after="0" w:line="188"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6"/>
          <w:szCs w:val="16"/>
          <w:color w:val="auto"/>
        </w:rPr>
        <w:t>Each Class B Share shall convert into its pro rata number of Class A Shares pursuant to this Article 17.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Class B Shares in issue shall be converted pursuant to this Article and the denominator of which shall be the total number of Class B Shares in issue at the time of conversion.</w:t>
      </w:r>
    </w:p>
    <w:p>
      <w:pPr>
        <w:spacing w:after="0" w:line="153" w:lineRule="exact"/>
        <w:rPr>
          <w:sz w:val="20"/>
          <w:szCs w:val="20"/>
          <w:color w:val="auto"/>
        </w:rPr>
      </w:pPr>
    </w:p>
    <w:p>
      <w:pPr>
        <w:jc w:val="both"/>
        <w:ind w:left="660" w:hanging="647"/>
        <w:spacing w:after="0" w:line="298" w:lineRule="auto"/>
        <w:tabs>
          <w:tab w:leader="none" w:pos="64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References in this Article 17 to “</w:t>
      </w:r>
      <w:r>
        <w:rPr>
          <w:rFonts w:ascii="Arial" w:cs="Arial" w:eastAsia="Arial" w:hAnsi="Arial"/>
          <w:sz w:val="16"/>
          <w:szCs w:val="16"/>
          <w:b w:val="1"/>
          <w:bCs w:val="1"/>
          <w:color w:val="auto"/>
        </w:rPr>
        <w:t>converted</w:t>
      </w:r>
      <w:r>
        <w:rPr>
          <w:rFonts w:ascii="Arial" w:cs="Arial" w:eastAsia="Arial" w:hAnsi="Arial"/>
          <w:sz w:val="16"/>
          <w:szCs w:val="16"/>
          <w:color w:val="auto"/>
        </w:rPr>
        <w:t>”, “</w:t>
      </w:r>
      <w:r>
        <w:rPr>
          <w:rFonts w:ascii="Arial" w:cs="Arial" w:eastAsia="Arial" w:hAnsi="Arial"/>
          <w:sz w:val="16"/>
          <w:szCs w:val="16"/>
          <w:b w:val="1"/>
          <w:bCs w:val="1"/>
          <w:color w:val="auto"/>
        </w:rPr>
        <w:t>conversion</w:t>
      </w:r>
      <w:r>
        <w:rPr>
          <w:rFonts w:ascii="Arial" w:cs="Arial" w:eastAsia="Arial" w:hAnsi="Arial"/>
          <w:sz w:val="16"/>
          <w:szCs w:val="16"/>
          <w:color w:val="auto"/>
        </w:rPr>
        <w:t>” or “</w:t>
      </w:r>
      <w:r>
        <w:rPr>
          <w:rFonts w:ascii="Arial" w:cs="Arial" w:eastAsia="Arial" w:hAnsi="Arial"/>
          <w:sz w:val="16"/>
          <w:szCs w:val="16"/>
          <w:b w:val="1"/>
          <w:bCs w:val="1"/>
          <w:color w:val="auto"/>
        </w:rPr>
        <w:t>exchange</w:t>
      </w:r>
      <w:r>
        <w:rPr>
          <w:rFonts w:ascii="Arial" w:cs="Arial" w:eastAsia="Arial" w:hAnsi="Arial"/>
          <w:sz w:val="16"/>
          <w:szCs w:val="16"/>
          <w:color w:val="auto"/>
        </w:rPr>
        <w:t>”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5" w:name="page186"/>
    <w:bookmarkEnd w:id="18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Notwithstanding anything to the contrary in this Article 17, in no event may any Class B Share convert into Class A Shares at a ratio that is less than one-for-one.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8"/>
          <w:szCs w:val="18"/>
          <w:b w:val="1"/>
          <w:bCs w:val="1"/>
          <w:color w:val="auto"/>
        </w:rPr>
        <w:t>Amendments of Memorandum and Articles of Association and Alteration of Capital</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6"/>
          <w:szCs w:val="16"/>
          <w:color w:val="auto"/>
        </w:rPr>
        <w:t>The Company may by Ordinary Resolution:</w:t>
      </w:r>
    </w:p>
    <w:p>
      <w:pPr>
        <w:spacing w:after="0" w:line="225" w:lineRule="exact"/>
        <w:rPr>
          <w:sz w:val="20"/>
          <w:szCs w:val="20"/>
          <w:color w:val="auto"/>
        </w:rPr>
      </w:pPr>
    </w:p>
    <w:p>
      <w:pPr>
        <w:ind w:left="1300" w:right="20" w:hanging="644"/>
        <w:spacing w:after="0" w:line="277"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increase its share capital by such sum as the Ordinary Resolution shall prescribe and with such rights, priorities and privileges annexed thereto, as the Company in general meeting may determine;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convert all or any of its paid-up Shares into stock, and reconvert that stock into paid-up Shares of any denomination;</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by subdivision of its existing Shares or any of them divide the whole or any part of its share capital into Shares of smaller amount than is fixed by the Memorandum or into Shares without par value; and</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cancel any Shares that at the date of the passing of the Ordinary Resolution have not been taken or agreed to be taken by any person and diminish the amount of its share capital by the amount of the Shares so cancelled.</w:t>
      </w:r>
    </w:p>
    <w:p>
      <w:pPr>
        <w:spacing w:after="0" w:line="170" w:lineRule="exact"/>
        <w:rPr>
          <w:sz w:val="20"/>
          <w:szCs w:val="20"/>
          <w:color w:val="auto"/>
        </w:rPr>
      </w:pPr>
    </w:p>
    <w:p>
      <w:pPr>
        <w:ind w:left="660" w:hanging="647"/>
        <w:spacing w:after="0" w:line="308" w:lineRule="auto"/>
        <w:tabs>
          <w:tab w:leader="none" w:pos="64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All new Shares created in accordance with the provisions of the preceding Article shall be subject to the same provisions of the Articles with reference to the payment of calls, liens, transfer, transmission, forfeiture and otherwise as the Shares in the original share capital.</w:t>
      </w:r>
    </w:p>
    <w:p>
      <w:pPr>
        <w:spacing w:after="0" w:line="14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7"/>
          <w:szCs w:val="17"/>
          <w:color w:val="auto"/>
        </w:rPr>
        <w:t>Subject to the provisions of the Statute and the provisions of the Articles as regards the matters to be dealt with by Ordinary Resolution,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may by Special Resolution:</w:t>
      </w:r>
    </w:p>
    <w:p>
      <w:pPr>
        <w:spacing w:after="0" w:line="211" w:lineRule="exact"/>
        <w:rPr>
          <w:sz w:val="20"/>
          <w:szCs w:val="20"/>
          <w:color w:val="auto"/>
        </w:rPr>
      </w:pPr>
    </w:p>
    <w:p>
      <w:pPr>
        <w:ind w:left="1300" w:hanging="64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change its name;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alter or add to the Articles;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alter or add to the Memorandum with respect to any objects, powers or other matters specified therein;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reduce its share capital or any capital redemption reserve fund.</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6" w:name="page187"/>
    <w:bookmarkEnd w:id="18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Offices and Places of Business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Subject to the provisions of the Statute, the Company may by resolution of the Directors change the location of its Registered Office. The Company may, in addition to its Registered Office, maintain such other offices or places of business as the Directors determine.</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117"/>
        </w:numPr>
        <w:rPr>
          <w:rFonts w:ascii="Arial" w:cs="Arial" w:eastAsia="Arial" w:hAnsi="Arial"/>
          <w:sz w:val="18"/>
          <w:szCs w:val="18"/>
          <w:b w:val="1"/>
          <w:bCs w:val="1"/>
          <w:color w:val="auto"/>
        </w:rPr>
      </w:pPr>
      <w:r>
        <w:rPr>
          <w:rFonts w:ascii="Arial" w:cs="Arial" w:eastAsia="Arial" w:hAnsi="Arial"/>
          <w:sz w:val="18"/>
          <w:szCs w:val="18"/>
          <w:b w:val="1"/>
          <w:bCs w:val="1"/>
          <w:color w:val="auto"/>
        </w:rPr>
        <w:t>General Meetings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6"/>
          <w:szCs w:val="16"/>
          <w:color w:val="auto"/>
        </w:rPr>
        <w:t>All general meetings other than annual general meetings shall be called extraordinary general meetings.</w:t>
      </w:r>
    </w:p>
    <w:p>
      <w:pPr>
        <w:spacing w:after="0" w:line="225"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7"/>
          <w:szCs w:val="17"/>
          <w:color w:val="auto"/>
        </w:rPr>
        <w:t>The Company may, but shall not (unless required by the Statute) be obliged to, in each year hold a general meeting as its annual general meeting, and shall specify the meeting as such in the notices calling it. Any annual general meeting shall be held at such time and place as the Directors shall appoint and if no other time and place is prescribed by them, it shall be held at the Registered Office on the second Wednesday in December of each year at ten o’clock in the morning. At these meetings the report of the Directors (if any) shall be presented.</w:t>
      </w:r>
    </w:p>
    <w:p>
      <w:pPr>
        <w:spacing w:after="0" w:line="171"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The Directors may call general meetings, and they shall on a Members’ requisition forthwith proceed to convene an extraordinary general meeting of the Company.</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20.4</w:t>
      </w:r>
      <w:r>
        <w:rPr>
          <w:sz w:val="20"/>
          <w:szCs w:val="20"/>
          <w:color w:val="auto"/>
        </w:rPr>
        <w:tab/>
      </w:r>
      <w:r>
        <w:rPr>
          <w:rFonts w:ascii="Arial" w:cs="Arial" w:eastAsia="Arial" w:hAnsi="Arial"/>
          <w:sz w:val="18"/>
          <w:szCs w:val="18"/>
          <w:color w:val="auto"/>
        </w:rPr>
        <w:t>A Members’ requisition is a requisition of Members holding at the date of deposit of the requisition not less than ten per cent. in par value of the issued Shares which as at that date carry the right to vote at general meetings of the Company.</w:t>
      </w:r>
    </w:p>
    <w:p>
      <w:pPr>
        <w:spacing w:after="0" w:line="170"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8"/>
          <w:szCs w:val="18"/>
          <w:color w:val="auto"/>
        </w:rPr>
        <w:t>The Members’ requisition must state the objects of the meeting and must be signed by the requisitionists and deposited at the Registered Office, and may consist of several documents in like form each signed by one or more requisitionists.</w:t>
      </w:r>
    </w:p>
    <w:p>
      <w:pPr>
        <w:spacing w:after="0" w:line="170"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6"/>
          <w:szCs w:val="16"/>
          <w:color w:val="auto"/>
        </w:rPr>
        <w:t>If there are no Directors as at the date of the deposit of the Members’ requisition or if the Directors do not within twenty-one days from the date of the deposit of the Members’ requisition duly proceed to convene a general meeting to be held within a further twenty-one days, the requisitionists, or any of them representing more than one-half of the total voting rights of all of the requisitionists, may themselves convene a general meeting, but any meeting so convened shall be held no later than the day which falls three months after the expiration of the said twenty-one day period.</w:t>
      </w:r>
    </w:p>
    <w:p>
      <w:pPr>
        <w:spacing w:after="0" w:line="157"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8"/>
          <w:szCs w:val="18"/>
          <w:color w:val="auto"/>
        </w:rPr>
        <w:t>A general meeting convened as aforesaid by requisitionists shall be convened in the same manner as nearly as possible as that in which general meetings are to be convened by Directors.</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7" w:name="page188"/>
    <w:bookmarkEnd w:id="18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8"/>
          <w:szCs w:val="18"/>
          <w:b w:val="1"/>
          <w:bCs w:val="1"/>
          <w:color w:val="auto"/>
        </w:rPr>
        <w:t>Notice of General Meetings</w:t>
      </w:r>
    </w:p>
    <w:p>
      <w:pPr>
        <w:spacing w:after="0" w:line="229"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At least five clear days’ notice shall be given of any general meeting. Every notice shall specify the place, the day and the hour of the meeting and the general nature of the business to be conducted at the general meeting and shall be given in the manner hereinafter mentioned or in such other manner if any as may be prescribed by the Company,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88" w:lineRule="exact"/>
        <w:rPr>
          <w:sz w:val="20"/>
          <w:szCs w:val="20"/>
          <w:color w:val="auto"/>
        </w:rPr>
      </w:pPr>
    </w:p>
    <w:p>
      <w:pPr>
        <w:ind w:left="1300" w:hanging="644"/>
        <w:spacing w:after="0"/>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a majority in number of the Members having a right to attend and vote at the meeting, together holding not less than ninety five per cent. in par value of the Shares giving that right.</w:t>
      </w:r>
    </w:p>
    <w:p>
      <w:pPr>
        <w:spacing w:after="0" w:line="17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The accidental omission to give notice of a general meeting to, or the non receipt of notice of a general meeting by, any person entitled to receive such notice shall not invalidate the proceedings of that general meeting.</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8"/>
          <w:szCs w:val="18"/>
          <w:b w:val="1"/>
          <w:bCs w:val="1"/>
          <w:color w:val="auto"/>
        </w:rPr>
        <w:t>Proceedings at General Meetings</w:t>
      </w:r>
    </w:p>
    <w:p>
      <w:pPr>
        <w:spacing w:after="0" w:line="229"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7"/>
          <w:szCs w:val="17"/>
          <w:color w:val="auto"/>
        </w:rPr>
        <w:t>No business shall be transacted at any general meeting unless a quorum is present. Two Members being individuals present in person or by proxy or if a corporation or other non-natural person by its duly authorised representative or proxy shall be a quorum unless the Company has only one Member entitled to vote at such general meeting in which case the quorum shall be that one Member present in person or by proxy or (in the case of a corporation or other non-natural person) by its duly authorised representative or proxy.</w:t>
      </w:r>
    </w:p>
    <w:p>
      <w:pPr>
        <w:spacing w:after="0" w:line="17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A person may participate at a general meeting by conference telephone or other communications equipment by means of which all the persons participating in the meeting can communicate with each other. Participation by a person in a general meeting in this manner is treated as presence in person at that meeting.</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A resolution (including a Special Resolution) in writing (in one or more counterparts) signed by or on behalf of all of the Members for the time being entitled to receive notice of and to attend and vote at general meetings (or, being corporations or other non-natural persons, signed by their duly authorised representatives) shall be as valid and effective as if the resolution had been passed at a general meeting of the Company duly convened and held.</w:t>
      </w:r>
    </w:p>
    <w:p>
      <w:pPr>
        <w:spacing w:after="0" w:line="18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8"/>
          <w:szCs w:val="18"/>
          <w:color w:val="auto"/>
        </w:rPr>
        <w:t>If a quorum is not present within half an hour from the time appointed for the meeting to commence or if during such a meeting a quorum ceases to be present, the meeting, if convened upon a Members’ requisition, shall be dissolved and in any other case it shall stand adjourned to the same day in the next week at the same time and/or place or to such other day, time and/or place as the Directors may determine, and if at the adjourned meeting a quorum is not present within half an hour from the time appointed for the meeting to commence, the Members present shall be a quorum.</w:t>
      </w:r>
    </w:p>
    <w:p>
      <w:pPr>
        <w:spacing w:after="0" w:line="188"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The Directors may, at any time prior to the time appointed for the meeting to commence, appoint any person to act as chairman of a general meeting of the Company or, if the Directors do not make any such appointment, the chairman, if any, of the board of Directors shall preside as chairman at such general meeting. If there is no such chairman, or if he shall not be present within fifteen minutes after the time appointed for the meeting to commence, or is unwilling to act, the Directors present shall elect one of their number to be chairman of the meeting.</w:t>
      </w:r>
    </w:p>
    <w:p>
      <w:pPr>
        <w:spacing w:after="0" w:line="15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8" w:name="page189"/>
    <w:bookmarkEnd w:id="18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If no Director is willing to act as chairman or if no Director is present within fifteen minutes after the time appointed for the meeting to commence, the Members present shall choose one of their number to be chairman of the meeting.</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The chairman may, with the consent of a meeting at which a quorum is present (and shall if so directed by the meeting) adjourn the meeting from time to time and from place to place, but no business shall be transacted at any adjourned meeting other than the business left unfinished at the meeting from which the adjournment took place.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22.8</w:t>
      </w:r>
      <w:r>
        <w:rPr>
          <w:sz w:val="20"/>
          <w:szCs w:val="20"/>
          <w:color w:val="auto"/>
        </w:rPr>
        <w:tab/>
      </w:r>
      <w:r>
        <w:rPr>
          <w:rFonts w:ascii="Arial" w:cs="Arial" w:eastAsia="Arial" w:hAnsi="Arial"/>
          <w:sz w:val="16"/>
          <w:szCs w:val="16"/>
          <w:color w:val="auto"/>
        </w:rPr>
        <w:t>When a general meeting is adjourned for thirty days or more, notice of the adjourned meeting shall be given as in the case of an original meeting.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Otherwise it shall not be necessary to give any such notice of an adjourned meeting.</w:t>
      </w:r>
    </w:p>
    <w:p>
      <w:pPr>
        <w:spacing w:after="0" w:line="211"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8"/>
          <w:szCs w:val="18"/>
          <w:color w:val="auto"/>
        </w:rPr>
        <w:t>A resolution put to the vote of the meeting shall be decided on a show of hands unless before, or on the declaration of the result of, the show of hands, the chairman demands a poll, or any other Member or Members collectively present in person or by proxy (or in the case of a corporation or other non-natural person, by its duly authorised representative or proxy) and holding at least ten per cent. in par value of the Shares giving a right to attend and vote at the meeting demand a poll.</w:t>
      </w:r>
    </w:p>
    <w:p>
      <w:pPr>
        <w:spacing w:after="0" w:line="18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22.10</w:t>
        <w:tab/>
        <w:t>Unless a poll is duly demanded and the demand is not withdrawn a declaration by the chairman that a resolution has been carried or carried unanimously, or by a particular majority, or lost or not carried by a particular majority, an entry to that effect in the minutes of the proceedings of the meeting shall be conclusive evidence of that fact without proof of the number or proportion of the votes recorded in favour of or against such resolution.</w:t>
      </w:r>
    </w:p>
    <w:p>
      <w:pPr>
        <w:spacing w:after="0" w:line="18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22.11</w:t>
      </w:r>
      <w:r>
        <w:rPr>
          <w:sz w:val="20"/>
          <w:szCs w:val="20"/>
          <w:color w:val="auto"/>
        </w:rPr>
        <w:tab/>
      </w:r>
      <w:r>
        <w:rPr>
          <w:rFonts w:ascii="Arial" w:cs="Arial" w:eastAsia="Arial" w:hAnsi="Arial"/>
          <w:sz w:val="16"/>
          <w:szCs w:val="16"/>
          <w:color w:val="auto"/>
        </w:rPr>
        <w:t>The demand for a poll may be withdrawn.</w:t>
      </w:r>
    </w:p>
    <w:p>
      <w:pPr>
        <w:spacing w:after="0" w:line="225"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22.12</w:t>
        <w:tab/>
        <w:t>Except on a poll demanded on the election of a chairman or on a question of adjournment, a poll shall be taken as the chairman directs, and the result of the poll shall be deemed to be the resolution of the general meeting at which the poll was demanded.</w:t>
      </w:r>
    </w:p>
    <w:p>
      <w:pPr>
        <w:spacing w:after="0" w:line="17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22.13</w:t>
        <w:tab/>
        <w:t>A poll demanded on the election of a chairman or on a question of adjournment shall be taken forthwith. A poll demanded on any other question shall be taken at such date, time and place as the chairman of the general meeting directs, and any business other than that upon which a poll has been demanded or is contingent thereon may proceed pending the taking of the poll.</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22.14</w:t>
      </w:r>
      <w:r>
        <w:rPr>
          <w:sz w:val="20"/>
          <w:szCs w:val="20"/>
          <w:color w:val="auto"/>
        </w:rPr>
        <w:tab/>
      </w:r>
      <w:r>
        <w:rPr>
          <w:rFonts w:ascii="Arial" w:cs="Arial" w:eastAsia="Arial" w:hAnsi="Arial"/>
          <w:sz w:val="16"/>
          <w:szCs w:val="16"/>
          <w:color w:val="auto"/>
        </w:rPr>
        <w:t>In the case of an equality of votes, whether on a show of hands or on a poll, the chairman shall be entitled to a second or casting vote.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8"/>
          <w:szCs w:val="18"/>
          <w:b w:val="1"/>
          <w:bCs w:val="1"/>
          <w:color w:val="auto"/>
        </w:rPr>
        <w:t>Votes of Members</w:t>
      </w:r>
    </w:p>
    <w:p>
      <w:pPr>
        <w:spacing w:after="0" w:line="22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7"/>
          <w:szCs w:val="17"/>
          <w:color w:val="auto"/>
        </w:rPr>
        <w:t>Subject to any rights or restrictions attached to any Shares, on a show of hands every Member who (being an individual) is present in person or by proxy or, if a corporation or other non-natural person is present by its duly authorised representative or by proxy, shall have one vote and on a poll every Member present in any such manner shall have one vote for every Share of which he is the holder.</w:t>
      </w:r>
    </w:p>
    <w:p>
      <w:pPr>
        <w:spacing w:after="0" w:line="165"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7"/>
          <w:szCs w:val="17"/>
          <w:color w:val="auto"/>
        </w:rPr>
        <w:t>In the case of joint holders the vote of the senior holder who tenders a vote, whether in person or by proxy (or, in the case of a corporation or other non-natural person, by its duly authorised representative or proxy), shall be accepted to the exclusion of the votes of the other joint holders, and seniority shall be determined by the order in which the names of the holders stand in the Register of Members.</w:t>
      </w:r>
    </w:p>
    <w:p>
      <w:pPr>
        <w:spacing w:after="0" w:line="16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23.3</w:t>
      </w:r>
      <w:r>
        <w:rPr>
          <w:sz w:val="20"/>
          <w:szCs w:val="20"/>
          <w:color w:val="auto"/>
        </w:rPr>
        <w:tab/>
      </w:r>
      <w:r>
        <w:rPr>
          <w:rFonts w:ascii="Arial" w:cs="Arial" w:eastAsia="Arial" w:hAnsi="Arial"/>
          <w:sz w:val="18"/>
          <w:szCs w:val="18"/>
          <w:color w:val="auto"/>
        </w:rPr>
        <w:t>A Member of unsound mind, or in respect of whom an order has been made by any court, having jurisdiction in lunacy, may vote, whether on a show of hands or on a poll, by his committee, receiver, curator bonis, or other person on such Member’s behalf appointed by that court, and any such committee, receiver, curator bonis or other person may vote by proxy.</w:t>
      </w:r>
    </w:p>
    <w:p>
      <w:pPr>
        <w:spacing w:after="0" w:line="18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23.4</w:t>
      </w:r>
      <w:r>
        <w:rPr>
          <w:sz w:val="20"/>
          <w:szCs w:val="20"/>
          <w:color w:val="auto"/>
        </w:rPr>
        <w:tab/>
      </w:r>
      <w:r>
        <w:rPr>
          <w:rFonts w:ascii="Arial" w:cs="Arial" w:eastAsia="Arial" w:hAnsi="Arial"/>
          <w:sz w:val="18"/>
          <w:szCs w:val="18"/>
          <w:color w:val="auto"/>
        </w:rPr>
        <w:t>No person shall be entitled to vote at any general meeting unless he is registered as a Member on the record date for such meeting nor unless all calls or other monies then payable by him in respect of Shares have been paid.</w:t>
      </w:r>
    </w:p>
    <w:p>
      <w:pPr>
        <w:spacing w:after="0" w:line="170" w:lineRule="exact"/>
        <w:rPr>
          <w:sz w:val="20"/>
          <w:szCs w:val="20"/>
          <w:color w:val="auto"/>
        </w:rPr>
      </w:pPr>
    </w:p>
    <w:p>
      <w:pPr>
        <w:jc w:val="both"/>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8"/>
          <w:szCs w:val="18"/>
          <w:color w:val="auto"/>
        </w:rPr>
        <w:t>No objection shall be raised as to the qualification of any voter except at the general meeting or adjourned general meeting at which the vote objected to is given or tendered and every vote not disallowed at the meeting shall be valid. Any objection made in due time in accordance with this Article shall be referred to the chairman whose decision shall be final and conclusive.</w:t>
      </w:r>
    </w:p>
    <w:p>
      <w:pPr>
        <w:spacing w:after="0" w:line="184"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23.6</w:t>
      </w:r>
      <w:r>
        <w:rPr>
          <w:sz w:val="20"/>
          <w:szCs w:val="20"/>
          <w:color w:val="auto"/>
        </w:rPr>
        <w:tab/>
      </w:r>
      <w:r>
        <w:rPr>
          <w:rFonts w:ascii="Arial" w:cs="Arial" w:eastAsia="Arial" w:hAnsi="Arial"/>
          <w:sz w:val="16"/>
          <w:szCs w:val="16"/>
          <w:color w:val="auto"/>
        </w:rPr>
        <w:t>On a poll or on a show of hands votes may be cast either personally or by proxy (or in the case of a corporation or other non-natural person by its duly authorised representative or proxy). A Member may appoint more than one proxy or the same proxy under one or more instruments to attend and vote at a meeting. Where a Member appoints more than one proxy the instrument of proxy shall state which proxy is entitled to vote on a show of hands and shall specify the number of Shares in respect of which each proxy is entitled to exercise the related votes.</w:t>
      </w:r>
    </w:p>
    <w:p>
      <w:pPr>
        <w:spacing w:after="0" w:line="15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8"/>
          <w:szCs w:val="18"/>
          <w:color w:val="auto"/>
        </w:rPr>
        <w:t>On a poll, a Member holding more than one Share need not cast the votes in respect of his Shares in the same way on any resolution and therefore may vote a Share or some or all such Shares either for or against a resolution and/or abstain from voting a Share or some or all of the Shares and, subject to the terms of the instrument appointing him, a proxy appointed under one or more instruments may vote a Share or some or all of the Shares in respect of which he is appointed either for or against a resolution and/or abstain from voting a Share or some or all of the Shares in respect of which he is appointed.</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8"/>
          <w:szCs w:val="18"/>
          <w:b w:val="1"/>
          <w:bCs w:val="1"/>
          <w:color w:val="auto"/>
        </w:rPr>
        <w:t>Proxies</w:t>
      </w:r>
    </w:p>
    <w:p>
      <w:pPr>
        <w:spacing w:after="0" w:line="229"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The instrument appointing a proxy shall be in writing and shall be executed under the hand of the appointor or of his attorney duly authorised in writing, or, if the appointor is a corporation or other non natural person, under the hand of its duly authorised representative. A proxy need not be a Member.</w:t>
      </w:r>
    </w:p>
    <w:p>
      <w:pPr>
        <w:spacing w:after="0" w:line="184" w:lineRule="exact"/>
        <w:rPr>
          <w:sz w:val="20"/>
          <w:szCs w:val="20"/>
          <w:color w:val="auto"/>
        </w:rPr>
      </w:pPr>
    </w:p>
    <w:p>
      <w:pPr>
        <w:jc w:val="both"/>
        <w:ind w:left="660" w:hanging="647"/>
        <w:spacing w:after="0" w:line="293" w:lineRule="auto"/>
        <w:tabs>
          <w:tab w:leader="none" w:pos="64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6"/>
          <w:szCs w:val="16"/>
          <w:color w:val="auto"/>
        </w:rPr>
        <w:t>The Directors may, in the notice convening any meeting or adjourned meeting, or in an instrument of proxy sent out by the Company, specify the manner by which the instrument appointing a proxy shall be deposited and the place and the time (being not later than the time appointed for the commencement of the meeting or adjourned meeting to which the proxy relates) at which the instrument appointing a proxy shall be deposited. In the absence of any such direction from the Directors in the notice convening any meeting or adjourned meeting or in an instrument of proxy sent out by the Company, the instrument appointing a proxy shall be deposited physically at the Registered Office not less than 48 hours before the time appointed for the meeting or adjourned meeting to commence at which the person named in the instrument proposes to vote.</w:t>
      </w:r>
    </w:p>
    <w:p>
      <w:pPr>
        <w:spacing w:after="0" w:line="16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The chairman may in any event at his discretion declare that an instrument of proxy shall be deemed to have been duly deposited. An instrument of proxy that is not deposited in the manner permitted, or which has not been declared to have been duly deposited by the chairman, shall be invalid.</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The instrument appointing a proxy may be in any usual or common form (or such other form as the Directors may approve) and may be expressed to be for a particular meeting or any adjournment thereof or generally until revoked. An instrument appointing a proxy shall be deemed to include the power to demand or join or concur in demanding a poll.</w:t>
      </w:r>
    </w:p>
    <w:p>
      <w:pPr>
        <w:spacing w:after="0" w:line="184"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8"/>
          <w:szCs w:val="18"/>
          <w:color w:val="auto"/>
        </w:rPr>
        <w:t>Votes given in accordance with the terms of an instrument of proxy shall be valid notwithstanding the previous death or insanity of the principal or revocation of the proxy or of the authority under which the proxy was executed, or the transfer of the Share in respect of which the proxy is given unless notice in writing of such death, insanity, revocation or transfer was received by the Company at the Registered Office before the commencement of the general meeting, or adjourned meeting at which it is sought to use the proxy.</w:t>
      </w:r>
    </w:p>
    <w:p>
      <w:pPr>
        <w:spacing w:after="0" w:line="183" w:lineRule="exact"/>
        <w:rPr>
          <w:sz w:val="20"/>
          <w:szCs w:val="20"/>
          <w:color w:val="auto"/>
        </w:rPr>
      </w:pPr>
    </w:p>
    <w:p>
      <w:pPr>
        <w:ind w:left="660" w:hanging="652"/>
        <w:spacing w:after="0"/>
        <w:tabs>
          <w:tab w:leader="none" w:pos="6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t>Corporate Members</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Any corporation or other non-natural person which is a Member may in accordance with its constitutional documents, or in the absence of such provision by resolution of its directors or other governing body, authorise such person as it thinks fit to act as its representative at any meeting of the Company or of any class of Members, and the person so authorised shall be entitled to exercise the same powers on behalf of the corporation which he represents as the corporation could exercise if it were an individual Member.</w:t>
      </w:r>
    </w:p>
    <w:p>
      <w:pPr>
        <w:spacing w:after="0" w:line="18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1" w:name="page192"/>
    <w:bookmarkEnd w:id="19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Shares that May Not be Voted</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Shares in the Company that are beneficially owned by the Company shall not be voted, directly or indirectly, at any meeting and shall not be counted in determining the total number of outstanding Shares at any given time.</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Directors</w:t>
      </w:r>
    </w:p>
    <w:p>
      <w:pPr>
        <w:spacing w:after="0" w:line="229" w:lineRule="exact"/>
        <w:rPr>
          <w:rFonts w:ascii="Arial" w:cs="Arial" w:eastAsia="Arial" w:hAnsi="Arial"/>
          <w:sz w:val="18"/>
          <w:szCs w:val="18"/>
          <w:b w:val="1"/>
          <w:bCs w:val="1"/>
          <w:color w:val="auto"/>
        </w:rPr>
      </w:pPr>
    </w:p>
    <w:p>
      <w:pPr>
        <w:jc w:val="both"/>
        <w:ind w:left="660" w:right="2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There shall be a board of Directors consisting of not less than one person (exclusive of alternate Directors) provided however that the Company may by Ordinary Resolution increase or reduce the limits in the number of Directors. The first Directors of the Company shall be determined in writing by, or appointed by a resolution of, the Subscriber.</w:t>
      </w:r>
    </w:p>
    <w:p>
      <w:pPr>
        <w:spacing w:after="0" w:line="179" w:lineRule="exact"/>
        <w:rPr>
          <w:rFonts w:ascii="Arial" w:cs="Arial" w:eastAsia="Arial" w:hAnsi="Arial"/>
          <w:sz w:val="18"/>
          <w:szCs w:val="18"/>
          <w:b w:val="1"/>
          <w:bCs w:val="1"/>
          <w:color w:val="auto"/>
        </w:rPr>
      </w:pPr>
    </w:p>
    <w:p>
      <w:pPr>
        <w:ind w:left="660" w:hanging="652"/>
        <w:spacing w:after="0"/>
        <w:tabs>
          <w:tab w:leader="none" w:pos="66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Directors</w:t>
      </w:r>
    </w:p>
    <w:p>
      <w:pPr>
        <w:spacing w:after="0" w:line="229" w:lineRule="exact"/>
        <w:rPr>
          <w:sz w:val="20"/>
          <w:szCs w:val="20"/>
          <w:color w:val="auto"/>
        </w:rPr>
      </w:pPr>
    </w:p>
    <w:p>
      <w:pPr>
        <w:jc w:val="both"/>
        <w:ind w:left="660" w:hanging="647"/>
        <w:spacing w:after="0" w:line="301" w:lineRule="auto"/>
        <w:tabs>
          <w:tab w:leader="none" w:pos="640" w:val="left"/>
        </w:tabs>
        <w:rPr>
          <w:sz w:val="20"/>
          <w:szCs w:val="20"/>
          <w:color w:val="auto"/>
        </w:rPr>
      </w:pPr>
      <w:r>
        <w:rPr>
          <w:rFonts w:ascii="Arial" w:cs="Arial" w:eastAsia="Arial" w:hAnsi="Arial"/>
          <w:sz w:val="18"/>
          <w:szCs w:val="18"/>
          <w:color w:val="auto"/>
        </w:rPr>
        <w:t>28.1</w:t>
      </w:r>
      <w:r>
        <w:rPr>
          <w:sz w:val="20"/>
          <w:szCs w:val="20"/>
          <w:color w:val="auto"/>
        </w:rPr>
        <w:tab/>
      </w:r>
      <w:r>
        <w:rPr>
          <w:rFonts w:ascii="Arial" w:cs="Arial" w:eastAsia="Arial" w:hAnsi="Arial"/>
          <w:sz w:val="16"/>
          <w:szCs w:val="16"/>
          <w:color w:val="auto"/>
        </w:rPr>
        <w:t>Subject to the provisions of the Statute, the Memorandum and the Articles and to any directions given by Special Resolution, the business of the Company shall be managed by the Directors who may exercise all the powers of the Company. No alteration of the Memorandum or Articles and no such direction shall invalidate any prior act of the Directors which would have been valid if that alteration had not been made or that direction had not been given. A duly convened meeting of Directors at which a quorum is present may exercise all powers exercisable by the Directors.</w:t>
      </w:r>
    </w:p>
    <w:p>
      <w:pPr>
        <w:spacing w:after="0" w:line="15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All cheques, promissory notes, drafts, bills of exchange and other negotiable or transferable instruments and all receipts for monies paid to the Company shall be signed, drawn, accepted, endorsed or otherwise executed as the case may be in such manner as the Directors shall determine by resolution.</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The Directors on behalf of the Company may pay a gratuity or pension or allowance on retirement to any Director who has held any other salaried office or place of profit with the Company or to his widow or dependants and may make contributions to any fund and pay premiums for the purchase or provision of any such gratuity, pension or allowance.</w:t>
      </w:r>
    </w:p>
    <w:p>
      <w:pPr>
        <w:spacing w:after="0" w:line="18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28.4</w:t>
      </w:r>
      <w:r>
        <w:rPr>
          <w:sz w:val="20"/>
          <w:szCs w:val="20"/>
          <w:color w:val="auto"/>
        </w:rPr>
        <w:tab/>
      </w:r>
      <w:r>
        <w:rPr>
          <w:rFonts w:ascii="Arial" w:cs="Arial" w:eastAsia="Arial" w:hAnsi="Arial"/>
          <w:sz w:val="18"/>
          <w:szCs w:val="18"/>
          <w:color w:val="auto"/>
        </w:rPr>
        <w:t>The Directors may exercise all the powers of the Company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the Company or of any third party.</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Appointment and Removal of Directors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6"/>
          <w:szCs w:val="16"/>
          <w:color w:val="auto"/>
        </w:rPr>
        <w:t>The Company may by Ordinary Resolution appoint any person to be a Director or may by Ordinary Resolution remove any Director.</w:t>
      </w:r>
    </w:p>
    <w:p>
      <w:pPr>
        <w:spacing w:after="0" w:line="225"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color w:val="auto"/>
        </w:rPr>
        <w:t>The Directors may appoint any person to be a Director, either to fill a vacancy or as an additional Director provided that the appointment does not cause the number of Directors to exceed any number fixed by or in accordance with the Articles as the maximum number of Directors.</w:t>
      </w:r>
    </w:p>
    <w:p>
      <w:pPr>
        <w:spacing w:after="0" w:line="12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Vacation of Office of Director</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office of a Director shall be vacated if:</w:t>
      </w:r>
    </w:p>
    <w:p>
      <w:pPr>
        <w:spacing w:after="0" w:line="225" w:lineRule="exact"/>
        <w:rPr>
          <w:rFonts w:ascii="Arial" w:cs="Arial" w:eastAsia="Arial" w:hAnsi="Arial"/>
          <w:sz w:val="18"/>
          <w:szCs w:val="18"/>
          <w:b w:val="1"/>
          <w:bCs w:val="1"/>
          <w:color w:val="auto"/>
        </w:rPr>
      </w:pPr>
    </w:p>
    <w:p>
      <w:pPr>
        <w:ind w:left="1300" w:hanging="644"/>
        <w:spacing w:after="0"/>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Director gives notice in writing to the Company that he resigns the office of Director; or</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Director absents himself (for the avoidance of doubt, without being represented by proxy or an alternate Director appointed by him) from three consecutive meetings of the board of Directors without special leave of absence from the Directors, and the Directors pass a resolution that he has by reason of such absence vacated office; or</w:t>
      </w:r>
    </w:p>
    <w:p>
      <w:pPr>
        <w:spacing w:after="0" w:line="183" w:lineRule="exact"/>
        <w:rPr>
          <w:rFonts w:ascii="Arial" w:cs="Arial" w:eastAsia="Arial" w:hAnsi="Arial"/>
          <w:sz w:val="18"/>
          <w:szCs w:val="18"/>
          <w:color w:val="auto"/>
        </w:rPr>
      </w:pPr>
    </w:p>
    <w:p>
      <w:pPr>
        <w:ind w:left="1300" w:hanging="644"/>
        <w:spacing w:after="0"/>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Director dies, becomes bankrupt or makes any arrangement or composition with his creditors generally;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Director is found to be or becomes of unsound mind; or</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179" w:lineRule="exact"/>
        <w:rPr>
          <w:rFonts w:ascii="Arial" w:cs="Arial" w:eastAsia="Arial" w:hAnsi="Arial"/>
          <w:sz w:val="18"/>
          <w:szCs w:val="18"/>
          <w:color w:val="auto"/>
        </w:rPr>
      </w:pPr>
    </w:p>
    <w:p>
      <w:pPr>
        <w:ind w:left="660" w:hanging="652"/>
        <w:spacing w:after="0"/>
        <w:tabs>
          <w:tab w:leader="none" w:pos="66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of Directors</w:t>
      </w:r>
    </w:p>
    <w:p>
      <w:pPr>
        <w:spacing w:after="0" w:line="229"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The quorum for the transaction of the business of the Directors may be fixed by the Directors, and unless so fixed shall be two if there are two or more Directors, and shall be one if there is only one Director. A person who holds office as an alternate Director shall, if his appointor is not present, be counted in the quorum. A Director who also acts as an alternate Director shall, if his appointor is not present, count twice towards the quorum.</w:t>
      </w:r>
    </w:p>
    <w:p>
      <w:pPr>
        <w:spacing w:after="0" w:line="187" w:lineRule="exact"/>
        <w:rPr>
          <w:sz w:val="20"/>
          <w:szCs w:val="20"/>
          <w:color w:val="auto"/>
        </w:rPr>
      </w:pPr>
    </w:p>
    <w:p>
      <w:pPr>
        <w:jc w:val="both"/>
        <w:ind w:left="660" w:hanging="647"/>
        <w:spacing w:after="0" w:line="311" w:lineRule="auto"/>
        <w:tabs>
          <w:tab w:leader="none" w:pos="6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Subject to the provisions of the Articles, the Directors may regulate their proceedings as they think fit. Questions arising at any meeting shall be decided by a majority of votes. In the case of an equality of votes, the chairman shall have a second or casting vote. A Director who is also an alternate Director shall be entitled in the absence of his appointor to a separate vote on behalf of his appointor in addition to his own vote.</w:t>
      </w:r>
    </w:p>
    <w:p>
      <w:pPr>
        <w:spacing w:after="0" w:line="149" w:lineRule="exact"/>
        <w:rPr>
          <w:sz w:val="20"/>
          <w:szCs w:val="20"/>
          <w:color w:val="auto"/>
        </w:rPr>
      </w:pPr>
    </w:p>
    <w:p>
      <w:pPr>
        <w:jc w:val="both"/>
        <w:ind w:left="660" w:hanging="647"/>
        <w:spacing w:after="0" w:line="279" w:lineRule="auto"/>
        <w:tabs>
          <w:tab w:leader="none" w:pos="64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A person may participate in a meeting of the Directors or any committee of Directors by conference telephone or other communications equipment by means of which all the persons participating in the meeting can communicate with each other at the same time. Participation by a person in a meeting in this manner is treated as presence in person at that meeting. Unless otherwise determined by the Directors the meeting shall be deemed to be held at the place where the chairman is located at the start of the meeting.</w:t>
      </w:r>
    </w:p>
    <w:p>
      <w:pPr>
        <w:spacing w:after="0" w:line="171" w:lineRule="exact"/>
        <w:rPr>
          <w:sz w:val="20"/>
          <w:szCs w:val="20"/>
          <w:color w:val="auto"/>
        </w:rPr>
      </w:pPr>
    </w:p>
    <w:p>
      <w:pPr>
        <w:jc w:val="both"/>
        <w:ind w:left="660" w:hanging="647"/>
        <w:spacing w:after="0" w:line="296" w:lineRule="auto"/>
        <w:tabs>
          <w:tab w:leader="none" w:pos="64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color w:val="auto"/>
        </w:rPr>
        <w:t>A resolution in writing (in one or more counterparts) signed by all the Directors or all the members of a committee of the Directors or, in the case of a resolution in writing relating to the removal of any Director or the vacation of office by any Director, all of the Directors other than the Director who is the subject of such resolution (an alternate Director being entitled to sign such a resolution on behalf of his appointor and if such alternate Director is also a Director, being entitled to sign such resolution both on behalf of his appointer and in his capacity as a Director) shall be as valid and effectual as if it had been passed at a meeting of the Directors, or committee of Directors as the case may be, duly convened and held.</w:t>
      </w:r>
    </w:p>
    <w:p>
      <w:pPr>
        <w:spacing w:after="0" w:line="16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3" w:name="page194"/>
    <w:bookmarkEnd w:id="19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 xml:space="preserve">A Director or alternate Director may, or other officer of the Company on the direction of a Director or alternate Director shall, call a meeting of the Directors by at least two days’ notice in writing to every Director and alternate Director which notice shall set forth the general nature of the business to be considered unless notice is waived by all the Directors (or their alternates) either at, before or after the meeting is held. To any such notice of a meeting of the Directors all the provisions of the Articles relating to the giving of notices by the Company to the Members shall apply </w:t>
      </w:r>
      <w:r>
        <w:rPr>
          <w:rFonts w:ascii="Arial" w:cs="Arial" w:eastAsia="Arial" w:hAnsi="Arial"/>
          <w:sz w:val="18"/>
          <w:szCs w:val="18"/>
          <w:i w:val="1"/>
          <w:iCs w:val="1"/>
          <w:color w:val="auto"/>
        </w:rPr>
        <w:t>mutatis mutandis.</w:t>
      </w:r>
    </w:p>
    <w:p>
      <w:pPr>
        <w:spacing w:after="0" w:line="18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8"/>
          <w:szCs w:val="18"/>
          <w:color w:val="auto"/>
        </w:rPr>
        <w:t>The continuing Directors (or a sole continuing Director, as the case may be) may act notwithstanding any vacancy in their body, but if and so long as their number is reduced below the number fixed by or pursuant to the Articles as the necessary quorum of Directors the continuing Directors or Director may act for the purpose of increasing the number of Directors to be equal to such fixed number, or of summoning a general meeting of the Company, but for no other purpose.</w:t>
      </w:r>
    </w:p>
    <w:p>
      <w:pPr>
        <w:spacing w:after="0" w:line="187"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The Directors may elect a chairman of their board and determine the period for which he is to hold office; but if no such chairman is elected, or if at any meeting the chairman is not present within five minutes after the time appointed for the meeting to commence, the Directors present may choose one of their number to be chairman of the meeting.</w:t>
      </w:r>
    </w:p>
    <w:p>
      <w:pPr>
        <w:spacing w:after="0" w:line="184"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8"/>
          <w:szCs w:val="18"/>
          <w:color w:val="auto"/>
        </w:rPr>
        <w:t>All acts done by any meeting of the Directors or of a committee of the Directors (including any person acting as an alternate Director) shall, notwithstanding that it is afterwards discovered that there was some defect in the appointment of any Director or alternate Director, and/or that they or any of them were disqualified, and/or had vacated their office and/or were not entitled to vote, be as valid as if every such person had been duly appointed and/or not disqualified to be a Director or alternate Director and/or had not vacated their office and/or had been entitled to vote, as the case may be.</w:t>
      </w:r>
    </w:p>
    <w:p>
      <w:pPr>
        <w:spacing w:after="0" w:line="188" w:lineRule="exact"/>
        <w:rPr>
          <w:sz w:val="20"/>
          <w:szCs w:val="20"/>
          <w:color w:val="auto"/>
        </w:rPr>
      </w:pPr>
    </w:p>
    <w:p>
      <w:pPr>
        <w:jc w:val="both"/>
        <w:ind w:left="660" w:hanging="647"/>
        <w:spacing w:after="0" w:line="308" w:lineRule="auto"/>
        <w:tabs>
          <w:tab w:leader="none" w:pos="640" w:val="left"/>
        </w:tabs>
        <w:rPr>
          <w:sz w:val="20"/>
          <w:szCs w:val="20"/>
          <w:color w:val="auto"/>
        </w:rPr>
      </w:pPr>
      <w:r>
        <w:rPr>
          <w:rFonts w:ascii="Arial" w:cs="Arial" w:eastAsia="Arial" w:hAnsi="Arial"/>
          <w:sz w:val="18"/>
          <w:szCs w:val="18"/>
          <w:color w:val="auto"/>
        </w:rPr>
        <w:t>31.9</w:t>
      </w:r>
      <w:r>
        <w:rPr>
          <w:sz w:val="20"/>
          <w:szCs w:val="20"/>
          <w:color w:val="auto"/>
        </w:rPr>
        <w:tab/>
      </w:r>
      <w:r>
        <w:rPr>
          <w:rFonts w:ascii="Arial" w:cs="Arial" w:eastAsia="Arial" w:hAnsi="Arial"/>
          <w:sz w:val="17"/>
          <w:szCs w:val="17"/>
          <w:color w:val="auto"/>
        </w:rPr>
        <w:t>A Director but not an alternate Director may be represented at any meetings of the board of Directors by a proxy appointed in writing by him. The proxy shall count towards the quorum and the vote of the proxy shall for all purposes be deemed to be that of the appointing Director.</w:t>
      </w:r>
    </w:p>
    <w:p>
      <w:pPr>
        <w:spacing w:after="0" w:line="142" w:lineRule="exact"/>
        <w:rPr>
          <w:sz w:val="20"/>
          <w:szCs w:val="20"/>
          <w:color w:val="auto"/>
        </w:rPr>
      </w:pPr>
    </w:p>
    <w:p>
      <w:pPr>
        <w:ind w:left="660" w:hanging="652"/>
        <w:spacing w:after="0"/>
        <w:tabs>
          <w:tab w:leader="none" w:pos="660"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Presumption of Assent</w:t>
      </w:r>
    </w:p>
    <w:p>
      <w:pPr>
        <w:spacing w:after="0" w:line="229"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A Director or alternate Director who is present at a meeting of the board of Directors at which action on any Company matter is taken shall be presumed to have assented to the action taken unless his dissent shall be entered in the minutes of the meeting or unless he shall file his written dissent from such action with the person acting as the chairman or secretary of the meeting before the adjournment thereof or shall forward such dissent by registered post to such person immediately after the adjournment of the meeting. Such right to dissent shall not apply to a Director or alternate Director who voted in favour of such action.</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4" w:name="page195"/>
    <w:bookmarkEnd w:id="19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33</w:t>
      </w:r>
      <w:r>
        <w:rPr>
          <w:sz w:val="20"/>
          <w:szCs w:val="20"/>
          <w:color w:val="auto"/>
        </w:rPr>
        <w:tab/>
      </w:r>
      <w:r>
        <w:rPr>
          <w:rFonts w:ascii="Arial" w:cs="Arial" w:eastAsia="Arial" w:hAnsi="Arial"/>
          <w:sz w:val="18"/>
          <w:szCs w:val="18"/>
          <w:b w:val="1"/>
          <w:bCs w:val="1"/>
          <w:color w:val="auto"/>
        </w:rPr>
        <w:t>Directors’ Interests</w:t>
      </w:r>
    </w:p>
    <w:p>
      <w:pPr>
        <w:spacing w:after="0" w:line="229" w:lineRule="exact"/>
        <w:rPr>
          <w:sz w:val="20"/>
          <w:szCs w:val="20"/>
          <w:color w:val="auto"/>
        </w:rPr>
      </w:pPr>
    </w:p>
    <w:p>
      <w:pPr>
        <w:jc w:val="both"/>
        <w:ind w:left="660" w:right="20" w:hanging="647"/>
        <w:spacing w:after="0" w:line="308" w:lineRule="auto"/>
        <w:tabs>
          <w:tab w:leader="none" w:pos="64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7"/>
          <w:szCs w:val="17"/>
          <w:color w:val="auto"/>
        </w:rPr>
        <w:t>A Director or alternate Director may hold any other office or place of profit under the Company (other than the office of Auditor) in conjunction with his office of Director for such period and on such terms as to remuneration and otherwise as the Directors may determine.</w:t>
      </w:r>
    </w:p>
    <w:p>
      <w:pPr>
        <w:spacing w:after="0" w:line="14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A Director or alternate Director may act by himself or by, through or on behalf of his firm in a professional capacity for the Company and he or his firm shall be entitled to remuneration for professional services as if he were not a Director or alternate Director.</w:t>
      </w:r>
    </w:p>
    <w:p>
      <w:pPr>
        <w:spacing w:after="0" w:line="170"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A Director or alternate Director may be or become a director or other officer of or otherwise interested in any company promoted by the Company or in which the Company may be interested as a shareholder, a contracting party or otherwise, and no such Director or alternate Director shall be accountable to the Company for any remuneration or other benefits received by him as a director or officer of, or from his interest in, such other company.</w:t>
      </w:r>
    </w:p>
    <w:p>
      <w:pPr>
        <w:spacing w:after="0" w:line="187" w:lineRule="exact"/>
        <w:rPr>
          <w:sz w:val="20"/>
          <w:szCs w:val="20"/>
          <w:color w:val="auto"/>
        </w:rPr>
      </w:pPr>
    </w:p>
    <w:p>
      <w:pPr>
        <w:jc w:val="both"/>
        <w:ind w:left="660" w:hanging="647"/>
        <w:spacing w:after="0" w:line="254" w:lineRule="auto"/>
        <w:tabs>
          <w:tab w:leader="none" w:pos="64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8"/>
          <w:szCs w:val="18"/>
          <w:color w:val="auto"/>
        </w:rPr>
        <w:t>No person shall be disqualified from the office of Director or alternate Director or prevented by such office from contracting with the Company, either as vendor, purchaser or otherwise, nor shall any such contract or any contract or transaction entered into by or on behalf of the Company in which any Director or alternate Director shall be in any way interested be or be liable to be avoided, nor shall any Director or alternate Director so contracting or being so interested be liable to account to the Company for any profit realised by or arising in connection with any such contract or transaction by reason of such Director or alternate Director holding office or of the fiduciary relationship thereby established. A Director (or his alternate Director in his absence) shall be at liberty to vote in respect of any contract or transaction in which he is interested provided that the nature of the interest of any Director or alternate Director in any such contract or transaction shall be disclosed by him at or prior to its consideration and any vote thereon.</w:t>
      </w:r>
    </w:p>
    <w:p>
      <w:pPr>
        <w:spacing w:after="0" w:line="192"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A general notice that a Director or alternate Director is a shareholder, director, officer or employee of any specified firm or company and is to be regarded as interested in any transaction with such firm or company shall be sufficient disclosure for the purposes of voting on a resolution in respect of a contract or transaction in which he has an interest, and after such general notice it shall not be necessary to give special notice relating to any particular transaction.</w:t>
      </w:r>
    </w:p>
    <w:p>
      <w:pPr>
        <w:spacing w:after="0" w:line="183" w:lineRule="exact"/>
        <w:rPr>
          <w:sz w:val="20"/>
          <w:szCs w:val="20"/>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229"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The Directors shall cause minutes to be made in books kept for the purpose of recording all appointments of officers made by the Directors, all proceedings at meetings of the Company or the holders of any class of Shares and of the Directors, and of committees of the Directors, including the names of the Directors or alternate Directors present at each meeting.</w:t>
      </w:r>
    </w:p>
    <w:p>
      <w:pPr>
        <w:spacing w:after="0" w:line="179" w:lineRule="exact"/>
        <w:rPr>
          <w:rFonts w:ascii="Arial" w:cs="Arial" w:eastAsia="Arial" w:hAnsi="Arial"/>
          <w:sz w:val="18"/>
          <w:szCs w:val="18"/>
          <w:b w:val="1"/>
          <w:bCs w:val="1"/>
          <w:color w:val="auto"/>
        </w:rPr>
      </w:pPr>
    </w:p>
    <w:p>
      <w:pPr>
        <w:ind w:left="660" w:hanging="652"/>
        <w:spacing w:after="0"/>
        <w:tabs>
          <w:tab w:leader="none" w:pos="66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of Directors’ Powers</w:t>
      </w:r>
    </w:p>
    <w:p>
      <w:pPr>
        <w:spacing w:after="0" w:line="229" w:lineRule="exact"/>
        <w:rPr>
          <w:sz w:val="20"/>
          <w:szCs w:val="20"/>
          <w:color w:val="auto"/>
        </w:rPr>
      </w:pPr>
    </w:p>
    <w:p>
      <w:pPr>
        <w:jc w:val="both"/>
        <w:ind w:left="660" w:hanging="647"/>
        <w:spacing w:after="0" w:line="272" w:lineRule="auto"/>
        <w:tabs>
          <w:tab w:leader="none" w:pos="64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7"/>
          <w:szCs w:val="17"/>
          <w:color w:val="auto"/>
        </w:rPr>
        <w:t>The Directors may delegate any of their powers, authorities and discretions, including the power to sub-delegate, to any committee consisting of one or more Directors. They may also delegate to any managing director or any Director holding any other executive office such of their powers, authorities and discretions as they consider desirable to be exercised by him provided that an alternate Director may not act as managing director and the appointment of a managing director shall be revoked forthwith if he ceases to be a Director. Any such delegation may be made subject to any conditions the Directors may impose and either collaterally with or to the exclusion of their own powers and any such delegation may be revoked or altered by the Directors. Subject to any such conditions, the proceedings of a committee of Directors shall be governed by the Articles regulating the proceedings of Directors, so far as they are capable of applying.</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5" w:name="page196"/>
    <w:bookmarkEnd w:id="19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7"/>
          <w:szCs w:val="17"/>
          <w:color w:val="auto"/>
        </w:rPr>
        <w:t>The Directors may establish any committees, local boards or agencies or appoint any person to be a manager or agent for managing the affairs of the Company and may appoint any person to be a member of such committees, local boards or agencies. Any such appointment may be made subject to any conditions the Directors may impose, and either collaterally with or to the exclusion of their own powers and any such appointment may be revoked or altered by the Directors. Subject to any such conditions, the proceedings of any such committee, local board or agency shall be governed by the Articles regulating the proceedings of Directors, so far as they are capable of applying.</w:t>
      </w:r>
    </w:p>
    <w:p>
      <w:pPr>
        <w:spacing w:after="0" w:line="176" w:lineRule="exact"/>
        <w:rPr>
          <w:sz w:val="20"/>
          <w:szCs w:val="20"/>
          <w:color w:val="auto"/>
        </w:rPr>
      </w:pPr>
    </w:p>
    <w:p>
      <w:pPr>
        <w:jc w:val="both"/>
        <w:ind w:left="660" w:right="20" w:hanging="647"/>
        <w:spacing w:after="0" w:line="342" w:lineRule="auto"/>
        <w:tabs>
          <w:tab w:leader="none" w:pos="64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6"/>
          <w:szCs w:val="16"/>
          <w:color w:val="auto"/>
        </w:rPr>
        <w:t>The Directors may by power of attorney or otherwise appoint any person to be the agent of the Company on such conditions as the Directors may determine, provided that the delegation is not to the exclusion of their own powers and may be revoked by the Directors at any time.</w:t>
      </w:r>
    </w:p>
    <w:p>
      <w:pPr>
        <w:spacing w:after="0" w:line="124"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35.4</w:t>
      </w:r>
      <w:r>
        <w:rPr>
          <w:sz w:val="20"/>
          <w:szCs w:val="20"/>
          <w:color w:val="auto"/>
        </w:rPr>
        <w:tab/>
      </w:r>
      <w:r>
        <w:rPr>
          <w:rFonts w:ascii="Arial" w:cs="Arial" w:eastAsia="Arial" w:hAnsi="Arial"/>
          <w:sz w:val="17"/>
          <w:szCs w:val="17"/>
          <w:color w:val="auto"/>
        </w:rPr>
        <w:t>The Directors may by power of attorney or otherwise appoint any company, firm, person or body of persons, whether nominated directly or indirectly by the Directors, to be the attorney or authorised signatory of the Company for such purpose and with such powers, authorities and discretions (not exceeding those vested in or exercisable by the Directors under the Articles) and for such period and subject to such conditions as they may think fit, and any such powers of attorney or other appointment may contain such provisions for the protection and convenience of persons dealing with any such attorneys or authorised signatories as the Directors may think fit and may also authorise any such attorney or authorised signatory to delegate all or any of the powers, authorities and discretions vested in him.</w:t>
      </w:r>
    </w:p>
    <w:p>
      <w:pPr>
        <w:spacing w:after="0" w:line="178"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35.5</w:t>
      </w:r>
      <w:r>
        <w:rPr>
          <w:sz w:val="20"/>
          <w:szCs w:val="20"/>
          <w:color w:val="auto"/>
        </w:rPr>
        <w:tab/>
      </w:r>
      <w:r>
        <w:rPr>
          <w:rFonts w:ascii="Arial" w:cs="Arial" w:eastAsia="Arial" w:hAnsi="Arial"/>
          <w:sz w:val="18"/>
          <w:szCs w:val="18"/>
          <w:color w:val="auto"/>
        </w:rPr>
        <w:t>The Directors may appoint such officers of the Company (including, for the avoidance of doubt and without limitation, any secretary) as they consider necessary on such terms, at such remuneration and to perform such duties, and subject to such provisions as to disqualification and removal as the Directors may think fit. Unless otherwise specified in the terms of his appointment an officer of the Company may be removed by resolution of the Directors or Members. An officer of the Company may vacate his office at any time if he gives notice in writing to the Company that he resigns his office.</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36</w:t>
      </w:r>
      <w:r>
        <w:rPr>
          <w:sz w:val="20"/>
          <w:szCs w:val="20"/>
          <w:color w:val="auto"/>
        </w:rPr>
        <w:tab/>
      </w:r>
      <w:r>
        <w:rPr>
          <w:rFonts w:ascii="Arial" w:cs="Arial" w:eastAsia="Arial" w:hAnsi="Arial"/>
          <w:sz w:val="18"/>
          <w:szCs w:val="18"/>
          <w:b w:val="1"/>
          <w:bCs w:val="1"/>
          <w:color w:val="auto"/>
        </w:rPr>
        <w:t>Alternate Directors</w:t>
      </w:r>
    </w:p>
    <w:p>
      <w:pPr>
        <w:spacing w:after="0" w:line="229" w:lineRule="exact"/>
        <w:rPr>
          <w:sz w:val="20"/>
          <w:szCs w:val="20"/>
          <w:color w:val="auto"/>
        </w:rPr>
      </w:pPr>
    </w:p>
    <w:p>
      <w:pPr>
        <w:ind w:left="660" w:right="540" w:hanging="647"/>
        <w:spacing w:after="0" w:line="277" w:lineRule="auto"/>
        <w:tabs>
          <w:tab w:leader="none" w:pos="64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8"/>
          <w:szCs w:val="18"/>
          <w:color w:val="auto"/>
        </w:rPr>
        <w:t>Any Director (but not an alternate Director) may by writing appoint any other Director, or any other person willing to act, to be an alternate Director and by writing may remove from office an alternate Director so appointed by him.</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6" w:name="page197"/>
    <w:bookmarkEnd w:id="1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7"/>
          <w:szCs w:val="17"/>
          <w:color w:val="auto"/>
        </w:rPr>
        <w:t>An alternate Director shall be entitled to receive notice of all meetings of Directors and of all meetings of committees of Directors of which his appointor is a member, to attend and vote at every such meeting at which the Director appointing him is not personally present, to sign any written resolution of the Directors, and generally to perform all the functions of his appointor as a Director in his absence.</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36.3</w:t>
      </w:r>
      <w:r>
        <w:rPr>
          <w:sz w:val="20"/>
          <w:szCs w:val="20"/>
          <w:color w:val="auto"/>
        </w:rPr>
        <w:tab/>
      </w:r>
      <w:r>
        <w:rPr>
          <w:rFonts w:ascii="Arial" w:cs="Arial" w:eastAsia="Arial" w:hAnsi="Arial"/>
          <w:sz w:val="16"/>
          <w:szCs w:val="16"/>
          <w:color w:val="auto"/>
        </w:rPr>
        <w:t>An alternate Director shall cease to be an alternate Director if his appointor ceases to be a Director.</w:t>
      </w:r>
    </w:p>
    <w:p>
      <w:pPr>
        <w:spacing w:after="0" w:line="225"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36.4</w:t>
      </w:r>
      <w:r>
        <w:rPr>
          <w:sz w:val="20"/>
          <w:szCs w:val="20"/>
          <w:color w:val="auto"/>
        </w:rPr>
        <w:tab/>
      </w:r>
      <w:r>
        <w:rPr>
          <w:rFonts w:ascii="Arial" w:cs="Arial" w:eastAsia="Arial" w:hAnsi="Arial"/>
          <w:sz w:val="18"/>
          <w:szCs w:val="18"/>
          <w:color w:val="auto"/>
        </w:rPr>
        <w:t>Any appointment or removal of an alternate Director shall be by notice to the Company signed by the Director making or revoking the appointment or in any other manner approved by the Directors.</w:t>
      </w:r>
    </w:p>
    <w:p>
      <w:pPr>
        <w:spacing w:after="0" w:line="170"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36.5</w:t>
      </w:r>
      <w:r>
        <w:rPr>
          <w:sz w:val="20"/>
          <w:szCs w:val="20"/>
          <w:color w:val="auto"/>
        </w:rPr>
        <w:tab/>
      </w:r>
      <w:r>
        <w:rPr>
          <w:rFonts w:ascii="Arial" w:cs="Arial" w:eastAsia="Arial" w:hAnsi="Arial"/>
          <w:sz w:val="18"/>
          <w:szCs w:val="18"/>
          <w:color w:val="auto"/>
        </w:rPr>
        <w:t>Subject to the provisions of the Articles, an alternate Director shall be deemed for all purposes to be a Director and shall alone be responsible for his own acts and defaults and shall not be deemed to be the agent of the Director appointing him.</w:t>
      </w:r>
    </w:p>
    <w:p>
      <w:pPr>
        <w:spacing w:after="0" w:line="166" w:lineRule="exact"/>
        <w:rPr>
          <w:sz w:val="20"/>
          <w:szCs w:val="20"/>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No Minimum Shareholding</w:t>
      </w:r>
    </w:p>
    <w:p>
      <w:pPr>
        <w:spacing w:after="0" w:line="229" w:lineRule="exact"/>
        <w:rPr>
          <w:rFonts w:ascii="Arial" w:cs="Arial" w:eastAsia="Arial" w:hAnsi="Arial"/>
          <w:sz w:val="18"/>
          <w:szCs w:val="18"/>
          <w:b w:val="1"/>
          <w:bCs w:val="1"/>
          <w:color w:val="auto"/>
        </w:rPr>
      </w:pPr>
    </w:p>
    <w:p>
      <w:pPr>
        <w:ind w:left="660" w:right="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in general meeting may fix a minimum shareholding required to be held by a Director, but unless and until such a shareholding qualification is fixed a Director is not required to hold Shares.</w:t>
      </w:r>
    </w:p>
    <w:p>
      <w:pPr>
        <w:spacing w:after="0" w:line="166" w:lineRule="exact"/>
        <w:rPr>
          <w:rFonts w:ascii="Arial" w:cs="Arial" w:eastAsia="Arial" w:hAnsi="Arial"/>
          <w:sz w:val="18"/>
          <w:szCs w:val="18"/>
          <w:b w:val="1"/>
          <w:bCs w:val="1"/>
          <w:color w:val="auto"/>
        </w:rPr>
      </w:pPr>
    </w:p>
    <w:p>
      <w:pPr>
        <w:ind w:left="660" w:hanging="652"/>
        <w:spacing w:after="0"/>
        <w:tabs>
          <w:tab w:leader="none" w:pos="66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Remuneration of Directors</w:t>
      </w:r>
    </w:p>
    <w:p>
      <w:pPr>
        <w:spacing w:after="0" w:line="229" w:lineRule="exact"/>
        <w:rPr>
          <w:sz w:val="20"/>
          <w:szCs w:val="20"/>
          <w:color w:val="auto"/>
        </w:rPr>
      </w:pPr>
    </w:p>
    <w:p>
      <w:pPr>
        <w:jc w:val="both"/>
        <w:ind w:left="660" w:hanging="647"/>
        <w:spacing w:after="0" w:line="296" w:lineRule="auto"/>
        <w:tabs>
          <w:tab w:leader="none" w:pos="64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6"/>
          <w:szCs w:val="16"/>
          <w:color w:val="auto"/>
        </w:rPr>
        <w:t>The remuneration to be paid to the Directors, if any, shall be such remuneration as the Directors shall determine. The Directors shall also be entitled to be paid all travelling, hotel and other expenses properly incurred by them in connection with their attendance at meetings of Directors or committees of Directors, or general meetings of the Company, or separate meetings of the holders of any class of Shares or debentures of the Company, or otherwise in connection with the business of the Company or the discharge of their duties as a Director, or to receive a fixed allowance in respect thereof as may be determined by the Directors, or a combination partly of one such method and partly the other.</w:t>
      </w:r>
    </w:p>
    <w:p>
      <w:pPr>
        <w:spacing w:after="0" w:line="16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8"/>
          <w:szCs w:val="18"/>
          <w:color w:val="auto"/>
        </w:rPr>
        <w:t>The Directors may by resolution approve additional remuneration to any Director for any services which in the opinion of the Directors go beyond his ordinary routine work as a Director. Any fees paid to a Director who is also counsel, attorney or solicitor to the Company, or otherwise serves it in a professional capacity shall be in addition to his remuneration as a Director.</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Seal</w:t>
      </w:r>
    </w:p>
    <w:p>
      <w:pPr>
        <w:spacing w:after="0" w:line="22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7"/>
          <w:szCs w:val="17"/>
          <w:color w:val="auto"/>
        </w:rPr>
        <w:t>The Company may, if the Directors so determine, have a Seal. The Seal shall only be used by the authority of the Directors or of a committee of the Directors authorised by the Directors. Every instrument to which the Seal has been affixed shall be signed by at least one person who shall be either a Director or some officer of the Company or other person appointed by the Directors for the purpose.</w:t>
      </w:r>
    </w:p>
    <w:p>
      <w:pPr>
        <w:spacing w:after="0" w:line="165"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7" w:name="page198"/>
    <w:bookmarkEnd w:id="19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39.2</w:t>
      </w:r>
      <w:r>
        <w:rPr>
          <w:sz w:val="20"/>
          <w:szCs w:val="20"/>
          <w:color w:val="auto"/>
        </w:rPr>
        <w:tab/>
      </w:r>
      <w:r>
        <w:rPr>
          <w:rFonts w:ascii="Arial" w:cs="Arial" w:eastAsia="Arial" w:hAnsi="Arial"/>
          <w:sz w:val="16"/>
          <w:szCs w:val="16"/>
          <w:color w:val="auto"/>
        </w:rPr>
        <w:t>The Company may have for use in any place or places outside the Cayman Islands a duplicate Seal or Seals each of which shall be a facsimile of the common Seal of the Company and, if the Directors so determine, with the addition on its face of the name of every place where it is to be used.</w:t>
      </w:r>
    </w:p>
    <w:p>
      <w:pPr>
        <w:spacing w:after="0" w:line="12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39.3</w:t>
      </w:r>
      <w:r>
        <w:rPr>
          <w:sz w:val="20"/>
          <w:szCs w:val="20"/>
          <w:color w:val="auto"/>
        </w:rPr>
        <w:tab/>
      </w:r>
      <w:r>
        <w:rPr>
          <w:rFonts w:ascii="Arial" w:cs="Arial" w:eastAsia="Arial" w:hAnsi="Arial"/>
          <w:sz w:val="18"/>
          <w:szCs w:val="18"/>
          <w:color w:val="auto"/>
        </w:rPr>
        <w:t>A Director or officer, representative or attorney of the Company may without further authority of the Directors affix the Seal over his signature alone to any document of the Company required to be authenticated by him under seal or to be filed with the Registrar of Companies in the Cayman Islands or elsewhere wheresoever.</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b w:val="1"/>
          <w:bCs w:val="1"/>
          <w:color w:val="auto"/>
        </w:rPr>
        <w:t>Dividends, Distributions and Reserve</w:t>
      </w:r>
    </w:p>
    <w:p>
      <w:pPr>
        <w:spacing w:after="0" w:line="229" w:lineRule="exact"/>
        <w:rPr>
          <w:sz w:val="20"/>
          <w:szCs w:val="20"/>
          <w:color w:val="auto"/>
        </w:rPr>
      </w:pPr>
    </w:p>
    <w:p>
      <w:pPr>
        <w:jc w:val="both"/>
        <w:ind w:left="660" w:hanging="647"/>
        <w:spacing w:after="0" w:line="296" w:lineRule="auto"/>
        <w:tabs>
          <w:tab w:leader="none" w:pos="64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color w:val="auto"/>
        </w:rPr>
        <w:t>Subject to the Statute and this Article and except as otherwise provided by the rights attached to any Shares, the Directors may resolve to pay Dividends and other distributions on Shares in issue and authorise payment of the Dividends or other distributions out of the funds of the Company lawfully available therefor. A Dividend shall be deemed to be an interim Dividend unless the terms of the resolution pursuant to which the Directors resolve to pay such Dividend specifically state that such Dividend shall be a final Dividend. No Dividend or other distribution shall be paid except out of the realised or unrealised profits of the Company, out of the share premium account or as otherwise permitted by law.</w:t>
      </w:r>
    </w:p>
    <w:p>
      <w:pPr>
        <w:spacing w:after="0" w:line="161"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8"/>
          <w:szCs w:val="18"/>
          <w:color w:val="auto"/>
        </w:rPr>
        <w:t>Except as otherwise provided by the rights attached to any Shares, all Dividends and other distributions shall be paid according to the par value of the Shares that a Member holds. If any Share is issued on terms providing that it shall rank for Dividend as from a particular date, that Share shall rank for Dividend accordingly.</w:t>
      </w:r>
    </w:p>
    <w:p>
      <w:pPr>
        <w:spacing w:after="0" w:line="184"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8"/>
          <w:szCs w:val="18"/>
          <w:color w:val="auto"/>
        </w:rPr>
        <w:t>The Directors may deduct from any Dividend or other distribution payable to any Member all sums of money (if any) then payable by him to the Company on account of calls or otherwise.</w:t>
      </w:r>
    </w:p>
    <w:p>
      <w:pPr>
        <w:spacing w:after="0" w:line="170"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8"/>
          <w:szCs w:val="18"/>
          <w:color w:val="auto"/>
        </w:rPr>
        <w:t>The Directors may resolve that any Dividend or other distribution be paid wholly or partly by the distribution of specific assets and in particular (but without limitation) by the distribution of shares, debentures, or securities of any other company or in any one or more of such ways and where any difficulty arises in regard to such distribution, the Directors may settle the same as they think expedient and in particular may issue fractional Shares and may fix the value for distribution of such specific assets or any part thereof and may determine that cash payments shall be made to any Members upon the basis of the value so fixed in order to adjust the rights of all Members and may vest any such specific assets in trustees in such manner as may seem expedient to the Directors.</w:t>
      </w:r>
    </w:p>
    <w:p>
      <w:pPr>
        <w:spacing w:after="0" w:line="192" w:lineRule="exact"/>
        <w:rPr>
          <w:sz w:val="20"/>
          <w:szCs w:val="20"/>
          <w:color w:val="auto"/>
        </w:rPr>
      </w:pPr>
    </w:p>
    <w:p>
      <w:pPr>
        <w:jc w:val="both"/>
        <w:ind w:left="660" w:hanging="647"/>
        <w:spacing w:after="0" w:line="342" w:lineRule="auto"/>
        <w:tabs>
          <w:tab w:leader="none" w:pos="640" w:val="left"/>
        </w:tabs>
        <w:rPr>
          <w:sz w:val="20"/>
          <w:szCs w:val="20"/>
          <w:color w:val="auto"/>
        </w:rPr>
      </w:pPr>
      <w:r>
        <w:rPr>
          <w:rFonts w:ascii="Arial" w:cs="Arial" w:eastAsia="Arial" w:hAnsi="Arial"/>
          <w:sz w:val="18"/>
          <w:szCs w:val="18"/>
          <w:color w:val="auto"/>
        </w:rPr>
        <w:t>40.5</w:t>
      </w:r>
      <w:r>
        <w:rPr>
          <w:sz w:val="20"/>
          <w:szCs w:val="20"/>
          <w:color w:val="auto"/>
        </w:rPr>
        <w:tab/>
      </w:r>
      <w:r>
        <w:rPr>
          <w:rFonts w:ascii="Arial" w:cs="Arial" w:eastAsia="Arial" w:hAnsi="Arial"/>
          <w:sz w:val="16"/>
          <w:szCs w:val="16"/>
          <w:color w:val="auto"/>
        </w:rPr>
        <w:t>Except as otherwise provided by the rights attached to any Shares, Dividends and other distributions may be paid in any currency. The Directors may determine the basis of conversion for any currency conversions that may be required and how any costs involved are to be met.</w:t>
      </w:r>
    </w:p>
    <w:p>
      <w:pPr>
        <w:spacing w:after="0" w:line="124"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40.6</w:t>
      </w:r>
      <w:r>
        <w:rPr>
          <w:sz w:val="20"/>
          <w:szCs w:val="20"/>
          <w:color w:val="auto"/>
        </w:rPr>
        <w:tab/>
      </w:r>
      <w:r>
        <w:rPr>
          <w:rFonts w:ascii="Arial" w:cs="Arial" w:eastAsia="Arial" w:hAnsi="Arial"/>
          <w:sz w:val="18"/>
          <w:szCs w:val="18"/>
          <w:color w:val="auto"/>
        </w:rPr>
        <w:t>The Directors may, before resolving to pay any Dividend or other distribution, set aside such sums as they think proper as a reserve or reserves which shall, at the discretion of the Directors, be applicable for any purpose of the Company and pending such application may, at the discretion of the Directors, be employed in the business of the Company.</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8" w:name="page199"/>
    <w:bookmarkEnd w:id="19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40.7</w:t>
      </w:r>
      <w:r>
        <w:rPr>
          <w:sz w:val="20"/>
          <w:szCs w:val="20"/>
          <w:color w:val="auto"/>
        </w:rPr>
        <w:tab/>
      </w:r>
      <w:r>
        <w:rPr>
          <w:rFonts w:ascii="Arial" w:cs="Arial" w:eastAsia="Arial" w:hAnsi="Arial"/>
          <w:sz w:val="18"/>
          <w:szCs w:val="18"/>
          <w:color w:val="auto"/>
        </w:rPr>
        <w:t>Any Dividend, other distribution, interest or other monies payable in cash in respect of Shares may be paid by wire transfer to the holder or by cheque or warrant sent through the post directed to the registered address of the holder or, in the case of joint holders, to the registered address of the holder who is first named on the Register of Members or to such person and to such address as such holder or joint holders may in writing direct. Every such cheque or warrant shall be made payable to the order of the person to whom it is sent. Any one of two or more joint holders may give effectual receipts for any Dividends, other distributions, bonuses, or other monies payable in respect of the Share held by them as joint holders.</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40.8</w:t>
      </w:r>
      <w:r>
        <w:rPr>
          <w:sz w:val="20"/>
          <w:szCs w:val="20"/>
          <w:color w:val="auto"/>
        </w:rPr>
        <w:tab/>
      </w:r>
      <w:r>
        <w:rPr>
          <w:rFonts w:ascii="Arial" w:cs="Arial" w:eastAsia="Arial" w:hAnsi="Arial"/>
          <w:sz w:val="16"/>
          <w:szCs w:val="16"/>
          <w:color w:val="auto"/>
        </w:rPr>
        <w:t>No Dividend or other distribution shall bear interest against the Company.</w:t>
      </w:r>
    </w:p>
    <w:p>
      <w:pPr>
        <w:spacing w:after="0" w:line="225"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40.9</w:t>
      </w:r>
      <w:r>
        <w:rPr>
          <w:sz w:val="20"/>
          <w:szCs w:val="20"/>
          <w:color w:val="auto"/>
        </w:rPr>
        <w:tab/>
      </w:r>
      <w:r>
        <w:rPr>
          <w:rFonts w:ascii="Arial" w:cs="Arial" w:eastAsia="Arial" w:hAnsi="Arial"/>
          <w:sz w:val="17"/>
          <w:szCs w:val="17"/>
          <w:color w:val="auto"/>
        </w:rPr>
        <w:t>Any Dividend or other distribution which cannot be paid to a Member and/or which remains unclaimed after six months from the date on which such Dividend or other distribution becomes payable may, in the discretion of the Directors, be paid into a separate account in the Company’s name, provided that the Company shall not be constituted as a trustee in respect of that account and the Dividend or other distribution shall remain as a debt due to the Member. Any Dividend or other distribution which remains unclaimed after a period of six years from the date on which such Dividend or other distribution becomes payable shall be forfeited and shall revert to the Company.</w:t>
      </w:r>
    </w:p>
    <w:p>
      <w:pPr>
        <w:spacing w:after="0" w:line="172" w:lineRule="exact"/>
        <w:rPr>
          <w:sz w:val="20"/>
          <w:szCs w:val="20"/>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Capitalisation</w:t>
      </w:r>
    </w:p>
    <w:p>
      <w:pPr>
        <w:spacing w:after="0" w:line="229" w:lineRule="exact"/>
        <w:rPr>
          <w:rFonts w:ascii="Arial" w:cs="Arial" w:eastAsia="Arial" w:hAnsi="Arial"/>
          <w:sz w:val="18"/>
          <w:szCs w:val="18"/>
          <w:b w:val="1"/>
          <w:bCs w:val="1"/>
          <w:color w:val="auto"/>
        </w:rPr>
      </w:pPr>
    </w:p>
    <w:p>
      <w:pPr>
        <w:jc w:val="both"/>
        <w:ind w:left="66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Directors may at any time capitalise any sum standing to the credit of any of the Company’s reserve accounts or funds (including the share premium account and capital redemption reserve fund) or any sum standing to the credit of the profit and loss account or otherwise available for distribution; appropriate such sum to Members in the proportions in which such sum would have been divisible amongst such Members had the same been a distribution of profits by way of Dividend or other distribution; and apply such sum on their behalf in paying up in full unissued Shares for allotment and distribution credited as fully paid-up to and amongst them in the proportion aforesaid. In such event the Directors shall do all acts and things required to give effect to such capitalisation, with full power given to the Directors to make such provisions as they think fit in the case of Shares becoming distributable in fractions (including provisions whereby the benefit of fractional entitlements accrue to the Company rather than to the Members concerned). The Directors may authorise any person to enter on behalf of all of the Members interested into an agreement with the Company providing for such capitalisation and matters incidental or relating thereto and any agreement made under such authority shall be effective and binding on all such Members and the Company.</w:t>
      </w:r>
    </w:p>
    <w:p>
      <w:pPr>
        <w:spacing w:after="0" w:line="181" w:lineRule="exact"/>
        <w:rPr>
          <w:rFonts w:ascii="Arial" w:cs="Arial" w:eastAsia="Arial" w:hAnsi="Arial"/>
          <w:sz w:val="18"/>
          <w:szCs w:val="18"/>
          <w:b w:val="1"/>
          <w:bCs w:val="1"/>
          <w:color w:val="auto"/>
        </w:rPr>
      </w:pPr>
    </w:p>
    <w:p>
      <w:pPr>
        <w:ind w:left="660" w:hanging="652"/>
        <w:spacing w:after="0"/>
        <w:tabs>
          <w:tab w:leader="none" w:pos="66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Books of Account</w:t>
      </w:r>
    </w:p>
    <w:p>
      <w:pPr>
        <w:spacing w:after="0" w:line="229" w:lineRule="exact"/>
        <w:rPr>
          <w:sz w:val="20"/>
          <w:szCs w:val="20"/>
          <w:color w:val="auto"/>
        </w:rPr>
      </w:pPr>
    </w:p>
    <w:p>
      <w:pPr>
        <w:jc w:val="both"/>
        <w:ind w:left="660" w:hanging="647"/>
        <w:spacing w:after="0" w:line="255" w:lineRule="auto"/>
        <w:tabs>
          <w:tab w:leader="none" w:pos="64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The Directors shall cause proper books of account (including, where applicable, material underlying documentation including contracts and invoices) to be kept with respect to all sums of money received and expended by the Company and the matters in respect of which the receipt or expenditure takes place, all sales and purchases of goods by the Company and the assets and liabilities of the Company. Such books of account must be retained for a minimum period of five years from the date on which they are prepared. Proper books shall not be deemed to be kept if there are not kept such books of account as are necessary to give a true and fair view of the state of the Company’s affairs and to explain its transactions.</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9" w:name="page200"/>
    <w:bookmarkEnd w:id="19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8"/>
          <w:szCs w:val="18"/>
          <w:color w:val="auto"/>
        </w:rPr>
        <w:t>The Directors shall determine whether and to what extent and at what times and places and under what conditions or regulations the accounts and books of the Company or any of them shall be open to the inspection of Members not being Directors and no Member (not being a Director) shall have any right of inspecting any account or book or document of the Company except as conferred by Statute or authorised by the Directors or by the Company in general meeting.</w:t>
      </w:r>
    </w:p>
    <w:p>
      <w:pPr>
        <w:spacing w:after="0" w:line="187" w:lineRule="exact"/>
        <w:rPr>
          <w:sz w:val="20"/>
          <w:szCs w:val="20"/>
          <w:color w:val="auto"/>
        </w:rPr>
      </w:pPr>
    </w:p>
    <w:p>
      <w:pPr>
        <w:jc w:val="both"/>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42.3</w:t>
      </w:r>
      <w:r>
        <w:rPr>
          <w:sz w:val="20"/>
          <w:szCs w:val="20"/>
          <w:color w:val="auto"/>
        </w:rPr>
        <w:tab/>
      </w:r>
      <w:r>
        <w:rPr>
          <w:rFonts w:ascii="Arial" w:cs="Arial" w:eastAsia="Arial" w:hAnsi="Arial"/>
          <w:sz w:val="18"/>
          <w:szCs w:val="18"/>
          <w:color w:val="auto"/>
        </w:rPr>
        <w:t>The Directors may cause to be prepared and to be laid before the Company in general meeting profit and loss accounts, balance sheets, group accounts (if any) and such other reports and accounts as may be required by law.</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43</w:t>
      </w:r>
      <w:r>
        <w:rPr>
          <w:sz w:val="20"/>
          <w:szCs w:val="20"/>
          <w:color w:val="auto"/>
        </w:rPr>
        <w:tab/>
      </w:r>
      <w:r>
        <w:rPr>
          <w:rFonts w:ascii="Arial" w:cs="Arial" w:eastAsia="Arial" w:hAnsi="Arial"/>
          <w:sz w:val="18"/>
          <w:szCs w:val="18"/>
          <w:b w:val="1"/>
          <w:bCs w:val="1"/>
          <w:color w:val="auto"/>
        </w:rPr>
        <w:t>Audit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43.1</w:t>
      </w:r>
      <w:r>
        <w:rPr>
          <w:sz w:val="20"/>
          <w:szCs w:val="20"/>
          <w:color w:val="auto"/>
        </w:rPr>
        <w:tab/>
      </w:r>
      <w:r>
        <w:rPr>
          <w:rFonts w:ascii="Arial" w:cs="Arial" w:eastAsia="Arial" w:hAnsi="Arial"/>
          <w:sz w:val="16"/>
          <w:szCs w:val="16"/>
          <w:color w:val="auto"/>
        </w:rPr>
        <w:t>The Directors may appoint an Auditor of the Company who shall hold office on such terms as the Directors determine.</w:t>
      </w:r>
    </w:p>
    <w:p>
      <w:pPr>
        <w:spacing w:after="0" w:line="225"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43.2</w:t>
      </w:r>
      <w:r>
        <w:rPr>
          <w:sz w:val="20"/>
          <w:szCs w:val="20"/>
          <w:color w:val="auto"/>
        </w:rPr>
        <w:tab/>
      </w:r>
      <w:r>
        <w:rPr>
          <w:rFonts w:ascii="Arial" w:cs="Arial" w:eastAsia="Arial" w:hAnsi="Arial"/>
          <w:sz w:val="18"/>
          <w:szCs w:val="18"/>
          <w:color w:val="auto"/>
        </w:rPr>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184"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Arial" w:cs="Arial" w:eastAsia="Arial" w:hAnsi="Arial"/>
          <w:sz w:val="18"/>
          <w:szCs w:val="18"/>
          <w:color w:val="auto"/>
        </w:rPr>
        <w:t>43.3</w:t>
      </w:r>
      <w:r>
        <w:rPr>
          <w:sz w:val="20"/>
          <w:szCs w:val="20"/>
          <w:color w:val="auto"/>
        </w:rPr>
        <w:tab/>
      </w:r>
      <w:r>
        <w:rPr>
          <w:rFonts w:ascii="Arial" w:cs="Arial" w:eastAsia="Arial" w:hAnsi="Arial"/>
          <w:sz w:val="18"/>
          <w:szCs w:val="18"/>
          <w:color w:val="auto"/>
        </w:rPr>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44</w:t>
      </w:r>
      <w:r>
        <w:rPr>
          <w:sz w:val="20"/>
          <w:szCs w:val="20"/>
          <w:color w:val="auto"/>
        </w:rPr>
        <w:tab/>
      </w:r>
      <w:r>
        <w:rPr>
          <w:rFonts w:ascii="Arial" w:cs="Arial" w:eastAsia="Arial" w:hAnsi="Arial"/>
          <w:sz w:val="18"/>
          <w:szCs w:val="18"/>
          <w:b w:val="1"/>
          <w:bCs w:val="1"/>
          <w:color w:val="auto"/>
        </w:rPr>
        <w:t>Notices</w:t>
      </w:r>
    </w:p>
    <w:p>
      <w:pPr>
        <w:spacing w:after="0" w:line="229" w:lineRule="exact"/>
        <w:rPr>
          <w:sz w:val="20"/>
          <w:szCs w:val="20"/>
          <w:color w:val="auto"/>
        </w:rPr>
      </w:pPr>
    </w:p>
    <w:p>
      <w:pPr>
        <w:jc w:val="both"/>
        <w:ind w:left="660" w:hanging="647"/>
        <w:spacing w:after="0" w:line="286" w:lineRule="auto"/>
        <w:tabs>
          <w:tab w:leader="none" w:pos="640" w:val="left"/>
        </w:tabs>
        <w:rPr>
          <w:sz w:val="20"/>
          <w:szCs w:val="20"/>
          <w:color w:val="auto"/>
        </w:rPr>
      </w:pPr>
      <w:r>
        <w:rPr>
          <w:rFonts w:ascii="Arial" w:cs="Arial" w:eastAsia="Arial" w:hAnsi="Arial"/>
          <w:sz w:val="18"/>
          <w:szCs w:val="18"/>
          <w:color w:val="auto"/>
        </w:rPr>
        <w:t>44.1</w:t>
      </w:r>
      <w:r>
        <w:rPr>
          <w:sz w:val="20"/>
          <w:szCs w:val="20"/>
          <w:color w:val="auto"/>
        </w:rPr>
        <w:tab/>
      </w:r>
      <w:r>
        <w:rPr>
          <w:rFonts w:ascii="Arial" w:cs="Arial" w:eastAsia="Arial" w:hAnsi="Arial"/>
          <w:sz w:val="17"/>
          <w:szCs w:val="17"/>
          <w:color w:val="auto"/>
        </w:rPr>
        <w:t>Notices shall be in writing and may be given by the Company to any Member either personally or by sending it by courier, post, cable, telex, fax or e-mail to him or to his address as shown in the Register of Members (or where the notice is given by e-mail by sending it to the e-mail address provided by such Member). Any notice, if posted from one country to another, is to be sent by airmail.</w:t>
      </w:r>
    </w:p>
    <w:p>
      <w:pPr>
        <w:spacing w:after="0" w:line="165" w:lineRule="exact"/>
        <w:rPr>
          <w:sz w:val="20"/>
          <w:szCs w:val="20"/>
          <w:color w:val="auto"/>
        </w:rPr>
      </w:pPr>
    </w:p>
    <w:p>
      <w:pPr>
        <w:jc w:val="both"/>
        <w:ind w:left="660" w:hanging="647"/>
        <w:spacing w:after="0" w:line="270" w:lineRule="auto"/>
        <w:tabs>
          <w:tab w:leader="none" w:pos="640" w:val="left"/>
        </w:tabs>
        <w:rPr>
          <w:sz w:val="20"/>
          <w:szCs w:val="20"/>
          <w:color w:val="auto"/>
        </w:rPr>
      </w:pPr>
      <w:r>
        <w:rPr>
          <w:rFonts w:ascii="Arial" w:cs="Arial" w:eastAsia="Arial" w:hAnsi="Arial"/>
          <w:sz w:val="18"/>
          <w:szCs w:val="18"/>
          <w:color w:val="auto"/>
        </w:rPr>
        <w:t>44.2</w:t>
      </w:r>
      <w:r>
        <w:rPr>
          <w:sz w:val="20"/>
          <w:szCs w:val="20"/>
          <w:color w:val="auto"/>
        </w:rPr>
        <w:tab/>
      </w:r>
      <w:r>
        <w:rPr>
          <w:rFonts w:ascii="Arial" w:cs="Arial" w:eastAsia="Arial" w:hAnsi="Arial"/>
          <w:sz w:val="17"/>
          <w:szCs w:val="17"/>
          <w:color w:val="auto"/>
        </w:rPr>
        <w:t>Where a notice is sent by courier, service of the notice shall be deemed to be effected by delivery of the notice to a courier company, and shall be deemed to have been received on the third day (not including Saturdays or Sundays or public holidays) following the day on which the notice was delivered to the courier. Where a notice is sent by post, service of the notice shall be deemed to be effected by properly addressing, pre paying and posting a letter containing the notice, and shall be deemed to have been received on the fifth day (not including Saturdays or Sundays or public holidays in the Cayman Islands) following the day on which the notice was posted. Where a notice is sent by cable, telex or fax, service of the notice shall be deemed to be effected by properly addressing and sending such notice and shall be deemed to have been received on the same day that it was transmitted. Where a notice is given by e-mail service shall be deemed to be effected by transmitting the e-mail to the e-mail address provided by the intended recipient and shall be deemed to have been received on the same day that it was sent, and it shall not be necessary for the receipt of the e-mail to be acknowledged by the recipient.</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0" w:name="page201"/>
    <w:bookmarkEnd w:id="20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44.3</w:t>
      </w:r>
      <w:r>
        <w:rPr>
          <w:sz w:val="20"/>
          <w:szCs w:val="20"/>
          <w:color w:val="auto"/>
        </w:rPr>
        <w:tab/>
      </w:r>
      <w:r>
        <w:rPr>
          <w:rFonts w:ascii="Arial" w:cs="Arial" w:eastAsia="Arial" w:hAnsi="Arial"/>
          <w:sz w:val="17"/>
          <w:szCs w:val="17"/>
          <w:color w:val="auto"/>
        </w:rPr>
        <w:t>A notice may be given by the Company to the person or persons which the Company has been advised are entitled to a Share or Shares in consequence of the death or bankruptcy of a Member in the same manner as other notices which are required to be given under the Articles and shall be addressed to them by name, or by the title of representatives of the deceased, or trustee of the bankrupt, or by any like description at the address supplied for that purpose by the persons claiming to be so entitled, or at the option of the Company by giving the notice in any manner in which the same might have been given if the death or bankruptcy had not occurred.</w:t>
      </w:r>
    </w:p>
    <w:p>
      <w:pPr>
        <w:spacing w:after="0" w:line="176" w:lineRule="exact"/>
        <w:rPr>
          <w:sz w:val="20"/>
          <w:szCs w:val="20"/>
          <w:color w:val="auto"/>
        </w:rPr>
      </w:pPr>
    </w:p>
    <w:p>
      <w:pPr>
        <w:jc w:val="both"/>
        <w:ind w:left="660" w:hanging="647"/>
        <w:spacing w:after="0" w:line="275" w:lineRule="auto"/>
        <w:tabs>
          <w:tab w:leader="none" w:pos="640" w:val="left"/>
        </w:tabs>
        <w:rPr>
          <w:sz w:val="20"/>
          <w:szCs w:val="20"/>
          <w:color w:val="auto"/>
        </w:rPr>
      </w:pPr>
      <w:r>
        <w:rPr>
          <w:rFonts w:ascii="Arial" w:cs="Arial" w:eastAsia="Arial" w:hAnsi="Arial"/>
          <w:sz w:val="18"/>
          <w:szCs w:val="18"/>
          <w:color w:val="auto"/>
        </w:rPr>
        <w:t>44.4</w:t>
      </w:r>
      <w:r>
        <w:rPr>
          <w:sz w:val="20"/>
          <w:szCs w:val="20"/>
          <w:color w:val="auto"/>
        </w:rPr>
        <w:tab/>
      </w:r>
      <w:r>
        <w:rPr>
          <w:rFonts w:ascii="Arial" w:cs="Arial" w:eastAsia="Arial" w:hAnsi="Arial"/>
          <w:sz w:val="17"/>
          <w:szCs w:val="17"/>
          <w:color w:val="auto"/>
        </w:rPr>
        <w:t>Notice of every general meeting shall be given in any manner authorised by the Articles to every holder of Shares carrying an entitlement to receive such notice on the record date for such meeting except that in the case of joint holders the notice shall be sufficient if given to the joint holder first named in the Register of Members and every person upon whom the ownership of a Share devolves by reason of his being a legal personal representative or a trustee in bankruptcy of a Member where the Member but for his death or bankruptcy would be entitled to receive notice of the meeting, and no other person shall be entitled to receive notices of general meetings.</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45</w:t>
      </w:r>
      <w:r>
        <w:rPr>
          <w:sz w:val="20"/>
          <w:szCs w:val="20"/>
          <w:color w:val="auto"/>
        </w:rPr>
        <w:tab/>
      </w:r>
      <w:r>
        <w:rPr>
          <w:rFonts w:ascii="Arial" w:cs="Arial" w:eastAsia="Arial" w:hAnsi="Arial"/>
          <w:sz w:val="18"/>
          <w:szCs w:val="18"/>
          <w:b w:val="1"/>
          <w:bCs w:val="1"/>
          <w:color w:val="auto"/>
        </w:rPr>
        <w:t>Winding Up</w:t>
      </w:r>
    </w:p>
    <w:p>
      <w:pPr>
        <w:spacing w:after="0" w:line="229"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45.1</w:t>
      </w:r>
      <w:r>
        <w:rPr>
          <w:sz w:val="20"/>
          <w:szCs w:val="20"/>
          <w:color w:val="auto"/>
        </w:rPr>
        <w:tab/>
      </w:r>
      <w:r>
        <w:rPr>
          <w:rFonts w:ascii="Arial" w:cs="Arial" w:eastAsia="Arial" w:hAnsi="Arial"/>
          <w:sz w:val="18"/>
          <w:szCs w:val="18"/>
          <w:color w:val="auto"/>
        </w:rPr>
        <w:t>If the Company shall be wound up the liquidator shall apply the assets of the Company in satisfaction of creditors’ claims in such manner and order as such liquidator thinks fit. Subject to the rights attaching to any Shares, in a winding up:</w:t>
      </w:r>
    </w:p>
    <w:p>
      <w:pPr>
        <w:spacing w:after="0" w:line="170" w:lineRule="exact"/>
        <w:rPr>
          <w:sz w:val="20"/>
          <w:szCs w:val="20"/>
          <w:color w:val="auto"/>
        </w:rPr>
      </w:pPr>
    </w:p>
    <w:p>
      <w:pPr>
        <w:jc w:val="both"/>
        <w:ind w:left="1300" w:hanging="644"/>
        <w:spacing w:after="0" w:line="263" w:lineRule="auto"/>
        <w:tabs>
          <w:tab w:leader="none" w:pos="130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if the assets available for distribution amongst the Members shall be insufficient to repay the whole of the Company’s issued share capital, such assets shall be distributed so that, as nearly as may be, the losses shall be borne by the Members in proportion to the par value of the Shares held by them; or</w:t>
      </w:r>
    </w:p>
    <w:p>
      <w:pPr>
        <w:spacing w:after="0" w:line="183"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if the assets available for distribution amongst the Members shall be more than sufficient to repay the whole of the Company’s issued share capital at the commencement of the winding up, the surplus shall be distributed amongst the Members in proportion to the par value of the Shares held by them at the commencement of the winding up subject to a deduction from those Shares in respect of which there are monies due, of all monies payable to the Company for unpaid calls or otherwise.</w:t>
      </w:r>
    </w:p>
    <w:p>
      <w:pPr>
        <w:spacing w:after="0" w:line="171" w:lineRule="exact"/>
        <w:rPr>
          <w:sz w:val="20"/>
          <w:szCs w:val="20"/>
          <w:color w:val="auto"/>
        </w:rPr>
      </w:pPr>
    </w:p>
    <w:p>
      <w:pPr>
        <w:jc w:val="both"/>
        <w:ind w:left="660" w:hanging="647"/>
        <w:spacing w:after="0" w:line="273" w:lineRule="auto"/>
        <w:tabs>
          <w:tab w:leader="none" w:pos="640" w:val="left"/>
        </w:tabs>
        <w:rPr>
          <w:sz w:val="20"/>
          <w:szCs w:val="20"/>
          <w:color w:val="auto"/>
        </w:rPr>
      </w:pPr>
      <w:r>
        <w:rPr>
          <w:rFonts w:ascii="Arial" w:cs="Arial" w:eastAsia="Arial" w:hAnsi="Arial"/>
          <w:sz w:val="18"/>
          <w:szCs w:val="18"/>
          <w:color w:val="auto"/>
        </w:rPr>
        <w:t>45.2</w:t>
      </w:r>
      <w:r>
        <w:rPr>
          <w:sz w:val="20"/>
          <w:szCs w:val="20"/>
          <w:color w:val="auto"/>
        </w:rPr>
        <w:tab/>
      </w:r>
      <w:r>
        <w:rPr>
          <w:rFonts w:ascii="Arial" w:cs="Arial" w:eastAsia="Arial" w:hAnsi="Arial"/>
          <w:sz w:val="17"/>
          <w:szCs w:val="17"/>
          <w:color w:val="auto"/>
        </w:rPr>
        <w:t>If the Company shall be wound up the liquidator may, subject to the rights attaching to any Shares and with the approval of a Special Resolution of the Company and any other approval required by the Statute, divide amongst the Members in kind the whole or any part of the assets of the Company (whether such assets shall consist of property of the same kind or not) and may for that purpose value any assets and determine how the division shall be carried out as between the Members or different classes of Members. The liquidator may, with the like approval, vest the whole or any part of such assets in trustees upon such trusts for the benefit of the Members as the liquidator, with the like approval, shall think fit, but so that no Member shall be compelled to accept any asset upon which there is a liability.</w:t>
      </w:r>
    </w:p>
    <w:p>
      <w:pPr>
        <w:spacing w:after="0" w:line="178"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46</w:t>
      </w:r>
      <w:r>
        <w:rPr>
          <w:sz w:val="20"/>
          <w:szCs w:val="20"/>
          <w:color w:val="auto"/>
        </w:rPr>
        <w:tab/>
      </w:r>
      <w:r>
        <w:rPr>
          <w:rFonts w:ascii="Arial" w:cs="Arial" w:eastAsia="Arial" w:hAnsi="Arial"/>
          <w:sz w:val="18"/>
          <w:szCs w:val="18"/>
          <w:b w:val="1"/>
          <w:bCs w:val="1"/>
          <w:color w:val="auto"/>
        </w:rPr>
        <w:t>Indemnity and Insurance</w:t>
      </w:r>
    </w:p>
    <w:p>
      <w:pPr>
        <w:spacing w:after="0" w:line="229"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Arial" w:cs="Arial" w:eastAsia="Arial" w:hAnsi="Arial"/>
          <w:sz w:val="18"/>
          <w:szCs w:val="18"/>
          <w:color w:val="auto"/>
        </w:rPr>
        <w:t>46.1</w:t>
      </w:r>
      <w:r>
        <w:rPr>
          <w:sz w:val="20"/>
          <w:szCs w:val="20"/>
          <w:color w:val="auto"/>
        </w:rPr>
        <w:tab/>
      </w:r>
      <w:r>
        <w:rPr>
          <w:rFonts w:ascii="Arial" w:cs="Arial" w:eastAsia="Arial" w:hAnsi="Arial"/>
          <w:sz w:val="17"/>
          <w:szCs w:val="17"/>
          <w:color w:val="auto"/>
        </w:rPr>
        <w:t>Every Director and officer of the Company (which for the avoidance of doubt, shall not include auditors of the Company), together with every former Director and former officer of the Company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shall be indemnified out of the assets of the Company against any liability, action, proceeding, claim, demand, costs, damages or expenses, including legal expenses, whatsoever which they or any of them may incur as a result of any act or failure to act in carrying out their functions other than such liability (if any) that they may incur by reason of their own actual fraud or wilful default. No Indemnified Person shall be liable to the Company for any loss or damage incurred by the Company as a result (whether direct or indirect) of the carrying out of their functions unless that liability arises through the actual fraud or wilful default of such Indemnified Person. No person shall be found to have committed actual fraud or wilful default under this Article unless or until a court of competent jurisdiction shall have made a finding to that effect.</w:t>
      </w:r>
    </w:p>
    <w:p>
      <w:pPr>
        <w:spacing w:after="0" w:line="178" w:lineRule="exact"/>
        <w:rPr>
          <w:sz w:val="20"/>
          <w:szCs w:val="20"/>
          <w:color w:val="auto"/>
        </w:rPr>
      </w:pPr>
    </w:p>
    <w:p>
      <w:pPr>
        <w:jc w:val="both"/>
        <w:ind w:left="660" w:hanging="647"/>
        <w:spacing w:after="0" w:line="291" w:lineRule="auto"/>
        <w:tabs>
          <w:tab w:leader="none" w:pos="640" w:val="left"/>
        </w:tabs>
        <w:rPr>
          <w:sz w:val="20"/>
          <w:szCs w:val="20"/>
          <w:color w:val="auto"/>
        </w:rPr>
      </w:pPr>
      <w:r>
        <w:rPr>
          <w:rFonts w:ascii="Arial" w:cs="Arial" w:eastAsia="Arial" w:hAnsi="Arial"/>
          <w:sz w:val="18"/>
          <w:szCs w:val="18"/>
          <w:color w:val="auto"/>
        </w:rPr>
        <w:t>46.2</w:t>
      </w:r>
      <w:r>
        <w:rPr>
          <w:sz w:val="20"/>
          <w:szCs w:val="20"/>
          <w:color w:val="auto"/>
        </w:rPr>
        <w:tab/>
      </w:r>
      <w:r>
        <w:rPr>
          <w:rFonts w:ascii="Arial" w:cs="Arial" w:eastAsia="Arial" w:hAnsi="Arial"/>
          <w:sz w:val="16"/>
          <w:szCs w:val="16"/>
          <w:color w:val="auto"/>
        </w:rPr>
        <w:t>The Company shall advance to each Indemnified Person reasonable attorneys’ fees and other costs and expenses incurred in connection with the defence of any action, suit, proceeding or investigation involving such Indemnified Person for which indemnity will or could be sought. In connection with any advance of any expenses hereunder, the Indemnified Person shall execute an undertaking to repay the advanced amount to the Company if it shall be determined by final judgment or other final adjudication that such Indemnified Person was not entitled to indemnification pursuant to this Article. If it shall be determined by a final judgment or other final adjudication that such Indemnified Person was not entitled to indemnification with respect to such judgment, costs or expenses, then such party shall not be indemnified with respect to such judgment, costs or expenses and any advancement shall be returned to the Company (without interest) by the Indemnified Person.</w:t>
      </w:r>
    </w:p>
    <w:p>
      <w:pPr>
        <w:spacing w:after="0" w:line="166"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46.3</w:t>
      </w:r>
      <w:r>
        <w:rPr>
          <w:sz w:val="20"/>
          <w:szCs w:val="20"/>
          <w:color w:val="auto"/>
        </w:rPr>
        <w:tab/>
      </w:r>
      <w:r>
        <w:rPr>
          <w:rFonts w:ascii="Arial" w:cs="Arial" w:eastAsia="Arial" w:hAnsi="Arial"/>
          <w:sz w:val="18"/>
          <w:szCs w:val="18"/>
          <w:color w:val="auto"/>
        </w:rPr>
        <w:t>The Directors, on behalf of the Company, may purchase and maintain insurance for the benefit of any Director or other officer of the Company against any liability which, by virtue of any rule of law, would otherwise attach to such person in respect of any negligence, default, breach of duty or breach of trust of which such person may be guilty in relation to the Company.</w:t>
      </w:r>
    </w:p>
    <w:p>
      <w:pPr>
        <w:spacing w:after="0" w:line="180"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Unless the Directors otherwise prescribe, the financial year of the Company shall end on 31st December in each year and, following the year of incorporation, shall begin on 1st January in each year.</w:t>
      </w:r>
    </w:p>
    <w:p>
      <w:pPr>
        <w:spacing w:after="0" w:line="170"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2" w:name="page203"/>
    <w:bookmarkEnd w:id="20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Transfer by Way of Continuation</w:t>
      </w:r>
    </w:p>
    <w:p>
      <w:pPr>
        <w:spacing w:after="0" w:line="229" w:lineRule="exact"/>
        <w:rPr>
          <w:rFonts w:ascii="Arial" w:cs="Arial" w:eastAsia="Arial" w:hAnsi="Arial"/>
          <w:sz w:val="18"/>
          <w:szCs w:val="18"/>
          <w:b w:val="1"/>
          <w:bCs w:val="1"/>
          <w:color w:val="auto"/>
        </w:rPr>
      </w:pPr>
    </w:p>
    <w:p>
      <w:pPr>
        <w:jc w:val="both"/>
        <w:ind w:left="660"/>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If the Company is exempted as defined in the Statute, it shall, subject to the provisions of the Statute and with the approval of a Special Resolution, have the power to register by way of continuation as a body corporate under the laws of any jurisdiction outside the Cayman Islands and to be deregistered in the Cayman Islands.</w:t>
      </w:r>
    </w:p>
    <w:p>
      <w:pPr>
        <w:spacing w:after="0" w:line="179" w:lineRule="exact"/>
        <w:rPr>
          <w:rFonts w:ascii="Arial" w:cs="Arial" w:eastAsia="Arial" w:hAnsi="Arial"/>
          <w:sz w:val="18"/>
          <w:szCs w:val="18"/>
          <w:b w:val="1"/>
          <w:bCs w:val="1"/>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Consolidations</w:t>
      </w:r>
    </w:p>
    <w:p>
      <w:pPr>
        <w:spacing w:after="0" w:line="229"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shall have the power to merge or consolidate with one or more other constituent companies (as defined in the Statute) upon such terms as the Directors may determine and (to the extent required by the Statute) with the approval of a Special Resolution.</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3" w:name="page204"/>
    <w:bookmarkEnd w:id="20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5788660</wp:posOffset>
            </wp:positionH>
            <wp:positionV relativeFrom="page">
              <wp:posOffset>157480</wp:posOffset>
            </wp:positionV>
            <wp:extent cx="1551305" cy="198882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1551305" cy="198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Dated this 18th day of December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Maples Corporate Services Limited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PO Box 309, Ugland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acting 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Mitzie Forbes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Mitzie Forbes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Maggie Ebanks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85432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Maggie Ebanks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Witness to the above signature</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Auth Code: C03087683553</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www.verify.gov.ky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4" w:name="page205"/>
    <w:bookmarkEnd w:id="204"/>
    <w:p>
      <w:pPr>
        <w:ind w:left="10120"/>
        <w:spacing w:after="0"/>
        <w:rPr>
          <w:sz w:val="20"/>
          <w:szCs w:val="20"/>
          <w:color w:val="auto"/>
        </w:rPr>
      </w:pPr>
      <w:r>
        <w:rPr>
          <w:rFonts w:ascii="Arial" w:cs="Arial" w:eastAsia="Arial" w:hAnsi="Arial"/>
          <w:sz w:val="19"/>
          <w:szCs w:val="19"/>
          <w:b w:val="1"/>
          <w:bCs w:val="1"/>
          <w:color w:val="auto"/>
        </w:rPr>
        <w:t>Exhibit 10.6</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PROMISSORY NOTE</w:t>
      </w:r>
    </w:p>
    <w:p>
      <w:pPr>
        <w:sectPr>
          <w:pgSz w:w="11900" w:h="16838" w:orient="portrait"/>
          <w:cols w:equalWidth="0" w:num="1">
            <w:col w:w="11240"/>
          </w:cols>
          <w:pgMar w:left="320" w:top="112" w:right="33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Principal Amount: Up to $300,000</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Dated as of December 31, 2019</w:t>
      </w:r>
    </w:p>
    <w:p>
      <w:pPr>
        <w:spacing w:after="0" w:line="3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00" w:lineRule="exact"/>
        <w:rPr>
          <w:sz w:val="20"/>
          <w:szCs w:val="20"/>
          <w:color w:val="auto"/>
        </w:rPr>
      </w:pPr>
    </w:p>
    <w:p>
      <w:pPr>
        <w:sectPr>
          <w:pgSz w:w="11900" w:h="16838" w:orient="portrait"/>
          <w:cols w:equalWidth="0" w:num="2">
            <w:col w:w="8240" w:space="720"/>
            <w:col w:w="2280"/>
          </w:cols>
          <w:pgMar w:left="320" w:top="112" w:right="339" w:bottom="1440" w:gutter="0" w:footer="0" w:header="0"/>
          <w:type w:val="continuous"/>
        </w:sectPr>
      </w:pPr>
    </w:p>
    <w:p>
      <w:pPr>
        <w:spacing w:after="0" w:line="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color w:val="auto"/>
        </w:rPr>
        <w:t>Sustainable Opportunities Acquisition Corp., a Cayman Islands exempted company and blank check company (the “</w:t>
      </w:r>
      <w:r>
        <w:rPr>
          <w:rFonts w:ascii="Arial" w:cs="Arial" w:eastAsia="Arial" w:hAnsi="Arial"/>
          <w:sz w:val="17"/>
          <w:szCs w:val="17"/>
          <w:b w:val="1"/>
          <w:bCs w:val="1"/>
          <w:color w:val="auto"/>
        </w:rPr>
        <w:t>Maker</w:t>
      </w:r>
      <w:r>
        <w:rPr>
          <w:rFonts w:ascii="Arial" w:cs="Arial" w:eastAsia="Arial" w:hAnsi="Arial"/>
          <w:sz w:val="17"/>
          <w:szCs w:val="17"/>
          <w:color w:val="auto"/>
        </w:rPr>
        <w:t>”), promises to pay to the order of Sustainable Opportunities Holdings LLC or its registered assigns or successors in interest (the “</w:t>
      </w:r>
      <w:r>
        <w:rPr>
          <w:rFonts w:ascii="Arial" w:cs="Arial" w:eastAsia="Arial" w:hAnsi="Arial"/>
          <w:sz w:val="17"/>
          <w:szCs w:val="17"/>
          <w:b w:val="1"/>
          <w:bCs w:val="1"/>
          <w:color w:val="auto"/>
        </w:rPr>
        <w:t>Payee</w:t>
      </w:r>
      <w:r>
        <w:rPr>
          <w:rFonts w:ascii="Arial" w:cs="Arial" w:eastAsia="Arial" w:hAnsi="Arial"/>
          <w:sz w:val="17"/>
          <w:szCs w:val="17"/>
          <w:color w:val="auto"/>
        </w:rPr>
        <w:t>”), or order, the principal sum of up to Three Hundred Thousand Dollars ($300,000) in lawful money of the United States of America, on the terms and conditions described below. All payments on this Note shall be made by check or wire transfer of immediately available funds or as otherwise determined by the Maker to such account as the Payee may from time to time designate by written notice in accordance with the provisions of this Note.</w:t>
      </w:r>
    </w:p>
    <w:p>
      <w:pPr>
        <w:spacing w:after="0" w:line="168" w:lineRule="exact"/>
        <w:rPr>
          <w:sz w:val="20"/>
          <w:szCs w:val="20"/>
          <w:color w:val="auto"/>
        </w:rPr>
      </w:pPr>
    </w:p>
    <w:p>
      <w:pPr>
        <w:jc w:val="both"/>
        <w:ind w:firstLine="654"/>
        <w:spacing w:after="0" w:line="261" w:lineRule="auto"/>
        <w:tabs>
          <w:tab w:leader="none" w:pos="826"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Principal. </w:t>
      </w:r>
      <w:r>
        <w:rPr>
          <w:rFonts w:ascii="Arial" w:cs="Arial" w:eastAsia="Arial" w:hAnsi="Arial"/>
          <w:sz w:val="18"/>
          <w:szCs w:val="18"/>
          <w:color w:val="auto"/>
        </w:rPr>
        <w:t>The principal balance of this Note shall be payable by the Maker on the earlier of: (i) June 30, 2020 or (ii) the date on which Maker</w:t>
      </w:r>
      <w:r>
        <w:rPr>
          <w:rFonts w:ascii="Arial" w:cs="Arial" w:eastAsia="Arial" w:hAnsi="Arial"/>
          <w:sz w:val="18"/>
          <w:szCs w:val="18"/>
          <w:b w:val="1"/>
          <w:bCs w:val="1"/>
          <w:color w:val="auto"/>
        </w:rPr>
        <w:t xml:space="preserve"> </w:t>
      </w:r>
      <w:r>
        <w:rPr>
          <w:rFonts w:ascii="Arial" w:cs="Arial" w:eastAsia="Arial" w:hAnsi="Arial"/>
          <w:sz w:val="18"/>
          <w:szCs w:val="18"/>
          <w:color w:val="auto"/>
        </w:rPr>
        <w:t>consummates an initial public offering of its securities. The principal balance may be prepaid at any time. Under no circumstances shall any individual, including but not limited to any officer, director, employee or shareholder of the Maker, be obligated personally for any obligations or liabilities of the Maker hereunder.</w:t>
      </w:r>
    </w:p>
    <w:p>
      <w:pPr>
        <w:spacing w:after="0" w:line="179" w:lineRule="exact"/>
        <w:rPr>
          <w:rFonts w:ascii="Arial" w:cs="Arial" w:eastAsia="Arial" w:hAnsi="Arial"/>
          <w:sz w:val="18"/>
          <w:szCs w:val="18"/>
          <w:b w:val="1"/>
          <w:bCs w:val="1"/>
          <w:color w:val="auto"/>
        </w:rPr>
      </w:pPr>
    </w:p>
    <w:p>
      <w:pPr>
        <w:ind w:left="840" w:hanging="186"/>
        <w:spacing w:after="0"/>
        <w:tabs>
          <w:tab w:leader="none" w:pos="8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Interest. </w:t>
      </w:r>
      <w:r>
        <w:rPr>
          <w:rFonts w:ascii="Arial" w:cs="Arial" w:eastAsia="Arial" w:hAnsi="Arial"/>
          <w:sz w:val="18"/>
          <w:szCs w:val="18"/>
          <w:color w:val="auto"/>
        </w:rPr>
        <w:t>No interest shall accrue on the unpaid principal balance of this Note.</w:t>
      </w:r>
    </w:p>
    <w:p>
      <w:pPr>
        <w:spacing w:after="0" w:line="225" w:lineRule="exact"/>
        <w:rPr>
          <w:rFonts w:ascii="Arial" w:cs="Arial" w:eastAsia="Arial" w:hAnsi="Arial"/>
          <w:sz w:val="18"/>
          <w:szCs w:val="18"/>
          <w:b w:val="1"/>
          <w:bCs w:val="1"/>
          <w:color w:val="auto"/>
        </w:rPr>
      </w:pPr>
    </w:p>
    <w:p>
      <w:pPr>
        <w:jc w:val="both"/>
        <w:ind w:firstLine="654"/>
        <w:spacing w:after="0" w:line="292" w:lineRule="auto"/>
        <w:tabs>
          <w:tab w:leader="none" w:pos="831" w:val="left"/>
        </w:tabs>
        <w:numPr>
          <w:ilvl w:val="0"/>
          <w:numId w:val="12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Drawdown Requests. </w:t>
      </w:r>
      <w:r>
        <w:rPr>
          <w:rFonts w:ascii="Arial" w:cs="Arial" w:eastAsia="Arial" w:hAnsi="Arial"/>
          <w:sz w:val="16"/>
          <w:szCs w:val="16"/>
          <w:color w:val="auto"/>
        </w:rPr>
        <w:t>Maker and Payee agree that Maker may request up to Three Hundred Thousand Dollars ($300,000) for costs reasonably</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to Maker’s initial public offering of its securities. The principal of this Note may be drawn down from time to time prior to the earlier of: (i) June 30, 2020 or (ii) the date on which Maker consummates an initial public offering of its securities, upon written request from Maker to Payee (each, a “</w:t>
      </w:r>
      <w:r>
        <w:rPr>
          <w:rFonts w:ascii="Arial" w:cs="Arial" w:eastAsia="Arial" w:hAnsi="Arial"/>
          <w:sz w:val="16"/>
          <w:szCs w:val="16"/>
          <w:b w:val="1"/>
          <w:bCs w:val="1"/>
          <w:color w:val="auto"/>
        </w:rPr>
        <w:t>Drawdown Request</w:t>
      </w:r>
      <w:r>
        <w:rPr>
          <w:rFonts w:ascii="Arial" w:cs="Arial" w:eastAsia="Arial" w:hAnsi="Arial"/>
          <w:sz w:val="16"/>
          <w:szCs w:val="16"/>
          <w:color w:val="auto"/>
        </w:rPr>
        <w:t>”). Each Drawdown Request must state the amount to be drawn down, and must not be an amount less than One Thousand Dollars ($1,000) unless agreed upon by Maker and Payee. Payee shall fund each Drawdown Request no later than one (1) business day after receipt of a Drawdown Request; provided, however, that the maximum amount of drawdowns collectively under this Note is Three Hundred Thousand Dollars ($300,000). No fees, payments or other amounts shall be due to Payee in connection with, or as a result of, any Drawdown Request by Maker.</w:t>
      </w:r>
    </w:p>
    <w:p>
      <w:pPr>
        <w:spacing w:after="0" w:line="161" w:lineRule="exact"/>
        <w:rPr>
          <w:rFonts w:ascii="Arial" w:cs="Arial" w:eastAsia="Arial" w:hAnsi="Arial"/>
          <w:sz w:val="16"/>
          <w:szCs w:val="16"/>
          <w:b w:val="1"/>
          <w:bCs w:val="1"/>
          <w:color w:val="auto"/>
        </w:rPr>
      </w:pPr>
    </w:p>
    <w:p>
      <w:pPr>
        <w:jc w:val="both"/>
        <w:ind w:firstLine="654"/>
        <w:spacing w:after="0" w:line="266" w:lineRule="auto"/>
        <w:tabs>
          <w:tab w:leader="none" w:pos="826"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Application of Payments. </w:t>
      </w:r>
      <w:r>
        <w:rPr>
          <w:rFonts w:ascii="Arial" w:cs="Arial" w:eastAsia="Arial" w:hAnsi="Arial"/>
          <w:sz w:val="18"/>
          <w:szCs w:val="18"/>
          <w:color w:val="auto"/>
        </w:rPr>
        <w:t>All payments shall be applied first to payment in full of any costs incurred in the collection of any sum due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Note, including (without limitation) reasonable attorney’s fees, then to the payment in full of any late charges and finally to the reduction of the unpaid principal balance of this Note.</w:t>
      </w:r>
    </w:p>
    <w:p>
      <w:pPr>
        <w:spacing w:after="0" w:line="175" w:lineRule="exact"/>
        <w:rPr>
          <w:rFonts w:ascii="Arial" w:cs="Arial" w:eastAsia="Arial" w:hAnsi="Arial"/>
          <w:sz w:val="18"/>
          <w:szCs w:val="18"/>
          <w:b w:val="1"/>
          <w:bCs w:val="1"/>
          <w:color w:val="auto"/>
        </w:rPr>
      </w:pPr>
    </w:p>
    <w:p>
      <w:pPr>
        <w:ind w:left="840" w:hanging="186"/>
        <w:spacing w:after="0"/>
        <w:tabs>
          <w:tab w:leader="none" w:pos="840" w:val="left"/>
        </w:tabs>
        <w:numPr>
          <w:ilvl w:val="0"/>
          <w:numId w:val="12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Events of Default. </w:t>
      </w:r>
      <w:r>
        <w:rPr>
          <w:rFonts w:ascii="Arial" w:cs="Arial" w:eastAsia="Arial" w:hAnsi="Arial"/>
          <w:sz w:val="18"/>
          <w:szCs w:val="18"/>
          <w:color w:val="auto"/>
        </w:rPr>
        <w:t>The following shall constitute an event of default (“</w:t>
      </w:r>
      <w:r>
        <w:rPr>
          <w:rFonts w:ascii="Arial" w:cs="Arial" w:eastAsia="Arial" w:hAnsi="Arial"/>
          <w:sz w:val="18"/>
          <w:szCs w:val="18"/>
          <w:b w:val="1"/>
          <w:bCs w:val="1"/>
          <w:color w:val="auto"/>
        </w:rPr>
        <w:t>Event of Default</w:t>
      </w:r>
      <w:r>
        <w:rPr>
          <w:rFonts w:ascii="Arial" w:cs="Arial" w:eastAsia="Arial" w:hAnsi="Arial"/>
          <w:sz w:val="18"/>
          <w:szCs w:val="18"/>
          <w:color w:val="auto"/>
        </w:rPr>
        <w:t>”):</w:t>
      </w:r>
    </w:p>
    <w:p>
      <w:pPr>
        <w:spacing w:after="0" w:line="229" w:lineRule="exact"/>
        <w:rPr>
          <w:rFonts w:ascii="Arial" w:cs="Arial" w:eastAsia="Arial" w:hAnsi="Arial"/>
          <w:sz w:val="18"/>
          <w:szCs w:val="18"/>
          <w:b w:val="1"/>
          <w:bCs w:val="1"/>
          <w:color w:val="auto"/>
        </w:rPr>
      </w:pPr>
    </w:p>
    <w:p>
      <w:pPr>
        <w:ind w:firstLine="1302"/>
        <w:spacing w:after="0" w:line="277" w:lineRule="auto"/>
        <w:tabs>
          <w:tab w:leader="none" w:pos="1539"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Failure to Make Required Payments</w:t>
      </w:r>
      <w:r>
        <w:rPr>
          <w:rFonts w:ascii="Arial" w:cs="Arial" w:eastAsia="Arial" w:hAnsi="Arial"/>
          <w:sz w:val="18"/>
          <w:szCs w:val="18"/>
          <w:color w:val="auto"/>
        </w:rPr>
        <w:t>. Failure by Maker to pay the principal amount due pursuant to this Note within five (5) business days of the date specified above.</w:t>
      </w:r>
    </w:p>
    <w:p>
      <w:pPr>
        <w:spacing w:after="0" w:line="170" w:lineRule="exact"/>
        <w:rPr>
          <w:rFonts w:ascii="Arial" w:cs="Arial" w:eastAsia="Arial" w:hAnsi="Arial"/>
          <w:sz w:val="18"/>
          <w:szCs w:val="18"/>
          <w:color w:val="auto"/>
        </w:rPr>
      </w:pPr>
    </w:p>
    <w:p>
      <w:pPr>
        <w:jc w:val="both"/>
        <w:ind w:firstLine="1302"/>
        <w:spacing w:after="0" w:line="257" w:lineRule="auto"/>
        <w:tabs>
          <w:tab w:leader="none" w:pos="1589"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Voluntary Bankruptcy, Etc</w:t>
      </w:r>
      <w:r>
        <w:rPr>
          <w:rFonts w:ascii="Arial" w:cs="Arial" w:eastAsia="Arial" w:hAnsi="Arial"/>
          <w:sz w:val="18"/>
          <w:szCs w:val="18"/>
          <w:color w:val="auto"/>
        </w:rPr>
        <w:t>.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type w:val="continuous"/>
        </w:sectPr>
      </w:pPr>
    </w:p>
    <w:bookmarkStart w:id="205" w:name="page206"/>
    <w:bookmarkEnd w:id="205"/>
    <w:p>
      <w:pPr>
        <w:jc w:val="both"/>
        <w:ind w:firstLine="1302"/>
        <w:spacing w:after="0" w:line="259" w:lineRule="auto"/>
        <w:tabs>
          <w:tab w:leader="none" w:pos="1552"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t>Involuntary Bankruptcy, Etc</w:t>
      </w:r>
      <w:r>
        <w:rPr>
          <w:rFonts w:ascii="Arial" w:cs="Arial" w:eastAsia="Arial" w:hAnsi="Arial"/>
          <w:sz w:val="18"/>
          <w:szCs w:val="18"/>
          <w:color w:val="auto"/>
        </w:rPr>
        <w:t>.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60 consecutive days.</w:t>
      </w:r>
    </w:p>
    <w:p>
      <w:pPr>
        <w:spacing w:after="0" w:line="182" w:lineRule="exact"/>
        <w:rPr>
          <w:rFonts w:ascii="Arial" w:cs="Arial" w:eastAsia="Arial" w:hAnsi="Arial"/>
          <w:sz w:val="18"/>
          <w:szCs w:val="18"/>
          <w:color w:val="auto"/>
        </w:rPr>
      </w:pPr>
    </w:p>
    <w:p>
      <w:pPr>
        <w:ind w:left="840" w:hanging="186"/>
        <w:spacing w:after="0"/>
        <w:tabs>
          <w:tab w:leader="none" w:pos="84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Remedies.</w:t>
      </w:r>
    </w:p>
    <w:p>
      <w:pPr>
        <w:spacing w:after="0" w:line="229" w:lineRule="exact"/>
        <w:rPr>
          <w:rFonts w:ascii="Arial" w:cs="Arial" w:eastAsia="Arial" w:hAnsi="Arial"/>
          <w:sz w:val="18"/>
          <w:szCs w:val="18"/>
          <w:b w:val="1"/>
          <w:bCs w:val="1"/>
          <w:color w:val="auto"/>
        </w:rPr>
      </w:pPr>
    </w:p>
    <w:p>
      <w:pPr>
        <w:jc w:val="both"/>
        <w:ind w:firstLine="1302"/>
        <w:spacing w:after="0" w:line="259" w:lineRule="auto"/>
        <w:tabs>
          <w:tab w:leader="none" w:pos="1541" w:val="left"/>
        </w:tabs>
        <w:numPr>
          <w:ilvl w:val="1"/>
          <w:numId w:val="131"/>
        </w:numPr>
        <w:rPr>
          <w:rFonts w:ascii="Arial" w:cs="Arial" w:eastAsia="Arial" w:hAnsi="Arial"/>
          <w:sz w:val="18"/>
          <w:szCs w:val="18"/>
          <w:color w:val="auto"/>
        </w:rPr>
      </w:pPr>
      <w:r>
        <w:rPr>
          <w:rFonts w:ascii="Arial" w:cs="Arial" w:eastAsia="Arial" w:hAnsi="Arial"/>
          <w:sz w:val="18"/>
          <w:szCs w:val="18"/>
          <w:color w:val="auto"/>
        </w:rPr>
        <w:t>Upon the occurrence of an Event of Default specified in Section 5(a)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86" w:lineRule="exact"/>
        <w:rPr>
          <w:rFonts w:ascii="Arial" w:cs="Arial" w:eastAsia="Arial" w:hAnsi="Arial"/>
          <w:sz w:val="18"/>
          <w:szCs w:val="18"/>
          <w:color w:val="auto"/>
        </w:rPr>
      </w:pPr>
    </w:p>
    <w:p>
      <w:pPr>
        <w:ind w:firstLine="1302"/>
        <w:spacing w:after="0" w:line="342" w:lineRule="auto"/>
        <w:tabs>
          <w:tab w:leader="none" w:pos="1549" w:val="left"/>
        </w:tabs>
        <w:numPr>
          <w:ilvl w:val="1"/>
          <w:numId w:val="131"/>
        </w:numPr>
        <w:rPr>
          <w:rFonts w:ascii="Arial" w:cs="Arial" w:eastAsia="Arial" w:hAnsi="Arial"/>
          <w:sz w:val="16"/>
          <w:szCs w:val="16"/>
          <w:color w:val="auto"/>
        </w:rPr>
      </w:pPr>
      <w:r>
        <w:rPr>
          <w:rFonts w:ascii="Arial" w:cs="Arial" w:eastAsia="Arial" w:hAnsi="Arial"/>
          <w:sz w:val="16"/>
          <w:szCs w:val="16"/>
          <w:color w:val="auto"/>
        </w:rPr>
        <w:t>Upon the occurrence of an Event of Default specified in Sections 5(b) and 5(c), the unpaid principal balance of this Note, and all other sums payable with regard to this Note, shall automatically and immediately become due and payable, in all cases without any action on the part of Payee.</w:t>
      </w:r>
    </w:p>
    <w:p>
      <w:pPr>
        <w:spacing w:after="0" w:line="119" w:lineRule="exact"/>
        <w:rPr>
          <w:rFonts w:ascii="Arial" w:cs="Arial" w:eastAsia="Arial" w:hAnsi="Arial"/>
          <w:sz w:val="16"/>
          <w:szCs w:val="16"/>
          <w:color w:val="auto"/>
        </w:rPr>
      </w:pPr>
    </w:p>
    <w:p>
      <w:pPr>
        <w:jc w:val="both"/>
        <w:ind w:firstLine="654"/>
        <w:spacing w:after="0" w:line="294" w:lineRule="auto"/>
        <w:tabs>
          <w:tab w:leader="none" w:pos="836"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Waivers. </w:t>
      </w:r>
      <w:r>
        <w:rPr>
          <w:rFonts w:ascii="Arial" w:cs="Arial" w:eastAsia="Arial" w:hAnsi="Arial"/>
          <w:sz w:val="16"/>
          <w:szCs w:val="16"/>
          <w:color w:val="auto"/>
        </w:rPr>
        <w:t>Maker and all endorsers and guarantors of, and sureties for, this Note waive presentment for payment, demand, notice of dishonor,</w:t>
      </w:r>
      <w:r>
        <w:rPr>
          <w:rFonts w:ascii="Arial" w:cs="Arial" w:eastAsia="Arial" w:hAnsi="Arial"/>
          <w:sz w:val="16"/>
          <w:szCs w:val="16"/>
          <w:b w:val="1"/>
          <w:bCs w:val="1"/>
          <w:color w:val="auto"/>
        </w:rPr>
        <w:t xml:space="preserve"> </w:t>
      </w:r>
      <w:r>
        <w:rPr>
          <w:rFonts w:ascii="Arial" w:cs="Arial" w:eastAsia="Arial" w:hAnsi="Arial"/>
          <w:sz w:val="16"/>
          <w:szCs w:val="16"/>
          <w:color w:val="auto"/>
        </w:rPr>
        <w:t>protest, and notice of protest with regard to the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estate that may be levied upon pursuant to a judgment obtained by virtue hereof or any writ of execution issued hereon, may be sold upon any such writ in whole or in part in any order desired by Payee.</w:t>
      </w:r>
    </w:p>
    <w:p>
      <w:pPr>
        <w:spacing w:after="0" w:line="159" w:lineRule="exact"/>
        <w:rPr>
          <w:rFonts w:ascii="Arial" w:cs="Arial" w:eastAsia="Arial" w:hAnsi="Arial"/>
          <w:sz w:val="16"/>
          <w:szCs w:val="16"/>
          <w:b w:val="1"/>
          <w:bCs w:val="1"/>
          <w:color w:val="auto"/>
        </w:rPr>
      </w:pPr>
    </w:p>
    <w:p>
      <w:pPr>
        <w:jc w:val="both"/>
        <w:ind w:firstLine="654"/>
        <w:spacing w:after="0" w:line="298" w:lineRule="auto"/>
        <w:tabs>
          <w:tab w:leader="none" w:pos="831" w:val="left"/>
        </w:tabs>
        <w:numPr>
          <w:ilvl w:val="0"/>
          <w:numId w:val="13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Unconditional Liability. </w:t>
      </w:r>
      <w:r>
        <w:rPr>
          <w:rFonts w:ascii="Arial" w:cs="Arial" w:eastAsia="Arial" w:hAnsi="Arial"/>
          <w:sz w:val="16"/>
          <w:szCs w:val="16"/>
          <w:color w:val="auto"/>
        </w:rPr>
        <w:t>Maker hereby waives all notices in connection with the delivery, acceptance, performance, default, or enforcement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payment of this Note, and agrees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53" w:lineRule="exact"/>
        <w:rPr>
          <w:rFonts w:ascii="Arial" w:cs="Arial" w:eastAsia="Arial" w:hAnsi="Arial"/>
          <w:sz w:val="16"/>
          <w:szCs w:val="16"/>
          <w:b w:val="1"/>
          <w:bCs w:val="1"/>
          <w:color w:val="auto"/>
        </w:rPr>
      </w:pPr>
    </w:p>
    <w:p>
      <w:pPr>
        <w:jc w:val="both"/>
        <w:ind w:firstLine="654"/>
        <w:spacing w:after="0" w:line="273" w:lineRule="auto"/>
        <w:tabs>
          <w:tab w:leader="none" w:pos="826" w:val="left"/>
        </w:tabs>
        <w:numPr>
          <w:ilvl w:val="0"/>
          <w:numId w:val="13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Notices. </w:t>
      </w:r>
      <w:r>
        <w:rPr>
          <w:rFonts w:ascii="Arial" w:cs="Arial" w:eastAsia="Arial" w:hAnsi="Arial"/>
          <w:sz w:val="17"/>
          <w:szCs w:val="17"/>
          <w:color w:val="auto"/>
        </w:rPr>
        <w:t>All notices, statements or other documents which are required or contemplated by this Note shall be made in writing and delivered: (i)</w:t>
      </w:r>
      <w:r>
        <w:rPr>
          <w:rFonts w:ascii="Arial" w:cs="Arial" w:eastAsia="Arial" w:hAnsi="Arial"/>
          <w:sz w:val="17"/>
          <w:szCs w:val="17"/>
          <w:b w:val="1"/>
          <w:bCs w:val="1"/>
          <w:color w:val="auto"/>
        </w:rPr>
        <w:t xml:space="preserve"> </w:t>
      </w:r>
      <w:r>
        <w:rPr>
          <w:rFonts w:ascii="Arial" w:cs="Arial" w:eastAsia="Arial" w:hAnsi="Arial"/>
          <w:sz w:val="17"/>
          <w:szCs w:val="17"/>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or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1" w:lineRule="exact"/>
        <w:rPr>
          <w:rFonts w:ascii="Arial" w:cs="Arial" w:eastAsia="Arial" w:hAnsi="Arial"/>
          <w:sz w:val="17"/>
          <w:szCs w:val="17"/>
          <w:b w:val="1"/>
          <w:bCs w:val="1"/>
          <w:color w:val="auto"/>
        </w:rPr>
      </w:pPr>
    </w:p>
    <w:p>
      <w:pPr>
        <w:ind w:left="960" w:hanging="306"/>
        <w:spacing w:after="0"/>
        <w:tabs>
          <w:tab w:leader="none" w:pos="96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Construction. </w:t>
      </w:r>
      <w:r>
        <w:rPr>
          <w:rFonts w:ascii="Arial" w:cs="Arial" w:eastAsia="Arial" w:hAnsi="Arial"/>
          <w:sz w:val="18"/>
          <w:szCs w:val="18"/>
          <w:color w:val="auto"/>
        </w:rPr>
        <w:t>THIS NOTE SHALL BE CONSTRUED AND ENFORCED IN ACCORDANCE WITH THE LAWS OF NEW YORK,</w:t>
      </w:r>
    </w:p>
    <w:p>
      <w:pPr>
        <w:spacing w:after="0" w:line="2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WITHOUT REGARD TO CONFLICT OF LAW PROVISIONS THEREOF.</w:t>
      </w:r>
    </w:p>
    <w:p>
      <w:pPr>
        <w:spacing w:after="0" w:line="206" w:lineRule="exact"/>
        <w:rPr>
          <w:rFonts w:ascii="Arial" w:cs="Arial" w:eastAsia="Arial" w:hAnsi="Arial"/>
          <w:sz w:val="18"/>
          <w:szCs w:val="18"/>
          <w:b w:val="1"/>
          <w:bCs w:val="1"/>
          <w:color w:val="auto"/>
        </w:rPr>
      </w:pPr>
    </w:p>
    <w:p>
      <w:pPr>
        <w:jc w:val="both"/>
        <w:ind w:firstLine="654"/>
        <w:spacing w:after="0" w:line="266" w:lineRule="auto"/>
        <w:tabs>
          <w:tab w:leader="none" w:pos="92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Any provision contained in this Note which is prohibited or unenforceable in any jurisdiction shall, as to such jurisdiction, be</w:t>
      </w:r>
      <w:r>
        <w:rPr>
          <w:rFonts w:ascii="Arial" w:cs="Arial" w:eastAsia="Arial" w:hAnsi="Arial"/>
          <w:sz w:val="18"/>
          <w:szCs w:val="18"/>
          <w:b w:val="1"/>
          <w:bCs w:val="1"/>
          <w:color w:val="auto"/>
        </w:rPr>
        <w:t xml:space="preserve"> </w:t>
      </w:r>
      <w:r>
        <w:rPr>
          <w:rFonts w:ascii="Arial" w:cs="Arial" w:eastAsia="Arial" w:hAnsi="Arial"/>
          <w:sz w:val="18"/>
          <w:szCs w:val="18"/>
          <w:color w:val="auto"/>
        </w:rPr>
        <w:t>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389"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06" w:name="page207"/>
    <w:bookmarkEnd w:id="206"/>
    <w:p>
      <w:pPr>
        <w:jc w:val="both"/>
        <w:ind w:firstLine="654"/>
        <w:spacing w:after="0" w:line="274" w:lineRule="auto"/>
        <w:tabs>
          <w:tab w:leader="none" w:pos="919" w:val="left"/>
        </w:tabs>
        <w:numPr>
          <w:ilvl w:val="0"/>
          <w:numId w:val="132"/>
        </w:numPr>
        <w:rPr>
          <w:rFonts w:ascii="Arial" w:cs="Arial" w:eastAsia="Arial" w:hAnsi="Arial"/>
          <w:sz w:val="17"/>
          <w:szCs w:val="17"/>
          <w:b w:val="1"/>
          <w:bCs w:val="1"/>
          <w:color w:val="auto"/>
        </w:rPr>
      </w:pPr>
      <w:r>
        <w:rPr>
          <w:rFonts w:ascii="Arial" w:cs="Arial" w:eastAsia="Arial" w:hAnsi="Arial"/>
          <w:sz w:val="17"/>
          <w:szCs w:val="17"/>
          <w:b w:val="1"/>
          <w:bCs w:val="1"/>
          <w:color w:val="auto"/>
        </w:rPr>
        <w:t>Trust Waiver</w:t>
      </w:r>
      <w:r>
        <w:rPr>
          <w:rFonts w:ascii="Arial" w:cs="Arial" w:eastAsia="Arial" w:hAnsi="Arial"/>
          <w:sz w:val="17"/>
          <w:szCs w:val="17"/>
          <w:color w:val="auto"/>
        </w:rPr>
        <w:t>. Notwithstanding anything herein to the contrary, the Payee hereby waives any and all right, title, interest or claim of any kind</w:t>
      </w:r>
      <w:r>
        <w:rPr>
          <w:rFonts w:ascii="Arial" w:cs="Arial" w:eastAsia="Arial" w:hAnsi="Arial"/>
          <w:sz w:val="17"/>
          <w:szCs w:val="17"/>
          <w:b w:val="1"/>
          <w:bCs w:val="1"/>
          <w:color w:val="auto"/>
        </w:rPr>
        <w:t xml:space="preserve"> </w:t>
      </w:r>
      <w:r>
        <w:rPr>
          <w:rFonts w:ascii="Arial" w:cs="Arial" w:eastAsia="Arial" w:hAnsi="Arial"/>
          <w:sz w:val="17"/>
          <w:szCs w:val="17"/>
          <w:color w:val="auto"/>
        </w:rPr>
        <w:t>(“</w:t>
      </w:r>
      <w:r>
        <w:rPr>
          <w:rFonts w:ascii="Arial" w:cs="Arial" w:eastAsia="Arial" w:hAnsi="Arial"/>
          <w:sz w:val="17"/>
          <w:szCs w:val="17"/>
          <w:b w:val="1"/>
          <w:bCs w:val="1"/>
          <w:color w:val="auto"/>
        </w:rPr>
        <w:t>Claim</w:t>
      </w:r>
      <w:r>
        <w:rPr>
          <w:rFonts w:ascii="Arial" w:cs="Arial" w:eastAsia="Arial" w:hAnsi="Arial"/>
          <w:sz w:val="17"/>
          <w:szCs w:val="17"/>
          <w:color w:val="auto"/>
        </w:rPr>
        <w:t>”) in or to any distribution of or from the trust account (the “</w:t>
      </w:r>
      <w:r>
        <w:rPr>
          <w:rFonts w:ascii="Arial" w:cs="Arial" w:eastAsia="Arial" w:hAnsi="Arial"/>
          <w:sz w:val="17"/>
          <w:szCs w:val="17"/>
          <w:b w:val="1"/>
          <w:bCs w:val="1"/>
          <w:color w:val="auto"/>
        </w:rPr>
        <w:t>Trust Account</w:t>
      </w:r>
      <w:r>
        <w:rPr>
          <w:rFonts w:ascii="Arial" w:cs="Arial" w:eastAsia="Arial" w:hAnsi="Arial"/>
          <w:sz w:val="17"/>
          <w:szCs w:val="17"/>
          <w:color w:val="auto"/>
        </w:rPr>
        <w:t>”) to be established in which the proceeds of the initial public offering (the “</w:t>
      </w:r>
      <w:r>
        <w:rPr>
          <w:rFonts w:ascii="Arial" w:cs="Arial" w:eastAsia="Arial" w:hAnsi="Arial"/>
          <w:sz w:val="17"/>
          <w:szCs w:val="17"/>
          <w:b w:val="1"/>
          <w:bCs w:val="1"/>
          <w:color w:val="auto"/>
        </w:rPr>
        <w:t>IPO</w:t>
      </w:r>
      <w:r>
        <w:rPr>
          <w:rFonts w:ascii="Arial" w:cs="Arial" w:eastAsia="Arial" w:hAnsi="Arial"/>
          <w:sz w:val="17"/>
          <w:szCs w:val="17"/>
          <w:color w:val="auto"/>
        </w:rPr>
        <w:t>”) to be conducted by the Maker (including the deferred underwriters discounts and commissions) and certain of the proceeds of the sale of warrants to be issued in a private placement to occur in connection with the closing of the IPO are to be deposited, as described in greater detail in the registration statement and prospectus to be filed with the U.S. Securities and Exchange Commission in connection with the IPO, and hereby agrees not to seek recourse, reimbursement, payment or satisfaction for any Claim against the Trust Account for any reason whatsoever.</w:t>
      </w:r>
    </w:p>
    <w:p>
      <w:pPr>
        <w:spacing w:after="0" w:line="17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13</w:t>
      </w:r>
      <w:r>
        <w:rPr>
          <w:rFonts w:ascii="Arial" w:cs="Arial" w:eastAsia="Arial" w:hAnsi="Arial"/>
          <w:sz w:val="18"/>
          <w:szCs w:val="18"/>
          <w:color w:val="auto"/>
        </w:rPr>
        <w:t>.</w:t>
      </w:r>
      <w:r>
        <w:rPr>
          <w:rFonts w:ascii="Arial" w:cs="Arial" w:eastAsia="Arial" w:hAnsi="Arial"/>
          <w:sz w:val="18"/>
          <w:szCs w:val="18"/>
          <w:b w:val="1"/>
          <w:bCs w:val="1"/>
          <w:color w:val="auto"/>
        </w:rPr>
        <w:t xml:space="preserve"> Amendment; Waiver</w:t>
      </w:r>
      <w:r>
        <w:rPr>
          <w:rFonts w:ascii="Arial" w:cs="Arial" w:eastAsia="Arial" w:hAnsi="Arial"/>
          <w:sz w:val="18"/>
          <w:szCs w:val="18"/>
          <w:color w:val="auto"/>
        </w:rPr>
        <w:t>. Any amendment hereto or waiver of any provision hereof may be made with, and only with, the written consent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Maker and the Payee.</w:t>
      </w:r>
    </w:p>
    <w:p>
      <w:pPr>
        <w:spacing w:after="0" w:line="162" w:lineRule="exact"/>
        <w:rPr>
          <w:sz w:val="20"/>
          <w:szCs w:val="20"/>
          <w:color w:val="auto"/>
        </w:rPr>
      </w:pPr>
    </w:p>
    <w:p>
      <w:pPr>
        <w:ind w:right="20" w:firstLine="648"/>
        <w:spacing w:after="0" w:line="347" w:lineRule="auto"/>
        <w:rPr>
          <w:sz w:val="20"/>
          <w:szCs w:val="20"/>
          <w:color w:val="auto"/>
        </w:rPr>
      </w:pPr>
      <w:r>
        <w:rPr>
          <w:rFonts w:ascii="Arial" w:cs="Arial" w:eastAsia="Arial" w:hAnsi="Arial"/>
          <w:sz w:val="16"/>
          <w:szCs w:val="16"/>
          <w:b w:val="1"/>
          <w:bCs w:val="1"/>
          <w:color w:val="auto"/>
        </w:rPr>
        <w:t>14</w:t>
      </w:r>
      <w:r>
        <w:rPr>
          <w:rFonts w:ascii="Arial" w:cs="Arial" w:eastAsia="Arial" w:hAnsi="Arial"/>
          <w:sz w:val="16"/>
          <w:szCs w:val="16"/>
          <w:color w:val="auto"/>
        </w:rPr>
        <w:t>.</w:t>
      </w:r>
      <w:r>
        <w:rPr>
          <w:rFonts w:ascii="Arial" w:cs="Arial" w:eastAsia="Arial" w:hAnsi="Arial"/>
          <w:sz w:val="16"/>
          <w:szCs w:val="16"/>
          <w:b w:val="1"/>
          <w:bCs w:val="1"/>
          <w:color w:val="auto"/>
        </w:rPr>
        <w:t xml:space="preserve"> Assignment</w:t>
      </w:r>
      <w:r>
        <w:rPr>
          <w:rFonts w:ascii="Arial" w:cs="Arial" w:eastAsia="Arial" w:hAnsi="Arial"/>
          <w:sz w:val="16"/>
          <w:szCs w:val="16"/>
          <w:color w:val="auto"/>
        </w:rPr>
        <w:t>. No assignment or transfer of this Note or any rights or obligations hereunder may be made by any party hereto (by operation of</w:t>
      </w:r>
      <w:r>
        <w:rPr>
          <w:rFonts w:ascii="Arial" w:cs="Arial" w:eastAsia="Arial" w:hAnsi="Arial"/>
          <w:sz w:val="16"/>
          <w:szCs w:val="16"/>
          <w:b w:val="1"/>
          <w:bCs w:val="1"/>
          <w:color w:val="auto"/>
        </w:rPr>
        <w:t xml:space="preserve"> </w:t>
      </w:r>
      <w:r>
        <w:rPr>
          <w:rFonts w:ascii="Arial" w:cs="Arial" w:eastAsia="Arial" w:hAnsi="Arial"/>
          <w:sz w:val="16"/>
          <w:szCs w:val="16"/>
          <w:color w:val="auto"/>
        </w:rPr>
        <w:t>law or otherwise) without the prior written consent of the other party hereto and any attempted assignment without the required consent shall be void.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7" w:name="page208"/>
    <w:bookmarkEnd w:id="207"/>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Maker, intending to be legally bound hereby, has caused this Note to be duly executed by the undersigned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day and year first above written.</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SUSTAINABLE OPPORTUNITIES ACQUISITION CORP.</w:t>
      </w:r>
    </w:p>
    <w:p>
      <w:pPr>
        <w:spacing w:after="0" w:line="237"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Scott Leonard</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 Chief Executive Officer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Promissory Note</w:t>
      </w:r>
      <w:r>
        <w:rPr>
          <w:rFonts w:ascii="Arial" w:cs="Arial" w:eastAsia="Arial" w:hAnsi="Arial"/>
          <w:sz w:val="18"/>
          <w:szCs w:val="18"/>
          <w:color w:val="auto"/>
        </w:rPr>
        <w:t>]</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0" w:type="dxa"/>
            <w:vAlign w:val="bottom"/>
          </w:tcPr>
          <w:p>
            <w:pPr>
              <w:jc w:val="right"/>
              <w:spacing w:after="0"/>
              <w:rPr>
                <w:sz w:val="20"/>
                <w:szCs w:val="20"/>
                <w:color w:val="auto"/>
              </w:rPr>
            </w:pPr>
            <w:r>
              <w:rPr>
                <w:rFonts w:ascii="Arial" w:cs="Arial" w:eastAsia="Arial" w:hAnsi="Arial"/>
                <w:sz w:val="18"/>
                <w:szCs w:val="18"/>
                <w:b w:val="1"/>
                <w:bCs w:val="1"/>
                <w:color w:val="auto"/>
              </w:rPr>
              <w:t>Exhibit 10.7</w:t>
            </w:r>
          </w:p>
        </w:tc>
      </w:tr>
      <w:tr>
        <w:trPr>
          <w:trHeight w:val="418"/>
        </w:trPr>
        <w:tc>
          <w:tcPr>
            <w:tcW w:w="6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0" w:type="dxa"/>
            <w:vAlign w:val="bottom"/>
          </w:tcPr>
          <w:p>
            <w:pPr>
              <w:jc w:val="center"/>
              <w:ind w:right="3750"/>
              <w:spacing w:after="0"/>
              <w:rPr>
                <w:sz w:val="20"/>
                <w:szCs w:val="20"/>
                <w:color w:val="auto"/>
              </w:rPr>
            </w:pPr>
            <w:r>
              <w:rPr>
                <w:rFonts w:ascii="Arial" w:cs="Arial" w:eastAsia="Arial" w:hAnsi="Arial"/>
                <w:sz w:val="18"/>
                <w:szCs w:val="18"/>
                <w:color w:val="auto"/>
                <w:w w:val="92"/>
              </w:rPr>
              <w:t>Sustainable Opportunities Acquisition Corp.</w:t>
            </w:r>
          </w:p>
        </w:tc>
      </w:tr>
      <w:tr>
        <w:trPr>
          <w:trHeight w:val="216"/>
        </w:trPr>
        <w:tc>
          <w:tcPr>
            <w:tcW w:w="66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400" w:type="dxa"/>
            <w:vAlign w:val="bottom"/>
          </w:tcPr>
          <w:p>
            <w:pPr>
              <w:jc w:val="center"/>
              <w:ind w:right="3750"/>
              <w:spacing w:after="0"/>
              <w:rPr>
                <w:sz w:val="20"/>
                <w:szCs w:val="20"/>
                <w:color w:val="auto"/>
              </w:rPr>
            </w:pPr>
            <w:r>
              <w:rPr>
                <w:rFonts w:ascii="Arial" w:cs="Arial" w:eastAsia="Arial" w:hAnsi="Arial"/>
                <w:sz w:val="18"/>
                <w:szCs w:val="18"/>
                <w:color w:val="auto"/>
                <w:w w:val="90"/>
              </w:rPr>
              <w:t>4516 Lovers Lane, Suite 384</w:t>
            </w:r>
          </w:p>
        </w:tc>
      </w:tr>
      <w:tr>
        <w:trPr>
          <w:trHeight w:val="230"/>
        </w:trPr>
        <w:tc>
          <w:tcPr>
            <w:tcW w:w="6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400" w:type="dxa"/>
            <w:vAlign w:val="bottom"/>
          </w:tcPr>
          <w:p>
            <w:pPr>
              <w:jc w:val="center"/>
              <w:ind w:right="3730"/>
              <w:spacing w:after="0"/>
              <w:rPr>
                <w:sz w:val="20"/>
                <w:szCs w:val="20"/>
                <w:color w:val="auto"/>
              </w:rPr>
            </w:pPr>
            <w:r>
              <w:rPr>
                <w:rFonts w:ascii="Arial" w:cs="Arial" w:eastAsia="Arial" w:hAnsi="Arial"/>
                <w:sz w:val="18"/>
                <w:szCs w:val="18"/>
                <w:color w:val="auto"/>
                <w:w w:val="88"/>
              </w:rPr>
              <w:t>Dallas, Texas 75225</w:t>
            </w:r>
          </w:p>
        </w:tc>
      </w:tr>
      <w:tr>
        <w:trPr>
          <w:trHeight w:val="418"/>
        </w:trPr>
        <w:tc>
          <w:tcPr>
            <w:tcW w:w="3840" w:type="dxa"/>
            <w:vAlign w:val="bottom"/>
            <w:gridSpan w:val="3"/>
          </w:tcPr>
          <w:p>
            <w:pPr>
              <w:spacing w:after="0"/>
              <w:rPr>
                <w:sz w:val="20"/>
                <w:szCs w:val="20"/>
                <w:color w:val="auto"/>
              </w:rPr>
            </w:pPr>
            <w:r>
              <w:rPr>
                <w:rFonts w:ascii="Arial" w:cs="Arial" w:eastAsia="Arial" w:hAnsi="Arial"/>
                <w:sz w:val="18"/>
                <w:szCs w:val="18"/>
                <w:color w:val="auto"/>
              </w:rPr>
              <w:t>Sustainable Opportunities Holdings LLC</w:t>
            </w:r>
          </w:p>
        </w:tc>
        <w:tc>
          <w:tcPr>
            <w:tcW w:w="7400" w:type="dxa"/>
            <w:vAlign w:val="bottom"/>
          </w:tcPr>
          <w:p>
            <w:pPr>
              <w:jc w:val="right"/>
              <w:spacing w:after="0"/>
              <w:rPr>
                <w:sz w:val="20"/>
                <w:szCs w:val="20"/>
                <w:color w:val="auto"/>
              </w:rPr>
            </w:pPr>
            <w:r>
              <w:rPr>
                <w:rFonts w:ascii="Arial" w:cs="Arial" w:eastAsia="Arial" w:hAnsi="Arial"/>
                <w:sz w:val="18"/>
                <w:szCs w:val="18"/>
                <w:color w:val="auto"/>
              </w:rPr>
              <w:t>December 31, 2019</w:t>
            </w:r>
          </w:p>
        </w:tc>
      </w:tr>
      <w:tr>
        <w:trPr>
          <w:trHeight w:val="230"/>
        </w:trPr>
        <w:tc>
          <w:tcPr>
            <w:tcW w:w="3840" w:type="dxa"/>
            <w:vAlign w:val="bottom"/>
            <w:gridSpan w:val="3"/>
          </w:tcPr>
          <w:p>
            <w:pPr>
              <w:spacing w:after="0"/>
              <w:rPr>
                <w:sz w:val="20"/>
                <w:szCs w:val="20"/>
                <w:color w:val="auto"/>
              </w:rPr>
            </w:pPr>
            <w:r>
              <w:rPr>
                <w:rFonts w:ascii="Arial" w:cs="Arial" w:eastAsia="Arial" w:hAnsi="Arial"/>
                <w:sz w:val="18"/>
                <w:szCs w:val="18"/>
                <w:color w:val="auto"/>
                <w:w w:val="94"/>
              </w:rPr>
              <w:t>4516 Lovers Lane, Suite 384, Dallas, Texas 75225</w:t>
            </w:r>
          </w:p>
        </w:tc>
        <w:tc>
          <w:tcPr>
            <w:tcW w:w="7400" w:type="dxa"/>
            <w:vAlign w:val="bottom"/>
          </w:tcPr>
          <w:p>
            <w:pPr>
              <w:spacing w:after="0"/>
              <w:rPr>
                <w:sz w:val="20"/>
                <w:szCs w:val="20"/>
                <w:color w:val="auto"/>
              </w:rPr>
            </w:pPr>
          </w:p>
        </w:tc>
      </w:tr>
      <w:tr>
        <w:trPr>
          <w:trHeight w:val="392"/>
        </w:trPr>
        <w:tc>
          <w:tcPr>
            <w:tcW w:w="3840" w:type="dxa"/>
            <w:vAlign w:val="bottom"/>
            <w:gridSpan w:val="3"/>
          </w:tcPr>
          <w:p>
            <w:pPr>
              <w:ind w:left="340"/>
              <w:spacing w:after="0"/>
              <w:rPr>
                <w:sz w:val="20"/>
                <w:szCs w:val="20"/>
                <w:color w:val="auto"/>
              </w:rPr>
            </w:pPr>
            <w:r>
              <w:rPr>
                <w:rFonts w:ascii="Arial" w:cs="Arial" w:eastAsia="Arial" w:hAnsi="Arial"/>
                <w:sz w:val="18"/>
                <w:szCs w:val="18"/>
                <w:color w:val="auto"/>
              </w:rPr>
              <w:t>RE: Securities Subscription Agreement</w:t>
            </w:r>
          </w:p>
        </w:tc>
        <w:tc>
          <w:tcPr>
            <w:tcW w:w="7400" w:type="dxa"/>
            <w:vAlign w:val="bottom"/>
          </w:tcPr>
          <w:p>
            <w:pPr>
              <w:spacing w:after="0"/>
              <w:rPr>
                <w:sz w:val="24"/>
                <w:szCs w:val="24"/>
                <w:color w:val="auto"/>
              </w:rPr>
            </w:pPr>
          </w:p>
        </w:tc>
      </w:tr>
      <w:tr>
        <w:trPr>
          <w:trHeight w:val="20"/>
        </w:trPr>
        <w:tc>
          <w:tcPr>
            <w:tcW w:w="6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r>
      <w:tr>
        <w:trPr>
          <w:trHeight w:val="453"/>
        </w:trPr>
        <w:tc>
          <w:tcPr>
            <w:tcW w:w="3840" w:type="dxa"/>
            <w:vAlign w:val="bottom"/>
            <w:gridSpan w:val="3"/>
          </w:tcPr>
          <w:p>
            <w:pPr>
              <w:spacing w:after="0"/>
              <w:rPr>
                <w:sz w:val="20"/>
                <w:szCs w:val="20"/>
                <w:color w:val="auto"/>
              </w:rPr>
            </w:pPr>
            <w:r>
              <w:rPr>
                <w:rFonts w:ascii="Arial" w:cs="Arial" w:eastAsia="Arial" w:hAnsi="Arial"/>
                <w:sz w:val="18"/>
                <w:szCs w:val="18"/>
                <w:color w:val="auto"/>
              </w:rPr>
              <w:t>Ladies and Gentlemen:</w:t>
            </w:r>
          </w:p>
        </w:tc>
        <w:tc>
          <w:tcPr>
            <w:tcW w:w="7400" w:type="dxa"/>
            <w:vAlign w:val="bottom"/>
          </w:tcPr>
          <w:p>
            <w:pPr>
              <w:spacing w:after="0"/>
              <w:rPr>
                <w:sz w:val="24"/>
                <w:szCs w:val="24"/>
                <w:color w:val="auto"/>
              </w:rPr>
            </w:pPr>
          </w:p>
        </w:tc>
      </w:tr>
    </w:tbl>
    <w:p>
      <w:pPr>
        <w:spacing w:after="0" w:line="198"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color w:val="auto"/>
        </w:rPr>
        <w:t>We are pleased to accept the offer Sustainable Opportunities Holdings LLC (the “</w:t>
      </w:r>
      <w:r>
        <w:rPr>
          <w:rFonts w:ascii="Arial" w:cs="Arial" w:eastAsia="Arial" w:hAnsi="Arial"/>
          <w:sz w:val="17"/>
          <w:szCs w:val="17"/>
          <w:b w:val="1"/>
          <w:bCs w:val="1"/>
          <w:color w:val="auto"/>
        </w:rPr>
        <w:t>Subscriber</w:t>
      </w:r>
      <w:r>
        <w:rPr>
          <w:rFonts w:ascii="Arial" w:cs="Arial" w:eastAsia="Arial" w:hAnsi="Arial"/>
          <w:sz w:val="17"/>
          <w:szCs w:val="17"/>
          <w:color w:val="auto"/>
        </w:rPr>
        <w:t>” or “</w:t>
      </w:r>
      <w:r>
        <w:rPr>
          <w:rFonts w:ascii="Arial" w:cs="Arial" w:eastAsia="Arial" w:hAnsi="Arial"/>
          <w:sz w:val="17"/>
          <w:szCs w:val="17"/>
          <w:b w:val="1"/>
          <w:bCs w:val="1"/>
          <w:color w:val="auto"/>
        </w:rPr>
        <w:t>you</w:t>
      </w:r>
      <w:r>
        <w:rPr>
          <w:rFonts w:ascii="Arial" w:cs="Arial" w:eastAsia="Arial" w:hAnsi="Arial"/>
          <w:sz w:val="17"/>
          <w:szCs w:val="17"/>
          <w:color w:val="auto"/>
        </w:rPr>
        <w:t>”) has made to purchase 8,625,000 Class B ordinary shares (the “</w:t>
      </w:r>
      <w:r>
        <w:rPr>
          <w:rFonts w:ascii="Arial" w:cs="Arial" w:eastAsia="Arial" w:hAnsi="Arial"/>
          <w:sz w:val="17"/>
          <w:szCs w:val="17"/>
          <w:b w:val="1"/>
          <w:bCs w:val="1"/>
          <w:color w:val="auto"/>
        </w:rPr>
        <w:t>Shares</w:t>
      </w:r>
      <w:r>
        <w:rPr>
          <w:rFonts w:ascii="Arial" w:cs="Arial" w:eastAsia="Arial" w:hAnsi="Arial"/>
          <w:sz w:val="17"/>
          <w:szCs w:val="17"/>
          <w:color w:val="auto"/>
        </w:rPr>
        <w:t>”), $0.0001 par value per share (the “</w:t>
      </w:r>
      <w:r>
        <w:rPr>
          <w:rFonts w:ascii="Arial" w:cs="Arial" w:eastAsia="Arial" w:hAnsi="Arial"/>
          <w:sz w:val="17"/>
          <w:szCs w:val="17"/>
          <w:b w:val="1"/>
          <w:bCs w:val="1"/>
          <w:color w:val="auto"/>
        </w:rPr>
        <w:t>Class B Ordinary Shares</w:t>
      </w:r>
      <w:r>
        <w:rPr>
          <w:rFonts w:ascii="Arial" w:cs="Arial" w:eastAsia="Arial" w:hAnsi="Arial"/>
          <w:sz w:val="17"/>
          <w:szCs w:val="17"/>
          <w:color w:val="auto"/>
        </w:rPr>
        <w:t>” together with all other classes of Company (as defined below) ordinary shares, the “</w:t>
      </w:r>
      <w:r>
        <w:rPr>
          <w:rFonts w:ascii="Arial" w:cs="Arial" w:eastAsia="Arial" w:hAnsi="Arial"/>
          <w:sz w:val="17"/>
          <w:szCs w:val="17"/>
          <w:b w:val="1"/>
          <w:bCs w:val="1"/>
          <w:color w:val="auto"/>
        </w:rPr>
        <w:t>Ordinary Shares</w:t>
      </w:r>
      <w:r>
        <w:rPr>
          <w:rFonts w:ascii="Arial" w:cs="Arial" w:eastAsia="Arial" w:hAnsi="Arial"/>
          <w:sz w:val="17"/>
          <w:szCs w:val="17"/>
          <w:color w:val="auto"/>
        </w:rPr>
        <w:t>”), up to 1,125,000 Shares of which are subject to complete or partial forfeiture by you if the underwriters of the initial public offering (“</w:t>
      </w:r>
      <w:r>
        <w:rPr>
          <w:rFonts w:ascii="Arial" w:cs="Arial" w:eastAsia="Arial" w:hAnsi="Arial"/>
          <w:sz w:val="17"/>
          <w:szCs w:val="17"/>
          <w:b w:val="1"/>
          <w:bCs w:val="1"/>
          <w:color w:val="auto"/>
        </w:rPr>
        <w:t>IPO</w:t>
      </w:r>
      <w:r>
        <w:rPr>
          <w:rFonts w:ascii="Arial" w:cs="Arial" w:eastAsia="Arial" w:hAnsi="Arial"/>
          <w:sz w:val="17"/>
          <w:szCs w:val="17"/>
          <w:color w:val="auto"/>
        </w:rPr>
        <w:t>”) of Sustainable Opportunities Acquisition Corp., a Cayman Islands exempted company (the “</w:t>
      </w:r>
      <w:r>
        <w:rPr>
          <w:rFonts w:ascii="Arial" w:cs="Arial" w:eastAsia="Arial" w:hAnsi="Arial"/>
          <w:sz w:val="17"/>
          <w:szCs w:val="17"/>
          <w:b w:val="1"/>
          <w:bCs w:val="1"/>
          <w:color w:val="auto"/>
        </w:rPr>
        <w:t>Company</w:t>
      </w:r>
      <w:r>
        <w:rPr>
          <w:rFonts w:ascii="Arial" w:cs="Arial" w:eastAsia="Arial" w:hAnsi="Arial"/>
          <w:sz w:val="17"/>
          <w:szCs w:val="17"/>
          <w:color w:val="auto"/>
        </w:rPr>
        <w:t>”), do not fully exercise their over-allotment option (the “</w:t>
      </w:r>
      <w:r>
        <w:rPr>
          <w:rFonts w:ascii="Arial" w:cs="Arial" w:eastAsia="Arial" w:hAnsi="Arial"/>
          <w:sz w:val="17"/>
          <w:szCs w:val="17"/>
          <w:b w:val="1"/>
          <w:bCs w:val="1"/>
          <w:color w:val="auto"/>
        </w:rPr>
        <w:t>Over-allotment Option</w:t>
      </w:r>
      <w:r>
        <w:rPr>
          <w:rFonts w:ascii="Arial" w:cs="Arial" w:eastAsia="Arial" w:hAnsi="Arial"/>
          <w:sz w:val="17"/>
          <w:szCs w:val="17"/>
          <w:color w:val="auto"/>
        </w:rPr>
        <w:t>”). The terms (this “</w:t>
      </w:r>
      <w:r>
        <w:rPr>
          <w:rFonts w:ascii="Arial" w:cs="Arial" w:eastAsia="Arial" w:hAnsi="Arial"/>
          <w:sz w:val="17"/>
          <w:szCs w:val="17"/>
          <w:b w:val="1"/>
          <w:bCs w:val="1"/>
          <w:color w:val="auto"/>
        </w:rPr>
        <w:t>Agreement</w:t>
      </w:r>
      <w:r>
        <w:rPr>
          <w:rFonts w:ascii="Arial" w:cs="Arial" w:eastAsia="Arial" w:hAnsi="Arial"/>
          <w:sz w:val="17"/>
          <w:szCs w:val="17"/>
          <w:color w:val="auto"/>
        </w:rPr>
        <w:t>”) on which the Company is willing to sell the Shares to the Subscriber, and the Company and the Subscriber’s agreements regarding such Shares, are as follows:</w:t>
      </w:r>
    </w:p>
    <w:p>
      <w:pPr>
        <w:spacing w:after="0" w:line="173" w:lineRule="exact"/>
        <w:rPr>
          <w:sz w:val="20"/>
          <w:szCs w:val="20"/>
          <w:color w:val="auto"/>
        </w:rPr>
      </w:pPr>
    </w:p>
    <w:p>
      <w:pPr>
        <w:jc w:val="both"/>
        <w:ind w:firstLine="332"/>
        <w:spacing w:after="0" w:line="266" w:lineRule="auto"/>
        <w:tabs>
          <w:tab w:leader="none" w:pos="504"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Purchase of Shares</w:t>
      </w:r>
      <w:r>
        <w:rPr>
          <w:rFonts w:ascii="Arial" w:cs="Arial" w:eastAsia="Arial" w:hAnsi="Arial"/>
          <w:sz w:val="18"/>
          <w:szCs w:val="18"/>
          <w:color w:val="auto"/>
        </w:rPr>
        <w:t>. For the sum of $25,000 (the “</w:t>
      </w:r>
      <w:r>
        <w:rPr>
          <w:rFonts w:ascii="Arial" w:cs="Arial" w:eastAsia="Arial" w:hAnsi="Arial"/>
          <w:sz w:val="18"/>
          <w:szCs w:val="18"/>
          <w:b w:val="1"/>
          <w:bCs w:val="1"/>
          <w:color w:val="auto"/>
        </w:rPr>
        <w:t>Purchase Price</w:t>
      </w:r>
      <w:r>
        <w:rPr>
          <w:rFonts w:ascii="Arial" w:cs="Arial" w:eastAsia="Arial" w:hAnsi="Arial"/>
          <w:sz w:val="18"/>
          <w:szCs w:val="18"/>
          <w:color w:val="auto"/>
        </w:rPr>
        <w:t>”), which the Company acknowledges receiving in cash, the Company hereby sells and issues the Shares to the Subscriber, and the Subscriber hereby purchases the Shares from the Company, subject to the forfeiture provisions of Section 3 below, on the terms and subject to the conditions set forth in this Agreement.</w:t>
      </w:r>
    </w:p>
    <w:p>
      <w:pPr>
        <w:spacing w:after="0" w:line="179" w:lineRule="exact"/>
        <w:rPr>
          <w:rFonts w:ascii="Arial" w:cs="Arial" w:eastAsia="Arial" w:hAnsi="Arial"/>
          <w:sz w:val="18"/>
          <w:szCs w:val="18"/>
          <w:color w:val="auto"/>
        </w:rPr>
      </w:pPr>
    </w:p>
    <w:p>
      <w:pPr>
        <w:ind w:left="520" w:hanging="188"/>
        <w:spacing w:after="0"/>
        <w:tabs>
          <w:tab w:leader="none" w:pos="520"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Representations, Warranties and Agreements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Subscriber’s Representations, Warranties and Agreements</w:t>
      </w:r>
      <w:r>
        <w:rPr>
          <w:rFonts w:ascii="Arial" w:cs="Arial" w:eastAsia="Arial" w:hAnsi="Arial"/>
          <w:sz w:val="18"/>
          <w:szCs w:val="18"/>
          <w:color w:val="auto"/>
        </w:rPr>
        <w:t>. To induce the Company to issue the Shares to the Subscriber, the Subscriber hereby represents and warrants to the Company and agrees with the Company as follows:</w:t>
      </w:r>
    </w:p>
    <w:p>
      <w:pPr>
        <w:spacing w:after="0" w:line="170"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No Government Recommendation or Approval</w:t>
      </w:r>
      <w:r>
        <w:rPr>
          <w:rFonts w:ascii="Arial" w:cs="Arial" w:eastAsia="Arial" w:hAnsi="Arial"/>
          <w:sz w:val="18"/>
          <w:szCs w:val="18"/>
          <w:color w:val="auto"/>
        </w:rPr>
        <w:t>. The Subscriber understands that no federal or state agency has passed upon or made any recommendation or endorsement of the offering of the Shares.</w:t>
      </w:r>
    </w:p>
    <w:p>
      <w:pPr>
        <w:spacing w:after="0" w:line="17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and the consummation by the Subscriber of the transactions contemplated hereby do not violate, conflict with or constitute a default under (i) the formation and governing documents of the Subscriber, (ii) any agreement, indenture or instrument to which the Subscriber is a party, (iii) any law, statute, rule or regulation to which the Subscriber is subject, or (iv) any agreement, order, judgment or decree to which the Subscriber is subject.</w:t>
      </w:r>
    </w:p>
    <w:p>
      <w:pPr>
        <w:spacing w:after="0" w:line="187" w:lineRule="exact"/>
        <w:rPr>
          <w:sz w:val="20"/>
          <w:szCs w:val="20"/>
          <w:color w:val="auto"/>
        </w:rPr>
      </w:pPr>
    </w:p>
    <w:p>
      <w:pPr>
        <w:jc w:val="both"/>
        <w:ind w:firstLine="972"/>
        <w:spacing w:after="0" w:line="296" w:lineRule="auto"/>
        <w:rPr>
          <w:sz w:val="20"/>
          <w:szCs w:val="20"/>
          <w:color w:val="auto"/>
        </w:rPr>
      </w:pPr>
      <w:r>
        <w:rPr>
          <w:rFonts w:ascii="Arial" w:cs="Arial" w:eastAsia="Arial" w:hAnsi="Arial"/>
          <w:sz w:val="16"/>
          <w:szCs w:val="16"/>
          <w:color w:val="auto"/>
        </w:rPr>
        <w:t xml:space="preserve">2.1.3. </w:t>
      </w:r>
      <w:r>
        <w:rPr>
          <w:rFonts w:ascii="Arial" w:cs="Arial" w:eastAsia="Arial" w:hAnsi="Arial"/>
          <w:sz w:val="16"/>
          <w:szCs w:val="16"/>
          <w:u w:val="single" w:color="auto"/>
          <w:color w:val="auto"/>
        </w:rPr>
        <w:t>Organization and Authority</w:t>
      </w:r>
      <w:r>
        <w:rPr>
          <w:rFonts w:ascii="Arial" w:cs="Arial" w:eastAsia="Arial" w:hAnsi="Arial"/>
          <w:sz w:val="16"/>
          <w:szCs w:val="16"/>
          <w:color w:val="auto"/>
        </w:rPr>
        <w:t>. The Subscriber is a Delaware limited liability company, validly existing and in good standing under the laws of Delaware and possesses all requisite power and authority necessary to carry out the transactions contemplated by this Agreement. Upon execution and delivery by you, this Agreement will be a legal, valid and binding agreement of Subscriber, enforceable against Subscriber in accordance with its terms, except as such enforceability may be limited by applicable bankruptcy, insolvency, fraudulent conveyance or similar laws affecting the enforcement of creditors’ rights generally and subject to general principles of equity (regardless of whether enforcement is sought in a proceeding at law or in equity).</w:t>
      </w:r>
    </w:p>
    <w:p>
      <w:pPr>
        <w:spacing w:after="0" w:line="161" w:lineRule="exact"/>
        <w:rPr>
          <w:sz w:val="20"/>
          <w:szCs w:val="20"/>
          <w:color w:val="auto"/>
        </w:rPr>
      </w:pPr>
    </w:p>
    <w:p>
      <w:pPr>
        <w:jc w:val="both"/>
        <w:ind w:firstLine="972"/>
        <w:spacing w:after="0" w:line="291"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Experience, Financial Capability and Suitability</w:t>
      </w:r>
      <w:r>
        <w:rPr>
          <w:rFonts w:ascii="Arial" w:cs="Arial" w:eastAsia="Arial" w:hAnsi="Arial"/>
          <w:sz w:val="16"/>
          <w:szCs w:val="16"/>
          <w:color w:val="auto"/>
        </w:rPr>
        <w:t>. Subscriber is: (i) sophisticated in financial matters and is able to evaluate the risks and benefits of the investment in the Shares and (ii) able to bear the economic risk of its investment in the Shares for an indefinite period of time because the Shares have not been registered under the Securities Act (as defined below) and therefore cannot be resold unless subsequently registered under the Securities Act or an exemption from such registration is available. Subscriber is capable of evaluating the merits and risks of its investment in the Company and has the capacity to protect its own interests. Subscriber must bear the economic risk of this investment until the Shares are sold pursuant to: (x) an effective registration statement under the Securities Act or (y) an exemption from registration available with respect to such sale. Subscriber is able to bear the economic risks of an investment in the Shares and to afford a complete loss of Subscriber’s investment in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9" w:name="page210"/>
    <w:bookmarkEnd w:id="209"/>
    <w:p>
      <w:pPr>
        <w:jc w:val="both"/>
        <w:ind w:firstLine="972"/>
        <w:spacing w:after="0" w:line="254"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Access to Information; Independent Investigation</w:t>
      </w:r>
      <w:r>
        <w:rPr>
          <w:rFonts w:ascii="Arial" w:cs="Arial" w:eastAsia="Arial" w:hAnsi="Arial"/>
          <w:sz w:val="18"/>
          <w:szCs w:val="18"/>
          <w:color w:val="auto"/>
        </w:rPr>
        <w:t>. Prior to the execution of this Agreement, the Subscriber has had the opportunity to ask questions of and receive answers from representatives of the Company concerning an investment in the Company, as well as the finances, operations, business and prospects of the Company, and the opportunity to obtain additional information to verify the accuracy of all information so obtained. In determining whether to make this investment, Subscriber has relied solely on Subscriber’s own knowledge and understanding of the Company and its business based upon Subscriber’s own due diligence investigation and the information furnished pursuant to this paragraph. Subscriber understands that no person has been authorized to give any information or to make any representations which were not furnished pursuant to this Section 2 and Subscriber has not relied on any other representations or information in making its investment decision, whether written or oral, relating to the Company, its operations or its prospects.</w:t>
      </w:r>
    </w:p>
    <w:p>
      <w:pPr>
        <w:spacing w:after="0" w:line="192" w:lineRule="exact"/>
        <w:rPr>
          <w:sz w:val="20"/>
          <w:szCs w:val="20"/>
          <w:color w:val="auto"/>
        </w:rPr>
      </w:pPr>
    </w:p>
    <w:p>
      <w:pPr>
        <w:jc w:val="both"/>
        <w:ind w:firstLine="972"/>
        <w:spacing w:after="0" w:line="263" w:lineRule="auto"/>
        <w:rPr>
          <w:sz w:val="20"/>
          <w:szCs w:val="20"/>
          <w:color w:val="auto"/>
        </w:rPr>
      </w:pPr>
      <w:r>
        <w:rPr>
          <w:rFonts w:ascii="Arial" w:cs="Arial" w:eastAsia="Arial" w:hAnsi="Arial"/>
          <w:sz w:val="18"/>
          <w:szCs w:val="18"/>
          <w:color w:val="auto"/>
        </w:rPr>
        <w:t xml:space="preserve">2.1.6. </w:t>
      </w:r>
      <w:r>
        <w:rPr>
          <w:rFonts w:ascii="Arial" w:cs="Arial" w:eastAsia="Arial" w:hAnsi="Arial"/>
          <w:sz w:val="18"/>
          <w:szCs w:val="18"/>
          <w:u w:val="single" w:color="auto"/>
          <w:color w:val="auto"/>
        </w:rPr>
        <w:t>Regulation D Offering</w:t>
      </w:r>
      <w:r>
        <w:rPr>
          <w:rFonts w:ascii="Arial" w:cs="Arial" w:eastAsia="Arial" w:hAnsi="Arial"/>
          <w:sz w:val="18"/>
          <w:szCs w:val="18"/>
          <w:color w:val="auto"/>
        </w:rPr>
        <w:t>. Subscriber represents that it is an “accredited investor” as such term is defined in Rule 501(a) of Regulation D under the Securities Act of 1933, as amended (the “</w:t>
      </w:r>
      <w:r>
        <w:rPr>
          <w:rFonts w:ascii="Arial" w:cs="Arial" w:eastAsia="Arial" w:hAnsi="Arial"/>
          <w:sz w:val="18"/>
          <w:szCs w:val="18"/>
          <w:b w:val="1"/>
          <w:bCs w:val="1"/>
          <w:color w:val="auto"/>
        </w:rPr>
        <w:t>Securities Act</w:t>
      </w:r>
      <w:r>
        <w:rPr>
          <w:rFonts w:ascii="Arial" w:cs="Arial" w:eastAsia="Arial" w:hAnsi="Arial"/>
          <w:sz w:val="18"/>
          <w:szCs w:val="18"/>
          <w:color w:val="auto"/>
        </w:rPr>
        <w:t>”) and acknowledges the sale contemplated hereby is being made in reliance on a private placement exemption applicable to “accredited investors” or similar exemptions under federal and state law.</w:t>
      </w:r>
    </w:p>
    <w:p>
      <w:pPr>
        <w:spacing w:after="0" w:line="184" w:lineRule="exact"/>
        <w:rPr>
          <w:sz w:val="20"/>
          <w:szCs w:val="20"/>
          <w:color w:val="auto"/>
        </w:rPr>
      </w:pPr>
    </w:p>
    <w:p>
      <w:pPr>
        <w:jc w:val="both"/>
        <w:ind w:firstLine="972"/>
        <w:spacing w:after="0" w:line="311" w:lineRule="auto"/>
        <w:rPr>
          <w:sz w:val="20"/>
          <w:szCs w:val="20"/>
          <w:color w:val="auto"/>
        </w:rPr>
      </w:pPr>
      <w:r>
        <w:rPr>
          <w:rFonts w:ascii="Arial" w:cs="Arial" w:eastAsia="Arial" w:hAnsi="Arial"/>
          <w:sz w:val="16"/>
          <w:szCs w:val="16"/>
          <w:color w:val="auto"/>
        </w:rPr>
        <w:t xml:space="preserve">2.1.7. </w:t>
      </w:r>
      <w:r>
        <w:rPr>
          <w:rFonts w:ascii="Arial" w:cs="Arial" w:eastAsia="Arial" w:hAnsi="Arial"/>
          <w:sz w:val="16"/>
          <w:szCs w:val="16"/>
          <w:u w:val="single" w:color="auto"/>
          <w:color w:val="auto"/>
        </w:rPr>
        <w:t>Investment Purposes</w:t>
      </w:r>
      <w:r>
        <w:rPr>
          <w:rFonts w:ascii="Arial" w:cs="Arial" w:eastAsia="Arial" w:hAnsi="Arial"/>
          <w:sz w:val="16"/>
          <w:szCs w:val="16"/>
          <w:color w:val="auto"/>
        </w:rPr>
        <w:t>. The Subscriber is purchasing the Shares solely for investment purposes, for the Subscriber’s own account and not for the account or benefit of any other person, and not with a view towards the distribution or dissemination thereof. The Subscriber did not enter into this Agreement as a result of any general solicitation or general advertising within the meaning of Rule 502 of Regulation D under the Securities Act.</w:t>
      </w:r>
    </w:p>
    <w:p>
      <w:pPr>
        <w:spacing w:after="0" w:line="149" w:lineRule="exact"/>
        <w:rPr>
          <w:sz w:val="20"/>
          <w:szCs w:val="20"/>
          <w:color w:val="auto"/>
        </w:rPr>
      </w:pPr>
    </w:p>
    <w:p>
      <w:pPr>
        <w:jc w:val="both"/>
        <w:ind w:firstLine="972"/>
        <w:spacing w:after="0" w:line="289"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u w:val="single" w:color="auto"/>
          <w:color w:val="auto"/>
        </w:rPr>
        <w:t>Restrictions on Transfer; Shell Company</w:t>
      </w:r>
      <w:r>
        <w:rPr>
          <w:rFonts w:ascii="Arial" w:cs="Arial" w:eastAsia="Arial" w:hAnsi="Arial"/>
          <w:sz w:val="16"/>
          <w:szCs w:val="16"/>
          <w:color w:val="auto"/>
        </w:rPr>
        <w:t>. Subscriber understands the Shares are being offered in a transaction not involving a public offering within the meaning of the Securities Act. Subscriber understands the Shares will be “restricted securities” as defined in Rule 144(a)(3) under the Securities Act and Subscriber understands that the certificate representing the Shares will contain a legend in respect of such restrictions. If in the future the Subscriber decides to offer, resell, pledge or otherwise transfer the Shares, such Shares may be offered, resold, pledged or otherwise transferred only in accordance with the provisions of Section 5.1 hereof. Subscriber agrees that if any transfer of its Shares or any interest therein is proposed to be made, as a condition precedent to any such transfer, Subscriber may be required to deliver to the Company an opinion of counsel satisfactory to the Company. Absent registration or an exemption, the Subscriber agrees not to resell the Shares. Subscriber further acknowledges that because the Company is a shell company, Rule 144 may not be available to the Subscriber for the resale of the Shares until one year following consummation of the initial business combination of the Company, despite technical compliance with the certain requirements of Rule 144 and the release or waiver of any contractual transfer restrictions.</w:t>
      </w:r>
    </w:p>
    <w:p>
      <w:pPr>
        <w:spacing w:after="0" w:line="166" w:lineRule="exact"/>
        <w:rPr>
          <w:sz w:val="20"/>
          <w:szCs w:val="20"/>
          <w:color w:val="auto"/>
        </w:rPr>
      </w:pPr>
    </w:p>
    <w:p>
      <w:pPr>
        <w:jc w:val="both"/>
        <w:ind w:firstLine="972"/>
        <w:spacing w:after="0" w:line="277" w:lineRule="auto"/>
        <w:rPr>
          <w:sz w:val="20"/>
          <w:szCs w:val="20"/>
          <w:color w:val="auto"/>
        </w:rPr>
      </w:pPr>
      <w:r>
        <w:rPr>
          <w:rFonts w:ascii="Arial" w:cs="Arial" w:eastAsia="Arial" w:hAnsi="Arial"/>
          <w:sz w:val="18"/>
          <w:szCs w:val="18"/>
          <w:color w:val="auto"/>
        </w:rPr>
        <w:t xml:space="preserve">2.1.9. </w:t>
      </w:r>
      <w:r>
        <w:rPr>
          <w:rFonts w:ascii="Arial" w:cs="Arial" w:eastAsia="Arial" w:hAnsi="Arial"/>
          <w:sz w:val="18"/>
          <w:szCs w:val="18"/>
          <w:u w:val="single" w:color="auto"/>
          <w:color w:val="auto"/>
        </w:rPr>
        <w:t>No Governmental Consents</w:t>
      </w:r>
      <w:r>
        <w:rPr>
          <w:rFonts w:ascii="Arial" w:cs="Arial" w:eastAsia="Arial" w:hAnsi="Arial"/>
          <w:sz w:val="18"/>
          <w:szCs w:val="18"/>
          <w:color w:val="auto"/>
        </w:rPr>
        <w:t>. No governmental, administrative or other third party consents or approvals are required, necessary or appropriate on the part of Subscriber in connection with the transactions contemplated by this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Company’s Representations, Warranties and Agreements</w:t>
      </w:r>
      <w:r>
        <w:rPr>
          <w:rFonts w:ascii="Arial" w:cs="Arial" w:eastAsia="Arial" w:hAnsi="Arial"/>
          <w:sz w:val="18"/>
          <w:szCs w:val="18"/>
          <w:color w:val="auto"/>
        </w:rPr>
        <w:t>. To induce the Subscriber to purchase the Shares, the Company hereby represents and warrants to the Subscriber and agrees with the Subscriber as follows:</w:t>
      </w:r>
    </w:p>
    <w:p>
      <w:pPr>
        <w:spacing w:after="0" w:line="170"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2.2.1 </w:t>
      </w:r>
      <w:r>
        <w:rPr>
          <w:rFonts w:ascii="Arial" w:cs="Arial" w:eastAsia="Arial" w:hAnsi="Arial"/>
          <w:sz w:val="18"/>
          <w:szCs w:val="18"/>
          <w:u w:val="single" w:color="auto"/>
          <w:color w:val="auto"/>
        </w:rPr>
        <w:t>Organization and Corporate Power</w:t>
      </w:r>
      <w:r>
        <w:rPr>
          <w:rFonts w:ascii="Arial" w:cs="Arial" w:eastAsia="Arial" w:hAnsi="Arial"/>
          <w:sz w:val="18"/>
          <w:szCs w:val="18"/>
          <w:color w:val="auto"/>
        </w:rPr>
        <w:t>. The Company is a Cayman Islands exempted company and is qualified to do business in every jurisdiction in which the failure to so qualify would reasonably be expected to have a material adverse effect on the financial condition, operating results or assets of the Company. The Company possesses all requisite corporate power and authority necessary to carry out the transactions contemplated by this Agreement.</w:t>
      </w:r>
    </w:p>
    <w:p>
      <w:pPr>
        <w:spacing w:after="0" w:line="187" w:lineRule="exact"/>
        <w:rPr>
          <w:sz w:val="20"/>
          <w:szCs w:val="20"/>
          <w:color w:val="auto"/>
        </w:rPr>
      </w:pPr>
    </w:p>
    <w:p>
      <w:pPr>
        <w:jc w:val="both"/>
        <w:ind w:firstLine="972"/>
        <w:spacing w:after="0" w:line="259" w:lineRule="auto"/>
        <w:rPr>
          <w:sz w:val="20"/>
          <w:szCs w:val="20"/>
          <w:color w:val="auto"/>
        </w:rPr>
      </w:pPr>
      <w:r>
        <w:rPr>
          <w:rFonts w:ascii="Arial" w:cs="Arial" w:eastAsia="Arial" w:hAnsi="Arial"/>
          <w:sz w:val="18"/>
          <w:szCs w:val="18"/>
          <w:color w:val="auto"/>
        </w:rPr>
        <w:t xml:space="preserve">2.2.2. </w:t>
      </w:r>
      <w:r>
        <w:rPr>
          <w:rFonts w:ascii="Arial" w:cs="Arial" w:eastAsia="Arial" w:hAnsi="Arial"/>
          <w:sz w:val="18"/>
          <w:szCs w:val="18"/>
          <w:u w:val="single" w:color="auto"/>
          <w:color w:val="auto"/>
        </w:rPr>
        <w:t>No Conflicts</w:t>
      </w:r>
      <w:r>
        <w:rPr>
          <w:rFonts w:ascii="Arial" w:cs="Arial" w:eastAsia="Arial" w:hAnsi="Arial"/>
          <w:sz w:val="18"/>
          <w:szCs w:val="18"/>
          <w:color w:val="auto"/>
        </w:rPr>
        <w:t>. The execution, delivery and performance of this Agreement and the consummation by the Company of the transactions contemplated hereby do not violate, conflict with or constitute a default under (i) the Memorandum and Articles of Association of the Company, (ii) any agreement, indenture or instrument to which the Company is a party, (iii) any law, statute, rule or regulation to which the Company is subject, or (iv) any agreement, order, judgment or decree to which the Company is subject.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0" w:name="page211"/>
    <w:bookmarkEnd w:id="210"/>
    <w:p>
      <w:pPr>
        <w:jc w:val="both"/>
        <w:ind w:firstLine="972"/>
        <w:spacing w:after="0" w:line="275" w:lineRule="auto"/>
        <w:rPr>
          <w:sz w:val="20"/>
          <w:szCs w:val="20"/>
          <w:color w:val="auto"/>
        </w:rPr>
      </w:pPr>
      <w:r>
        <w:rPr>
          <w:rFonts w:ascii="Arial" w:cs="Arial" w:eastAsia="Arial" w:hAnsi="Arial"/>
          <w:sz w:val="17"/>
          <w:szCs w:val="17"/>
          <w:color w:val="auto"/>
        </w:rPr>
        <w:t xml:space="preserve">2.2.3. </w:t>
      </w:r>
      <w:r>
        <w:rPr>
          <w:rFonts w:ascii="Arial" w:cs="Arial" w:eastAsia="Arial" w:hAnsi="Arial"/>
          <w:sz w:val="17"/>
          <w:szCs w:val="17"/>
          <w:u w:val="single" w:color="auto"/>
          <w:color w:val="auto"/>
        </w:rPr>
        <w:t>Title to Securities</w:t>
      </w:r>
      <w:r>
        <w:rPr>
          <w:rFonts w:ascii="Arial" w:cs="Arial" w:eastAsia="Arial" w:hAnsi="Arial"/>
          <w:sz w:val="17"/>
          <w:szCs w:val="17"/>
          <w:color w:val="auto"/>
        </w:rPr>
        <w:t>. Upon issuance in accordance with, and payment pursuant to, the terms hereof, the Shares will be duly and validly issued, fully paid and nonassessable. Upon issuance in accordance with, and payment pursuant to, the terms hereof the Subscriber will have or receive good title to the Shares, free and clear of all liens, claims and encumbrances of any kind, other than (a) transfer restrictions hereunder and other agreements to which the Shares may be subject which have been notified to the Subscriber in writing, (b) transfer restrictions under federal and state securities laws, and (c) liens, claims or encumbrances imposed due to the actions of the Subscriber.</w:t>
      </w:r>
    </w:p>
    <w:p>
      <w:pPr>
        <w:spacing w:after="0" w:line="17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 xml:space="preserve">2.2.4. </w:t>
      </w:r>
      <w:r>
        <w:rPr>
          <w:rFonts w:ascii="Arial" w:cs="Arial" w:eastAsia="Arial" w:hAnsi="Arial"/>
          <w:sz w:val="16"/>
          <w:szCs w:val="16"/>
          <w:u w:val="single" w:color="auto"/>
          <w:color w:val="auto"/>
        </w:rPr>
        <w:t>No Adverse Actions</w:t>
      </w:r>
      <w:r>
        <w:rPr>
          <w:rFonts w:ascii="Arial" w:cs="Arial" w:eastAsia="Arial" w:hAnsi="Arial"/>
          <w:sz w:val="16"/>
          <w:szCs w:val="16"/>
          <w:color w:val="auto"/>
        </w:rPr>
        <w:t>. There are no actions, suits, investigations or proceedings pending, threatened against or affecting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which: (i) seek to restrain, enjoin, prevent the consummation of or otherwise affect the transactions contemplated by this Agreement or (ii) question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validity or legality of any transactions or seek to recover damages or to obtain other relief in connection with any transactions.</w:t>
      </w:r>
    </w:p>
    <w:p>
      <w:pPr>
        <w:spacing w:after="0" w:line="211" w:lineRule="exact"/>
        <w:rPr>
          <w:sz w:val="20"/>
          <w:szCs w:val="20"/>
          <w:color w:val="auto"/>
        </w:rPr>
      </w:pPr>
    </w:p>
    <w:p>
      <w:pPr>
        <w:ind w:left="520" w:hanging="188"/>
        <w:spacing w:after="0"/>
        <w:tabs>
          <w:tab w:leader="none" w:pos="520"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Forfeiture of Shares</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Partial or No Exercise of the Over-allotment Option</w:t>
      </w:r>
      <w:r>
        <w:rPr>
          <w:rFonts w:ascii="Arial" w:cs="Arial" w:eastAsia="Arial" w:hAnsi="Arial"/>
          <w:sz w:val="16"/>
          <w:szCs w:val="16"/>
          <w:color w:val="auto"/>
        </w:rPr>
        <w:t>. In the event the Over-allotment Option is not exercised in full, the Subscriber acknowledges and agrees that it shall forfeit any and all rights to such number of Shares (up to an aggregate of 1,125,000 Shares and pro rata based upon the percentage of the Over-allotment Option exercised) such that immediately following such forfeiture, the Subscriber (and all other initial shareholders prior to the IPO, if any) will own an aggregate number of Shares (not including Shares issuable upon exercise of any warrants or any Ordinary Shares purchased the Subscriber in the IPO or in the aftermarket) equal to 20% of the issued and outstanding Ordinary Shares immediately following the IPO.</w:t>
      </w:r>
    </w:p>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Termination of Rights as Shareholder</w:t>
      </w:r>
      <w:r>
        <w:rPr>
          <w:rFonts w:ascii="Arial" w:cs="Arial" w:eastAsia="Arial" w:hAnsi="Arial"/>
          <w:sz w:val="18"/>
          <w:szCs w:val="18"/>
          <w:color w:val="auto"/>
        </w:rPr>
        <w:t>. If any of the Shares are forfeited in accordance with this Section 3, then after such time the Subscriber (or successor in interest), shall no longer have any rights as a holder of such Shares, and the Company shall take such action as is appropriate to cancel such Shares.</w:t>
      </w:r>
    </w:p>
    <w:p>
      <w:pPr>
        <w:spacing w:after="0" w:line="184" w:lineRule="exact"/>
        <w:rPr>
          <w:sz w:val="20"/>
          <w:szCs w:val="20"/>
          <w:color w:val="auto"/>
        </w:rPr>
      </w:pPr>
    </w:p>
    <w:p>
      <w:pPr>
        <w:jc w:val="both"/>
        <w:ind w:firstLine="330"/>
        <w:spacing w:after="0" w:line="272" w:lineRule="auto"/>
        <w:tabs>
          <w:tab w:leader="none" w:pos="502" w:val="left"/>
        </w:tabs>
        <w:numPr>
          <w:ilvl w:val="0"/>
          <w:numId w:val="135"/>
        </w:numPr>
        <w:rPr>
          <w:rFonts w:ascii="Arial" w:cs="Arial" w:eastAsia="Arial" w:hAnsi="Arial"/>
          <w:sz w:val="17"/>
          <w:szCs w:val="17"/>
          <w:color w:val="auto"/>
        </w:rPr>
      </w:pPr>
      <w:r>
        <w:rPr>
          <w:rFonts w:ascii="Arial" w:cs="Arial" w:eastAsia="Arial" w:hAnsi="Arial"/>
          <w:sz w:val="17"/>
          <w:szCs w:val="17"/>
          <w:u w:val="single" w:color="auto"/>
          <w:color w:val="auto"/>
        </w:rPr>
        <w:t>Waiver of Liquidation Distributions; Redemption Rights</w:t>
      </w:r>
      <w:r>
        <w:rPr>
          <w:rFonts w:ascii="Arial" w:cs="Arial" w:eastAsia="Arial" w:hAnsi="Arial"/>
          <w:sz w:val="17"/>
          <w:szCs w:val="17"/>
          <w:color w:val="auto"/>
        </w:rPr>
        <w:t>. In connection with the Shares purchased pursuant to this Agreement, the Subscriber hereby waives any and all right, title, interest or claim of any kind in or to any distributions by the Company from the trust account which will be established for the benefit of the Company’s public shareholders and into which substantially all of the proceeds of the IPO will be deposited (the “</w:t>
      </w:r>
      <w:r>
        <w:rPr>
          <w:rFonts w:ascii="Arial" w:cs="Arial" w:eastAsia="Arial" w:hAnsi="Arial"/>
          <w:sz w:val="17"/>
          <w:szCs w:val="17"/>
          <w:b w:val="1"/>
          <w:bCs w:val="1"/>
          <w:color w:val="auto"/>
        </w:rPr>
        <w:t>Trust Account</w:t>
      </w:r>
      <w:r>
        <w:rPr>
          <w:rFonts w:ascii="Arial" w:cs="Arial" w:eastAsia="Arial" w:hAnsi="Arial"/>
          <w:sz w:val="17"/>
          <w:szCs w:val="17"/>
          <w:color w:val="auto"/>
        </w:rPr>
        <w:t>”), in the event of a liquidation of the Company upon the Company’s failure to timely complete an initial business combination. For purposes of clarity, in the event the Subscriber purchases Ordinary Shares in the IPO or in the aftermarket, any additional Ordinary Shares so purchased shall be eligible to receive any liquidating distributions by the Company. However, in no event will the Subscriber have the right to redeem any Shares for funds held in the Trust Account upon the successful completion of an initial business combination by the Company.</w:t>
      </w:r>
    </w:p>
    <w:p>
      <w:pPr>
        <w:spacing w:after="0" w:line="177" w:lineRule="exact"/>
        <w:rPr>
          <w:rFonts w:ascii="Arial" w:cs="Arial" w:eastAsia="Arial" w:hAnsi="Arial"/>
          <w:sz w:val="17"/>
          <w:szCs w:val="17"/>
          <w:color w:val="auto"/>
        </w:rPr>
      </w:pPr>
    </w:p>
    <w:p>
      <w:pPr>
        <w:ind w:left="520" w:hanging="190"/>
        <w:spacing w:after="0"/>
        <w:tabs>
          <w:tab w:leader="none" w:pos="520"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r>
        <w:rPr>
          <w:rFonts w:ascii="Arial" w:cs="Arial" w:eastAsia="Arial" w:hAnsi="Arial"/>
          <w:sz w:val="18"/>
          <w:szCs w:val="18"/>
          <w:color w:val="auto"/>
        </w:rPr>
        <w:t>.</w:t>
      </w:r>
    </w:p>
    <w:p>
      <w:pPr>
        <w:spacing w:after="0" w:line="221"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Securities Law Restrictions</w:t>
      </w:r>
      <w:r>
        <w:rPr>
          <w:rFonts w:ascii="Arial" w:cs="Arial" w:eastAsia="Arial" w:hAnsi="Arial"/>
          <w:sz w:val="16"/>
          <w:szCs w:val="16"/>
          <w:color w:val="auto"/>
        </w:rPr>
        <w:t>. In addition to any restrictions to be contained in that certain letter agreement (commonly known as an “</w:t>
      </w:r>
      <w:r>
        <w:rPr>
          <w:rFonts w:ascii="Arial" w:cs="Arial" w:eastAsia="Arial" w:hAnsi="Arial"/>
          <w:sz w:val="16"/>
          <w:szCs w:val="16"/>
          <w:b w:val="1"/>
          <w:bCs w:val="1"/>
          <w:color w:val="auto"/>
        </w:rPr>
        <w:t>Insider</w:t>
      </w:r>
      <w:r>
        <w:rPr>
          <w:rFonts w:ascii="Arial" w:cs="Arial" w:eastAsia="Arial" w:hAnsi="Arial"/>
          <w:sz w:val="16"/>
          <w:szCs w:val="16"/>
          <w:color w:val="auto"/>
        </w:rPr>
        <w:t xml:space="preserve"> </w:t>
      </w:r>
      <w:r>
        <w:rPr>
          <w:rFonts w:ascii="Arial" w:cs="Arial" w:eastAsia="Arial" w:hAnsi="Arial"/>
          <w:sz w:val="16"/>
          <w:szCs w:val="16"/>
          <w:b w:val="1"/>
          <w:bCs w:val="1"/>
          <w:color w:val="auto"/>
        </w:rPr>
        <w:t>Letter</w:t>
      </w:r>
      <w:r>
        <w:rPr>
          <w:rFonts w:ascii="Arial" w:cs="Arial" w:eastAsia="Arial" w:hAnsi="Arial"/>
          <w:sz w:val="16"/>
          <w:szCs w:val="16"/>
          <w:color w:val="auto"/>
        </w:rPr>
        <w:t>”) to be dated as of the closing of the IPO by and between Subscriber and the Company, Subscriber agrees not to sell, transfer, pledge, hypothecate</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dispose of all or any part of the Shares unless, prior thereto (a) a registration statement on the appropriate form under the Securities Act and applicable state securities laws with respect to the Shares proposed to be transferred shall then be effective or (b) the Company has received an opinion from counsel reasonably satisfactory to the Company, that such registration is not required because such transaction is exempt from registration under the Securities Act and the rules promulgated by the Securities and Exchange Commission thereunder and with all applicable state securities laws.</w:t>
      </w:r>
    </w:p>
    <w:p>
      <w:pPr>
        <w:spacing w:after="0" w:line="16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Lock-up.</w:t>
      </w:r>
      <w:r>
        <w:rPr>
          <w:rFonts w:ascii="Arial" w:cs="Arial" w:eastAsia="Arial" w:hAnsi="Arial"/>
          <w:sz w:val="17"/>
          <w:szCs w:val="17"/>
          <w:color w:val="auto"/>
        </w:rPr>
        <w:t xml:space="preserve"> Subscriber acknowledges that the Shares will be subject to lock-up provisions (the “</w:t>
      </w:r>
      <w:r>
        <w:rPr>
          <w:rFonts w:ascii="Arial" w:cs="Arial" w:eastAsia="Arial" w:hAnsi="Arial"/>
          <w:sz w:val="17"/>
          <w:szCs w:val="17"/>
          <w:b w:val="1"/>
          <w:bCs w:val="1"/>
          <w:color w:val="auto"/>
        </w:rPr>
        <w:t>Lock-up</w:t>
      </w:r>
      <w:r>
        <w:rPr>
          <w:rFonts w:ascii="Arial" w:cs="Arial" w:eastAsia="Arial" w:hAnsi="Arial"/>
          <w:sz w:val="17"/>
          <w:szCs w:val="17"/>
          <w:color w:val="auto"/>
        </w:rPr>
        <w:t>”) contained in the Insider Letter. Pursuant to the Insider Letter, and subject to the exceptions contained therein, Subscriber will agree not to sell, transfer, pledge, hypothecate or otherwise dispose of all or any part of the Shares until the earlier to occur of: (A) one year after the completion of the Company’s initial business combination or (B) the date on which the Company completes a liquidation, merger, stock exchange or other similar transaction after its initial business combination that results in all of its shareholders having the right to exchange their shares of Ordinary Shares for cash, securities or other property. Notwithstanding the foregoing, if the last sale price of the Ordinary Shares equals or exceeds $12.00 per share (as adjusted for share splits, share dividends, reorganizations, recapitalizations and the like) for any 20 trading days within any 30-trading day period commencing at least 150 days after the Company’s initial business combination the Shares will be released from the Lock-up.</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1" w:name="page212"/>
    <w:bookmarkEnd w:id="211"/>
    <w:p>
      <w:pPr>
        <w:ind w:left="660"/>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Restrictive Legends</w:t>
      </w:r>
      <w:r>
        <w:rPr>
          <w:rFonts w:ascii="Arial" w:cs="Arial" w:eastAsia="Arial" w:hAnsi="Arial"/>
          <w:sz w:val="18"/>
          <w:szCs w:val="18"/>
          <w:color w:val="auto"/>
        </w:rPr>
        <w:t>. All certificates representing the Shares shall have endorsed thereon legends substantially as follows: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SECURITIES REPRESENTED HEREBY HAVE NOT BEEN REGISTERED UNDER THE SECURITIES ACT OF 1933, AS AMENDED, OR ANY STATE SECURITIES LAWS AND NEITHER THE SECURITIES NOR ANY INTEREST THEREIN MAY BE OFFERED, SOLD, TRANSFERRED, PLEDGED OR OTHERWISE DISPOSED OF EXCEPT PURSUANT TO AN EFFECTIVE REGISTRATION STATEMENT UNDER SUCH ACT OR SUCH LAWS OR AN EXEMPTION FROM REGISTRATION UNDER SUCH ACT AND SUCH LAWS WHICH, IN THE OPINION OF COUNSEL, IS AVAILABLE.”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SECURITIES REPRESENTED BY THIS CERTIFICATE ARE SUBJECT TO LOCKUP PROVISIONS AND MAY NOT BE OFFERED, SOLD, TRANSFERRED, PLEDGED OR OTHERWISE DISPOSED DURING THE TERM OF THE LOCKUP PERIOD.”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Additional Shares or Substituted Securities</w:t>
      </w:r>
      <w:r>
        <w:rPr>
          <w:rFonts w:ascii="Arial" w:cs="Arial" w:eastAsia="Arial" w:hAnsi="Arial"/>
          <w:sz w:val="18"/>
          <w:szCs w:val="18"/>
          <w:color w:val="auto"/>
        </w:rPr>
        <w:t>. In the event of the declaration of a share dividend, the declaration of a special dividend payable in a form other than Ordinary Shares, a spin-off, a share split, an adjustment in conversion ratio, a recapitalization or a similar transaction affecting the Company’s outstanding Ordinary Shares without receipt of consideration, any new, substituted or additional securities or other property which are by reason of such transaction distributed with respect to any Shares subject to this Section 5 or into which such Shares thereby become convertible shall immediately be subject to Section 3 and this Section 5. Appropriate adjustments to reflect the distribution of such securities or property shall be made to the number or class of Shares subject to Section 3 or this Section 5.</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Registration Rights</w:t>
      </w:r>
      <w:r>
        <w:rPr>
          <w:rFonts w:ascii="Arial" w:cs="Arial" w:eastAsia="Arial" w:hAnsi="Arial"/>
          <w:sz w:val="18"/>
          <w:szCs w:val="18"/>
          <w:color w:val="auto"/>
        </w:rPr>
        <w:t>. Subscriber acknowledges that the Shares are being purchased pursuant to an exemption from the registration requirements of the Securities Act and will become freely tradable only after certain conditions are met or they are registered pursuant to a Registration and Shareholder Rights Agreement to be entered into with the Company prior to the closing of the IPO.</w:t>
      </w:r>
    </w:p>
    <w:p>
      <w:pPr>
        <w:spacing w:after="0" w:line="184" w:lineRule="exact"/>
        <w:rPr>
          <w:sz w:val="20"/>
          <w:szCs w:val="20"/>
          <w:color w:val="auto"/>
        </w:rPr>
      </w:pPr>
    </w:p>
    <w:p>
      <w:pPr>
        <w:ind w:left="520" w:hanging="190"/>
        <w:spacing w:after="0"/>
        <w:tabs>
          <w:tab w:leader="none" w:pos="520" w:val="left"/>
        </w:tabs>
        <w:numPr>
          <w:ilvl w:val="0"/>
          <w:numId w:val="136"/>
        </w:numPr>
        <w:rPr>
          <w:rFonts w:ascii="Arial" w:cs="Arial" w:eastAsia="Arial" w:hAnsi="Arial"/>
          <w:sz w:val="18"/>
          <w:szCs w:val="18"/>
          <w:color w:val="auto"/>
        </w:rPr>
      </w:pPr>
      <w:r>
        <w:rPr>
          <w:rFonts w:ascii="Arial" w:cs="Arial" w:eastAsia="Arial" w:hAnsi="Arial"/>
          <w:sz w:val="18"/>
          <w:szCs w:val="18"/>
          <w:u w:val="single" w:color="auto"/>
          <w:color w:val="auto"/>
        </w:rPr>
        <w:t>Other Agreements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u w:val="single" w:color="auto"/>
          <w:color w:val="auto"/>
        </w:rPr>
        <w:t>Further Assurances</w:t>
      </w:r>
      <w:r>
        <w:rPr>
          <w:rFonts w:ascii="Arial" w:cs="Arial" w:eastAsia="Arial" w:hAnsi="Arial"/>
          <w:sz w:val="18"/>
          <w:szCs w:val="18"/>
          <w:color w:val="auto"/>
        </w:rPr>
        <w:t>. Subscriber agrees to execute such further instruments and to take such further action as may reasonably be necessary to carry out the intent of this Agreement.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6.2.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statements or other documents which are required or contemplated by this Agreement shall be in writing and delivered:</w:t>
      </w:r>
    </w:p>
    <w:p>
      <w:pPr>
        <w:spacing w:after="0" w:line="46" w:lineRule="exact"/>
        <w:rPr>
          <w:sz w:val="20"/>
          <w:szCs w:val="20"/>
          <w:color w:val="auto"/>
        </w:rPr>
      </w:pPr>
    </w:p>
    <w:p>
      <w:pPr>
        <w:jc w:val="both"/>
        <w:ind w:firstLine="8"/>
        <w:spacing w:after="0" w:line="270" w:lineRule="auto"/>
        <w:tabs>
          <w:tab w:leader="none" w:pos="219" w:val="left"/>
        </w:tabs>
        <w:numPr>
          <w:ilvl w:val="0"/>
          <w:numId w:val="137"/>
        </w:numPr>
        <w:rPr>
          <w:rFonts w:ascii="Arial" w:cs="Arial" w:eastAsia="Arial" w:hAnsi="Arial"/>
          <w:sz w:val="17"/>
          <w:szCs w:val="17"/>
          <w:color w:val="auto"/>
        </w:rPr>
      </w:pPr>
      <w:r>
        <w:rPr>
          <w:rFonts w:ascii="Arial" w:cs="Arial" w:eastAsia="Arial" w:hAnsi="Arial"/>
          <w:sz w:val="17"/>
          <w:szCs w:val="17"/>
          <w:color w:val="auto"/>
        </w:rPr>
        <w:t>personally or sent by first class 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to an overnight courier service or five (5) days after mailing if sent by mail.</w:t>
      </w:r>
    </w:p>
    <w:p>
      <w:pPr>
        <w:spacing w:after="0" w:line="17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that certain Insider Letter to be entered into between Subscriber and the Company, substantially in the form to be filed as an exhibit to the Registration Statement, embodies the entire agreement and understanding between the Subscriber and the Company with respect to the subject matter hereof and supersedes all prior oral or written agreements and understandings relating to the subject matter hereof. No statement, representation, warranty, covenant or agreement of any kind not expressly set forth in this Agreement shall affect, or be used to interpret, change or restrict, the express terms and provisions of this Agreement.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2" w:name="page213"/>
    <w:bookmarkEnd w:id="212"/>
    <w:p>
      <w:pPr>
        <w:jc w:val="both"/>
        <w:ind w:firstLine="648"/>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Modifications and Amendments</w:t>
      </w:r>
      <w:r>
        <w:rPr>
          <w:rFonts w:ascii="Arial" w:cs="Arial" w:eastAsia="Arial" w:hAnsi="Arial"/>
          <w:sz w:val="18"/>
          <w:szCs w:val="18"/>
          <w:color w:val="auto"/>
        </w:rPr>
        <w:t>. The terms and provisions of this Agreement may be modified or amended only by written agreement executed by all parties hereto.</w:t>
      </w:r>
    </w:p>
    <w:p>
      <w:pPr>
        <w:spacing w:after="0" w:line="170"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6.5. </w:t>
      </w:r>
      <w:r>
        <w:rPr>
          <w:rFonts w:ascii="Arial" w:cs="Arial" w:eastAsia="Arial" w:hAnsi="Arial"/>
          <w:sz w:val="16"/>
          <w:szCs w:val="16"/>
          <w:u w:val="single" w:color="auto"/>
          <w:color w:val="auto"/>
        </w:rPr>
        <w:t>Waivers and Consents</w:t>
      </w:r>
      <w:r>
        <w:rPr>
          <w:rFonts w:ascii="Arial" w:cs="Arial" w:eastAsia="Arial" w:hAnsi="Arial"/>
          <w:sz w:val="16"/>
          <w:szCs w:val="16"/>
          <w:color w:val="auto"/>
        </w:rPr>
        <w:t>. The terms and provisions of this Agreement may be waived, or consent for the departure therefrom granted, only by written document executed by the party entitled to the benefits of such terms or provisions. No such waiver or consent shall be deemed to be or shall constitute a waiver or consent with respect to any other terms or provisions of this Agreement, whether or not similar. Each such waiver or consent shall be effective only in the specific instance and for the purpose for which it was given, and shall not constitute a continuing waiver or consent.</w:t>
      </w:r>
    </w:p>
    <w:p>
      <w:pPr>
        <w:spacing w:after="0" w:line="15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6.6. </w:t>
      </w:r>
      <w:r>
        <w:rPr>
          <w:rFonts w:ascii="Arial" w:cs="Arial" w:eastAsia="Arial" w:hAnsi="Arial"/>
          <w:sz w:val="18"/>
          <w:szCs w:val="18"/>
          <w:u w:val="single" w:color="auto"/>
          <w:color w:val="auto"/>
        </w:rPr>
        <w:t>Assignment</w:t>
      </w:r>
      <w:r>
        <w:rPr>
          <w:rFonts w:ascii="Arial" w:cs="Arial" w:eastAsia="Arial" w:hAnsi="Arial"/>
          <w:sz w:val="18"/>
          <w:szCs w:val="18"/>
          <w:color w:val="auto"/>
        </w:rPr>
        <w:t>. The rights and obligations under this Agreement may not be assigned by either party hereto without the prior written consent of the other party.</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 xml:space="preserve">6.7. </w:t>
      </w:r>
      <w:r>
        <w:rPr>
          <w:rFonts w:ascii="Arial" w:cs="Arial" w:eastAsia="Arial" w:hAnsi="Arial"/>
          <w:sz w:val="16"/>
          <w:szCs w:val="16"/>
          <w:u w:val="single" w:color="auto"/>
          <w:color w:val="auto"/>
        </w:rPr>
        <w:t>Benefit</w:t>
      </w:r>
      <w:r>
        <w:rPr>
          <w:rFonts w:ascii="Arial" w:cs="Arial" w:eastAsia="Arial" w:hAnsi="Arial"/>
          <w:sz w:val="16"/>
          <w:szCs w:val="16"/>
          <w:color w:val="auto"/>
        </w:rPr>
        <w:t>. All statements, representations, warranties, covenants and agreements in this Agreement shall be binding on the parties hereto and shall inure to the benefit of the respective successors and permitted assigns of each party hereto. Nothing in this Agreement shall be construed to create any rights or obligations except among the parties hereto, and no person or entity shall be regarded as a third-party beneficiary of this Agreement.</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6.8.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hereunder shall be construed in accordance with and governed by the laws of Delaware applicable to contracts wholly performed within the borders of such state, without giving effect to the conflict of law principles thereof.</w:t>
      </w:r>
    </w:p>
    <w:p>
      <w:pPr>
        <w:spacing w:after="0" w:line="18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Severability</w:t>
      </w:r>
      <w:r>
        <w:rPr>
          <w:rFonts w:ascii="Arial" w:cs="Arial" w:eastAsia="Arial" w:hAnsi="Arial"/>
          <w:sz w:val="17"/>
          <w:szCs w:val="17"/>
          <w:color w:val="auto"/>
        </w:rPr>
        <w:t>. In the event that any court of competent jurisdiction shall determine that any provision, or any portion thereof, contained in this Agreement shall be unreasonable or unenforceable in any respect, then such provision shall be deemed limited to the extent that such court deems it reasonable and enforceable, and as so limited shall remain in full force and effect. In the event that such court shall deem any such provision, or portion thereof, wholly unenforceable, the remaining provisions of this Agreement shall nevertheless remain in full force and effect.</w:t>
      </w:r>
    </w:p>
    <w:p>
      <w:pPr>
        <w:spacing w:after="0" w:line="17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No Waiver of Rights, Powers and Remedies</w:t>
      </w:r>
      <w:r>
        <w:rPr>
          <w:rFonts w:ascii="Arial" w:cs="Arial" w:eastAsia="Arial" w:hAnsi="Arial"/>
          <w:sz w:val="17"/>
          <w:szCs w:val="17"/>
          <w:color w:val="auto"/>
        </w:rPr>
        <w:t>. No failure or delay by a party hereto in exercising any right, power or remedy under this Agreement, and no course of dealing between the parties hereto, shall operate as a waiver of any such right, power or remedy of such party. No single or partial exercise of any right, power or remedy under this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17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by the parties hereto in this Agreement or in any other agreement, certificate or instrument provided for or contemplated hereby, shall survive the execution and delivery hereof and any investigations made by or on behalf of the parties.</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No Broker or Finder</w:t>
      </w:r>
      <w:r>
        <w:rPr>
          <w:rFonts w:ascii="Arial" w:cs="Arial" w:eastAsia="Arial" w:hAnsi="Arial"/>
          <w:sz w:val="18"/>
          <w:szCs w:val="18"/>
          <w:color w:val="auto"/>
        </w:rPr>
        <w:t>. Each of the parties hereto represents and warrants to the other that no broker, finder or other financial consultant has acted on its behalf in connection with this Agreement or the transactions contemplated hereby in such a way as to create any liability on the other. Each of the parties hereto agrees to indemnify and hold the other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18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Headings and Captions</w:t>
      </w:r>
      <w:r>
        <w:rPr>
          <w:rFonts w:ascii="Arial" w:cs="Arial" w:eastAsia="Arial" w:hAnsi="Arial"/>
          <w:sz w:val="18"/>
          <w:szCs w:val="18"/>
          <w:color w:val="auto"/>
        </w:rPr>
        <w:t>. The headings and captions of the various sections of this Agreement are for convenience of reference only and shall in no way modify or affect the meaning or construction of any of the terms or provisions hereof.</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jc w:val="both"/>
        <w:ind w:firstLine="648"/>
        <w:spacing w:after="0" w:line="257"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Construction</w:t>
      </w:r>
      <w:r>
        <w:rPr>
          <w:rFonts w:ascii="Arial" w:cs="Arial" w:eastAsia="Arial" w:hAnsi="Arial"/>
          <w:sz w:val="17"/>
          <w:szCs w:val="17"/>
          <w:color w:val="auto"/>
        </w:rPr>
        <w:t>. The words “</w:t>
      </w:r>
      <w:r>
        <w:rPr>
          <w:rFonts w:ascii="Arial" w:cs="Arial" w:eastAsia="Arial" w:hAnsi="Arial"/>
          <w:sz w:val="17"/>
          <w:szCs w:val="17"/>
          <w:i w:val="1"/>
          <w:iCs w:val="1"/>
          <w:color w:val="auto"/>
        </w:rPr>
        <w:t>include</w:t>
      </w:r>
      <w:r>
        <w:rPr>
          <w:rFonts w:ascii="Arial" w:cs="Arial" w:eastAsia="Arial" w:hAnsi="Arial"/>
          <w:sz w:val="17"/>
          <w:szCs w:val="17"/>
          <w:color w:val="auto"/>
        </w:rPr>
        <w:t>,” “</w:t>
      </w:r>
      <w:r>
        <w:rPr>
          <w:rFonts w:ascii="Arial" w:cs="Arial" w:eastAsia="Arial" w:hAnsi="Arial"/>
          <w:sz w:val="17"/>
          <w:szCs w:val="17"/>
          <w:i w:val="1"/>
          <w:iCs w:val="1"/>
          <w:color w:val="auto"/>
        </w:rPr>
        <w:t>includes</w:t>
      </w:r>
      <w:r>
        <w:rPr>
          <w:rFonts w:ascii="Arial" w:cs="Arial" w:eastAsia="Arial" w:hAnsi="Arial"/>
          <w:sz w:val="17"/>
          <w:szCs w:val="17"/>
          <w:color w:val="auto"/>
        </w:rPr>
        <w:t>,” and “</w:t>
      </w:r>
      <w:r>
        <w:rPr>
          <w:rFonts w:ascii="Arial" w:cs="Arial" w:eastAsia="Arial" w:hAnsi="Arial"/>
          <w:sz w:val="17"/>
          <w:szCs w:val="17"/>
          <w:i w:val="1"/>
          <w:iCs w:val="1"/>
          <w:color w:val="auto"/>
        </w:rPr>
        <w:t>including</w:t>
      </w:r>
      <w:r>
        <w:rPr>
          <w:rFonts w:ascii="Arial" w:cs="Arial" w:eastAsia="Arial" w:hAnsi="Arial"/>
          <w:sz w:val="17"/>
          <w:szCs w:val="17"/>
          <w:color w:val="auto"/>
        </w:rPr>
        <w:t>” will be deemed to be followed by “</w:t>
      </w:r>
      <w:r>
        <w:rPr>
          <w:rFonts w:ascii="Arial" w:cs="Arial" w:eastAsia="Arial" w:hAnsi="Arial"/>
          <w:sz w:val="17"/>
          <w:szCs w:val="17"/>
          <w:i w:val="1"/>
          <w:iCs w:val="1"/>
          <w:color w:val="auto"/>
        </w:rPr>
        <w:t>without limitation</w:t>
      </w:r>
      <w:r>
        <w:rPr>
          <w:rFonts w:ascii="Arial" w:cs="Arial" w:eastAsia="Arial" w:hAnsi="Arial"/>
          <w:sz w:val="17"/>
          <w:szCs w:val="17"/>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Arial" w:cs="Arial" w:eastAsia="Arial" w:hAnsi="Arial"/>
          <w:sz w:val="17"/>
          <w:szCs w:val="17"/>
          <w:i w:val="1"/>
          <w:iCs w:val="1"/>
          <w:color w:val="auto"/>
        </w:rPr>
        <w:t>this Agreement</w:t>
      </w:r>
      <w:r>
        <w:rPr>
          <w:rFonts w:ascii="Arial" w:cs="Arial" w:eastAsia="Arial" w:hAnsi="Arial"/>
          <w:sz w:val="17"/>
          <w:szCs w:val="17"/>
          <w:color w:val="auto"/>
        </w:rPr>
        <w:t>,” “</w:t>
      </w:r>
      <w:r>
        <w:rPr>
          <w:rFonts w:ascii="Arial" w:cs="Arial" w:eastAsia="Arial" w:hAnsi="Arial"/>
          <w:sz w:val="17"/>
          <w:szCs w:val="17"/>
          <w:i w:val="1"/>
          <w:iCs w:val="1"/>
          <w:color w:val="auto"/>
        </w:rPr>
        <w:t>herein</w:t>
      </w:r>
      <w:r>
        <w:rPr>
          <w:rFonts w:ascii="Arial" w:cs="Arial" w:eastAsia="Arial" w:hAnsi="Arial"/>
          <w:sz w:val="17"/>
          <w:szCs w:val="17"/>
          <w:color w:val="auto"/>
        </w:rPr>
        <w:t>,” “</w:t>
      </w:r>
      <w:r>
        <w:rPr>
          <w:rFonts w:ascii="Arial" w:cs="Arial" w:eastAsia="Arial" w:hAnsi="Arial"/>
          <w:sz w:val="17"/>
          <w:szCs w:val="17"/>
          <w:i w:val="1"/>
          <w:iCs w:val="1"/>
          <w:color w:val="auto"/>
        </w:rPr>
        <w:t>hereof</w:t>
      </w:r>
      <w:r>
        <w:rPr>
          <w:rFonts w:ascii="Arial" w:cs="Arial" w:eastAsia="Arial" w:hAnsi="Arial"/>
          <w:sz w:val="17"/>
          <w:szCs w:val="17"/>
          <w:color w:val="auto"/>
        </w:rPr>
        <w:t>,” “</w:t>
      </w:r>
      <w:r>
        <w:rPr>
          <w:rFonts w:ascii="Arial" w:cs="Arial" w:eastAsia="Arial" w:hAnsi="Arial"/>
          <w:sz w:val="17"/>
          <w:szCs w:val="17"/>
          <w:i w:val="1"/>
          <w:iCs w:val="1"/>
          <w:color w:val="auto"/>
        </w:rPr>
        <w:t>hereby</w:t>
      </w:r>
      <w:r>
        <w:rPr>
          <w:rFonts w:ascii="Arial" w:cs="Arial" w:eastAsia="Arial" w:hAnsi="Arial"/>
          <w:sz w:val="17"/>
          <w:szCs w:val="17"/>
          <w:color w:val="auto"/>
        </w:rPr>
        <w:t>,” “</w:t>
      </w:r>
      <w:r>
        <w:rPr>
          <w:rFonts w:ascii="Arial" w:cs="Arial" w:eastAsia="Arial" w:hAnsi="Arial"/>
          <w:sz w:val="17"/>
          <w:szCs w:val="17"/>
          <w:i w:val="1"/>
          <w:iCs w:val="1"/>
          <w:color w:val="auto"/>
        </w:rPr>
        <w:t>hereunder</w:t>
      </w:r>
      <w:r>
        <w:rPr>
          <w:rFonts w:ascii="Arial" w:cs="Arial" w:eastAsia="Arial" w:hAnsi="Arial"/>
          <w:sz w:val="17"/>
          <w:szCs w:val="17"/>
          <w:color w:val="auto"/>
        </w:rPr>
        <w:t>,” and words of similar import refer to this Agreement as a whole and not to any particular section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6.16. </w:t>
      </w:r>
      <w:r>
        <w:rPr>
          <w:rFonts w:ascii="Arial" w:cs="Arial" w:eastAsia="Arial" w:hAnsi="Arial"/>
          <w:sz w:val="18"/>
          <w:szCs w:val="18"/>
          <w:u w:val="single" w:color="auto"/>
          <w:color w:val="auto"/>
        </w:rPr>
        <w:t>Mutual Drafting</w:t>
      </w:r>
      <w:r>
        <w:rPr>
          <w:rFonts w:ascii="Arial" w:cs="Arial" w:eastAsia="Arial" w:hAnsi="Arial"/>
          <w:sz w:val="18"/>
          <w:szCs w:val="18"/>
          <w:color w:val="auto"/>
        </w:rPr>
        <w:t>. This Agreement is the joint product of the Subscriber and the Company and each provision hereof has been subject to the mutual consultation, negotiation and agreement of such parties and shall not be construed for or against any party hereto.</w:t>
      </w:r>
    </w:p>
    <w:p>
      <w:pPr>
        <w:spacing w:after="0" w:line="170" w:lineRule="exact"/>
        <w:rPr>
          <w:sz w:val="20"/>
          <w:szCs w:val="20"/>
          <w:color w:val="auto"/>
        </w:rPr>
      </w:pPr>
    </w:p>
    <w:p>
      <w:pPr>
        <w:jc w:val="both"/>
        <w:ind w:firstLine="332"/>
        <w:spacing w:after="0" w:line="259" w:lineRule="auto"/>
        <w:tabs>
          <w:tab w:leader="none" w:pos="504" w:val="left"/>
        </w:tabs>
        <w:numPr>
          <w:ilvl w:val="0"/>
          <w:numId w:val="138"/>
        </w:numPr>
        <w:rPr>
          <w:rFonts w:ascii="Arial" w:cs="Arial" w:eastAsia="Arial" w:hAnsi="Arial"/>
          <w:sz w:val="18"/>
          <w:szCs w:val="18"/>
          <w:color w:val="auto"/>
        </w:rPr>
      </w:pPr>
      <w:r>
        <w:rPr>
          <w:rFonts w:ascii="Arial" w:cs="Arial" w:eastAsia="Arial" w:hAnsi="Arial"/>
          <w:sz w:val="18"/>
          <w:szCs w:val="18"/>
          <w:u w:val="single" w:color="auto"/>
          <w:color w:val="auto"/>
        </w:rPr>
        <w:t>Voting and Redemption of Shares</w:t>
      </w:r>
      <w:r>
        <w:rPr>
          <w:rFonts w:ascii="Arial" w:cs="Arial" w:eastAsia="Arial" w:hAnsi="Arial"/>
          <w:sz w:val="18"/>
          <w:szCs w:val="18"/>
          <w:color w:val="auto"/>
        </w:rPr>
        <w:t>. Subscriber agrees to vote the Shares in favor of an initial business combination that the Company negotiates and submits for approval to the Company’s shareholders and shall not seek redemption with respect to such Shares. Additionally, the Subscriber agrees not to redeem any Shares in connection with a redemption or tender offer presented to the Company’s shareholders in connection with an initial business combination negotiated by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ind w:left="340"/>
        <w:spacing w:after="0"/>
        <w:rPr>
          <w:sz w:val="20"/>
          <w:szCs w:val="20"/>
          <w:color w:val="auto"/>
        </w:rPr>
      </w:pPr>
      <w:r>
        <w:rPr>
          <w:rFonts w:ascii="Arial" w:cs="Arial" w:eastAsia="Arial" w:hAnsi="Arial"/>
          <w:sz w:val="17"/>
          <w:szCs w:val="17"/>
          <w:color w:val="auto"/>
        </w:rPr>
        <w:t>If the foregoing accurately sets forth our understanding and agreement, please sign the enclosed copy of this Agreement and return it to us.</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tabs>
          <w:tab w:leader="none" w:pos="8280" w:val="left"/>
          <w:tab w:leader="none" w:pos="10060" w:val="left"/>
        </w:tabs>
        <w:rPr>
          <w:sz w:val="20"/>
          <w:szCs w:val="20"/>
          <w:color w:val="auto"/>
        </w:rPr>
      </w:pPr>
      <w:r>
        <w:rPr>
          <w:rFonts w:ascii="Arial" w:cs="Arial" w:eastAsia="Arial" w:hAnsi="Arial"/>
          <w:sz w:val="18"/>
          <w:szCs w:val="18"/>
          <w:b w:val="1"/>
          <w:bCs w:val="1"/>
          <w:color w:val="auto"/>
        </w:rPr>
        <w:t>SUSTAINABLE</w:t>
        <w:tab/>
        <w:t>OPPORTUNITIES</w:t>
      </w:r>
      <w:r>
        <w:rPr>
          <w:sz w:val="20"/>
          <w:szCs w:val="20"/>
          <w:color w:val="auto"/>
        </w:rPr>
        <w:tab/>
      </w:r>
      <w:r>
        <w:rPr>
          <w:rFonts w:ascii="Arial" w:cs="Arial" w:eastAsia="Arial" w:hAnsi="Arial"/>
          <w:sz w:val="18"/>
          <w:szCs w:val="18"/>
          <w:b w:val="1"/>
          <w:bCs w:val="1"/>
          <w:color w:val="auto"/>
        </w:rPr>
        <w:t>ACQUISITON</w:t>
      </w:r>
    </w:p>
    <w:p>
      <w:pPr>
        <w:spacing w:after="0" w:line="27"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CORP.</w:t>
      </w:r>
    </w:p>
    <w:p>
      <w:pPr>
        <w:spacing w:after="0" w:line="211"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Scott Leonard</w:t>
      </w:r>
    </w:p>
    <w:p>
      <w:pPr>
        <w:spacing w:after="0" w:line="36"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this 31st day of December,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SUSTAINABLE OPPORTUNITIES HOLDINGS LLC</w:t>
      </w:r>
    </w:p>
    <w:p>
      <w:pPr>
        <w:spacing w:after="0" w:line="22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Honour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14605</wp:posOffset>
            </wp:positionV>
            <wp:extent cx="249428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Scott Honour</w:t>
      </w:r>
    </w:p>
    <w:p>
      <w:pPr>
        <w:spacing w:after="0" w:line="3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Manager</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Securities Subscription Agreement</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22"/>
          <w:szCs w:val="22"/>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inclusion in this Registration Statement of Sustainable Opportunities Acquisition Corp. on Form S-1 of our report dated February 18, 2020, which includes an explanatory paragraph as to the Company’s ability to continue as a going concern, with respect to our audit of the financial statements of Sustainable Opportunities Acquisition Corp. as of December 31, 2019 and for the period from December 18, 2019 (inception) through December 31, 2019,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17, 2020</w:t>
      </w:r>
    </w:p>
    <w:p>
      <w:pPr>
        <w:sectPr>
          <w:pgSz w:w="11900" w:h="16838" w:orient="portrait"/>
          <w:cols w:equalWidth="0" w:num="1">
            <w:col w:w="11240"/>
          </w:cols>
          <w:pgMar w:left="320" w:top="112"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b w:val="1"/>
          <w:bCs w:val="1"/>
          <w:color w:val="auto"/>
        </w:rPr>
        <w:t>Exhibit 99.1</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RICK GAENZLE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Sustainable Opportunities Acquisition Corp. (the “</w:t>
      </w:r>
      <w:r>
        <w:rPr>
          <w:rFonts w:ascii="Arial" w:cs="Arial" w:eastAsia="Arial" w:hAnsi="Arial"/>
          <w:sz w:val="17"/>
          <w:szCs w:val="17"/>
          <w:u w:val="single" w:color="auto"/>
          <w:color w:val="auto"/>
        </w:rPr>
        <w:t>Company</w:t>
      </w:r>
      <w:r>
        <w:rPr>
          <w:rFonts w:ascii="Arial" w:cs="Arial" w:eastAsia="Arial" w:hAnsi="Arial"/>
          <w:sz w:val="17"/>
          <w:szCs w:val="17"/>
          <w:color w:val="auto"/>
        </w:rPr>
        <w:t>”) intends to file a Registration Statement on Form S-1 (together with any amendments or supplements thereto,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registering securities for issuance in its initial public offering. As required by Rule 438 under the Securities Act of 1933, as amended, the undersigned hereby consents to being named in the Registration Statement as a Director Nominee.</w:t>
      </w:r>
    </w:p>
    <w:p>
      <w:pPr>
        <w:spacing w:after="0" w:line="165"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Rick Gaenzle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Rick Gaenzle</w:t>
      </w:r>
    </w:p>
    <w:p>
      <w:pPr>
        <w:sectPr>
          <w:pgSz w:w="11900" w:h="16838" w:orient="portrait"/>
          <w:cols w:equalWidth="0" w:num="1">
            <w:col w:w="11240"/>
          </w:cols>
          <w:pgMar w:left="320" w:top="112"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22"/>
          <w:szCs w:val="22"/>
          <w:b w:val="1"/>
          <w:bCs w:val="1"/>
          <w:color w:val="auto"/>
        </w:rPr>
        <w:t>Exhibit 99.2</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ISAAC BARCHAS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Sustainable Opportunities Acquisition Corp. (the “</w:t>
      </w:r>
      <w:r>
        <w:rPr>
          <w:rFonts w:ascii="Arial" w:cs="Arial" w:eastAsia="Arial" w:hAnsi="Arial"/>
          <w:sz w:val="17"/>
          <w:szCs w:val="17"/>
          <w:u w:val="single" w:color="auto"/>
          <w:color w:val="auto"/>
        </w:rPr>
        <w:t>Company</w:t>
      </w:r>
      <w:r>
        <w:rPr>
          <w:rFonts w:ascii="Arial" w:cs="Arial" w:eastAsia="Arial" w:hAnsi="Arial"/>
          <w:sz w:val="17"/>
          <w:szCs w:val="17"/>
          <w:color w:val="auto"/>
        </w:rPr>
        <w:t>”) intends to file a Registration Statement on Form S-1 (together with any amendments or supplements thereto,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registering securities for issuance in its initial public offering. As required by Rule 438 under the Securities Act of 1933, as amended, the undersigned hereby consents to being named in the Registration Statement as a Director Nominee.</w:t>
      </w:r>
    </w:p>
    <w:p>
      <w:pPr>
        <w:spacing w:after="0" w:line="165" w:lineRule="exact"/>
        <w:rPr>
          <w:sz w:val="20"/>
          <w:szCs w:val="20"/>
          <w:color w:val="auto"/>
        </w:rPr>
      </w:pPr>
    </w:p>
    <w:p>
      <w:pPr>
        <w:spacing w:after="0"/>
        <w:tabs>
          <w:tab w:leader="none" w:pos="6740" w:val="left"/>
          <w:tab w:leader="none" w:pos="7180" w:val="left"/>
        </w:tabs>
        <w:rPr>
          <w:sz w:val="20"/>
          <w:szCs w:val="20"/>
          <w:color w:val="auto"/>
        </w:rPr>
      </w:pPr>
      <w:r>
        <w:rPr>
          <w:rFonts w:ascii="Arial" w:cs="Arial" w:eastAsia="Arial" w:hAnsi="Arial"/>
          <w:sz w:val="18"/>
          <w:szCs w:val="18"/>
          <w:color w:val="auto"/>
        </w:rPr>
        <w:t>March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Isaac Barchas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Isaac Barchas</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5014ACB"/>
    <w:multiLevelType w:val="hybridMultilevel"/>
    <w:lvl w:ilvl="0">
      <w:lvlJc w:val="left"/>
      <w:lvlText w:val="(%1)"/>
      <w:numFmt w:val="decimal"/>
      <w:start w:val="1"/>
    </w:lvl>
  </w:abstractNum>
  <w:abstractNum w:abstractNumId="1">
    <w:nsid w:val="5F5E7FD0"/>
    <w:multiLevelType w:val="hybridMultilevel"/>
    <w:lvl w:ilvl="0">
      <w:lvlJc w:val="left"/>
      <w:lvlText w:val="(%1)"/>
      <w:numFmt w:val="decimal"/>
      <w:start w:val="1"/>
    </w:lvl>
  </w:abstractNum>
  <w:abstractNum w:abstractNumId="2">
    <w:nsid w:val="98A3148"/>
    <w:multiLevelType w:val="hybridMultilevel"/>
    <w:lvl w:ilvl="0">
      <w:lvlJc w:val="left"/>
      <w:lvlText w:val="•"/>
      <w:numFmt w:val="bullet"/>
      <w:start w:val="1"/>
    </w:lvl>
  </w:abstractNum>
  <w:abstractNum w:abstractNumId="3">
    <w:nsid w:val="799D0247"/>
    <w:multiLevelType w:val="hybridMultilevel"/>
    <w:lvl w:ilvl="0">
      <w:lvlJc w:val="left"/>
      <w:lvlText w:val="&amp;"/>
      <w:numFmt w:val="bullet"/>
      <w:start w:val="1"/>
    </w:lvl>
  </w:abstractNum>
  <w:abstractNum w:abstractNumId="4">
    <w:nsid w:val="6B94764"/>
    <w:multiLevelType w:val="hybridMultilevel"/>
    <w:lvl w:ilvl="0">
      <w:lvlJc w:val="left"/>
      <w:lvlText w:val="•"/>
      <w:numFmt w:val="bullet"/>
      <w:start w:val="1"/>
    </w:lvl>
  </w:abstractNum>
  <w:abstractNum w:abstractNumId="5">
    <w:nsid w:val="42C296BD"/>
    <w:multiLevelType w:val="hybridMultilevel"/>
    <w:lvl w:ilvl="0">
      <w:lvlJc w:val="left"/>
      <w:lvlText w:val="•"/>
      <w:numFmt w:val="bullet"/>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
      <w:numFmt w:val="bullet"/>
      <w:start w:val="1"/>
    </w:lvl>
  </w:abstractNum>
  <w:abstractNum w:abstractNumId="9">
    <w:nsid w:val="5DC79EA8"/>
    <w:multiLevelType w:val="hybridMultilevel"/>
    <w:lvl w:ilvl="0">
      <w:lvlJc w:val="left"/>
      <w:lvlText w:val="•"/>
      <w:numFmt w:val="bullet"/>
      <w:start w:val="1"/>
    </w:lvl>
  </w:abstractNum>
  <w:abstractNum w:abstractNumId="10">
    <w:nsid w:val="540A471C"/>
    <w:multiLevelType w:val="hybridMultilevel"/>
    <w:lvl w:ilvl="0">
      <w:lvlJc w:val="left"/>
      <w:lvlText w:val="(%1)"/>
      <w:numFmt w:val="decimal"/>
      <w:start w:val="1"/>
    </w:lvl>
  </w:abstractNum>
  <w:abstractNum w:abstractNumId="11">
    <w:nsid w:val="7BD3EE7B"/>
    <w:multiLevelType w:val="hybridMultilevel"/>
    <w:lvl w:ilvl="0">
      <w:lvlJc w:val="left"/>
      <w:lvlText w:val="•"/>
      <w:numFmt w:val="bullet"/>
      <w:start w:val="1"/>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
      <w:numFmt w:val="bullet"/>
      <w:start w:val="1"/>
    </w:lvl>
  </w:abstractNum>
  <w:abstractNum w:abstractNumId="14">
    <w:nsid w:val="BF72B14"/>
    <w:multiLevelType w:val="hybridMultilevel"/>
    <w:lvl w:ilvl="0">
      <w:lvlJc w:val="left"/>
      <w:lvlText w:val="•"/>
      <w:numFmt w:val="bullet"/>
      <w:start w:val="1"/>
    </w:lvl>
  </w:abstractNum>
  <w:abstractNum w:abstractNumId="15">
    <w:nsid w:val="11447B73"/>
    <w:multiLevelType w:val="hybridMultilevel"/>
    <w:lvl w:ilvl="0">
      <w:lvlJc w:val="left"/>
      <w:lvlText w:val="(%1)"/>
      <w:numFmt w:val="lowerRoman"/>
      <w:start w:val="2"/>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
      <w:numFmt w:val="bullet"/>
      <w:start w:val="1"/>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
      <w:numFmt w:val="bullet"/>
      <w:start w:val="1"/>
    </w:lvl>
  </w:abstractNum>
  <w:abstractNum w:abstractNumId="20">
    <w:nsid w:val="3B0FD379"/>
    <w:multiLevelType w:val="hybridMultilevel"/>
    <w:lvl w:ilvl="0">
      <w:lvlJc w:val="left"/>
      <w:lvlText w:val="•"/>
      <w:numFmt w:val="bullet"/>
      <w:start w:val="1"/>
    </w:lvl>
  </w:abstractNum>
  <w:abstractNum w:abstractNumId="21">
    <w:nsid w:val="68EB2F63"/>
    <w:multiLevelType w:val="hybridMultilevel"/>
    <w:lvl w:ilvl="0">
      <w:lvlJc w:val="left"/>
      <w:lvlText w:val="•"/>
      <w:numFmt w:val="bullet"/>
      <w:start w:val="1"/>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1)"/>
      <w:numFmt w:val="decimal"/>
      <w:start w:val="1"/>
    </w:lvl>
  </w:abstractNum>
  <w:abstractNum w:abstractNumId="29">
    <w:nsid w:val="100F59DC"/>
    <w:multiLevelType w:val="hybridMultilevel"/>
    <w:lvl w:ilvl="0">
      <w:lvlJc w:val="left"/>
      <w:lvlText w:val="(%1)"/>
      <w:numFmt w:val="decimal"/>
      <w:start w:val="4"/>
    </w:lvl>
  </w:abstractNum>
  <w:abstractNum w:abstractNumId="30">
    <w:nsid w:val="7FB7E0AA"/>
    <w:multiLevelType w:val="hybridMultilevel"/>
    <w:lvl w:ilvl="0">
      <w:lvlJc w:val="left"/>
      <w:lvlText w:val="(%1)"/>
      <w:numFmt w:val="decimal"/>
      <w:start w:val="1"/>
    </w:lvl>
  </w:abstractNum>
  <w:abstractNum w:abstractNumId="31">
    <w:nsid w:val="6EB5BD4"/>
    <w:multiLevelType w:val="hybridMultilevel"/>
    <w:lvl w:ilvl="0">
      <w:lvlJc w:val="left"/>
      <w:lvlText w:val="(%1)"/>
      <w:numFmt w:val="decimal"/>
      <w:start w:val="1"/>
    </w:lvl>
  </w:abstractNum>
  <w:abstractNum w:abstractNumId="32">
    <w:nsid w:val="6F6DD9AC"/>
    <w:multiLevelType w:val="hybridMultilevel"/>
    <w:lvl w:ilvl="0">
      <w:lvlJc w:val="left"/>
      <w:lvlText w:val="(%1)"/>
      <w:numFmt w:val="decimal"/>
      <w:start w:val="1"/>
    </w:lvl>
  </w:abstractNum>
  <w:abstractNum w:abstractNumId="33">
    <w:nsid w:val="94211F2"/>
    <w:multiLevelType w:val="hybridMultilevel"/>
    <w:lvl w:ilvl="0">
      <w:lvlJc w:val="left"/>
      <w:lvlText w:val="•"/>
      <w:numFmt w:val="bullet"/>
      <w:start w:val="1"/>
    </w:lvl>
  </w:abstractNum>
  <w:abstractNum w:abstractNumId="34">
    <w:nsid w:val="885E1B"/>
    <w:multiLevelType w:val="hybridMultilevel"/>
    <w:lvl w:ilvl="0">
      <w:lvlJc w:val="left"/>
      <w:lvlText w:val="•"/>
      <w:numFmt w:val="bullet"/>
      <w:start w:val="1"/>
    </w:lvl>
  </w:abstractNum>
  <w:abstractNum w:abstractNumId="35">
    <w:nsid w:val="76272110"/>
    <w:multiLevelType w:val="hybridMultilevel"/>
    <w:lvl w:ilvl="0">
      <w:lvlJc w:val="left"/>
      <w:lvlText w:val="•"/>
      <w:numFmt w:val="bullet"/>
      <w:start w:val="1"/>
    </w:lvl>
  </w:abstractNum>
  <w:abstractNum w:abstractNumId="36">
    <w:nsid w:val="4C04A8AF"/>
    <w:multiLevelType w:val="hybridMultilevel"/>
    <w:lvl w:ilvl="0">
      <w:lvlJc w:val="left"/>
      <w:lvlText w:val="•"/>
      <w:numFmt w:val="bullet"/>
      <w:start w:val="1"/>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
      <w:numFmt w:val="bullet"/>
      <w:start w:val="1"/>
    </w:lvl>
  </w:abstractNum>
  <w:abstractNum w:abstractNumId="39">
    <w:nsid w:val="3222E7CD"/>
    <w:multiLevelType w:val="hybridMultilevel"/>
    <w:lvl w:ilvl="0">
      <w:lvlJc w:val="left"/>
      <w:lvlText w:val="•"/>
      <w:numFmt w:val="bullet"/>
      <w:start w:val="1"/>
    </w:lvl>
  </w:abstractNum>
  <w:abstractNum w:abstractNumId="40">
    <w:nsid w:val="74DE0EE3"/>
    <w:multiLevelType w:val="hybridMultilevel"/>
    <w:lvl w:ilvl="0">
      <w:lvlJc w:val="left"/>
      <w:lvlText w:val="•"/>
      <w:numFmt w:val="bullet"/>
      <w:start w:val="1"/>
    </w:lvl>
  </w:abstractNum>
  <w:abstractNum w:abstractNumId="41">
    <w:nsid w:val="68EBC550"/>
    <w:multiLevelType w:val="hybridMultilevel"/>
    <w:lvl w:ilvl="0">
      <w:lvlJc w:val="left"/>
      <w:lvlText w:val="•"/>
      <w:numFmt w:val="bullet"/>
      <w:start w:val="1"/>
    </w:lvl>
  </w:abstractNum>
  <w:abstractNum w:abstractNumId="42">
    <w:nsid w:val="2DF6D648"/>
    <w:multiLevelType w:val="hybridMultilevel"/>
    <w:lvl w:ilvl="0">
      <w:lvlJc w:val="left"/>
      <w:lvlText w:val="•"/>
      <w:numFmt w:val="bullet"/>
      <w:start w:val="1"/>
    </w:lvl>
  </w:abstractNum>
  <w:abstractNum w:abstractNumId="43">
    <w:nsid w:val="46B7D447"/>
    <w:multiLevelType w:val="hybridMultilevel"/>
    <w:lvl w:ilvl="0">
      <w:lvlJc w:val="left"/>
      <w:lvlText w:val="•"/>
      <w:numFmt w:val="bullet"/>
      <w:start w:val="1"/>
    </w:lvl>
  </w:abstractNum>
  <w:abstractNum w:abstractNumId="44">
    <w:nsid w:val="4A2AC315"/>
    <w:multiLevelType w:val="hybridMultilevel"/>
    <w:lvl w:ilvl="0">
      <w:lvlJc w:val="left"/>
      <w:lvlText w:val="•"/>
      <w:numFmt w:val="bullet"/>
      <w:start w:val="1"/>
    </w:lvl>
  </w:abstractNum>
  <w:abstractNum w:abstractNumId="45">
    <w:nsid w:val="39EE015C"/>
    <w:multiLevelType w:val="hybridMultilevel"/>
    <w:lvl w:ilvl="0">
      <w:lvlJc w:val="left"/>
      <w:lvlText w:val="•"/>
      <w:numFmt w:val="bullet"/>
      <w:start w:val="1"/>
    </w:lvl>
  </w:abstractNum>
  <w:abstractNum w:abstractNumId="46">
    <w:nsid w:val="57FC4FBB"/>
    <w:multiLevelType w:val="hybridMultilevel"/>
    <w:lvl w:ilvl="0">
      <w:lvlJc w:val="left"/>
      <w:lvlText w:val="(%1)"/>
      <w:numFmt w:val="lowerRoman"/>
      <w:start w:val="2"/>
    </w:lvl>
  </w:abstractNum>
  <w:abstractNum w:abstractNumId="47">
    <w:nsid w:val="CC1016F"/>
    <w:multiLevelType w:val="hybridMultilevel"/>
    <w:lvl w:ilvl="0">
      <w:lvlJc w:val="left"/>
      <w:lvlText w:val="(%1)"/>
      <w:numFmt w:val="lowerRoman"/>
      <w:start w:val="1"/>
    </w:lvl>
  </w:abstractNum>
  <w:abstractNum w:abstractNumId="48">
    <w:nsid w:val="43F18422"/>
    <w:multiLevelType w:val="hybridMultilevel"/>
    <w:lvl w:ilvl="0">
      <w:lvlJc w:val="left"/>
      <w:lvlText w:val="•"/>
      <w:numFmt w:val="bullet"/>
      <w:start w:val="1"/>
    </w:lvl>
  </w:abstractNum>
  <w:abstractNum w:abstractNumId="49">
    <w:nsid w:val="60EF0119"/>
    <w:multiLevelType w:val="hybridMultilevel"/>
    <w:lvl w:ilvl="0">
      <w:lvlJc w:val="left"/>
      <w:lvlText w:val="•"/>
      <w:numFmt w:val="bullet"/>
      <w:start w:val="1"/>
    </w:lvl>
  </w:abstractNum>
  <w:abstractNum w:abstractNumId="50">
    <w:nsid w:val="26F324BA"/>
    <w:multiLevelType w:val="hybridMultilevel"/>
    <w:lvl w:ilvl="0">
      <w:lvlJc w:val="left"/>
      <w:lvlText w:val="•"/>
      <w:numFmt w:val="bullet"/>
      <w:start w:val="1"/>
    </w:lvl>
  </w:abstractNum>
  <w:abstractNum w:abstractNumId="51">
    <w:nsid w:val="7F01579B"/>
    <w:multiLevelType w:val="hybridMultilevel"/>
    <w:lvl w:ilvl="0">
      <w:lvlJc w:val="left"/>
      <w:lvlText w:val="•"/>
      <w:numFmt w:val="bullet"/>
      <w:start w:val="1"/>
    </w:lvl>
  </w:abstractNum>
  <w:abstractNum w:abstractNumId="52">
    <w:nsid w:val="49DA307D"/>
    <w:multiLevelType w:val="hybridMultilevel"/>
    <w:lvl w:ilvl="0">
      <w:lvlJc w:val="left"/>
      <w:lvlText w:val="•"/>
      <w:numFmt w:val="bullet"/>
      <w:start w:val="1"/>
    </w:lvl>
  </w:abstractNum>
  <w:abstractNum w:abstractNumId="53">
    <w:nsid w:val="7055A5F5"/>
    <w:multiLevelType w:val="hybridMultilevel"/>
    <w:lvl w:ilvl="0">
      <w:lvlJc w:val="left"/>
      <w:lvlText w:val="•"/>
      <w:numFmt w:val="bullet"/>
      <w:start w:val="1"/>
    </w:lvl>
  </w:abstractNum>
  <w:abstractNum w:abstractNumId="54">
    <w:nsid w:val="5FB8370B"/>
    <w:multiLevelType w:val="hybridMultilevel"/>
    <w:lvl w:ilvl="0">
      <w:lvlJc w:val="left"/>
      <w:lvlText w:val="•"/>
      <w:numFmt w:val="bullet"/>
      <w:start w:val="1"/>
    </w:lvl>
  </w:abstractNum>
  <w:abstractNum w:abstractNumId="55">
    <w:nsid w:val="50801EE1"/>
    <w:multiLevelType w:val="hybridMultilevel"/>
    <w:lvl w:ilvl="0">
      <w:lvlJc w:val="left"/>
      <w:lvlText w:val="*"/>
      <w:numFmt w:val="bullet"/>
      <w:start w:val="1"/>
    </w:lvl>
  </w:abstractNum>
  <w:abstractNum w:abstractNumId="56">
    <w:nsid w:val="488AC1A"/>
    <w:multiLevelType w:val="hybridMultilevel"/>
    <w:lvl w:ilvl="0">
      <w:lvlJc w:val="left"/>
      <w:lvlText w:val="(%1)"/>
      <w:numFmt w:val="decimal"/>
      <w:start w:val="1"/>
    </w:lvl>
  </w:abstractNum>
  <w:abstractNum w:abstractNumId="57">
    <w:nsid w:val="5FB8011C"/>
    <w:multiLevelType w:val="hybridMultilevel"/>
    <w:lvl w:ilvl="0">
      <w:lvlJc w:val="left"/>
      <w:lvlText w:val="(%1)"/>
      <w:numFmt w:val="lowerRoman"/>
      <w:start w:val="10"/>
    </w:lvl>
  </w:abstractNum>
  <w:abstractNum w:abstractNumId="58">
    <w:nsid w:val="6AA78F7F"/>
    <w:multiLevelType w:val="hybridMultilevel"/>
    <w:lvl w:ilvl="0">
      <w:lvlJc w:val="left"/>
      <w:lvlText w:val="(%1)"/>
      <w:numFmt w:val="lowerRoman"/>
      <w:start w:val="1"/>
    </w:lvl>
  </w:abstractNum>
  <w:abstractNum w:abstractNumId="59">
    <w:nsid w:val="7672BD23"/>
    <w:multiLevelType w:val="hybridMultilevel"/>
    <w:lvl w:ilvl="0">
      <w:lvlJc w:val="left"/>
      <w:lvlText w:val="•"/>
      <w:numFmt w:val="bullet"/>
      <w:start w:val="1"/>
    </w:lvl>
  </w:abstractNum>
  <w:abstractNum w:abstractNumId="60">
    <w:nsid w:val="6FC75AF8"/>
    <w:multiLevelType w:val="hybridMultilevel"/>
    <w:lvl w:ilvl="0">
      <w:lvlJc w:val="left"/>
      <w:lvlText w:val="(%1)"/>
      <w:numFmt w:val="lowerRoman"/>
      <w:start w:val="2"/>
    </w:lvl>
  </w:abstractNum>
  <w:abstractNum w:abstractNumId="61">
    <w:nsid w:val="6A5F7029"/>
    <w:multiLevelType w:val="hybridMultilevel"/>
    <w:lvl w:ilvl="0">
      <w:lvlJc w:val="left"/>
      <w:lvlText w:val="•"/>
      <w:numFmt w:val="bullet"/>
      <w:start w:val="1"/>
    </w:lvl>
  </w:abstractNum>
  <w:abstractNum w:abstractNumId="62">
    <w:nsid w:val="7D5E18F8"/>
    <w:multiLevelType w:val="hybridMultilevel"/>
    <w:lvl w:ilvl="0">
      <w:lvlJc w:val="left"/>
      <w:lvlText w:val="•"/>
      <w:numFmt w:val="bullet"/>
      <w:start w:val="1"/>
    </w:lvl>
  </w:abstractNum>
  <w:abstractNum w:abstractNumId="63">
    <w:nsid w:val="5F3534A4"/>
    <w:multiLevelType w:val="hybridMultilevel"/>
    <w:lvl w:ilvl="0">
      <w:lvlJc w:val="left"/>
      <w:lvlText w:val="(%1)"/>
      <w:numFmt w:val="lowerLetter"/>
      <w:start w:val="25"/>
    </w:lvl>
  </w:abstractNum>
  <w:abstractNum w:abstractNumId="64">
    <w:nsid w:val="73A1821B"/>
    <w:multiLevelType w:val="hybridMultilevel"/>
    <w:lvl w:ilvl="0">
      <w:lvlJc w:val="left"/>
      <w:lvlText w:val="•"/>
      <w:numFmt w:val="bullet"/>
      <w:start w:val="1"/>
    </w:lvl>
  </w:abstractNum>
  <w:abstractNum w:abstractNumId="65">
    <w:nsid w:val="7DE67713"/>
    <w:multiLevelType w:val="hybridMultilevel"/>
    <w:lvl w:ilvl="0">
      <w:lvlJc w:val="left"/>
      <w:lvlText w:val="•"/>
      <w:numFmt w:val="bullet"/>
      <w:start w:val="1"/>
    </w:lvl>
  </w:abstractNum>
  <w:abstractNum w:abstractNumId="66">
    <w:nsid w:val="555C55B5"/>
    <w:multiLevelType w:val="hybridMultilevel"/>
    <w:lvl w:ilvl="0">
      <w:lvlJc w:val="left"/>
      <w:lvlText w:val="•"/>
      <w:numFmt w:val="bullet"/>
      <w:start w:val="1"/>
    </w:lvl>
  </w:abstractNum>
  <w:abstractNum w:abstractNumId="67">
    <w:nsid w:val="3FA62ACA"/>
    <w:multiLevelType w:val="hybridMultilevel"/>
    <w:lvl w:ilvl="0">
      <w:lvlJc w:val="left"/>
      <w:lvlText w:val="•"/>
      <w:numFmt w:val="bullet"/>
      <w:start w:val="1"/>
    </w:lvl>
  </w:abstractNum>
  <w:abstractNum w:abstractNumId="68">
    <w:nsid w:val="14FCE74E"/>
    <w:multiLevelType w:val="hybridMultilevel"/>
    <w:lvl w:ilvl="0">
      <w:lvlJc w:val="left"/>
      <w:lvlText w:val="%1)"/>
      <w:numFmt w:val="lowerLetter"/>
      <w:start w:val="1"/>
    </w:lvl>
  </w:abstractNum>
  <w:abstractNum w:abstractNumId="69">
    <w:nsid w:val="6A3DD3E8"/>
    <w:multiLevelType w:val="hybridMultilevel"/>
    <w:lvl w:ilvl="0">
      <w:lvlJc w:val="left"/>
      <w:lvlText w:val="(%1)"/>
      <w:numFmt w:val="lowerLetter"/>
      <w:start w:val="1"/>
    </w:lvl>
  </w:abstractNum>
  <w:abstractNum w:abstractNumId="70">
    <w:nsid w:val="71C91298"/>
    <w:multiLevelType w:val="hybridMultilevel"/>
    <w:lvl w:ilvl="0">
      <w:lvlJc w:val="left"/>
      <w:lvlText w:val="•"/>
      <w:numFmt w:val="bullet"/>
      <w:start w:val="1"/>
    </w:lvl>
  </w:abstractNum>
  <w:abstractNum w:abstractNumId="71">
    <w:nsid w:val="9DAF632"/>
    <w:multiLevelType w:val="hybridMultilevel"/>
    <w:lvl w:ilvl="0">
      <w:lvlJc w:val="left"/>
      <w:lvlText w:val="•"/>
      <w:numFmt w:val="bullet"/>
      <w:start w:val="1"/>
    </w:lvl>
  </w:abstractNum>
  <w:abstractNum w:abstractNumId="72">
    <w:nsid w:val="53299938"/>
    <w:multiLevelType w:val="hybridMultilevel"/>
    <w:lvl w:ilvl="0">
      <w:lvlJc w:val="left"/>
      <w:lvlText w:val="%1."/>
      <w:numFmt w:val="decimal"/>
      <w:start w:val="1"/>
    </w:lvl>
  </w:abstractNum>
  <w:abstractNum w:abstractNumId="73">
    <w:nsid w:val="1FBFE8E0"/>
    <w:multiLevelType w:val="hybridMultilevel"/>
    <w:lvl w:ilvl="0">
      <w:lvlJc w:val="left"/>
      <w:lvlText w:val="•"/>
      <w:numFmt w:val="bullet"/>
      <w:start w:val="1"/>
    </w:lvl>
  </w:abstractNum>
  <w:abstractNum w:abstractNumId="74">
    <w:nsid w:val="5092CA79"/>
    <w:multiLevelType w:val="hybridMultilevel"/>
    <w:lvl w:ilvl="0">
      <w:lvlJc w:val="left"/>
      <w:lvlText w:val="(%1)"/>
      <w:numFmt w:val="lowerRoman"/>
      <w:start w:val="2"/>
    </w:lvl>
  </w:abstractNum>
  <w:abstractNum w:abstractNumId="75">
    <w:nsid w:val="1D545C4D"/>
    <w:multiLevelType w:val="hybridMultilevel"/>
    <w:lvl w:ilvl="0">
      <w:lvlJc w:val="left"/>
      <w:lvlText w:val="\emdash "/>
      <w:numFmt w:val="bullet"/>
      <w:start w:val="1"/>
    </w:lvl>
  </w:abstractNum>
  <w:abstractNum w:abstractNumId="76">
    <w:nsid w:val="59ADEA3D"/>
    <w:multiLevelType w:val="hybridMultilevel"/>
    <w:lvl w:ilvl="0">
      <w:lvlJc w:val="left"/>
      <w:lvlText w:val="•"/>
      <w:numFmt w:val="bullet"/>
      <w:start w:val="1"/>
    </w:lvl>
  </w:abstractNum>
  <w:abstractNum w:abstractNumId="77">
    <w:nsid w:val="288F1A34"/>
    <w:multiLevelType w:val="hybridMultilevel"/>
    <w:lvl w:ilvl="0">
      <w:lvlJc w:val="left"/>
      <w:lvlText w:val="•"/>
      <w:numFmt w:val="bullet"/>
      <w:start w:val="1"/>
    </w:lvl>
  </w:abstractNum>
  <w:abstractNum w:abstractNumId="78">
    <w:nsid w:val="2A155DBC"/>
    <w:multiLevelType w:val="hybridMultilevel"/>
    <w:lvl w:ilvl="0">
      <w:lvlJc w:val="left"/>
      <w:lvlText w:val="(%1)"/>
      <w:numFmt w:val="decimal"/>
      <w:start w:val="1"/>
    </w:lvl>
  </w:abstractNum>
  <w:abstractNum w:abstractNumId="79">
    <w:nsid w:val="1D9F6E5F"/>
    <w:multiLevelType w:val="hybridMultilevel"/>
    <w:lvl w:ilvl="0">
      <w:lvlJc w:val="left"/>
      <w:lvlText w:val="•"/>
      <w:numFmt w:val="bullet"/>
      <w:start w:val="1"/>
    </w:lvl>
  </w:abstractNum>
  <w:abstractNum w:abstractNumId="80">
    <w:nsid w:val="97E1B4E"/>
    <w:multiLevelType w:val="hybridMultilevel"/>
    <w:lvl w:ilvl="0">
      <w:lvlJc w:val="left"/>
      <w:lvlText w:val="•"/>
      <w:numFmt w:val="bullet"/>
      <w:start w:val="1"/>
    </w:lvl>
  </w:abstractNum>
  <w:abstractNum w:abstractNumId="81">
    <w:nsid w:val="51088277"/>
    <w:multiLevelType w:val="hybridMultilevel"/>
    <w:lvl w:ilvl="0">
      <w:lvlJc w:val="left"/>
      <w:lvlText w:val="•"/>
      <w:numFmt w:val="bullet"/>
      <w:start w:val="1"/>
    </w:lvl>
    <w:lvl w:ilvl="1">
      <w:lvlJc w:val="left"/>
      <w:lvlText w:val="•"/>
      <w:numFmt w:val="bullet"/>
      <w:start w:val="1"/>
    </w:lvl>
  </w:abstractNum>
  <w:abstractNum w:abstractNumId="82">
    <w:nsid w:val="1CA0C5FA"/>
    <w:multiLevelType w:val="hybridMultilevel"/>
    <w:lvl w:ilvl="0">
      <w:lvlJc w:val="left"/>
      <w:lvlText w:val="•"/>
      <w:numFmt w:val="bullet"/>
      <w:start w:val="1"/>
    </w:lvl>
  </w:abstractNum>
  <w:abstractNum w:abstractNumId="83">
    <w:nsid w:val="53584BCB"/>
    <w:multiLevelType w:val="hybridMultilevel"/>
    <w:lvl w:ilvl="0">
      <w:lvlJc w:val="left"/>
      <w:lvlText w:val="•"/>
      <w:numFmt w:val="bullet"/>
      <w:start w:val="1"/>
    </w:lvl>
  </w:abstractNum>
  <w:abstractNum w:abstractNumId="84">
    <w:nsid w:val="415E286C"/>
    <w:multiLevelType w:val="hybridMultilevel"/>
    <w:lvl w:ilvl="0">
      <w:lvlJc w:val="left"/>
      <w:lvlText w:val="(%1)"/>
      <w:numFmt w:val="decimal"/>
      <w:start w:val="1"/>
    </w:lvl>
  </w:abstractNum>
  <w:abstractNum w:abstractNumId="85">
    <w:nsid w:val="7C58FD05"/>
    <w:multiLevelType w:val="hybridMultilevel"/>
    <w:lvl w:ilvl="0">
      <w:lvlJc w:val="left"/>
      <w:lvlText w:val="(%1)"/>
      <w:numFmt w:val="decimal"/>
      <w:start w:val="1"/>
    </w:lvl>
  </w:abstractNum>
  <w:abstractNum w:abstractNumId="86">
    <w:nsid w:val="23D86AAC"/>
    <w:multiLevelType w:val="hybridMultilevel"/>
    <w:lvl w:ilvl="0">
      <w:lvlJc w:val="left"/>
      <w:lvlText w:val="(%1)"/>
      <w:numFmt w:val="decimal"/>
      <w:start w:val="1"/>
    </w:lvl>
  </w:abstractNum>
  <w:abstractNum w:abstractNumId="87">
    <w:nsid w:val="45E6D486"/>
    <w:multiLevelType w:val="hybridMultilevel"/>
    <w:lvl w:ilvl="0">
      <w:lvlJc w:val="left"/>
      <w:lvlText w:val="(%1)"/>
      <w:numFmt w:val="lowerLetter"/>
      <w:start w:val="2"/>
    </w:lvl>
  </w:abstractNum>
  <w:abstractNum w:abstractNumId="88">
    <w:nsid w:val="5C10FE21"/>
    <w:multiLevelType w:val="hybridMultilevel"/>
    <w:lvl w:ilvl="0">
      <w:lvlJc w:val="left"/>
      <w:lvlText w:val="•"/>
      <w:numFmt w:val="bullet"/>
      <w:start w:val="1"/>
    </w:lvl>
  </w:abstractNum>
  <w:abstractNum w:abstractNumId="89">
    <w:nsid w:val="E7FFA2B"/>
    <w:multiLevelType w:val="hybridMultilevel"/>
    <w:lvl w:ilvl="0">
      <w:lvlJc w:val="left"/>
      <w:lvlText w:val=","/>
      <w:numFmt w:val="bullet"/>
      <w:start w:val="1"/>
    </w:lvl>
  </w:abstractNum>
  <w:abstractNum w:abstractNumId="90">
    <w:nsid w:val="3C5991AA"/>
    <w:multiLevelType w:val="hybridMultilevel"/>
    <w:lvl w:ilvl="0">
      <w:lvlJc w:val="left"/>
      <w:lvlText w:val="(%1)"/>
      <w:numFmt w:val="decimal"/>
      <w:start w:val="1"/>
    </w:lvl>
  </w:abstractNum>
  <w:abstractNum w:abstractNumId="91">
    <w:nsid w:val="4BD8591A"/>
    <w:multiLevelType w:val="hybridMultilevel"/>
    <w:lvl w:ilvl="0">
      <w:lvlJc w:val="left"/>
      <w:lvlText w:val="(%1)"/>
      <w:numFmt w:val="lowerRoman"/>
      <w:start w:val="1"/>
    </w:lvl>
  </w:abstractNum>
  <w:abstractNum w:abstractNumId="92">
    <w:nsid w:val="78DF6A55"/>
    <w:multiLevelType w:val="hybridMultilevel"/>
    <w:lvl w:ilvl="0">
      <w:lvlJc w:val="left"/>
      <w:lvlText w:val="(%1)"/>
      <w:numFmt w:val="lowerRoman"/>
      <w:start w:val="1"/>
    </w:lvl>
    <w:lvl w:ilvl="1">
      <w:lvlJc w:val="left"/>
      <w:lvlText w:val="%2."/>
      <w:numFmt w:val="decimal"/>
      <w:start w:val="1"/>
    </w:lvl>
  </w:abstractNum>
  <w:abstractNum w:abstractNumId="93">
    <w:nsid w:val="39B7AAA2"/>
    <w:multiLevelType w:val="hybridMultilevel"/>
    <w:lvl w:ilvl="0">
      <w:lvlJc w:val="left"/>
      <w:lvlText w:val="*"/>
      <w:numFmt w:val="bullet"/>
      <w:start w:val="1"/>
    </w:lvl>
  </w:abstractNum>
  <w:abstractNum w:abstractNumId="94">
    <w:nsid w:val="2B0D8DBE"/>
    <w:multiLevelType w:val="hybridMultilevel"/>
    <w:lvl w:ilvl="0">
      <w:lvlJc w:val="left"/>
      <w:lvlText w:val="1"/>
      <w:numFmt w:val="bullet"/>
      <w:start w:val="1"/>
    </w:lvl>
  </w:abstractNum>
  <w:abstractNum w:abstractNumId="95">
    <w:nsid w:val="6C80EC70"/>
    <w:multiLevelType w:val="hybridMultilevel"/>
    <w:lvl w:ilvl="0">
      <w:lvlJc w:val="left"/>
      <w:lvlText w:val="2"/>
      <w:numFmt w:val="bullet"/>
      <w:start w:val="1"/>
    </w:lvl>
  </w:abstractNum>
  <w:abstractNum w:abstractNumId="96">
    <w:nsid w:val="379E21B5"/>
    <w:multiLevelType w:val="hybridMultilevel"/>
    <w:lvl w:ilvl="0">
      <w:lvlJc w:val="left"/>
      <w:lvlText w:val="3"/>
      <w:numFmt w:val="bullet"/>
      <w:start w:val="1"/>
    </w:lvl>
  </w:abstractNum>
  <w:abstractNum w:abstractNumId="97">
    <w:nsid w:val="69E373"/>
    <w:multiLevelType w:val="hybridMultilevel"/>
    <w:lvl w:ilvl="0">
      <w:lvlJc w:val="left"/>
      <w:lvlText w:val="4"/>
      <w:numFmt w:val="bullet"/>
      <w:start w:val="1"/>
    </w:lvl>
  </w:abstractNum>
  <w:abstractNum w:abstractNumId="98">
    <w:nsid w:val="2C27173B"/>
    <w:multiLevelType w:val="hybridMultilevel"/>
    <w:lvl w:ilvl="0">
      <w:lvlJc w:val="left"/>
      <w:lvlText w:val="5"/>
      <w:numFmt w:val="bullet"/>
      <w:start w:val="1"/>
    </w:lvl>
  </w:abstractNum>
  <w:abstractNum w:abstractNumId="99">
    <w:nsid w:val="4C9B0904"/>
    <w:multiLevelType w:val="hybridMultilevel"/>
    <w:lvl w:ilvl="0">
      <w:lvlJc w:val="left"/>
      <w:lvlText w:val="6"/>
      <w:numFmt w:val="bullet"/>
      <w:start w:val="1"/>
    </w:lvl>
  </w:abstractNum>
  <w:abstractNum w:abstractNumId="100">
    <w:nsid w:val="6AA7B75C"/>
    <w:multiLevelType w:val="hybridMultilevel"/>
    <w:lvl w:ilvl="0">
      <w:lvlJc w:val="left"/>
      <w:lvlText w:val="7"/>
      <w:numFmt w:val="bullet"/>
      <w:start w:val="1"/>
    </w:lvl>
  </w:abstractNum>
  <w:abstractNum w:abstractNumId="101">
    <w:nsid w:val="1DF029D3"/>
    <w:multiLevelType w:val="hybridMultilevel"/>
    <w:lvl w:ilvl="0">
      <w:lvlJc w:val="left"/>
      <w:lvlText w:val="1"/>
      <w:numFmt w:val="bullet"/>
      <w:start w:val="1"/>
    </w:lvl>
  </w:abstractNum>
  <w:abstractNum w:abstractNumId="102">
    <w:nsid w:val="5675FF36"/>
    <w:multiLevelType w:val="hybridMultilevel"/>
    <w:lvl w:ilvl="0">
      <w:lvlJc w:val="left"/>
      <w:lvlText w:val="(%1)"/>
      <w:numFmt w:val="lowerLetter"/>
      <w:start w:val="1"/>
    </w:lvl>
  </w:abstractNum>
  <w:abstractNum w:abstractNumId="103">
    <w:nsid w:val="3DD15094"/>
    <w:multiLevelType w:val="hybridMultilevel"/>
    <w:lvl w:ilvl="0">
      <w:lvlJc w:val="left"/>
      <w:lvlText w:val="(%1)"/>
      <w:numFmt w:val="lowerLetter"/>
      <w:start w:val="13"/>
    </w:lvl>
  </w:abstractNum>
  <w:abstractNum w:abstractNumId="104">
    <w:nsid w:val="3DB012B3"/>
    <w:multiLevelType w:val="hybridMultilevel"/>
    <w:lvl w:ilvl="0">
      <w:lvlJc w:val="left"/>
      <w:lvlText w:val="2"/>
      <w:numFmt w:val="bullet"/>
      <w:start w:val="1"/>
    </w:lvl>
  </w:abstractNum>
  <w:abstractNum w:abstractNumId="105">
    <w:nsid w:val="2708C9AF"/>
    <w:multiLevelType w:val="hybridMultilevel"/>
    <w:lvl w:ilvl="0">
      <w:lvlJc w:val="left"/>
      <w:lvlText w:val="3"/>
      <w:numFmt w:val="bullet"/>
      <w:start w:val="1"/>
    </w:lvl>
  </w:abstractNum>
  <w:abstractNum w:abstractNumId="106">
    <w:nsid w:val="5B25ACE2"/>
    <w:multiLevelType w:val="hybridMultilevel"/>
    <w:lvl w:ilvl="0">
      <w:lvlJc w:val="left"/>
      <w:lvlText w:val="(%1)"/>
      <w:numFmt w:val="lowerLetter"/>
      <w:start w:val="1"/>
    </w:lvl>
  </w:abstractNum>
  <w:abstractNum w:abstractNumId="107">
    <w:nsid w:val="175DFCF0"/>
    <w:multiLevelType w:val="hybridMultilevel"/>
    <w:lvl w:ilvl="0">
      <w:lvlJc w:val="left"/>
      <w:lvlText w:val="4"/>
      <w:numFmt w:val="bullet"/>
      <w:start w:val="1"/>
    </w:lvl>
  </w:abstractNum>
  <w:abstractNum w:abstractNumId="108">
    <w:nsid w:val="4F97E3E4"/>
    <w:multiLevelType w:val="hybridMultilevel"/>
    <w:lvl w:ilvl="0">
      <w:lvlJc w:val="left"/>
      <w:lvlText w:val="5"/>
      <w:numFmt w:val="bullet"/>
      <w:start w:val="1"/>
    </w:lvl>
  </w:abstractNum>
  <w:abstractNum w:abstractNumId="109">
    <w:nsid w:val="53B0A9E"/>
    <w:multiLevelType w:val="hybridMultilevel"/>
    <w:lvl w:ilvl="0">
      <w:lvlJc w:val="left"/>
      <w:lvlText w:val="6"/>
      <w:numFmt w:val="bullet"/>
      <w:start w:val="1"/>
    </w:lvl>
  </w:abstractNum>
  <w:abstractNum w:abstractNumId="110">
    <w:nsid w:val="34FD6B4F"/>
    <w:multiLevelType w:val="hybridMultilevel"/>
    <w:lvl w:ilvl="0">
      <w:lvlJc w:val="left"/>
      <w:lvlText w:val="7"/>
      <w:numFmt w:val="bullet"/>
      <w:start w:val="1"/>
    </w:lvl>
  </w:abstractNum>
  <w:abstractNum w:abstractNumId="111">
    <w:nsid w:val="5915FF32"/>
    <w:multiLevelType w:val="hybridMultilevel"/>
    <w:lvl w:ilvl="0">
      <w:lvlJc w:val="left"/>
      <w:lvlText w:val="8"/>
      <w:numFmt w:val="bullet"/>
      <w:start w:val="1"/>
    </w:lvl>
  </w:abstractNum>
  <w:abstractNum w:abstractNumId="112">
    <w:nsid w:val="56438D15"/>
    <w:multiLevelType w:val="hybridMultilevel"/>
    <w:lvl w:ilvl="0">
      <w:lvlJc w:val="left"/>
      <w:lvlText w:val="9"/>
      <w:numFmt w:val="bullet"/>
      <w:start w:val="1"/>
    </w:lvl>
  </w:abstractNum>
  <w:abstractNum w:abstractNumId="113">
    <w:nsid w:val="519E3149"/>
    <w:multiLevelType w:val="hybridMultilevel"/>
    <w:lvl w:ilvl="0">
      <w:lvlJc w:val="left"/>
      <w:lvlText w:val="%1"/>
      <w:numFmt w:val="decimal"/>
      <w:start w:val="11"/>
    </w:lvl>
  </w:abstractNum>
  <w:abstractNum w:abstractNumId="114">
    <w:nsid w:val="2C6E4AFD"/>
    <w:multiLevelType w:val="hybridMultilevel"/>
    <w:lvl w:ilvl="0">
      <w:lvlJc w:val="left"/>
      <w:lvlText w:val="(%1)"/>
      <w:numFmt w:val="lowerLetter"/>
      <w:start w:val="1"/>
    </w:lvl>
  </w:abstractNum>
  <w:abstractNum w:abstractNumId="115">
    <w:nsid w:val="17A1B582"/>
    <w:multiLevelType w:val="hybridMultilevel"/>
    <w:lvl w:ilvl="0">
      <w:lvlJc w:val="left"/>
      <w:lvlText w:val="(%1)"/>
      <w:numFmt w:val="lowerLetter"/>
      <w:start w:val="1"/>
    </w:lvl>
  </w:abstractNum>
  <w:abstractNum w:abstractNumId="116">
    <w:nsid w:val="4DF72E4E"/>
    <w:multiLevelType w:val="hybridMultilevel"/>
    <w:lvl w:ilvl="0">
      <w:lvlJc w:val="left"/>
      <w:lvlText w:val="%1"/>
      <w:numFmt w:val="decimal"/>
      <w:start w:val="19"/>
    </w:lvl>
  </w:abstractNum>
  <w:abstractNum w:abstractNumId="117">
    <w:nsid w:val="5046B5A9"/>
    <w:multiLevelType w:val="hybridMultilevel"/>
    <w:lvl w:ilvl="0">
      <w:lvlJc w:val="left"/>
      <w:lvlText w:val="(%1)"/>
      <w:numFmt w:val="lowerLetter"/>
      <w:start w:val="1"/>
    </w:lvl>
  </w:abstractNum>
  <w:abstractNum w:abstractNumId="118">
    <w:nsid w:val="5D888A08"/>
    <w:multiLevelType w:val="hybridMultilevel"/>
    <w:lvl w:ilvl="0">
      <w:lvlJc w:val="left"/>
      <w:lvlText w:val="%1"/>
      <w:numFmt w:val="decimal"/>
      <w:start w:val="25"/>
    </w:lvl>
  </w:abstractNum>
  <w:abstractNum w:abstractNumId="119">
    <w:nsid w:val="2A082C70"/>
    <w:multiLevelType w:val="hybridMultilevel"/>
    <w:lvl w:ilvl="0">
      <w:lvlJc w:val="left"/>
      <w:lvlText w:val="%1"/>
      <w:numFmt w:val="decimal"/>
      <w:start w:val="26"/>
    </w:lvl>
  </w:abstractNum>
  <w:abstractNum w:abstractNumId="120">
    <w:nsid w:val="5EC6AFD4"/>
    <w:multiLevelType w:val="hybridMultilevel"/>
    <w:lvl w:ilvl="0">
      <w:lvlJc w:val="left"/>
      <w:lvlText w:val="%1"/>
      <w:numFmt w:val="decimal"/>
      <w:start w:val="30"/>
    </w:lvl>
    <w:lvl w:ilvl="1">
      <w:lvlJc w:val="left"/>
      <w:lvlText w:val="(%2)"/>
      <w:numFmt w:val="lowerLetter"/>
      <w:start w:val="1"/>
    </w:lvl>
  </w:abstractNum>
  <w:abstractNum w:abstractNumId="121">
    <w:nsid w:val="19E21BB2"/>
    <w:multiLevelType w:val="hybridMultilevel"/>
    <w:lvl w:ilvl="0">
      <w:lvlJc w:val="left"/>
      <w:lvlText w:val="%1"/>
      <w:numFmt w:val="decimal"/>
      <w:start w:val="32"/>
    </w:lvl>
  </w:abstractNum>
  <w:abstractNum w:abstractNumId="122">
    <w:nsid w:val="75E0858A"/>
    <w:multiLevelType w:val="hybridMultilevel"/>
    <w:lvl w:ilvl="0">
      <w:lvlJc w:val="left"/>
      <w:lvlText w:val="%1"/>
      <w:numFmt w:val="decimal"/>
      <w:start w:val="34"/>
    </w:lvl>
  </w:abstractNum>
  <w:abstractNum w:abstractNumId="123">
    <w:nsid w:val="57A61A29"/>
    <w:multiLevelType w:val="hybridMultilevel"/>
    <w:lvl w:ilvl="0">
      <w:lvlJc w:val="left"/>
      <w:lvlText w:val="%1"/>
      <w:numFmt w:val="decimal"/>
      <w:start w:val="37"/>
    </w:lvl>
  </w:abstractNum>
  <w:abstractNum w:abstractNumId="124">
    <w:nsid w:val="5399C654"/>
    <w:multiLevelType w:val="hybridMultilevel"/>
    <w:lvl w:ilvl="0">
      <w:lvlJc w:val="left"/>
      <w:lvlText w:val="%1"/>
      <w:numFmt w:val="decimal"/>
      <w:start w:val="41"/>
    </w:lvl>
  </w:abstractNum>
  <w:abstractNum w:abstractNumId="125">
    <w:nsid w:val="20EE1348"/>
    <w:multiLevelType w:val="hybridMultilevel"/>
    <w:lvl w:ilvl="0">
      <w:lvlJc w:val="left"/>
      <w:lvlText w:val="(%1)"/>
      <w:numFmt w:val="lowerLetter"/>
      <w:start w:val="1"/>
    </w:lvl>
  </w:abstractNum>
  <w:abstractNum w:abstractNumId="126">
    <w:nsid w:val="4427069A"/>
    <w:multiLevelType w:val="hybridMultilevel"/>
    <w:lvl w:ilvl="0">
      <w:lvlJc w:val="left"/>
      <w:lvlText w:val="%1"/>
      <w:numFmt w:val="decimal"/>
      <w:start w:val="47"/>
    </w:lvl>
  </w:abstractNum>
  <w:abstractNum w:abstractNumId="127">
    <w:nsid w:val="B37E80A"/>
    <w:multiLevelType w:val="hybridMultilevel"/>
    <w:lvl w:ilvl="0">
      <w:lvlJc w:val="left"/>
      <w:lvlText w:val="%1"/>
      <w:numFmt w:val="decimal"/>
      <w:start w:val="48"/>
    </w:lvl>
  </w:abstractNum>
  <w:abstractNum w:abstractNumId="128">
    <w:nsid w:val="2157F6BC"/>
    <w:multiLevelType w:val="hybridMultilevel"/>
    <w:lvl w:ilvl="0">
      <w:lvlJc w:val="left"/>
      <w:lvlText w:val="%1."/>
      <w:numFmt w:val="decimal"/>
      <w:start w:val="1"/>
    </w:lvl>
    <w:lvl w:ilvl="1">
      <w:lvlJc w:val="left"/>
      <w:lvlText w:val="(%2)"/>
      <w:numFmt w:val="lowerLetter"/>
      <w:start w:val="1"/>
    </w:lvl>
  </w:abstractNum>
  <w:abstractNum w:abstractNumId="129">
    <w:nsid w:val="704E1DD5"/>
    <w:multiLevelType w:val="hybridMultilevel"/>
    <w:lvl w:ilvl="0">
      <w:lvlJc w:val="left"/>
      <w:lvlText w:val="%1"/>
      <w:numFmt w:val="decimal"/>
      <w:start w:val="1"/>
    </w:lvl>
    <w:lvl w:ilvl="1">
      <w:lvlJc w:val="left"/>
      <w:lvlText w:val="(%2)"/>
      <w:numFmt w:val="lowerLetter"/>
      <w:start w:val="3"/>
    </w:lvl>
  </w:abstractNum>
  <w:abstractNum w:abstractNumId="130">
    <w:nsid w:val="57D2F10E"/>
    <w:multiLevelType w:val="hybridMultilevel"/>
    <w:lvl w:ilvl="0">
      <w:lvlJc w:val="left"/>
      <w:lvlText w:val="%1."/>
      <w:numFmt w:val="decimal"/>
      <w:start w:val="6"/>
    </w:lvl>
    <w:lvl w:ilvl="1">
      <w:lvlJc w:val="left"/>
      <w:lvlText w:val="(%2)"/>
      <w:numFmt w:val="lowerLetter"/>
      <w:start w:val="1"/>
    </w:lvl>
  </w:abstractNum>
  <w:abstractNum w:abstractNumId="131">
    <w:nsid w:val="BFFAE18"/>
    <w:multiLevelType w:val="hybridMultilevel"/>
    <w:lvl w:ilvl="0">
      <w:lvlJc w:val="left"/>
      <w:lvlText w:val="%1."/>
      <w:numFmt w:val="decimal"/>
      <w:start w:val="12"/>
    </w:lvl>
  </w:abstractNum>
  <w:abstractNum w:abstractNumId="132">
    <w:nsid w:val="E3E47A8"/>
    <w:multiLevelType w:val="hybridMultilevel"/>
    <w:lvl w:ilvl="0">
      <w:lvlJc w:val="left"/>
      <w:lvlText w:val="%1."/>
      <w:numFmt w:val="decimal"/>
      <w:start w:val="1"/>
    </w:lvl>
  </w:abstractNum>
  <w:abstractNum w:abstractNumId="133">
    <w:nsid w:val="2E48F044"/>
    <w:multiLevelType w:val="hybridMultilevel"/>
    <w:lvl w:ilvl="0">
      <w:lvlJc w:val="left"/>
      <w:lvlText w:val="%1."/>
      <w:numFmt w:val="decimal"/>
      <w:start w:val="3"/>
    </w:lvl>
  </w:abstractNum>
  <w:abstractNum w:abstractNumId="134">
    <w:nsid w:val="49D0FEAC"/>
    <w:multiLevelType w:val="hybridMultilevel"/>
    <w:lvl w:ilvl="0">
      <w:lvlJc w:val="left"/>
      <w:lvlText w:val="%1."/>
      <w:numFmt w:val="decimal"/>
      <w:start w:val="4"/>
    </w:lvl>
  </w:abstractNum>
  <w:abstractNum w:abstractNumId="135">
    <w:nsid w:val="4BEE5A5B"/>
    <w:multiLevelType w:val="hybridMultilevel"/>
    <w:lvl w:ilvl="0">
      <w:lvlJc w:val="left"/>
      <w:lvlText w:val="%1."/>
      <w:numFmt w:val="decimal"/>
      <w:start w:val="6"/>
    </w:lvl>
  </w:abstractNum>
  <w:abstractNum w:abstractNumId="136">
    <w:nsid w:val="5551B9F3"/>
    <w:multiLevelType w:val="hybridMultilevel"/>
    <w:lvl w:ilvl="0">
      <w:lvlJc w:val="left"/>
      <w:lvlText w:val="(%1)"/>
      <w:numFmt w:val="lowerRoman"/>
      <w:start w:val="1"/>
    </w:lvl>
  </w:abstractNum>
  <w:abstractNum w:abstractNumId="137">
    <w:nsid w:val="24F6AB8E"/>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jpe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jpe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jpeg"/><Relationship Id="rId251" Type="http://schemas.openxmlformats.org/officeDocument/2006/relationships/image" Target="media/image244.png"/><Relationship Id="rId252" Type="http://schemas.openxmlformats.org/officeDocument/2006/relationships/image" Target="media/image245.jpeg"/><Relationship Id="rId253" Type="http://schemas.openxmlformats.org/officeDocument/2006/relationships/image" Target="media/image246.png"/><Relationship Id="rId254" Type="http://schemas.openxmlformats.org/officeDocument/2006/relationships/image" Target="media/image247.jpe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jpe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jpe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jpe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2020-03-17T17:39:15Z</dcterms:created>
  <dcterms:modified xsi:type="dcterms:W3CDTF">2020-03-17T17:39:15Z</dcterms:modified>
</cp:coreProperties>
</file>