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Filed with the United States Securities and Exchange Commission on May 1, 2020 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Act of 1933, as amended.</w:t>
      </w:r>
    </w:p>
    <w:p>
      <w:pPr>
        <w:jc w:val="right"/>
        <w:spacing w:after="0"/>
        <w:rPr>
          <w:sz w:val="20"/>
          <w:szCs w:val="20"/>
          <w:color w:val="auto"/>
        </w:rPr>
      </w:pPr>
      <w:r>
        <w:rPr>
          <w:rFonts w:ascii="Arial" w:cs="Arial" w:eastAsia="Arial" w:hAnsi="Arial"/>
          <w:sz w:val="18"/>
          <w:szCs w:val="18"/>
          <w:b w:val="1"/>
          <w:bCs w:val="1"/>
          <w:color w:val="auto"/>
        </w:rPr>
        <w:t>No. 333-237245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Cayman Islands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Leonard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020" w:type="dxa"/>
            <w:vAlign w:val="bottom"/>
          </w:tcPr>
          <w:p>
            <w:pPr>
              <w:ind w:left="660"/>
              <w:spacing w:after="0"/>
              <w:rPr>
                <w:sz w:val="20"/>
                <w:szCs w:val="20"/>
                <w:color w:val="auto"/>
              </w:rPr>
            </w:pPr>
            <w:r>
              <w:rPr>
                <w:rFonts w:ascii="Arial" w:cs="Arial" w:eastAsia="Arial" w:hAnsi="Arial"/>
                <w:sz w:val="18"/>
                <w:szCs w:val="18"/>
                <w:b w:val="1"/>
                <w:bCs w:val="1"/>
                <w:color w:val="auto"/>
              </w:rPr>
              <w:t>Copies:</w:t>
            </w:r>
          </w:p>
        </w:tc>
      </w:tr>
      <w:tr>
        <w:trPr>
          <w:trHeight w:val="414"/>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3"/>
              </w:rPr>
              <w:t>Christian O. Nagler</w:t>
            </w:r>
          </w:p>
        </w:tc>
        <w:tc>
          <w:tcPr>
            <w:tcW w:w="502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Derek J. Dostal</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87"/>
              </w:rPr>
              <w:t>Peter S. Seligson</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5"/>
              </w:rPr>
              <w:t>Deanna L. Kirkpatrick</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8"/>
              </w:rPr>
              <w:t>Kirkland &amp;Ellis LLP</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Davis Polk &amp; Wardwell LLP</w:t>
            </w:r>
          </w:p>
        </w:tc>
      </w:tr>
      <w:tr>
        <w:trPr>
          <w:trHeight w:val="216"/>
        </w:trPr>
        <w:tc>
          <w:tcPr>
            <w:tcW w:w="276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601 Lexington Avenue</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0"/>
              </w:rPr>
              <w:t>450 Lexington Avenue</w:t>
            </w:r>
          </w:p>
        </w:tc>
      </w:tr>
      <w:tr>
        <w:trPr>
          <w:trHeight w:val="216"/>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2"/>
              </w:rPr>
              <w:t>New York, New York 10022</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16"/>
        </w:trPr>
        <w:tc>
          <w:tcPr>
            <w:tcW w:w="27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Tel: (212) 446-4800</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Tel: (212) 450-4000</w:t>
            </w:r>
          </w:p>
        </w:tc>
      </w:tr>
      <w:tr>
        <w:trPr>
          <w:trHeight w:val="234"/>
        </w:trPr>
        <w:tc>
          <w:tcPr>
            <w:tcW w:w="2760" w:type="dxa"/>
            <w:vAlign w:val="bottom"/>
          </w:tcPr>
          <w:p>
            <w:pPr>
              <w:jc w:val="center"/>
              <w:ind w:right="550"/>
              <w:spacing w:after="0"/>
              <w:rPr>
                <w:sz w:val="20"/>
                <w:szCs w:val="20"/>
                <w:color w:val="auto"/>
              </w:rPr>
            </w:pPr>
            <w:r>
              <w:rPr>
                <w:rFonts w:ascii="Arial" w:cs="Arial" w:eastAsia="Arial" w:hAnsi="Arial"/>
                <w:sz w:val="18"/>
                <w:szCs w:val="18"/>
                <w:b w:val="1"/>
                <w:bCs w:val="1"/>
                <w:color w:val="auto"/>
                <w:w w:val="92"/>
              </w:rPr>
              <w:t>Fax: (212) 446-4900</w:t>
            </w:r>
          </w:p>
        </w:tc>
        <w:tc>
          <w:tcPr>
            <w:tcW w:w="5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Fax: (212) 701-5800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29"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both"/>
        <w:ind w:right="64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sectPr>
          <w:pgSz w:w="11900" w:h="16838" w:orient="portrait"/>
          <w:cols w:equalWidth="0" w:num="4">
            <w:col w:w="1980" w:space="720"/>
            <w:col w:w="1880" w:space="720"/>
            <w:col w:w="2420" w:space="720"/>
            <w:col w:w="2800"/>
          </w:cols>
          <w:pgMar w:left="320" w:top="220"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420" w:type="dxa"/>
            <w:vAlign w:val="bottom"/>
            <w:gridSpan w:val="5"/>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Offering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Amount Being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2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Security(1)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Price(1)</w:t>
            </w:r>
          </w:p>
        </w:tc>
        <w:tc>
          <w:tcPr>
            <w:tcW w:w="120" w:type="dxa"/>
            <w:vAlign w:val="bottom"/>
          </w:tcPr>
          <w:p>
            <w:pPr>
              <w:spacing w:after="0"/>
              <w:rPr>
                <w:sz w:val="20"/>
                <w:szCs w:val="20"/>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Units, each consisting of one Class A ordinary share, $0.0001 par value, and</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one-half of one redeemable warrant(2)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34,500,000 units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Class A ordinary shares included as part of the units(3)</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0"/>
              </w:rPr>
              <w:t>34,500,000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5980" w:type="dxa"/>
            <w:vAlign w:val="bottom"/>
            <w:gridSpan w:val="2"/>
            <w:vMerge w:val="continue"/>
          </w:tcPr>
          <w:p>
            <w:pPr>
              <w:spacing w:after="0"/>
              <w:rPr>
                <w:sz w:val="2"/>
                <w:szCs w:val="2"/>
                <w:color w:val="auto"/>
              </w:rPr>
            </w:pPr>
          </w:p>
        </w:tc>
        <w:tc>
          <w:tcPr>
            <w:tcW w:w="1220" w:type="dxa"/>
            <w:vAlign w:val="bottom"/>
          </w:tcPr>
          <w:p>
            <w:pPr>
              <w:jc w:val="center"/>
              <w:spacing w:after="0" w:line="30" w:lineRule="exact"/>
              <w:rPr>
                <w:sz w:val="20"/>
                <w:szCs w:val="20"/>
                <w:color w:val="auto"/>
              </w:rPr>
            </w:pPr>
            <w:r>
              <w:rPr>
                <w:rFonts w:ascii="Arial" w:cs="Arial" w:eastAsia="Arial" w:hAnsi="Arial"/>
                <w:sz w:val="3"/>
                <w:szCs w:val="3"/>
                <w:color w:val="auto"/>
              </w:rPr>
              <w:t>shares</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 included as part of the units(3)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warrants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5"/>
                <w:szCs w:val="15"/>
                <w:color w:val="auto"/>
                <w:w w:val="87"/>
              </w:rPr>
              <w:t>(5)</w:t>
            </w: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345,000,000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44,781</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w:t>
      </w:r>
    </w:p>
    <w:p>
      <w:pPr>
        <w:spacing w:after="0" w:line="23" w:lineRule="exact"/>
        <w:rPr>
          <w:rFonts w:ascii="Arial" w:cs="Arial" w:eastAsia="Arial" w:hAnsi="Arial"/>
          <w:sz w:val="18"/>
          <w:szCs w:val="18"/>
          <w:color w:val="auto"/>
        </w:rPr>
      </w:pPr>
    </w:p>
    <w:p>
      <w:pPr>
        <w:ind w:left="380" w:right="120" w:hanging="332"/>
        <w:spacing w:after="0" w:line="250"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4,500,000 units, consisting of 4,500,000 Class A ordinary shares and 2,250,000 redeemable warrants, which may be issued upon exercise of a 45-day option granted to the underwriter to cover over-allotments, if any.</w:t>
      </w:r>
    </w:p>
    <w:p>
      <w:pPr>
        <w:ind w:left="380" w:right="500" w:hanging="332"/>
        <w:spacing w:after="0" w:line="250"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there are also being registered an indeterminable number of additional securities as may be offered or issued to prevent dilution resulting from stock splits, stock dividends, or similar transactions.</w:t>
      </w:r>
    </w:p>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Sustainable Opportunities Acquisition Corp. is filing this Amendment No. 1 to its registration statement on Form S-1 (File No. 333-237245) as an exhibits-only filing. Accordingly, this Amendment consists only of the facing page, this explanatory note, Item 16(i) of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11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Exhibit Index is incorporated herein by reference.</w:t>
      </w:r>
    </w:p>
    <w:p>
      <w:pPr>
        <w:spacing w:after="0" w:line="200" w:lineRule="exact"/>
        <w:rPr>
          <w:sz w:val="20"/>
          <w:szCs w:val="20"/>
          <w:color w:val="auto"/>
        </w:rPr>
      </w:pPr>
    </w:p>
    <w:p>
      <w:pPr>
        <w:spacing w:after="0" w:line="2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Memorandum and Articles of Association.*</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Form of Amended and Restated Memorandum and Articles of Association.</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Specimen Unit Certificate</w:t>
              </w:r>
              <w:r>
                <w:rPr>
                  <w:rFonts w:ascii="Arial" w:cs="Arial" w:eastAsia="Arial" w:hAnsi="Arial"/>
                  <w:sz w:val="18"/>
                  <w:szCs w:val="18"/>
                  <w:color w:val="0000EE"/>
                </w:rPr>
                <w:t>.</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Specimen Class A Ordinary Share Certificate.</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Form of Warrant Agreement between Continental Stock Transfer &amp; Trust Company and the Registrant.</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Opinion of Kirkland &amp; Ellis LLP</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Opinion of Maples and Calder, Cayman Islands Counsel to the Registrant.**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Form of Investment Management Trust Agreement between Continental Stock Transfer &amp; Trust Company and the Registrant.</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color w:val="0000EE"/>
                <w:w w:val="99"/>
              </w:rPr>
            </w:pPr>
            <w:hyperlink w:anchor="page106">
              <w:r>
                <w:rPr>
                  <w:rFonts w:ascii="Arial" w:cs="Arial" w:eastAsia="Arial" w:hAnsi="Arial"/>
                  <w:sz w:val="18"/>
                  <w:szCs w:val="18"/>
                  <w:u w:val="single" w:color="auto"/>
                  <w:color w:val="0000EE"/>
                  <w:w w:val="99"/>
                </w:rPr>
                <w:t>Form of Registration and Shareholder Rights Agreement among the Registrant, the Sponsor and the Holders signatory thereto</w:t>
              </w:r>
              <w:r>
                <w:rPr>
                  <w:rFonts w:ascii="Arial" w:cs="Arial" w:eastAsia="Arial" w:hAnsi="Arial"/>
                  <w:sz w:val="18"/>
                  <w:szCs w:val="18"/>
                  <w:color w:val="0000EE"/>
                  <w:w w:val="99"/>
                </w:rPr>
                <w:t>.</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Form of Private Placement Warrants Purchase Agreement between the Registrant and the Sponsor.</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Form of Indemnity Agreement.</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Form of Administrative Services Agreement between the Registrant and the Sponsor.</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Promissory Note, dated as of December 31, 2019, between the Registrant and the Sponsor.*</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Securities Subscription Agreement, dated December 31, 2019, between the Registrant and the Sponsor.*</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Form of Letter Agreement between the Registrant and the Sponsor.</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Form of Letter Agreement among the Registrant and each director and executive officer of the Registrant.</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Consent of Marcum LLP.*</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10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Consent of Kirkland &amp; Ellis LLP (included on Exhibit 5.1).</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Consent of Maples and Calder (included on Exhibit 5.2).**</w:t>
            </w:r>
          </w:p>
        </w:tc>
      </w:tr>
    </w:tbl>
    <w:p>
      <w:pPr>
        <w:ind w:left="1140" w:hanging="1132"/>
        <w:spacing w:after="0"/>
        <w:tabs>
          <w:tab w:leader="none" w:pos="1140" w:val="left"/>
        </w:tabs>
        <w:numPr>
          <w:ilvl w:val="0"/>
          <w:numId w:val="2"/>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Power of Attorney (included on signature page).*</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5"/>
              </w:rPr>
              <w:t>99.1</w:t>
            </w:r>
          </w:p>
        </w:tc>
        <w:tc>
          <w:tcPr>
            <w:tcW w:w="10500" w:type="dxa"/>
            <w:vAlign w:val="bottom"/>
            <w:shd w:val="clear" w:color="auto" w:fill="CCEEFF"/>
          </w:tcPr>
          <w:p>
            <w:pPr>
              <w:ind w:left="40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Consent of Rick Gaenzle.*</w:t>
              </w:r>
            </w:hyperlink>
          </w:p>
        </w:tc>
      </w:t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99.2</w:t>
            </w:r>
          </w:p>
        </w:tc>
        <w:tc>
          <w:tcPr>
            <w:tcW w:w="10500" w:type="dxa"/>
            <w:vAlign w:val="bottom"/>
          </w:tcPr>
          <w:p>
            <w:pPr>
              <w:ind w:left="40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Consent of Isaac Barchas.*</w:t>
              </w:r>
            </w:hyperlink>
          </w:p>
        </w:tc>
      </w:tr>
    </w:tbl>
    <w:p>
      <w:pPr>
        <w:spacing w:after="0" w:line="21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1st day of May 2020.</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Leonard</w:t>
            </w:r>
          </w:p>
        </w:tc>
        <w:tc>
          <w:tcPr>
            <w:tcW w:w="120" w:type="dxa"/>
            <w:vAlign w:val="bottom"/>
          </w:tcPr>
          <w:p>
            <w:pPr>
              <w:spacing w:after="0"/>
              <w:rPr>
                <w:sz w:val="24"/>
                <w:szCs w:val="24"/>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Scott Leonard</w:t>
            </w:r>
          </w:p>
        </w:tc>
        <w:tc>
          <w:tcPr>
            <w:tcW w:w="120" w:type="dxa"/>
            <w:vAlign w:val="bottom"/>
          </w:tcPr>
          <w:p>
            <w:pPr>
              <w:spacing w:after="0"/>
              <w:rPr>
                <w:sz w:val="20"/>
                <w:szCs w:val="20"/>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1"/>
              </w:rPr>
              <w:t>Scott Honour</w:t>
            </w:r>
          </w:p>
        </w:tc>
        <w:tc>
          <w:tcPr>
            <w:tcW w:w="120" w:type="dxa"/>
            <w:vAlign w:val="bottom"/>
          </w:tcPr>
          <w:p>
            <w:pPr>
              <w:spacing w:after="0"/>
              <w:rPr>
                <w:sz w:val="20"/>
                <w:szCs w:val="20"/>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Chairman</w:t>
            </w: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4"/>
              </w:rPr>
              <w:t>David Quiram</w:t>
            </w:r>
          </w:p>
        </w:tc>
        <w:tc>
          <w:tcPr>
            <w:tcW w:w="120" w:type="dxa"/>
            <w:vAlign w:val="bottom"/>
          </w:tcPr>
          <w:p>
            <w:pPr>
              <w:spacing w:after="0"/>
              <w:rPr>
                <w:sz w:val="20"/>
                <w:szCs w:val="20"/>
                <w:color w:val="auto"/>
              </w:rPr>
            </w:pPr>
          </w:p>
        </w:tc>
        <w:tc>
          <w:tcPr>
            <w:tcW w:w="460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3"/>
              </w:rPr>
              <w:t>(Principal Financial and Accounting Officer)</w:t>
            </w:r>
          </w:p>
        </w:tc>
        <w:tc>
          <w:tcPr>
            <w:tcW w:w="2020" w:type="dxa"/>
            <w:vAlign w:val="bottom"/>
          </w:tcPr>
          <w:p>
            <w:pPr>
              <w:jc w:val="center"/>
              <w:spacing w:after="0" w:line="203" w:lineRule="exact"/>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980" w:type="dxa"/>
            <w:vAlign w:val="bottom"/>
            <w:gridSpan w:val="2"/>
          </w:tcPr>
          <w:p>
            <w:pPr>
              <w:ind w:left="1540"/>
              <w:spacing w:after="0"/>
              <w:rPr>
                <w:sz w:val="20"/>
                <w:szCs w:val="20"/>
                <w:color w:val="auto"/>
              </w:rPr>
            </w:pPr>
            <w:r>
              <w:rPr>
                <w:rFonts w:ascii="Arial" w:cs="Arial" w:eastAsia="Arial" w:hAnsi="Arial"/>
                <w:sz w:val="18"/>
                <w:szCs w:val="18"/>
                <w:b w:val="1"/>
                <w:bCs w:val="1"/>
                <w:color w:val="auto"/>
              </w:rPr>
              <w:t>SUSTAINABLE OPPORTUNITIES ACQUISITION CORP.</w:t>
            </w:r>
          </w:p>
        </w:tc>
        <w:tc>
          <w:tcPr>
            <w:tcW w:w="76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(ADOPTED BY SPECIAL RESOLUTION DATED</w:t>
            </w:r>
          </w:p>
        </w:tc>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 2020 AND EFFECTIVE 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 2020 AND EFFECTIVE ON , 2020)</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70"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225" w:lineRule="exact"/>
        <w:rPr>
          <w:sz w:val="20"/>
          <w:szCs w:val="20"/>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share capital of the Company is US$33,100 divided into 300,000,000 Class A ordinary shares of a par value of US$0.0001 each, 30,000,000 Class B ordinary shares of a par value of US$0.0001 each and 1,000,000 preference shares of a par value of US$0.0001 each.</w:t>
      </w:r>
    </w:p>
    <w:p>
      <w:pPr>
        <w:spacing w:after="0" w:line="146" w:lineRule="exact"/>
        <w:rPr>
          <w:sz w:val="20"/>
          <w:szCs w:val="20"/>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70" w:lineRule="exact"/>
        <w:rPr>
          <w:sz w:val="20"/>
          <w:szCs w:val="20"/>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 2020 AND EFFECTIVE ON , 2020)</w:t>
      </w:r>
    </w:p>
    <w:p>
      <w:pPr>
        <w:spacing w:after="0" w:line="2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w:t>
            </w:r>
          </w:p>
        </w:tc>
        <w:tc>
          <w:tcPr>
            <w:tcW w:w="8160" w:type="dxa"/>
            <w:vAlign w:val="bottom"/>
          </w:tcPr>
          <w:p>
            <w:pPr>
              <w:ind w:left="940"/>
              <w:spacing w:after="0"/>
              <w:rPr>
                <w:sz w:val="20"/>
                <w:szCs w:val="20"/>
                <w:color w:val="auto"/>
              </w:rPr>
            </w:pPr>
            <w:r>
              <w:rPr>
                <w:rFonts w:ascii="Arial" w:cs="Arial" w:eastAsia="Arial" w:hAnsi="Arial"/>
                <w:sz w:val="18"/>
                <w:szCs w:val="18"/>
                <w:color w:val="auto"/>
                <w:w w:val="96"/>
              </w:rPr>
              <w:t>in respect of a person, means any other person that, directly or indirectly, through one or more</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2"/>
              </w:rPr>
              <w:t>intermediaries, controls, is controlled by, or is under common control with, such person, and (a) in</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8"/>
              </w:rPr>
              <w:t>the case of a natural person, shall include, without limitation, such person’s spouse, parents,</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7"/>
              </w:rPr>
              <w:t>children, siblings, mother-in-law and father-in-law and brothers and sisters-in-law, whether by</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1"/>
              </w:rPr>
              <w:t>blood, marriage or adoption or anyone residing in such person’s home, a trust for the benefit of any</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2"/>
              </w:rPr>
              <w:t>of the foregoing, a company, partnership or any natural person or entity wholly or jointly owned by</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0"/>
              </w:rPr>
              <w:t>any of the foregoing and (b) in the case of an entity, shall include a partnership, a corporation or any</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2"/>
              </w:rPr>
              <w:t>natural person or entity which directly, or indirectly through one or more intermediaries, controls, is</w:t>
            </w:r>
          </w:p>
        </w:tc>
      </w:tr>
      <w:tr>
        <w:trPr>
          <w:trHeight w:val="230"/>
        </w:trPr>
        <w:tc>
          <w:tcPr>
            <w:tcW w:w="3080" w:type="dxa"/>
            <w:vAlign w:val="bottom"/>
          </w:tcPr>
          <w:p>
            <w:pPr>
              <w:spacing w:after="0"/>
              <w:rPr>
                <w:sz w:val="20"/>
                <w:szCs w:val="20"/>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rPr>
              <w:t>controlled by, or is under common control with, such entity.</w:t>
            </w:r>
          </w:p>
        </w:tc>
      </w:tr>
      <w:tr>
        <w:trPr>
          <w:trHeight w:val="418"/>
        </w:trPr>
        <w:tc>
          <w:tcPr>
            <w:tcW w:w="30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w:t>
            </w:r>
          </w:p>
        </w:tc>
        <w:tc>
          <w:tcPr>
            <w:tcW w:w="8160" w:type="dxa"/>
            <w:vAlign w:val="bottom"/>
          </w:tcPr>
          <w:p>
            <w:pPr>
              <w:ind w:left="940"/>
              <w:spacing w:after="0"/>
              <w:rPr>
                <w:sz w:val="20"/>
                <w:szCs w:val="20"/>
                <w:color w:val="auto"/>
              </w:rPr>
            </w:pPr>
            <w:r>
              <w:rPr>
                <w:rFonts w:ascii="Arial" w:cs="Arial" w:eastAsia="Arial" w:hAnsi="Arial"/>
                <w:sz w:val="18"/>
                <w:szCs w:val="18"/>
                <w:color w:val="auto"/>
                <w:w w:val="93"/>
              </w:rPr>
              <w:t>means, with respect to any person, all provisions of laws, statutes, ordinances, rules, regulations,</w:t>
            </w:r>
          </w:p>
        </w:tc>
      </w:tr>
      <w:tr>
        <w:trPr>
          <w:trHeight w:val="216"/>
        </w:trPr>
        <w:tc>
          <w:tcPr>
            <w:tcW w:w="3080" w:type="dxa"/>
            <w:vAlign w:val="bottom"/>
          </w:tcPr>
          <w:p>
            <w:pPr>
              <w:spacing w:after="0"/>
              <w:rPr>
                <w:sz w:val="18"/>
                <w:szCs w:val="18"/>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w w:val="99"/>
              </w:rPr>
              <w:t>permits, certificates, judgments, decisions, decrees or orders of any governmental authority</w:t>
            </w:r>
          </w:p>
        </w:tc>
      </w:tr>
      <w:tr>
        <w:trPr>
          <w:trHeight w:val="230"/>
        </w:trPr>
        <w:tc>
          <w:tcPr>
            <w:tcW w:w="3080" w:type="dxa"/>
            <w:vAlign w:val="bottom"/>
          </w:tcPr>
          <w:p>
            <w:pPr>
              <w:spacing w:after="0"/>
              <w:rPr>
                <w:sz w:val="20"/>
                <w:szCs w:val="20"/>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rPr>
              <w:t>applicable to such person.</w:t>
            </w:r>
          </w:p>
        </w:tc>
      </w:tr>
      <w:tr>
        <w:trPr>
          <w:trHeight w:val="432"/>
        </w:trPr>
        <w:tc>
          <w:tcPr>
            <w:tcW w:w="30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8160" w:type="dxa"/>
            <w:vAlign w:val="bottom"/>
          </w:tcPr>
          <w:p>
            <w:pPr>
              <w:ind w:left="940"/>
              <w:spacing w:after="0"/>
              <w:rPr>
                <w:sz w:val="20"/>
                <w:szCs w:val="20"/>
                <w:color w:val="auto"/>
              </w:rPr>
            </w:pPr>
            <w:r>
              <w:rPr>
                <w:rFonts w:ascii="Arial" w:cs="Arial" w:eastAsia="Arial" w:hAnsi="Arial"/>
                <w:sz w:val="18"/>
                <w:szCs w:val="18"/>
                <w:color w:val="auto"/>
              </w:rPr>
              <w:t>means these articles of association of the Company.</w:t>
            </w:r>
          </w:p>
        </w:tc>
      </w:tr>
      <w:tr>
        <w:trPr>
          <w:trHeight w:val="418"/>
        </w:trPr>
        <w:tc>
          <w:tcPr>
            <w:tcW w:w="30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Committee</w:t>
            </w:r>
            <w:r>
              <w:rPr>
                <w:rFonts w:ascii="Arial" w:cs="Arial" w:eastAsia="Arial" w:hAnsi="Arial"/>
                <w:sz w:val="18"/>
                <w:szCs w:val="18"/>
                <w:color w:val="auto"/>
              </w:rPr>
              <w:t>”</w:t>
            </w:r>
          </w:p>
        </w:tc>
        <w:tc>
          <w:tcPr>
            <w:tcW w:w="8160" w:type="dxa"/>
            <w:vAlign w:val="bottom"/>
          </w:tcPr>
          <w:p>
            <w:pPr>
              <w:ind w:left="940"/>
              <w:spacing w:after="0"/>
              <w:rPr>
                <w:sz w:val="20"/>
                <w:szCs w:val="20"/>
                <w:color w:val="auto"/>
              </w:rPr>
            </w:pPr>
            <w:r>
              <w:rPr>
                <w:rFonts w:ascii="Arial" w:cs="Arial" w:eastAsia="Arial" w:hAnsi="Arial"/>
                <w:sz w:val="18"/>
                <w:szCs w:val="18"/>
                <w:color w:val="auto"/>
                <w:w w:val="94"/>
              </w:rPr>
              <w:t>means the audit committee of the board of directors of the Company established pursuant to the</w:t>
            </w:r>
          </w:p>
        </w:tc>
      </w:tr>
      <w:tr>
        <w:trPr>
          <w:trHeight w:val="230"/>
        </w:trPr>
        <w:tc>
          <w:tcPr>
            <w:tcW w:w="3080" w:type="dxa"/>
            <w:vAlign w:val="bottom"/>
          </w:tcPr>
          <w:p>
            <w:pPr>
              <w:spacing w:after="0"/>
              <w:rPr>
                <w:sz w:val="20"/>
                <w:szCs w:val="20"/>
                <w:color w:val="auto"/>
              </w:rPr>
            </w:pPr>
          </w:p>
        </w:tc>
        <w:tc>
          <w:tcPr>
            <w:tcW w:w="8160" w:type="dxa"/>
            <w:vAlign w:val="bottom"/>
          </w:tcPr>
          <w:p>
            <w:pPr>
              <w:ind w:left="940"/>
              <w:spacing w:after="0"/>
              <w:rPr>
                <w:sz w:val="20"/>
                <w:szCs w:val="20"/>
                <w:color w:val="auto"/>
              </w:rPr>
            </w:pPr>
            <w:r>
              <w:rPr>
                <w:rFonts w:ascii="Arial" w:cs="Arial" w:eastAsia="Arial" w:hAnsi="Arial"/>
                <w:sz w:val="18"/>
                <w:szCs w:val="18"/>
                <w:color w:val="auto"/>
              </w:rPr>
              <w:t>Articles, or any successor committee.</w:t>
            </w:r>
          </w:p>
        </w:tc>
      </w:tr>
      <w:tr>
        <w:trPr>
          <w:trHeight w:val="547"/>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8080"/>
              <w:spacing w:after="0"/>
              <w:rPr>
                <w:sz w:val="20"/>
                <w:szCs w:val="20"/>
                <w:color w:val="auto"/>
              </w:rPr>
            </w:pPr>
            <w:r>
              <w:rPr>
                <w:rFonts w:ascii="Arial" w:cs="Arial" w:eastAsia="Arial" w:hAnsi="Arial"/>
                <w:sz w:val="15"/>
                <w:szCs w:val="15"/>
                <w:color w:val="auto"/>
                <w:w w:val="71"/>
              </w:rPr>
              <w:t>3</w:t>
            </w:r>
          </w:p>
        </w:tc>
      </w:tr>
    </w:tbl>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Website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means the person for the time being performing the duties of auditor of the Company (if any).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means a merger, amalgamation, share exchange, asset acquisition, share purchase, reorganisation or similar business combination involving the Company, with one or more businesses or entities (the “</w:t>
      </w:r>
      <w:r>
        <w:rPr>
          <w:rFonts w:ascii="Arial" w:cs="Arial" w:eastAsia="Arial" w:hAnsi="Arial"/>
          <w:sz w:val="17"/>
          <w:szCs w:val="17"/>
          <w:b w:val="1"/>
          <w:bCs w:val="1"/>
          <w:color w:val="auto"/>
        </w:rPr>
        <w:t>target business</w:t>
      </w:r>
      <w:r>
        <w:rPr>
          <w:rFonts w:ascii="Arial" w:cs="Arial" w:eastAsia="Arial" w:hAnsi="Arial"/>
          <w:sz w:val="17"/>
          <w:szCs w:val="17"/>
          <w:color w:val="auto"/>
        </w:rPr>
        <w:t>”), which Business Combination: (a) as long as the Company’s securities are listed on the New York Stock Exchange must occur with one or more target businesses that together 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solely with another blank cheque company or a similar company with nominal operations.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means any day other than a Saturday, a Sunday or a legal holiday or a day on which banking institutions or trust companies are authorised or obligated by law to close in New York City.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a clearing house recognised by the laws of the jurisdiction in which the Shares (or depositary receipts therefor) are listed or quoted on a stock exchange or interdealer quotation system in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means the above named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website of the Company and/or its web-address or domain name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the compensation committee of the board of directors of the Company established pursuant to the Articles, or any successor committee.</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40" w:space="720"/>
            <w:col w:w="7220"/>
          </w:cols>
          <w:pgMar w:left="980" w:top="79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Stock Exchange</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1"/>
              </w:rPr>
              <w:t>means any United States national securities exchange on which the securities of the Company are</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listed for trading, including the New York Stock Exchange.</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means the directors for the time being of the Company.</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8"/>
              </w:rPr>
              <w:t>means any dividend (whether interim or final) resolved to be paid on Shares pursuant to the</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Articles.</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3"/>
              </w:rPr>
              <w:t>means a communication sent by electronic means, including electronic posting to the Company’s</w:t>
            </w:r>
          </w:p>
        </w:tc>
      </w:tr>
      <w:tr>
        <w:trPr>
          <w:trHeight w:val="216"/>
        </w:trPr>
        <w:tc>
          <w:tcPr>
            <w:tcW w:w="352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95"/>
              </w:rPr>
              <w:t>Website, transmission to any number, address or internet website (including the website of the</w:t>
            </w:r>
          </w:p>
        </w:tc>
      </w:tr>
      <w:tr>
        <w:trPr>
          <w:trHeight w:val="216"/>
        </w:trPr>
        <w:tc>
          <w:tcPr>
            <w:tcW w:w="352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93"/>
              </w:rPr>
              <w:t>Securities and Exchange Commission) or other electronic delivery methods as otherwise decided</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and approved by the Directors.</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has the same meaning as in the Electronic Transactions Law.</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Transactions Law</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means the Electronic Transactions Law (2003 Revision) of the Cayman Islands.</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Equity-linked Securities</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3"/>
              </w:rPr>
              <w:t>means any debt or equity securities that are convertible, exercisable or exchangeable for Class A</w:t>
            </w:r>
          </w:p>
        </w:tc>
      </w:tr>
      <w:tr>
        <w:trPr>
          <w:trHeight w:val="216"/>
        </w:trPr>
        <w:tc>
          <w:tcPr>
            <w:tcW w:w="352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92"/>
              </w:rPr>
              <w:t>Shares issued in a financing transaction in connection with a Business Combination, including but</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not limited to a private placement of equity or debt.</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1"/>
              </w:rPr>
              <w:t>means the United States Securities Exchange Act of 1934, as amended, or any similar U.S. federal</w:t>
            </w:r>
          </w:p>
        </w:tc>
      </w:tr>
      <w:tr>
        <w:trPr>
          <w:trHeight w:val="216"/>
        </w:trPr>
        <w:tc>
          <w:tcPr>
            <w:tcW w:w="352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90"/>
              </w:rPr>
              <w:t>statute and the rules and regulations of the Securities and Exchange Commission thereunder, all as</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the same shall be in effect at the time.</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means all Members immediately prior to the consummation of the IPO.</w:t>
            </w:r>
          </w:p>
        </w:tc>
      </w:tr>
      <w:tr>
        <w:trPr>
          <w:trHeight w:val="418"/>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w w:val="91"/>
              </w:rPr>
              <w:t>has the same meaning as in the rules and regulations of the Designated Stock Exchange or in Rule</w:t>
            </w:r>
          </w:p>
        </w:tc>
      </w:tr>
      <w:tr>
        <w:trPr>
          <w:trHeight w:val="230"/>
        </w:trPr>
        <w:tc>
          <w:tcPr>
            <w:tcW w:w="352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10A-3 under the Exchange Act, as the case may be.</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means the Company’s initial public offering of securities.</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has the same meaning as in the Statute.</w:t>
            </w:r>
          </w:p>
        </w:tc>
      </w:tr>
      <w:tr>
        <w:trPr>
          <w:trHeight w:val="432"/>
        </w:trPr>
        <w:tc>
          <w:tcPr>
            <w:tcW w:w="35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tc>
        <w:tc>
          <w:tcPr>
            <w:tcW w:w="7720" w:type="dxa"/>
            <w:vAlign w:val="bottom"/>
          </w:tcPr>
          <w:p>
            <w:pPr>
              <w:ind w:left="500"/>
              <w:spacing w:after="0"/>
              <w:rPr>
                <w:sz w:val="20"/>
                <w:szCs w:val="20"/>
                <w:color w:val="auto"/>
              </w:rPr>
            </w:pPr>
            <w:r>
              <w:rPr>
                <w:rFonts w:ascii="Arial" w:cs="Arial" w:eastAsia="Arial" w:hAnsi="Arial"/>
                <w:sz w:val="18"/>
                <w:szCs w:val="18"/>
                <w:color w:val="auto"/>
              </w:rPr>
              <w:t>means the memorandum of association of the Company.</w:t>
            </w:r>
          </w:p>
        </w:tc>
      </w:tr>
      <w:tr>
        <w:trPr>
          <w:trHeight w:val="547"/>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7640"/>
              <w:spacing w:after="0"/>
              <w:rPr>
                <w:sz w:val="20"/>
                <w:szCs w:val="20"/>
                <w:color w:val="auto"/>
              </w:rPr>
            </w:pPr>
            <w:r>
              <w:rPr>
                <w:rFonts w:ascii="Arial" w:cs="Arial" w:eastAsia="Arial" w:hAnsi="Arial"/>
                <w:sz w:val="15"/>
                <w:szCs w:val="15"/>
                <w:color w:val="auto"/>
                <w:w w:val="71"/>
              </w:rPr>
              <w:t>5</w:t>
            </w:r>
          </w:p>
        </w:tc>
      </w:tr>
    </w:tbl>
    <w:p>
      <w:pPr>
        <w:sectPr>
          <w:pgSz w:w="11900" w:h="16838" w:orient="portrait"/>
          <w:cols w:equalWidth="0" w:num="1">
            <w:col w:w="11240"/>
          </w:cols>
          <w:pgMar w:left="320" w:top="796" w:right="339" w:bottom="1440" w:gutter="0" w:footer="0" w:header="0"/>
        </w:sectPr>
      </w:pPr>
    </w:p>
    <w:bookmarkStart w:id="11" w:name="page12"/>
    <w:bookmarkEnd w:id="11"/>
    <w:p>
      <w:pPr>
        <w:ind w:left="660"/>
        <w:spacing w:after="0"/>
        <w:tabs>
          <w:tab w:leader="none" w:pos="40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Nominating and Corporate Governance</w:t>
      </w:r>
      <w:r>
        <w:rPr>
          <w:sz w:val="20"/>
          <w:szCs w:val="20"/>
          <w:color w:val="auto"/>
        </w:rPr>
        <w:tab/>
      </w:r>
      <w:r>
        <w:rPr>
          <w:rFonts w:ascii="Arial" w:cs="Arial" w:eastAsia="Arial" w:hAnsi="Arial"/>
          <w:sz w:val="17"/>
          <w:szCs w:val="17"/>
          <w:color w:val="auto"/>
        </w:rPr>
        <w:t>means the nominating and corporate governance committee of the board of directors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660"/>
              <w:spacing w:after="0"/>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rPr>
              <w:t>Company established pursuant to the Articles, or any successor committee.</w:t>
            </w:r>
          </w:p>
        </w:tc>
      </w:tr>
      <w:tr>
        <w:trPr>
          <w:trHeight w:val="414"/>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rPr>
              <w:t>means a person appointed to hold an office in the Company.</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2"/>
              </w:rPr>
              <w:t>means a resolution passed by a simple majority of the Members as, being entitled to do so, vote in</w:t>
            </w:r>
          </w:p>
        </w:tc>
      </w:tr>
      <w:tr>
        <w:trPr>
          <w:trHeight w:val="216"/>
        </w:trPr>
        <w:tc>
          <w:tcPr>
            <w:tcW w:w="33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w w:val="94"/>
              </w:rPr>
              <w:t>person or, where proxies are allowed, by proxy at a general meeting, and includes a unanimous</w:t>
            </w:r>
          </w:p>
        </w:tc>
      </w:tr>
      <w:tr>
        <w:trPr>
          <w:trHeight w:val="216"/>
        </w:trPr>
        <w:tc>
          <w:tcPr>
            <w:tcW w:w="33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w w:val="94"/>
              </w:rPr>
              <w:t>written resolution. In computing the majority when a poll is demanded regard shall be had to the</w:t>
            </w:r>
          </w:p>
        </w:tc>
      </w:tr>
      <w:tr>
        <w:trPr>
          <w:trHeight w:val="230"/>
        </w:trPr>
        <w:tc>
          <w:tcPr>
            <w:tcW w:w="33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number of votes to which each Member is entitled by the Articles.</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Over-Allotment Option</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4"/>
              </w:rPr>
              <w:t>means the option of the Underwriters to purchase up to an additional 15 per cent of the units (as</w:t>
            </w:r>
          </w:p>
        </w:tc>
      </w:tr>
      <w:tr>
        <w:trPr>
          <w:trHeight w:val="216"/>
        </w:trPr>
        <w:tc>
          <w:tcPr>
            <w:tcW w:w="332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w w:val="97"/>
              </w:rPr>
              <w:t>described in the Articles) sold in the IPO at a price equal to US$10 per unit, less underwriting</w:t>
            </w:r>
          </w:p>
        </w:tc>
      </w:tr>
      <w:tr>
        <w:trPr>
          <w:trHeight w:val="230"/>
        </w:trPr>
        <w:tc>
          <w:tcPr>
            <w:tcW w:w="33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discounts and commissions.</w:t>
            </w:r>
          </w:p>
        </w:tc>
      </w:tr>
      <w:tr>
        <w:trPr>
          <w:trHeight w:val="432"/>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8"/>
              </w:rPr>
              <w:t>means a preference share of a par value of US$0.0001 in the share capital of the Company.</w:t>
            </w:r>
          </w:p>
        </w:tc>
      </w:tr>
      <w:tr>
        <w:trPr>
          <w:trHeight w:val="432"/>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2"/>
              </w:rPr>
              <w:t>means a Class A Share issued as part of the units (as described in the Articles) issued in the IPO.</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0"/>
              </w:rPr>
              <w:t>means a notice in a form approved by the Company by which a holder of Public Shares is entitled to</w:t>
            </w:r>
          </w:p>
        </w:tc>
      </w:tr>
      <w:tr>
        <w:trPr>
          <w:trHeight w:val="230"/>
        </w:trPr>
        <w:tc>
          <w:tcPr>
            <w:tcW w:w="33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w w:val="97"/>
              </w:rPr>
              <w:t>require the Company to redeem its Public Shares, subject to the condition contained therein.</w:t>
            </w:r>
          </w:p>
        </w:tc>
      </w:tr>
      <w:tr>
        <w:trPr>
          <w:trHeight w:val="418"/>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w w:val="94"/>
              </w:rPr>
              <w:t>means the register of Members maintained in accordance with the Statute and includes (except</w:t>
            </w:r>
          </w:p>
        </w:tc>
      </w:tr>
      <w:tr>
        <w:trPr>
          <w:trHeight w:val="230"/>
        </w:trPr>
        <w:tc>
          <w:tcPr>
            <w:tcW w:w="33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where otherwise stated) any branch or duplicate register of Members.</w:t>
            </w:r>
          </w:p>
        </w:tc>
      </w:tr>
      <w:tr>
        <w:trPr>
          <w:trHeight w:val="432"/>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rPr>
              <w:t>means the registered office for the time being of the Company.</w:t>
            </w:r>
          </w:p>
        </w:tc>
      </w:tr>
      <w:tr>
        <w:trPr>
          <w:trHeight w:val="432"/>
        </w:trPr>
        <w:tc>
          <w:tcPr>
            <w:tcW w:w="33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w:t>
            </w:r>
          </w:p>
        </w:tc>
        <w:tc>
          <w:tcPr>
            <w:tcW w:w="7920" w:type="dxa"/>
            <w:vAlign w:val="bottom"/>
          </w:tcPr>
          <w:p>
            <w:pPr>
              <w:ind w:left="700"/>
              <w:spacing w:after="0"/>
              <w:rPr>
                <w:sz w:val="20"/>
                <w:szCs w:val="20"/>
                <w:color w:val="auto"/>
              </w:rPr>
            </w:pPr>
            <w:r>
              <w:rPr>
                <w:rFonts w:ascii="Arial" w:cs="Arial" w:eastAsia="Arial" w:hAnsi="Arial"/>
                <w:sz w:val="18"/>
                <w:szCs w:val="18"/>
                <w:color w:val="auto"/>
              </w:rPr>
              <w:t>means a representative of the Underwriters.</w:t>
            </w:r>
          </w:p>
        </w:tc>
      </w:tr>
      <w:tr>
        <w:trPr>
          <w:trHeight w:val="547"/>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7840"/>
              <w:spacing w:after="0"/>
              <w:rPr>
                <w:sz w:val="20"/>
                <w:szCs w:val="20"/>
                <w:color w:val="auto"/>
              </w:rPr>
            </w:pPr>
            <w:r>
              <w:rPr>
                <w:rFonts w:ascii="Arial" w:cs="Arial" w:eastAsia="Arial" w:hAnsi="Arial"/>
                <w:sz w:val="15"/>
                <w:szCs w:val="15"/>
                <w:color w:val="auto"/>
                <w:w w:val="71"/>
              </w:rPr>
              <w:t>6</w:t>
            </w:r>
          </w:p>
        </w:tc>
      </w:tr>
    </w:tbl>
    <w:p>
      <w:pPr>
        <w:sectPr>
          <w:pgSz w:w="11900" w:h="16838" w:orient="portrait"/>
          <w:cols w:equalWidth="0" w:num="1">
            <w:col w:w="11240"/>
          </w:cols>
          <w:pgMar w:left="320" w:top="79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tc>
        <w:tc>
          <w:tcPr>
            <w:tcW w:w="258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means the common seal of the Company and includes every duplicate seal.</w:t>
            </w:r>
          </w:p>
        </w:tc>
      </w:tr>
      <w:tr>
        <w:trPr>
          <w:trHeight w:val="432"/>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Securities and Exchange Commission</w:t>
            </w:r>
            <w:r>
              <w:rPr>
                <w:rFonts w:ascii="Arial" w:cs="Arial" w:eastAsia="Arial" w:hAnsi="Arial"/>
                <w:sz w:val="18"/>
                <w:szCs w:val="18"/>
                <w:color w:val="auto"/>
                <w:w w:val="94"/>
              </w:rPr>
              <w:t>”</w:t>
            </w:r>
          </w:p>
        </w:tc>
        <w:tc>
          <w:tcPr>
            <w:tcW w:w="7380" w:type="dxa"/>
            <w:vAlign w:val="bottom"/>
          </w:tcPr>
          <w:p>
            <w:pPr>
              <w:ind w:left="160"/>
              <w:spacing w:after="0"/>
              <w:rPr>
                <w:sz w:val="20"/>
                <w:szCs w:val="20"/>
                <w:color w:val="auto"/>
              </w:rPr>
            </w:pPr>
            <w:r>
              <w:rPr>
                <w:rFonts w:ascii="Arial" w:cs="Arial" w:eastAsia="Arial" w:hAnsi="Arial"/>
                <w:sz w:val="18"/>
                <w:szCs w:val="18"/>
                <w:color w:val="auto"/>
              </w:rPr>
              <w:t>means the United States Securities and Exchange Commission.</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Share</w:t>
            </w:r>
            <w:r>
              <w:rPr>
                <w:rFonts w:ascii="Arial" w:cs="Arial" w:eastAsia="Arial" w:hAnsi="Arial"/>
                <w:sz w:val="18"/>
                <w:szCs w:val="18"/>
                <w:color w:val="auto"/>
                <w:w w:val="96"/>
              </w:rPr>
              <w:t>”</w:t>
            </w:r>
          </w:p>
        </w:tc>
        <w:tc>
          <w:tcPr>
            <w:tcW w:w="2580" w:type="dxa"/>
            <w:vAlign w:val="bottom"/>
          </w:tcPr>
          <w:p>
            <w:pPr>
              <w:spacing w:after="0"/>
              <w:rPr>
                <w:sz w:val="24"/>
                <w:szCs w:val="24"/>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w w:val="89"/>
              </w:rPr>
              <w:t>means a Class A Share, a Class B Share, or a Preference Share and includes a fraction of a share in</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the Company.</w:t>
            </w:r>
          </w:p>
        </w:tc>
      </w:tr>
      <w:tr>
        <w:trPr>
          <w:trHeight w:val="418"/>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w w:val="92"/>
              </w:rPr>
              <w:t>subject to Article 29.4, has the same meaning as in the Statute, and includes a unanimous written</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resolution.</w:t>
            </w:r>
          </w:p>
        </w:tc>
      </w:tr>
      <w:tr>
        <w:trPr>
          <w:trHeight w:val="418"/>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w w:val="97"/>
              </w:rPr>
              <w:t>means Sustainable Opportunities Holdings LLC, a Delaware limited liability company, and its</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successors or assigns.</w:t>
            </w:r>
          </w:p>
        </w:tc>
      </w:tr>
      <w:tr>
        <w:trPr>
          <w:trHeight w:val="432"/>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rPr>
              <w:t>means the Companies Law (2020 Revision) of the Cayman Islands.</w:t>
            </w:r>
          </w:p>
        </w:tc>
      </w:tr>
      <w:tr>
        <w:trPr>
          <w:trHeight w:val="432"/>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w w:val="89"/>
              </w:rPr>
              <w:t>means a Share held in the name of the Company as a treasury share in accordance with the Statute.</w:t>
            </w:r>
          </w:p>
        </w:tc>
      </w:tr>
      <w:tr>
        <w:trPr>
          <w:trHeight w:val="418"/>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w w:val="93"/>
              </w:rPr>
              <w:t>means the trust account established by the Company upon the consummation of its IPO and into</w:t>
            </w: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w w:val="98"/>
              </w:rPr>
              <w:t>which a certain amount of the net proceeds of the IPO, together with a certain amount of the</w:t>
            </w: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w w:val="91"/>
              </w:rPr>
              <w:t>proceeds of a private placement of warrants simultaneously with the closing date of the IPO, will be</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deposited.</w:t>
            </w:r>
          </w:p>
        </w:tc>
      </w:tr>
      <w:tr>
        <w:trPr>
          <w:trHeight w:val="432"/>
        </w:trPr>
        <w:tc>
          <w:tcPr>
            <w:tcW w:w="440" w:type="dxa"/>
            <w:vAlign w:val="bottom"/>
          </w:tcPr>
          <w:p>
            <w:pPr>
              <w:spacing w:after="0"/>
              <w:rPr>
                <w:sz w:val="24"/>
                <w:szCs w:val="24"/>
                <w:color w:val="auto"/>
              </w:rPr>
            </w:pP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w:t>
            </w:r>
          </w:p>
        </w:tc>
        <w:tc>
          <w:tcPr>
            <w:tcW w:w="7380" w:type="dxa"/>
            <w:vAlign w:val="bottom"/>
          </w:tcPr>
          <w:p>
            <w:pPr>
              <w:ind w:left="160"/>
              <w:spacing w:after="0"/>
              <w:rPr>
                <w:sz w:val="20"/>
                <w:szCs w:val="20"/>
                <w:color w:val="auto"/>
              </w:rPr>
            </w:pPr>
            <w:r>
              <w:rPr>
                <w:rFonts w:ascii="Arial" w:cs="Arial" w:eastAsia="Arial" w:hAnsi="Arial"/>
                <w:sz w:val="18"/>
                <w:szCs w:val="18"/>
                <w:color w:val="auto"/>
              </w:rPr>
              <w:t>means an underwriter of the IPO from time to time and any successor underwriter.</w:t>
            </w:r>
          </w:p>
        </w:tc>
      </w:tr>
      <w:tr>
        <w:trPr>
          <w:trHeight w:val="432"/>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In the Articles:</w:t>
            </w:r>
          </w:p>
        </w:tc>
        <w:tc>
          <w:tcPr>
            <w:tcW w:w="738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(a)</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(b)</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(c)</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(d)</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w w:val="94"/>
              </w:rPr>
              <w:t>“written” and “in writing” include all modes of representing or reproducing words in visible form, including in the form of an Electronic</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Record;</w:t>
            </w:r>
          </w:p>
        </w:tc>
        <w:tc>
          <w:tcPr>
            <w:tcW w:w="738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(e)</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(f)</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w w:val="90"/>
              </w:rPr>
              <w:t>references to provisions of any law or regulation shall be construed as references to those provisions as amended, modified, re-enacted or</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replaced;</w:t>
            </w:r>
          </w:p>
        </w:tc>
        <w:tc>
          <w:tcPr>
            <w:tcW w:w="738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(g)</w:t>
            </w:r>
          </w:p>
        </w:tc>
        <w:tc>
          <w:tcPr>
            <w:tcW w:w="9960" w:type="dxa"/>
            <w:vAlign w:val="bottom"/>
            <w:gridSpan w:val="2"/>
          </w:tcPr>
          <w:p>
            <w:pPr>
              <w:ind w:left="20"/>
              <w:spacing w:after="0"/>
              <w:rPr>
                <w:sz w:val="20"/>
                <w:szCs w:val="20"/>
                <w:color w:val="auto"/>
              </w:rPr>
            </w:pPr>
            <w:r>
              <w:rPr>
                <w:rFonts w:ascii="Arial" w:cs="Arial" w:eastAsia="Arial" w:hAnsi="Arial"/>
                <w:sz w:val="18"/>
                <w:szCs w:val="18"/>
                <w:color w:val="auto"/>
                <w:w w:val="93"/>
              </w:rPr>
              <w:t>any phrase introduced by the terms “including”, “include”, “in particular” or any similar expression shall be construed as illustrative and</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ind w:left="20"/>
              <w:spacing w:after="0"/>
              <w:rPr>
                <w:sz w:val="20"/>
                <w:szCs w:val="20"/>
                <w:color w:val="auto"/>
              </w:rPr>
            </w:pPr>
            <w:r>
              <w:rPr>
                <w:rFonts w:ascii="Arial" w:cs="Arial" w:eastAsia="Arial" w:hAnsi="Arial"/>
                <w:sz w:val="18"/>
                <w:szCs w:val="18"/>
                <w:color w:val="auto"/>
              </w:rPr>
              <w:t>shall not limit the sense of the words preceding those terms;</w:t>
            </w:r>
          </w:p>
        </w:tc>
      </w:tr>
      <w:tr>
        <w:trPr>
          <w:trHeight w:val="547"/>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7300"/>
              <w:spacing w:after="0"/>
              <w:rPr>
                <w:sz w:val="20"/>
                <w:szCs w:val="20"/>
                <w:color w:val="auto"/>
              </w:rPr>
            </w:pPr>
            <w:r>
              <w:rPr>
                <w:rFonts w:ascii="Arial" w:cs="Arial" w:eastAsia="Arial" w:hAnsi="Arial"/>
                <w:sz w:val="15"/>
                <w:szCs w:val="15"/>
                <w:color w:val="auto"/>
                <w:w w:val="71"/>
              </w:rPr>
              <w:t>7</w:t>
            </w:r>
          </w:p>
        </w:tc>
      </w:tr>
    </w:tbl>
    <w:p>
      <w:pPr>
        <w:sectPr>
          <w:pgSz w:w="11900" w:h="16838" w:orient="portrait"/>
          <w:cols w:equalWidth="0" w:num="1">
            <w:col w:w="11240"/>
          </w:cols>
          <w:pgMar w:left="320" w:top="796" w:right="339" w:bottom="1440" w:gutter="0" w:footer="0" w:header="0"/>
        </w:sectPr>
      </w:pPr>
    </w:p>
    <w:bookmarkStart w:id="13" w:name="page14"/>
    <w:bookmarkEnd w:id="13"/>
    <w:p>
      <w:pPr>
        <w:jc w:val="both"/>
        <w:ind w:left="1300" w:hanging="644"/>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24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6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84"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8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8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6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17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6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188" w:lineRule="exact"/>
        <w:rPr>
          <w:sz w:val="20"/>
          <w:szCs w:val="20"/>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B Shares held by the Founders shall be surrendered by the Founders for no consideration to the extent that the Over-Allotment Option is not exercised in full so that the Founders will own 20 per cent of the Company’s issued Shares after the IPO (exclusive of any securities purchased in a private placement simultaneously with the IPO);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 Shares shall be repurchased by way of tender offer in the circumstances set out in the Business Combination Article hereof.</w:t>
      </w:r>
    </w:p>
    <w:p>
      <w:pPr>
        <w:spacing w:after="0" w:line="23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7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Commission on Sale of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Non Recognition of Trusts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Lien on Shares</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7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4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5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8"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2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Share Conversion</w:t>
      </w:r>
    </w:p>
    <w:p>
      <w:pPr>
        <w:spacing w:after="0" w:line="229"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The rights attaching to all Shares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161" w:lineRule="exact"/>
        <w:rPr>
          <w:sz w:val="20"/>
          <w:szCs w:val="20"/>
          <w:color w:val="auto"/>
        </w:rPr>
      </w:pPr>
    </w:p>
    <w:p>
      <w:pPr>
        <w:jc w:val="both"/>
        <w:ind w:left="660" w:right="20" w:hanging="647"/>
        <w:spacing w:after="0" w:line="312"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 thereof; and (b) automatically on the day of the closing of a Business Combination.</w:t>
      </w:r>
    </w:p>
    <w:p>
      <w:pPr>
        <w:spacing w:after="0" w:line="144"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Notwithstanding the Initial Conversion Ratio, in the case that additional Class A Shares or any other Equity-linked Securities, are issued or deemed issued in excess of the amounts offered in the IPO and related to the closing of a Business Combination, all Class B Shares in issue shall automatically convert into Class A Shares at the time of the closing of a Business Combination at an adjusted ratio so that the number of Class A Shares issuable upon conversion of all Class B Shares will equal,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 and any private placement warrants issued upon conversion of working capital loans.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53"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225" w:lineRule="exact"/>
        <w:rPr>
          <w:sz w:val="20"/>
          <w:szCs w:val="20"/>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70"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the provisions of the Articles as regards the matters to be dealt with by Ordinary Resolution and Article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29.4, the Company may by Special Resolution:</w:t>
      </w:r>
    </w:p>
    <w:p>
      <w:pPr>
        <w:spacing w:after="0" w:line="21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 or add to the Articles (subject to Article 29.4);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the chief executive officer or the chairman of the board of Directors may call general meetings, and, for the avoidance of doubt, Members shall not have the ability to call general meetings.</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Members seeking to bring business before the annual general meeting or to nominate candidates for appointment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8"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5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21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188"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22.12</w:t>
        <w:tab/>
        <w:t>A poll shall be taken as the chairman directs, and the result of the poll shall be deemed to be the resolution of the general meeting at which the poll was demanded.</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any rights or restrictions attached to any Shares, including as set out at Article 29.4, every Member present in any such manner shall have one vote for every Share of which he is the holder.</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6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7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6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Corporate Members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7"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5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Except as the Statute or other Applicable Law may otherwise require, in the interim between annual general meetings or extraordinary general meetings called for the election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27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Powers of Directors</w:t>
      </w:r>
    </w:p>
    <w:p>
      <w:pPr>
        <w:spacing w:after="0" w:line="229"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229"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49"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2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left="652" w:hanging="647"/>
        <w:spacing w:after="0" w:line="263" w:lineRule="auto"/>
        <w:tabs>
          <w:tab w:leader="none" w:pos="632"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Article 29.1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180"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225" w:lineRule="exact"/>
        <w:rPr>
          <w:rFonts w:ascii="Arial" w:cs="Arial" w:eastAsia="Arial" w:hAnsi="Arial"/>
          <w:sz w:val="18"/>
          <w:szCs w:val="18"/>
          <w:b w:val="1"/>
          <w:bCs w:val="1"/>
          <w:color w:val="auto"/>
        </w:rPr>
      </w:pPr>
    </w:p>
    <w:p>
      <w:pPr>
        <w:ind w:left="1292" w:hanging="644"/>
        <w:spacing w:after="0"/>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225" w:lineRule="exact"/>
        <w:rPr>
          <w:rFonts w:ascii="Arial" w:cs="Arial" w:eastAsia="Arial" w:hAnsi="Arial"/>
          <w:sz w:val="18"/>
          <w:szCs w:val="18"/>
          <w:color w:val="auto"/>
        </w:rPr>
      </w:pPr>
    </w:p>
    <w:p>
      <w:pPr>
        <w:jc w:val="both"/>
        <w:ind w:left="1292" w:hanging="644"/>
        <w:spacing w:after="0" w:line="263"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225" w:lineRule="exact"/>
        <w:rPr>
          <w:rFonts w:ascii="Arial" w:cs="Arial" w:eastAsia="Arial" w:hAnsi="Arial"/>
          <w:sz w:val="18"/>
          <w:szCs w:val="18"/>
          <w:color w:val="auto"/>
        </w:rPr>
      </w:pPr>
    </w:p>
    <w:p>
      <w:pPr>
        <w:jc w:val="both"/>
        <w:ind w:left="1292" w:hanging="644"/>
        <w:spacing w:after="0" w:line="263"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9" w:lineRule="exact"/>
        <w:rPr>
          <w:rFonts w:ascii="Arial" w:cs="Arial" w:eastAsia="Arial" w:hAnsi="Arial"/>
          <w:sz w:val="18"/>
          <w:szCs w:val="18"/>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w:t>
      </w:r>
    </w:p>
    <w:p>
      <w:pPr>
        <w:spacing w:after="0" w:line="170"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70"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279" w:lineRule="exact"/>
        <w:rPr>
          <w:sz w:val="20"/>
          <w:szCs w:val="20"/>
          <w:color w:val="auto"/>
        </w:rPr>
      </w:pPr>
    </w:p>
    <w:p>
      <w:pPr>
        <w:ind w:left="11052"/>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31" w:name="page32"/>
    <w:bookmarkEnd w:id="31"/>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6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6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9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8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92"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7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w:t>
      </w:r>
    </w:p>
    <w:p>
      <w:pPr>
        <w:spacing w:after="0" w:line="166"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2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7"/>
          <w:szCs w:val="17"/>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7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29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7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84"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6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92"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4"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tabs>
          <w:tab w:leader="none" w:pos="64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29"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81"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3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9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2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4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Where a notice is sent by:</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placing it on the Company’s Website; service of the notice shall be deemed to have been effected one hour after the notice or document was placed on the Company’s Website.</w:t>
      </w:r>
    </w:p>
    <w:p>
      <w:pPr>
        <w:spacing w:after="0" w:line="17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8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7"/>
          <w:szCs w:val="17"/>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Winding Up</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7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Indemnity and Insurance</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7"/>
          <w:szCs w:val="17"/>
          <w:color w:val="auto"/>
        </w:rPr>
        <w:t>Every Director and Officer (which for the avoidance of doubt, shall not include auditors of the Company), together with every former Director and former Officer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6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8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spacing w:after="0"/>
        <w:tabs>
          <w:tab w:leader="none" w:pos="6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7"/>
          <w:szCs w:val="17"/>
          <w:color w:val="auto"/>
        </w:rPr>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Prior to the consummation of a Business Combination, the Company shall either:</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225"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(which interest shall be net of taxes paid or payable, if any) divided by the number of then issued Public Shares, provided that the Company shall not repurchase Public Shares in an amount that would cause the Company’s net tangible assets to be less than US$5,000,001.</w:t>
      </w:r>
    </w:p>
    <w:p>
      <w:pPr>
        <w:spacing w:after="0" w:line="17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16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such Business Combination is approved by Ordinary Resolution, the Company shall be authorised to consummate such Business Combination, provided that the Company shall not consummate such Business Combination unless the Company has net tangible assets of at least US$5,000,001 immediately prior to, or upon such consummation of, or any greater net tangible asset or cash requirement that may be contained in the agreement relating to, such Business Combination.</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Any Member holding Public Shares who is not the Sponsor, a Founder, Officer or Director may, at least two business days’ prior to the initially scheduled vote on a Business Combination, elect to have their Public Shares redeemed for cash (the “</w:t>
      </w:r>
      <w:r>
        <w:rPr>
          <w:rFonts w:ascii="Arial" w:cs="Arial" w:eastAsia="Arial" w:hAnsi="Arial"/>
          <w:sz w:val="16"/>
          <w:szCs w:val="16"/>
          <w:b w:val="1"/>
          <w:bCs w:val="1"/>
          <w:color w:val="auto"/>
        </w:rPr>
        <w:t>IPO Redemption</w:t>
      </w:r>
      <w:r>
        <w:rPr>
          <w:rFonts w:ascii="Arial" w:cs="Arial" w:eastAsia="Arial" w:hAnsi="Arial"/>
          <w:sz w:val="16"/>
          <w:szCs w:val="16"/>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15 per cent of the Public Shares in the aggregate without the prior consent of the Company, and provided further that any beneficial owner of Public Shares on whose behalf a redemption right is being exercised must identify itself to the Company in connection with any redemption election in order to validly redeem such Public Shares. If so demanded, the Company shall pay any such redeeming Member, regardless of whether he votes or is voting for or against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and not previously released to the Company to pay its taxes, divided by the number of then issued Public Shares (such redemption price being referred to herein as the “</w:t>
      </w:r>
      <w:r>
        <w:rPr>
          <w:rFonts w:ascii="Arial" w:cs="Arial" w:eastAsia="Arial" w:hAnsi="Arial"/>
          <w:sz w:val="16"/>
          <w:szCs w:val="16"/>
          <w:b w:val="1"/>
          <w:bCs w:val="1"/>
          <w:color w:val="auto"/>
        </w:rPr>
        <w:t>Redemption Price</w:t>
      </w:r>
      <w:r>
        <w:rPr>
          <w:rFonts w:ascii="Arial" w:cs="Arial" w:eastAsia="Arial" w:hAnsi="Arial"/>
          <w:sz w:val="16"/>
          <w:szCs w:val="16"/>
          <w:color w:val="auto"/>
        </w:rPr>
        <w:t>”), only in the event that the applicable proposed Business Combination is approved and consummated. The Company shall not redeem Public Shares that would cause the Company’s net tangible assets to be less than US$5,000,001 following such redemptions (the “</w:t>
      </w:r>
      <w:r>
        <w:rPr>
          <w:rFonts w:ascii="Arial" w:cs="Arial" w:eastAsia="Arial" w:hAnsi="Arial"/>
          <w:sz w:val="16"/>
          <w:szCs w:val="16"/>
          <w:b w:val="1"/>
          <w:bCs w:val="1"/>
          <w:color w:val="auto"/>
        </w:rPr>
        <w:t>Redemption Limitation</w:t>
      </w:r>
      <w:r>
        <w:rPr>
          <w:rFonts w:ascii="Arial" w:cs="Arial" w:eastAsia="Arial" w:hAnsi="Arial"/>
          <w:sz w:val="16"/>
          <w:szCs w:val="16"/>
          <w:color w:val="auto"/>
        </w:rPr>
        <w:t>”).</w:t>
      </w:r>
    </w:p>
    <w:p>
      <w:pPr>
        <w:spacing w:after="0" w:line="174"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6"/>
          <w:szCs w:val="16"/>
          <w:color w:val="auto"/>
        </w:rPr>
        <w:t>A Member may not withdraw a Redemption Notice following the deadline for such Redemption Notice once submitted to the Company unless the Directors determine (in their sole discretion) to permit the withdrawal of such redemption request (which they may do in whole or in part).</w:t>
      </w:r>
    </w:p>
    <w:p>
      <w:pPr>
        <w:spacing w:after="0" w:line="12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49.7</w:t>
      </w:r>
      <w:r>
        <w:rPr>
          <w:sz w:val="20"/>
          <w:szCs w:val="20"/>
          <w:color w:val="auto"/>
        </w:rPr>
        <w:tab/>
      </w:r>
      <w:r>
        <w:rPr>
          <w:rFonts w:ascii="Arial" w:cs="Arial" w:eastAsia="Arial" w:hAnsi="Arial"/>
          <w:sz w:val="18"/>
          <w:szCs w:val="18"/>
          <w:color w:val="auto"/>
        </w:rPr>
        <w:t>In the event that the Company does not consummate a Business Combination by 18 months from the consummation of the IPO, or such later time as the Members may approve in accordance with the Articles, the Company shall:</w:t>
      </w:r>
    </w:p>
    <w:p>
      <w:pPr>
        <w:spacing w:after="0" w:line="1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w:t>
      </w:r>
    </w:p>
    <w:p>
      <w:pPr>
        <w:spacing w:after="0" w:line="225"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and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17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the Company’s remaining Members and the Directors, liquidate and dissolve,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subject in the case of (b) and (c) above to its obligations under Cayman Islands law to provide for claims of creditors and in all cases subject to the other requirements of Applicable Law.</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6"/>
          <w:szCs w:val="16"/>
          <w:color w:val="auto"/>
        </w:rPr>
        <w:t>In the event that any amendment is made to this Article that would affect the substance or timing of the Company’s obligation to:</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for the redemption of the Public Shares in connection with a Business Combination; or</w:t>
      </w:r>
    </w:p>
    <w:p>
      <w:pPr>
        <w:spacing w:after="0" w:line="33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ind w:left="1300" w:right="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redeem 100 per cent of the Public Shares if the Company has not consummated a Business Combination within 18 months from the consummation of the IPO, or such later time as the Members may approve in accordance with the Articles,</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holder of Public Shares who is not the Sponsor, a Founder, Officer or Director shall be provided with the opportunity to redeem their Public Shares upon the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49.9</w:t>
      </w:r>
      <w:r>
        <w:rPr>
          <w:sz w:val="20"/>
          <w:szCs w:val="20"/>
          <w:color w:val="auto"/>
        </w:rPr>
        <w:tab/>
      </w:r>
      <w:r>
        <w:rPr>
          <w:rFonts w:ascii="Arial" w:cs="Arial" w:eastAsia="Arial" w:hAnsi="Arial"/>
          <w:sz w:val="18"/>
          <w:szCs w:val="18"/>
          <w:color w:val="auto"/>
        </w:rPr>
        <w:t>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18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49.10</w:t>
        <w:tab/>
        <w:t>After the issue of Public Shares, and prior to the consummation of a Business Combination, the Directors shall not issue additional Shares or any other securities that would entitle the holders thereof to:</w:t>
      </w:r>
    </w:p>
    <w:p>
      <w:pPr>
        <w:spacing w:after="0" w:line="17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vote as a class with Public Shares on a Business Combination.</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49.11</w:t>
        <w:tab/>
        <w:t>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17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49.12</w:t>
      </w:r>
      <w:r>
        <w:rPr>
          <w:sz w:val="20"/>
          <w:szCs w:val="20"/>
          <w:color w:val="auto"/>
        </w:rPr>
        <w:tab/>
      </w:r>
      <w:r>
        <w:rPr>
          <w:rFonts w:ascii="Arial" w:cs="Arial" w:eastAsia="Arial" w:hAnsi="Arial"/>
          <w:sz w:val="17"/>
          <w:szCs w:val="17"/>
          <w:color w:val="auto"/>
        </w:rPr>
        <w:t>As long as the Company’s securities are listed on the New York Stock Exchange, the Company must complete one or more Business Combinations having an aggregate fair market value equal to at least 80 per cent of the assets held in the Trust Account (net of amounts previously disbursed to the Company’s management for taxes and excluding the amount of deferred underwriting discounts held in the Trust Account) at the time of the Company’s signing a definitive agreement in connection with a Business Combination. A Business Combination must not be effectuated with another blank cheque company or a similar company with nominal operations</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49.13</w:t>
        <w:tab/>
        <w:t>The Company may enter into a Business Combination with a target business that is Affiliated with the Sponsor, a Founder, a Director or an Officer. In the event the Company seeks to complete a Business Combination with a target that is Affiliated with the Sponsor, a Founder, a Director or an Officer, the Company, or a committee of Independent Directors, will obtain an opinion from an independent investment banking firm or another valuation or appraisal firm that regularly renders fairness opinions on the type of target business the Company is seeking to acquire that such a Business Combination is fair to the Company from a financial point of view.</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Business Opportunities</w:t>
      </w:r>
    </w:p>
    <w:p>
      <w:pPr>
        <w:spacing w:after="0" w:line="22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7"/>
          <w:szCs w:val="17"/>
          <w:color w:val="auto"/>
        </w:rPr>
        <w:t>To the fullest extent permitted by Applicable Law, no individual serving as a Director or an Officer (“</w:t>
      </w:r>
      <w:r>
        <w:rPr>
          <w:rFonts w:ascii="Arial" w:cs="Arial" w:eastAsia="Arial" w:hAnsi="Arial"/>
          <w:sz w:val="17"/>
          <w:szCs w:val="17"/>
          <w:b w:val="1"/>
          <w:bCs w:val="1"/>
          <w:color w:val="auto"/>
        </w:rPr>
        <w:t>Management</w:t>
      </w:r>
      <w:r>
        <w:rPr>
          <w:rFonts w:ascii="Arial" w:cs="Arial" w:eastAsia="Arial" w:hAnsi="Arial"/>
          <w:sz w:val="17"/>
          <w:szCs w:val="17"/>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7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UNIT CERTIFICATE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 UNITS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U-</w:t>
      </w:r>
    </w:p>
    <w:p>
      <w:pPr>
        <w:sectPr>
          <w:pgSz w:w="11900" w:h="16838" w:orient="portrait"/>
          <w:cols w:equalWidth="0" w:num="1">
            <w:col w:w="11240"/>
          </w:cols>
          <w:pgMar w:left="320" w:top="112"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SEE REVERSE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Sustainable Opportunities Acquisition Corp.</w:t>
      </w:r>
    </w:p>
    <w:p>
      <w:pPr>
        <w:spacing w:after="0" w:line="673" w:lineRule="exact"/>
        <w:rPr>
          <w:sz w:val="20"/>
          <w:szCs w:val="20"/>
          <w:color w:val="auto"/>
        </w:rPr>
      </w:pPr>
    </w:p>
    <w:p>
      <w:pPr>
        <w:sectPr>
          <w:pgSz w:w="11900" w:h="16838" w:orient="portrait"/>
          <w:cols w:equalWidth="0" w:num="2">
            <w:col w:w="3280" w:space="720"/>
            <w:col w:w="7240"/>
          </w:cols>
          <w:pgMar w:left="320" w:top="112" w:right="339" w:bottom="1440" w:gutter="0" w:footer="0" w:header="0"/>
          <w:type w:val="continuous"/>
        </w:sectPr>
      </w:pPr>
    </w:p>
    <w:p>
      <w:pPr>
        <w:spacing w:after="0" w:line="7"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CUSIP [ ]</w:t>
      </w:r>
    </w:p>
    <w:p>
      <w:pPr>
        <w:spacing w:after="0" w:line="23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UNITS CONSISTING OF ONE CLASS A ORDINARY SHARE AND ONE-HALF OF ONE WARRANT TO PURCHASE ONE CLASS A ORDINARY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CERTIFIES THAT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is the owner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Units.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Each Unit (“Unit”) consists of one (1) Class A ordinary share, par value $0.0001 per share (“Ordinary Shares”), of Sustainable Opportunities Acquisition Corp., a Cayman Islands exempted company (the “Company”), and one-half (1/2) of one warrant (each whole warrant, a “Warrant”). Each Warrant entitles the holder to purchase one (1) Ordinary Share for $11.50 per share (subject to adjustment). Each Warrant will become exercisable on the later of (i) thirty</w:t>
      </w:r>
    </w:p>
    <w:p>
      <w:pPr>
        <w:spacing w:after="0" w:line="2" w:lineRule="exact"/>
        <w:rPr>
          <w:sz w:val="20"/>
          <w:szCs w:val="20"/>
          <w:color w:val="auto"/>
        </w:rPr>
      </w:pPr>
    </w:p>
    <w:p>
      <w:pPr>
        <w:ind w:right="300" w:firstLine="8"/>
        <w:spacing w:after="0" w:line="281" w:lineRule="auto"/>
        <w:tabs>
          <w:tab w:leader="none" w:pos="3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days after the Company’s completion of a merger, share exchange, asset acquisition, share purchase, reorganization or other similar business combination with one or more businesses (each, a “Business Combination”), or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“Expiration Date”). The Ordinary Shares and Warrants</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comprising the Units represented by this certificate are not transferable separately prior to , 2020, unless Citigroup Global Markets, Inc. elects to allow earlier separate trading, subject to the Company’s filing with the Securities and Exchange Commission of a Current Report on Form 8-K containing an audited balance sheet reflecting the Company’s receipt of the gross proceeds of the initial public offering and issuing a press release announcing when separate trading will begin. No fractional warrants will be issued upon separation of the Units. The terms of the Warrants are governed by a Warrant Agreement, dated as of , 2020,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8408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30" w:lineRule="exact"/>
        <w:rPr>
          <w:sz w:val="20"/>
          <w:szCs w:val="20"/>
          <w:color w:val="auto"/>
        </w:rPr>
      </w:pPr>
    </w:p>
    <w:p>
      <w:pPr>
        <w:ind w:left="460"/>
        <w:spacing w:after="0"/>
        <w:tabs>
          <w:tab w:leader="none" w:pos="67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TEN COM</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as tenants in common</w:t>
            </w:r>
          </w:p>
        </w:tc>
        <w:tc>
          <w:tcPr>
            <w:tcW w:w="2160" w:type="dxa"/>
            <w:vAlign w:val="bottom"/>
          </w:tcPr>
          <w:p>
            <w:pPr>
              <w:ind w:left="260"/>
              <w:spacing w:after="0"/>
              <w:rPr>
                <w:sz w:val="20"/>
                <w:szCs w:val="20"/>
                <w:color w:val="auto"/>
              </w:rPr>
            </w:pPr>
            <w:r>
              <w:rPr>
                <w:rFonts w:ascii="Arial" w:cs="Arial" w:eastAsia="Arial" w:hAnsi="Arial"/>
                <w:sz w:val="18"/>
                <w:szCs w:val="18"/>
                <w:color w:val="auto"/>
              </w:rPr>
              <w:t>UNIF GIFT MIN ACT</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Custodian</w:t>
            </w:r>
          </w:p>
        </w:tc>
      </w:tr>
      <w:tr>
        <w:trPr>
          <w:trHeight w:val="216"/>
        </w:trPr>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(Cust)</w:t>
            </w:r>
          </w:p>
        </w:tc>
        <w:tc>
          <w:tcPr>
            <w:tcW w:w="112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(Minor)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TEN ENT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as tenants by the entireties</w:t>
            </w:r>
          </w:p>
        </w:tc>
        <w:tc>
          <w:tcPr>
            <w:tcW w:w="2160" w:type="dxa"/>
            <w:vAlign w:val="bottom"/>
          </w:tcPr>
          <w:p>
            <w:pPr>
              <w:spacing w:after="0"/>
              <w:rPr>
                <w:sz w:val="24"/>
                <w:szCs w:val="24"/>
                <w:color w:val="auto"/>
              </w:rPr>
            </w:pPr>
          </w:p>
        </w:tc>
        <w:tc>
          <w:tcPr>
            <w:tcW w:w="3580" w:type="dxa"/>
            <w:vAlign w:val="bottom"/>
            <w:gridSpan w:val="4"/>
          </w:tcPr>
          <w:p>
            <w:pPr>
              <w:ind w:left="680"/>
              <w:spacing w:after="0"/>
              <w:rPr>
                <w:sz w:val="20"/>
                <w:szCs w:val="20"/>
                <w:color w:val="auto"/>
              </w:rPr>
            </w:pPr>
            <w:r>
              <w:rPr>
                <w:rFonts w:ascii="Arial" w:cs="Arial" w:eastAsia="Arial" w:hAnsi="Arial"/>
                <w:sz w:val="18"/>
                <w:szCs w:val="18"/>
                <w:color w:val="auto"/>
              </w:rPr>
              <w:t>under Uniform Gifts to Minors Act</w:t>
            </w:r>
          </w:p>
        </w:tc>
      </w:tr>
      <w:tr>
        <w:trPr>
          <w:trHeight w:val="432"/>
        </w:trPr>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4"/>
        </w:trPr>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Arial" w:cs="Arial" w:eastAsia="Arial" w:hAnsi="Arial"/>
                <w:sz w:val="18"/>
                <w:szCs w:val="18"/>
                <w:color w:val="auto"/>
              </w:rPr>
              <w:t>(State)</w:t>
            </w:r>
          </w:p>
        </w:tc>
      </w:tr>
      <w:tr>
        <w:trPr>
          <w:trHeight w:val="403"/>
        </w:trPr>
        <w:tc>
          <w:tcPr>
            <w:tcW w:w="920" w:type="dxa"/>
            <w:vAlign w:val="bottom"/>
          </w:tcPr>
          <w:p>
            <w:pPr>
              <w:spacing w:after="0"/>
              <w:rPr>
                <w:sz w:val="20"/>
                <w:szCs w:val="20"/>
                <w:color w:val="auto"/>
              </w:rPr>
            </w:pPr>
            <w:r>
              <w:rPr>
                <w:rFonts w:ascii="Arial" w:cs="Arial" w:eastAsia="Arial" w:hAnsi="Arial"/>
                <w:sz w:val="18"/>
                <w:szCs w:val="18"/>
                <w:color w:val="auto"/>
              </w:rPr>
              <w:t>JT TEN</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w w:val="97"/>
              </w:rPr>
              <w:t>as joint tenants with right of survivorship and not as</w:t>
            </w: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tenants in common</w:t>
            </w:r>
          </w:p>
        </w:tc>
        <w:tc>
          <w:tcPr>
            <w:tcW w:w="2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______________________________________________________________________________________________</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_____________________________________________________________________________________________</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 Units represented by the within Certificate, and do hereby irrevocably constitute and appoint Attorney to transfer the said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books of the within named Company with full power of substitution in the premises.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288925</wp:posOffset>
            </wp:positionV>
            <wp:extent cx="36347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634740"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6350</wp:posOffset>
            </wp:positionV>
            <wp:extent cx="18599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 as</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written upon the face of the certificate in every particular, without</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alteration or enlargement or any change whatever.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STOCKBROKERS, SAVINGS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LOAN ASSOCIATIONS AND CREDIT UNIONS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MEMBERSHIP IN AN APPROVED SIGNATURE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MEDALLION PROGRAM, PURSUANT TO S.E.C. RULE 17Ad-15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SUCCESSOR RULES).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t>In each case, as more fully described in the Company’s final prospectus dated , 2020, the holder(s) of this certificate shall be entitled to receive a pro-rata portion of certain funds held in the trust account established in connection with the Company’s initial public offering only in the event that (i) the Company redeems the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Ordinary Shares sold in its initial public offering in connection with a shareholder vote to amend the Company’s amended and restated memorandum and articles of association (a) that would affect the substance or timing of the Company’s obligation to provide holders of Class A ordinary shares the right to have their shares redeemed in connection with an initial business combination or to redeem 100% of the Ordinary Shares if it does not consummate an initial business combination within the time period set forth therein or (b) with respect to any other provisions relating to the rights of holders of the Ordinary Shares, or (iii) if the holder(s) seek(s) to redeem for cash his, her or its respective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CLASS A ORDINARY SHARE CERTIFICATE</w:t>
      </w:r>
    </w:p>
    <w:p>
      <w:pPr>
        <w:spacing w:after="0" w:line="229" w:lineRule="exact"/>
        <w:rPr>
          <w:sz w:val="20"/>
          <w:szCs w:val="20"/>
          <w:color w:val="auto"/>
        </w:rPr>
      </w:pPr>
    </w:p>
    <w:p>
      <w:pPr>
        <w:spacing w:after="0"/>
        <w:tabs>
          <w:tab w:leader="none" w:pos="105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ORDINARY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Certifies that _________________________________is the owner of_____________________________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 PAID AND NON-ASSESSABLE CLASS A ORDINARY SHARES OF THE PAR VALUE OF US$0.0001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 (THE “COMPANY”)</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subject to the Company’s amended and restated memorandum and articles of association, as the same may be amended from time to time, and transferable on the books of the Company in person or by duly authorized attorney upon surrender of this certificate properly endorsed.</w:t>
      </w:r>
    </w:p>
    <w:p>
      <w:pPr>
        <w:spacing w:after="0" w:line="170"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i w:val="1"/>
          <w:iCs w:val="1"/>
          <w:color w:val="auto"/>
        </w:rPr>
        <w:t>The Company will be forced to redeem all of its Class A ordinary shares if it is unable to complete a business combination within the period of time set forth in the Company’s amended and restated memorandum and articles of association, as the same may be amended from time to time, all as more fully</w:t>
      </w:r>
    </w:p>
    <w:tbl>
      <w:tblPr>
        <w:tblLayout w:type="fixed"/>
        <w:tblInd w:w="32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i w:val="1"/>
                <w:iCs w:val="1"/>
                <w:color w:val="auto"/>
                <w:w w:val="98"/>
              </w:rPr>
              <w:t>described in the Company’s final prospectus dated</w:t>
            </w: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certificate is not valid unless countersigned by the Transfer Agent and registered by the Registrar.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Witness the facsimile signatures of its duly authorized officers.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859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right="2360" w:hanging="5051"/>
        <w:spacing w:after="0" w:line="258" w:lineRule="auto"/>
        <w:tabs>
          <w:tab w:leader="none" w:pos="50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8"/>
          <w:szCs w:val="18"/>
          <w:color w:val="auto"/>
        </w:rPr>
        <w:t>Chief Financial Officer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548640</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25717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5717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memorandum and articles of association, as the same may be amended from time to time, and resolutions of the Board of Directors providing for the issue of Class A ordinary shares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TEN COM</w:t>
            </w:r>
          </w:p>
        </w:tc>
        <w:tc>
          <w:tcPr>
            <w:tcW w:w="4580" w:type="dxa"/>
            <w:vAlign w:val="bottom"/>
          </w:tcPr>
          <w:p>
            <w:pPr>
              <w:ind w:left="160"/>
              <w:spacing w:after="0"/>
              <w:rPr>
                <w:sz w:val="20"/>
                <w:szCs w:val="20"/>
                <w:color w:val="auto"/>
              </w:rPr>
            </w:pPr>
            <w:r>
              <w:rPr>
                <w:rFonts w:ascii="Arial" w:cs="Arial" w:eastAsia="Arial" w:hAnsi="Arial"/>
                <w:sz w:val="18"/>
                <w:szCs w:val="18"/>
                <w:color w:val="auto"/>
              </w:rPr>
              <w:t>—   as tenants in common</w:t>
            </w:r>
          </w:p>
        </w:tc>
        <w:tc>
          <w:tcPr>
            <w:tcW w:w="2100" w:type="dxa"/>
            <w:vAlign w:val="bottom"/>
          </w:tcPr>
          <w:p>
            <w:pPr>
              <w:ind w:left="200"/>
              <w:spacing w:after="0"/>
              <w:rPr>
                <w:sz w:val="20"/>
                <w:szCs w:val="20"/>
                <w:color w:val="auto"/>
              </w:rPr>
            </w:pPr>
            <w:r>
              <w:rPr>
                <w:rFonts w:ascii="Arial" w:cs="Arial" w:eastAsia="Arial" w:hAnsi="Arial"/>
                <w:sz w:val="18"/>
                <w:szCs w:val="18"/>
                <w:color w:val="auto"/>
              </w:rPr>
              <w:t>UNIF GIFT MIN ACT</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Custodian</w:t>
            </w: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4"/>
        </w:trPr>
        <w:tc>
          <w:tcPr>
            <w:tcW w:w="9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(Cust)</w:t>
            </w:r>
          </w:p>
        </w:tc>
        <w:tc>
          <w:tcPr>
            <w:tcW w:w="112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(Minor)</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TEN ENT</w:t>
            </w:r>
          </w:p>
        </w:tc>
        <w:tc>
          <w:tcPr>
            <w:tcW w:w="4580" w:type="dxa"/>
            <w:vAlign w:val="bottom"/>
          </w:tcPr>
          <w:p>
            <w:pPr>
              <w:ind w:left="160"/>
              <w:spacing w:after="0"/>
              <w:rPr>
                <w:sz w:val="20"/>
                <w:szCs w:val="20"/>
                <w:color w:val="auto"/>
              </w:rPr>
            </w:pPr>
            <w:r>
              <w:rPr>
                <w:rFonts w:ascii="Arial" w:cs="Arial" w:eastAsia="Arial" w:hAnsi="Arial"/>
                <w:sz w:val="18"/>
                <w:szCs w:val="18"/>
                <w:color w:val="auto"/>
              </w:rPr>
              <w:t>—   as tenants by the entireties</w:t>
            </w:r>
          </w:p>
        </w:tc>
        <w:tc>
          <w:tcPr>
            <w:tcW w:w="2100" w:type="dxa"/>
            <w:vAlign w:val="bottom"/>
          </w:tcPr>
          <w:p>
            <w:pPr>
              <w:spacing w:after="0"/>
              <w:rPr>
                <w:sz w:val="24"/>
                <w:szCs w:val="24"/>
                <w:color w:val="auto"/>
              </w:rPr>
            </w:pPr>
          </w:p>
        </w:tc>
        <w:tc>
          <w:tcPr>
            <w:tcW w:w="3580" w:type="dxa"/>
            <w:vAlign w:val="bottom"/>
            <w:gridSpan w:val="4"/>
          </w:tcPr>
          <w:p>
            <w:pPr>
              <w:ind w:left="680"/>
              <w:spacing w:after="0"/>
              <w:rPr>
                <w:sz w:val="20"/>
                <w:szCs w:val="20"/>
                <w:color w:val="auto"/>
              </w:rPr>
            </w:pPr>
            <w:r>
              <w:rPr>
                <w:rFonts w:ascii="Arial" w:cs="Arial" w:eastAsia="Arial" w:hAnsi="Arial"/>
                <w:sz w:val="18"/>
                <w:szCs w:val="18"/>
                <w:color w:val="auto"/>
              </w:rPr>
              <w:t>under Uniform Gifts to Minors Act</w:t>
            </w:r>
          </w:p>
        </w:tc>
      </w:tr>
      <w:tr>
        <w:trPr>
          <w:trHeight w:val="432"/>
        </w:trPr>
        <w:tc>
          <w:tcPr>
            <w:tcW w:w="9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Arial" w:cs="Arial" w:eastAsia="Arial" w:hAnsi="Arial"/>
                <w:sz w:val="18"/>
                <w:szCs w:val="18"/>
                <w:color w:val="auto"/>
              </w:rPr>
              <w:t>(State)</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JT TEN</w:t>
            </w:r>
          </w:p>
        </w:tc>
        <w:tc>
          <w:tcPr>
            <w:tcW w:w="4580" w:type="dxa"/>
            <w:vAlign w:val="bottom"/>
          </w:tcPr>
          <w:p>
            <w:pPr>
              <w:ind w:left="160"/>
              <w:spacing w:after="0"/>
              <w:rPr>
                <w:sz w:val="20"/>
                <w:szCs w:val="20"/>
                <w:color w:val="auto"/>
              </w:rPr>
            </w:pPr>
            <w:r>
              <w:rPr>
                <w:rFonts w:ascii="Arial" w:cs="Arial" w:eastAsia="Arial" w:hAnsi="Arial"/>
                <w:sz w:val="18"/>
                <w:szCs w:val="18"/>
                <w:color w:val="auto"/>
                <w:w w:val="99"/>
              </w:rPr>
              <w:t>—   as joint tenants with right of survivorship and not as</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tenants in common</w:t>
            </w: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For value received,____________________________________hereby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___________________________________________________________________________________________</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____________________Shares represented by the within Certificate, and does hereby irrevocably constitute and appoint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 Attorney to transfer the said shares on the books of the within named Company with full power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-130175</wp:posOffset>
            </wp:positionV>
            <wp:extent cx="1859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NOTICE: THE SIGNATURE(S) TO THIS ASSIGNMENT MUST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CORRESPOND WITH THE NAME AS WRITTEN UPON THE FACE OF</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THE CERTIFICATE IN EVERY PARTICULAR, WITHOUT ALTERATION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OR ENLARGEMENT OR ANY CHANGE 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t>In each case, as more fully described in the Company’s final prospectus dated , 2020, the holder(s) of this certificate shall be entitled to receive a pro-rata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Class A ordinary shares sold in its initial public offering in connection with a shareholder vote to amend the Company’s amended and restated memorandum and articles of association (a) that would affect the substance or timing of the Company’s obligation to provide holders of Class A ordinary shares the right to have their shares redeemed in connection with an initial business combination or to redeem 100% of the Class A ordinary shares if it does not consummate an initial business combination within the time period set forth therein or (b) with respect to any other provisions relating to the rights of holders of the Ordinary Shares, or (iii) if the holder(s) seek(s) to redeem for cash his, her or its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Cayman Islands Exempted Company</w:t>
      </w:r>
    </w:p>
    <w:p>
      <w:pPr>
        <w:spacing w:after="0" w:line="207" w:lineRule="exact"/>
        <w:rPr>
          <w:sz w:val="20"/>
          <w:szCs w:val="20"/>
          <w:color w:val="auto"/>
        </w:rPr>
      </w:pPr>
    </w:p>
    <w:p>
      <w:pPr>
        <w:ind w:left="10420"/>
        <w:spacing w:after="0"/>
        <w:rPr>
          <w:sz w:val="20"/>
          <w:szCs w:val="20"/>
          <w:color w:val="auto"/>
        </w:rPr>
      </w:pPr>
      <w:r>
        <w:rPr>
          <w:rFonts w:ascii="Arial" w:cs="Arial" w:eastAsia="Arial" w:hAnsi="Arial"/>
          <w:sz w:val="17"/>
          <w:szCs w:val="17"/>
          <w:b w:val="1"/>
          <w:bCs w:val="1"/>
          <w:color w:val="auto"/>
        </w:rPr>
        <w:t>CUSIP [●]</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Warrant Certificate certifies that , or registered assigns, is the registered holder of warrant(s) evidenced hereby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(the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Each whole Warrant is initially exercisable for one fully paid and non-assessable Ordinary Share. No fractional shares will be issued upon exercise of any Warrant. The number of Ordinary Shares issuable upon exercise of the Warrants is subject to adjustment upon the occurrence of certain events set forth in the Warrant Agreement.</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initial Exercise Price per Ordinary Share for any Warrant is equal to $11.50 per share. The Exercise Price is subject to adjustment upon the occurrence of certain events set forth in the Warrant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right="8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 that would apply the laws of another jurisdiction.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Warrants evidenced by this Warrant Certificate are part of a duly authorized issue of Warrants entitling the holder on exercise to receive Ordinary Shares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“holders” or “holder” meaning the Registered Holders or Registered Holder)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and (ii) a prospectus thereunder relating to the Ordinary Shares is current, except through “cashless exercise” as provided for in the Warrant Agreement or another exemption from registration.</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6" w:name="page57"/>
    <w:bookmarkEnd w:id="56"/>
    <w:p>
      <w:pPr>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Ordinary Shares and herewith</w:t>
      </w:r>
    </w:p>
    <w:p>
      <w:pPr>
        <w:spacing w:after="0" w:line="46" w:lineRule="exact"/>
        <w:rPr>
          <w:sz w:val="20"/>
          <w:szCs w:val="20"/>
          <w:color w:val="auto"/>
        </w:rPr>
      </w:pPr>
    </w:p>
    <w:p>
      <w:pPr>
        <w:spacing w:after="0"/>
        <w:tabs>
          <w:tab w:leader="none" w:pos="10580" w:val="left"/>
        </w:tabs>
        <w:rPr>
          <w:sz w:val="20"/>
          <w:szCs w:val="20"/>
          <w:color w:val="auto"/>
        </w:rPr>
      </w:pPr>
      <w:r>
        <w:rPr>
          <w:rFonts w:ascii="Arial" w:cs="Arial" w:eastAsia="Arial" w:hAnsi="Arial"/>
          <w:sz w:val="17"/>
          <w:szCs w:val="17"/>
          <w:color w:val="auto"/>
        </w:rPr>
        <w:t>tenders payment for such Ordinary Shares to the order of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the amount of $</w:t>
      </w:r>
      <w:r>
        <w:rPr>
          <w:sz w:val="20"/>
          <w:szCs w:val="20"/>
          <w:color w:val="auto"/>
        </w:rPr>
        <w:tab/>
      </w:r>
      <w:r>
        <w:rPr>
          <w:rFonts w:ascii="Arial" w:cs="Arial" w:eastAsia="Arial" w:hAnsi="Arial"/>
          <w:sz w:val="17"/>
          <w:szCs w:val="17"/>
          <w:color w:val="auto"/>
        </w:rPr>
        <w: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hereof. The undersigned requests that a certificate for such Ordinary Shares be registered in the name of</w:t>
      </w:r>
    </w:p>
    <w:p>
      <w:pPr>
        <w:spacing w:after="0" w:line="9" w:lineRule="exact"/>
        <w:rPr>
          <w:sz w:val="20"/>
          <w:szCs w:val="20"/>
          <w:color w:val="auto"/>
        </w:rPr>
      </w:pPr>
    </w:p>
    <w:p>
      <w:pPr>
        <w:ind w:left="1440"/>
        <w:spacing w:after="0"/>
        <w:tabs>
          <w:tab w:leader="none" w:pos="7500" w:val="left"/>
          <w:tab w:leader="none" w:pos="10180" w:val="left"/>
        </w:tabs>
        <w:rPr>
          <w:sz w:val="20"/>
          <w:szCs w:val="20"/>
          <w:color w:val="auto"/>
        </w:rPr>
      </w:pPr>
      <w:r>
        <w:rPr>
          <w:rFonts w:ascii="Arial" w:cs="Arial" w:eastAsia="Arial" w:hAnsi="Arial"/>
          <w:sz w:val="18"/>
          <w:szCs w:val="18"/>
          <w:color w:val="auto"/>
        </w:rPr>
        <w:t>whose address is and that such Ordinary Shares be delivered to</w:t>
      </w:r>
      <w:r>
        <w:rPr>
          <w:sz w:val="20"/>
          <w:szCs w:val="20"/>
          <w:color w:val="auto"/>
        </w:rPr>
        <w:tab/>
      </w:r>
      <w:r>
        <w:rPr>
          <w:rFonts w:ascii="Arial" w:cs="Arial" w:eastAsia="Arial" w:hAnsi="Arial"/>
          <w:sz w:val="18"/>
          <w:szCs w:val="18"/>
          <w:color w:val="auto"/>
        </w:rPr>
        <w:t>whose address is</w:t>
      </w:r>
      <w:r>
        <w:rPr>
          <w:sz w:val="20"/>
          <w:szCs w:val="20"/>
          <w:color w:val="auto"/>
        </w:rPr>
        <w:tab/>
      </w:r>
      <w:r>
        <w:rPr>
          <w:rFonts w:ascii="Arial" w:cs="Arial" w:eastAsia="Arial" w:hAnsi="Arial"/>
          <w:sz w:val="17"/>
          <w:szCs w:val="17"/>
          <w:color w:val="auto"/>
        </w:rPr>
        <w:t>. If said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number of Ordinary Shares is less than all of the Ordinary Shares purchasable hereunder, the undersigned requests that a new Warrant Certificate</w:t>
      </w:r>
    </w:p>
    <w:p>
      <w:pPr>
        <w:spacing w:after="0" w:line="21" w:lineRule="exact"/>
        <w:rPr>
          <w:sz w:val="20"/>
          <w:szCs w:val="20"/>
          <w:color w:val="auto"/>
        </w:rPr>
      </w:pPr>
    </w:p>
    <w:p>
      <w:pPr>
        <w:spacing w:after="0"/>
        <w:tabs>
          <w:tab w:leader="none" w:pos="7920" w:val="left"/>
          <w:tab w:leader="none" w:pos="10620" w:val="left"/>
        </w:tabs>
        <w:rPr>
          <w:sz w:val="20"/>
          <w:szCs w:val="20"/>
          <w:color w:val="auto"/>
        </w:rPr>
      </w:pPr>
      <w:r>
        <w:rPr>
          <w:rFonts w:ascii="Arial" w:cs="Arial" w:eastAsia="Arial" w:hAnsi="Arial"/>
          <w:sz w:val="18"/>
          <w:szCs w:val="18"/>
          <w:color w:val="auto"/>
        </w:rPr>
        <w:t>representing the remaining balance of such Ordinary Shares be registered in the name of ,</w:t>
      </w:r>
      <w:r>
        <w:rPr>
          <w:sz w:val="20"/>
          <w:szCs w:val="20"/>
          <w:color w:val="auto"/>
        </w:rPr>
        <w:tab/>
      </w:r>
      <w:r>
        <w:rPr>
          <w:rFonts w:ascii="Arial" w:cs="Arial" w:eastAsia="Arial" w:hAnsi="Arial"/>
          <w:sz w:val="18"/>
          <w:szCs w:val="18"/>
          <w:color w:val="auto"/>
        </w:rPr>
        <w:t>whose address is</w:t>
      </w:r>
      <w:r>
        <w:rPr>
          <w:sz w:val="20"/>
          <w:szCs w:val="20"/>
          <w:color w:val="auto"/>
        </w:rPr>
        <w:tab/>
      </w:r>
      <w:r>
        <w:rPr>
          <w:rFonts w:ascii="Arial" w:cs="Arial" w:eastAsia="Arial" w:hAnsi="Arial"/>
          <w:sz w:val="16"/>
          <w:szCs w:val="16"/>
          <w:color w:val="auto"/>
        </w:rPr>
        <w:t>and that</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such Warrant Certificate be delivered to</w:t>
      </w:r>
      <w:r>
        <w:rPr>
          <w:sz w:val="20"/>
          <w:szCs w:val="20"/>
          <w:color w:val="auto"/>
        </w:rPr>
        <w:tab/>
      </w:r>
      <w:r>
        <w:rPr>
          <w:rFonts w:ascii="Arial" w:cs="Arial" w:eastAsia="Arial" w:hAnsi="Arial"/>
          <w:sz w:val="15"/>
          <w:szCs w:val="15"/>
          <w:color w:val="auto"/>
        </w:rPr>
        <w:t>, whose address is .</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Ordinary Shares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Date: 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2020, is by and between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also referred to herein as the “</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on [●], 2020, the Company entered into that certain Private Placement Warrants Purchase Agreement with Sustainable Opportunities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pursuant to which the Sponsor will purchase an aggregate of 9,500,000 warrants simultaneously with the closing of the Offering bearing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at a purchase price of $1.00 per Private Placement Warrant; and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initial Business Combination, the Sponsor or an affiliate of the Sponsor or the Company’s officers and directors may loan to the Company funds as the Company may require, of which up to $1,500,000 of such loans may be convertible into up to an additional 1,500,000 warrants, which will be identical to the Private Placement Warrants, at a price of $1.00 per warrant; and</w:t>
      </w:r>
    </w:p>
    <w:p>
      <w:pPr>
        <w:spacing w:after="0" w:line="18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each such unit comprised of one Ordinary Share (as defined below) and one-half of one redeemable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has determined to issue and deliver up to 15,000,000 warrants (or up to 17,250,000 warrants to the extent the Option is exercised in full) to public investors in the Offering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Each whole Warrant entitles the holder thereof to purchase one Class A ordinary share of the Company,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for $11.50 per share, subject to adjustment as described herein; and</w:t>
      </w:r>
    </w:p>
    <w:p>
      <w:pPr>
        <w:spacing w:after="0" w:line="19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and the Public Warrants and the Ordinary Shares included in the Units; and</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issued in registered form only.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If the Depositary subsequently ceases to make its book-entry settlement system available for the Public Warrants, the Company may instruct the Warrant Agent regarding making other arrangements for book-entry settlement. In its sole discretion, the Company may instruct the Warrant Agent to deliver to the Depositary (i) written instructions to deliver to the Warrant Agent for cancellation each book-entry Public Warrant and (ii) definitive certificates in physical form evidencing such Warrants which shall be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appropriate insertions, modifications and omissions, as provided above.</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Chief Executive Officer, Chief Financial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The Ordinary Shares and Public Warrants comprising the Units shall begin separate trading on the 52nd day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date of the Prospectus or, if such 52nd day is not on a day, other than a Saturday, Sunday or federal holiday, on which banks in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City are generally open for normal business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then on the immediately succeeding Business Day following such date, or earlier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Detachment Date</w:t>
      </w:r>
      <w:r>
        <w:rPr>
          <w:rFonts w:ascii="Arial" w:cs="Arial" w:eastAsia="Arial" w:hAnsi="Arial"/>
          <w:sz w:val="16"/>
          <w:szCs w:val="16"/>
          <w:color w:val="auto"/>
        </w:rPr>
        <w:t>”) with the consent of Citigroup Global Markets Inc., as the representative of the several underwriters, but in no event shall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and the Public Warrants comprising the Units be separately traded until (A) the Company has filed a Current Report on Form 8-K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Commission containing an audited balance sheet reflecting the receipt by the Company of the gross proceeds of the Offering, including the proceeds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received by the Company from the exercise by the underwriters of their right to purchase additional Units in the Offering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if the Option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exercised prior to the filing of the Current Report on Form 8-K, and (B) the Company issues a press release and files with the Commission a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 announcing when such separate trading shall begin.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Warrants Other Than as Part of Units</w:t>
      </w:r>
      <w:r>
        <w:rPr>
          <w:rFonts w:ascii="Arial" w:cs="Arial" w:eastAsia="Arial" w:hAnsi="Arial"/>
          <w:sz w:val="18"/>
          <w:szCs w:val="18"/>
          <w:color w:val="auto"/>
        </w:rPr>
        <w:t>. The Company shall not issue fractional Warrants other than as part of Units, each of which is comprised of one Ordinary Share and one-half of one Public Warrant. If, upon the detachment of Public Warrants from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may not be transferred, assigned or sold until the date that is thirty days after the completion by the Company of an initial Business Combination (as defined below), and (iii) shall not be redeemable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w:t>
      </w:r>
    </w:p>
    <w:p>
      <w:pPr>
        <w:spacing w:after="0" w:line="1" w:lineRule="exact"/>
        <w:rPr>
          <w:sz w:val="20"/>
          <w:szCs w:val="20"/>
          <w:color w:val="auto"/>
        </w:rPr>
      </w:pPr>
    </w:p>
    <w:p>
      <w:pPr>
        <w:ind w:right="60" w:firstLine="8"/>
        <w:spacing w:after="0" w:line="260"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above, the Private Placement Warrants and any Ordinary Shares held by the Sponsor or any of its Permitted Transferees and issued upon exercise of the Private Placement Warrants may be transferred by the holders thereof:</w:t>
      </w:r>
    </w:p>
    <w:p>
      <w:pPr>
        <w:spacing w:after="0" w:line="185" w:lineRule="exact"/>
        <w:rPr>
          <w:rFonts w:ascii="Arial" w:cs="Arial" w:eastAsia="Arial" w:hAnsi="Arial"/>
          <w:sz w:val="18"/>
          <w:szCs w:val="18"/>
          <w:color w:val="auto"/>
        </w:rPr>
      </w:pPr>
    </w:p>
    <w:p>
      <w:pPr>
        <w:ind w:left="660" w:right="180" w:firstLine="644"/>
        <w:spacing w:after="0" w:line="277" w:lineRule="auto"/>
        <w:tabs>
          <w:tab w:leader="none" w:pos="15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their affiliates, or any affiliates of the Sponsor,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right="540" w:firstLine="644"/>
        <w:spacing w:after="0" w:line="277" w:lineRule="auto"/>
        <w:tabs>
          <w:tab w:leader="none" w:pos="15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the individual’s immediate family or to a trust, the beneficiary of which is a member of one of the individual’s immediate family, an affiliate of such person or to a charitable organization,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 individual, by virtue of the laws of descent and distribution upon death of the individual,</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left="660" w:right="220" w:firstLine="644"/>
        <w:spacing w:after="0" w:line="342" w:lineRule="auto"/>
        <w:tabs>
          <w:tab w:leader="none" w:pos="15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by private sales or transfers made in connection with any forward purchase agreement or similar arrangement or in connection with the consummation of a Business Combination at prices no greater than the price at which the Warrants were originally purchased,</w:t>
      </w:r>
    </w:p>
    <w:p>
      <w:pPr>
        <w:spacing w:after="0" w:line="123" w:lineRule="exact"/>
        <w:rPr>
          <w:rFonts w:ascii="Arial" w:cs="Arial" w:eastAsia="Arial" w:hAnsi="Arial"/>
          <w:sz w:val="16"/>
          <w:szCs w:val="16"/>
          <w:color w:val="auto"/>
        </w:rPr>
      </w:pPr>
    </w:p>
    <w:p>
      <w:pPr>
        <w:ind w:left="1520" w:hanging="216"/>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virtue of the holder’s organizational documents upon liquidation or dissolution of the holder,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Company for no value for cancellation in connection with the completion of a Business Combination,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completion of a Business Combination, or</w:t>
      </w:r>
    </w:p>
    <w:p>
      <w:pPr>
        <w:spacing w:after="0" w:line="225" w:lineRule="exact"/>
        <w:rPr>
          <w:rFonts w:ascii="Arial" w:cs="Arial" w:eastAsia="Arial" w:hAnsi="Arial"/>
          <w:sz w:val="18"/>
          <w:szCs w:val="18"/>
          <w:color w:val="auto"/>
        </w:rPr>
      </w:pPr>
    </w:p>
    <w:p>
      <w:pPr>
        <w:ind w:left="660" w:right="200" w:firstLine="644"/>
        <w:spacing w:after="0" w:line="263" w:lineRule="auto"/>
        <w:tabs>
          <w:tab w:leader="none" w:pos="15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of the Company’s liquidation, merger, share exchange or other similar transaction which results in all of the Company’s shareholders having the right to exchange their Ordinary Shares for cash, securities or other property subsequent to the completion of the Company’s initial Business Combination;</w:t>
      </w:r>
    </w:p>
    <w:p>
      <w:pPr>
        <w:spacing w:after="0" w:line="18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(except for clause (g), (h) or (i) or with the prior written consent of the Company) prior to such registration for transfer, the Warrant Agent shall be presented with written documentation pursuant to which each permitted transferee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agrees to be bound by these transfer restrictions.</w:t>
      </w:r>
    </w:p>
    <w:p>
      <w:pPr>
        <w:spacing w:after="0" w:line="18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Warrant shall, when countersigned by the Warrant Agent, entitle the Registered Holder thereof, subject to the provisions of such Warrant and of this Agreement, to purchase from the Company the number of Ordinary Shares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xml:space="preserve">” as used in this Agreement shall mean the price per share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at least five days’ prior written notice of such reduction to Registered Holders of the Warrants;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such reduction shall be identical among all of the Warrants.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3" w:name="page64"/>
    <w:bookmarkEnd w:id="63"/>
    <w:p>
      <w:pPr>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commencing on the later of (i) the date that is thirty days after the first date on which the Company completes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or (ii) the date that is twelve months from the date of the closing of the Offering, and terminating at 5:00 p.m. New York City time on the earlier to occur of (x) the date that is five years after the date on which the Company completes its Business Combination, (y) the liquidation of the Company if the Company fails to complete a Business Combination and</w:t>
      </w:r>
    </w:p>
    <w:p>
      <w:pPr>
        <w:spacing w:after="0" w:line="2" w:lineRule="exact"/>
        <w:rPr>
          <w:sz w:val="20"/>
          <w:szCs w:val="20"/>
          <w:color w:val="auto"/>
        </w:rPr>
      </w:pPr>
    </w:p>
    <w:p>
      <w:pPr>
        <w:ind w:right="100" w:firstLine="8"/>
        <w:spacing w:after="0" w:line="268" w:lineRule="auto"/>
        <w:tabs>
          <w:tab w:leader="none" w:pos="24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other than with respect to the Private Placement Warrants, on the Redemption Date (as defined below) as provided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(such date, the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exercise of any Warrant shall be subject to the satisfaction of any applicable conditions, as set forth 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(other than a Private Placement Warrant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provide at least twenty days’ prior written notice of any such extension to Registered Holders of the Warrants;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extension shall be identical in duration among all the Warrants.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9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designated by the Warrant Agent in the United States of America, with the subscription form, as set forth in the Warrant, duly executed, and by paying in full the Warrant Price for each full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61" w:lineRule="exact"/>
        <w:rPr>
          <w:sz w:val="20"/>
          <w:szCs w:val="20"/>
          <w:color w:val="auto"/>
        </w:rPr>
      </w:pPr>
    </w:p>
    <w:p>
      <w:pPr>
        <w:ind w:left="660" w:right="760" w:firstLine="644"/>
        <w:spacing w:after="0" w:line="277" w:lineRule="auto"/>
        <w:tabs>
          <w:tab w:leader="none" w:pos="15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good bank draft payable to the Warrant Agent or by wire of immediately available funds;</w:t>
      </w:r>
    </w:p>
    <w:p>
      <w:pPr>
        <w:spacing w:after="0" w:line="170" w:lineRule="exact"/>
        <w:rPr>
          <w:rFonts w:ascii="Arial" w:cs="Arial" w:eastAsia="Arial" w:hAnsi="Arial"/>
          <w:sz w:val="18"/>
          <w:szCs w:val="18"/>
          <w:color w:val="auto"/>
        </w:rPr>
      </w:pPr>
    </w:p>
    <w:p>
      <w:pPr>
        <w:ind w:left="660" w:right="60" w:firstLine="644"/>
        <w:spacing w:after="0" w:line="272" w:lineRule="auto"/>
        <w:tabs>
          <w:tab w:leader="none" w:pos="15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 the event of a redemption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in which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has elected to require all holders of the Warrants to exercise such Warrants on a “cashless basis,” by surrendering the Warrants for that number of Ordinary Shares per Warrant equal to the lesser of (A) the quotient obtained by dividing (x) the product of the number of Ordinary Shares underlying such Warrant, multiplied by the excess of the “Fair Market Value” (as defined in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over the Warrant Price by (y) the Fair Market Value and (B) 0.365. Solely for purposes of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w:t>
      </w:r>
      <w:r>
        <w:rPr>
          <w:rFonts w:ascii="Arial" w:cs="Arial" w:eastAsia="Arial" w:hAnsi="Arial"/>
          <w:sz w:val="17"/>
          <w:szCs w:val="17"/>
          <w:color w:val="auto"/>
        </w:rPr>
        <w:t>, the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average reported closing price of the Ordinary Shares for the ten trading days ending on the third trading day prior to the date on which the notice of redemption is sent to the holders of the Warrants,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ind w:left="660" w:right="180" w:firstLine="644"/>
        <w:spacing w:after="0" w:line="255" w:lineRule="auto"/>
        <w:tabs>
          <w:tab w:leader="none" w:pos="15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Private Placement Warrant is held by the Sponsor or a Permitted Transferee, by surrendering the Warrants for that number of Ordinary Shares equal to the quotient obtained by dividing (x) the product of the number of Ordinary Shares underlying the Warrants, multiplied by the excess of the “Fair Market Value” (as defined in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the average reported closing price of the Ordinary Shares for the ten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1560" w:hanging="256"/>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Ordinary Shares on Exercise</w:t>
      </w:r>
      <w:r>
        <w:rPr>
          <w:rFonts w:ascii="Arial" w:cs="Arial" w:eastAsia="Arial" w:hAnsi="Arial"/>
          <w:sz w:val="17"/>
          <w:szCs w:val="17"/>
          <w:color w:val="auto"/>
        </w:rPr>
        <w:t xml:space="preserve">. As soon as practicable after the exercise of any Warrant and the clearance of the funds in payment of the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full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or a valid exemption from registration is available. No Warrant shall be exercisable and the Company shall not be obligated to issue Ordinary Shares upon exercise of a Warrant unless the Ordinary Share issuable upon such Warrant exercise has been registered, qualified or deemed to be exempt from registration or qualification under the securities laws of the state of residence of the Registered Holder of the Warrants. The Company may require holders of Public Warrants to settle the Warrant on a “cashless basis” pursuant to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7.4</w:t>
      </w:r>
      <w:r>
        <w:rPr>
          <w:rFonts w:ascii="Arial" w:cs="Arial" w:eastAsia="Arial" w:hAnsi="Arial"/>
          <w:sz w:val="17"/>
          <w:szCs w:val="17"/>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8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Ordinary Shares issued upon the proper exercise of a Warrant in conformity with this Agreement shall be validly issued, fully paid and non-assessable.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right="160" w:firstLine="1296"/>
        <w:spacing w:after="0" w:line="273"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78"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xml:space="preserve">”) of the Ordinary Shares issued and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preference shares or warrants) subject to a limitation on conversion or exercise analogous to the limitation contained herein. Except as set forth in the preceding sentence, for purposes of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Dividends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outstanding Ordinary Shares is increased by a share dividend payable in Ordinary Shares, or by a split-up of Ordinary Shares or other similar event, then, on the effective date of such share dividend, split-up or similar event, the number of Ordinary Shares issuable on exercise of each Warrant shall be increased in proportion to such increase in the outstanding Ordinary Shares. A rights offering to holders of the Ordinary Shares entitling holders to purchase Ordinary Shares at a price less than the “Fair Market Value” (as defined below) shall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(a)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(b) “Fair Market Value” means the volume weighted average price of the Ordinary Shares as reported during the ten-trading day period ending on the trading day prior to the first date on which the Ordinary Shares trade on the applicable exchange or in the applicable market, regular way, without the right to receive such rights.</w:t>
      </w:r>
    </w:p>
    <w:p>
      <w:pPr>
        <w:spacing w:after="0" w:line="179"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shall pay a dividend or make a distribution to all or substantially all of the holders of the Ordinary Shares on account of such Ordinary Shares (or other shares of the Company’s share capital into which the Warrants are convertible), in cash, securities or other assets,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or (e) in connection with the redemption of the Ordinary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i w:val="1"/>
          <w:i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i w:val="1"/>
          <w:i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does not exceed $0.50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Ordinary Shares issuable on exercise of each Warrant). Solely for purposes of illustration, if the Company, at a time while the Warrants are outstanding and unexpired, pays a cash dividend of $0.35 per share and previously paid an aggregate of $0.40 of cash dividends and cash distributions on the Ordinary Shares during the 365-day period ending on the date of declaration of such $0.35 per share dividend, then the Warrant Price shall be decreased, effectively immediately after the effective date of such $0.35 per share dividend, by $0.25 (the absolute value of the difference between $0.75 per share (the aggregate amount of all cash dividends and cash distributions paid or made in such 365-day period, including such $0.35 dividend) and $0.50 per share (the greater of (x) $0.50 per share and (y) the aggregate amount of all cash dividends and cash distributions paid or made in such 365-day period prior to such $0.35 dividend)).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right="4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Exercise Price</w:t>
      </w:r>
      <w:r>
        <w:rPr>
          <w:rFonts w:ascii="Arial" w:cs="Arial" w:eastAsia="Arial" w:hAnsi="Arial"/>
          <w:sz w:val="16"/>
          <w:szCs w:val="16"/>
          <w:color w:val="auto"/>
        </w:rPr>
        <w:t xml:space="preserve">. Whenever the number of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5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(x) the Company issues additional Ordinary Shares or securities convertible into or exercisable or exchangeable for Ordinary Shares for capital raising purposes in connection with the closing of an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Class B ordinary shares of the Company, par value $0.0001 per share (the “Class B ordinary shares”) held by the Sponsor or its affiliates, as applicable, prior to such issuance, and (ii) without taking into account the transfer of the Class B ordinary shares or Private Placement Warrants (including if such transfer is effectuated as a surrender to the Company and subsequent reissuance by the Company) by the Sponsor in connection with such issuance) (the “Newly Issued Price”), (y) the aggregate gross proceeds from such issuances represent more than 60% of the total equity proceeds, and interest thereon, available for the funding of an initial Business Combination on the date of the consummation of such initial Business Combination (net of redemptions), and (z) the volume weighted average trading price of the Ordinary Shares during the 20 trading day period starting on the trading day prior to the day on which the Company consummates an initial Business Combination (such price, the “Market Value”) is below $9.20 per share, the Warrant Price shall be adjusted (to the nearest cent) to be equal to 115% of the higher of the Market Value and the Newly Issued Price, and the $18.00 per share redemption trigger price shall be adjusted (to the nearest cent) to be equal to 180% of the higher of the Market Value and the Newly Issued Price.</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Ordinary Shares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than a change under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Ordinary Shares), or in the case of any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consolidation of the Company with or into another corporation (other than a consolidation or merger in which the Company is the continuing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that does not result in any reclassification or reorganization of the outstanding Ordinary Shares), or in the case of any sale or conveyance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or entity of the assets or other property of the Company as an entirety or substantially as an entirety in connection with which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dissolved, the holders of the Warrants shall thereafter have the right to purchase and receive, upon the basis and upon the terms and conditions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Warrants and in lieu of the Ordinary Shares of the Company immediately theretofore purchasable and receivable upon the exercise of the rights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represented thereby, the kind and amount of shares of stock or other securities or property (including cash) receivable upon such reclassification,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merger or consolidation, or upon a dissolution following any such sale or transfer, that the holder of the Warrants would have received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Ordinary Shares were entitled to exercise a right of election as to the kind or amount of securities, cash or other assets receivable upon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merger, then the kind and amount of securities, cash or other assets constituting the Alternative Issuance for which each Warrant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exercisable shall be deemed to be the weighted average of the kind and amount received per share by the holders of the Ordinary Shares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merger that affirmatively make such election and (ii) if a tender, exchange or redemption offer shall have been made to and accepted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Ordinary Shares (other than a tender, exchange or redemption offer made by the Company in connection with redemption rights held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shareholders of the Company as provided for in the Company’s amended and restated memorandum and articles of association or as a result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redemption of Ordinary Shares by the Company if a proposed initial Business Combination is presented to the shareholders of the Company for approval)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circumstances in which, upon completion of such tender or exchange offer, the maker thereof, together with members of any group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meaning of Rule 13d-5(b)(1) under the Exchange Act (or any successor rule)) of which such maker is a part, and together with any affiliate or associate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maker (within the meaning of Rule 12b-2 under the Exchange Act (or any successor rule)) and any members of any such group of which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or associate is a part, own beneficially (within the meaning of Rule 13d-3 under the Exchange Act (or any successor rule)) more than 50%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Ordinary Shares, the holder of a Warrant shall be entitled to receive as the Alternative Issuance, the highest amount of cash, securities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to which such holder would actually have been entitled as a shareholder if such Warrant holder had exercised the Warrant prior to the expiration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tender or exchange offer, accepted such offer and all of the Ordinary Shares held by such holder had been purchased pursuant to such tender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offer, subject to adjustments (from and after the consummation of such tender or exchange offer) as nearly equivalent as possible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Ordinary Shares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event is payable in the form of common equity in the successor entity that is listed for trading on a national securities exchange or is quoted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an established over-the-counter market, or is to be so listed for trading or quoted immediately following such event, and if the Registered 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properly exercises the Warrant within thirty days following the public disclosure of the consummation of such applicable event by the Company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Current Report on Form 8-K filed with the Commission, the Warrant Price shall be reduced by an amount (in dollars) equal to the difference of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Price in effect prior to such reduction minus (ii) (A) the Per Share Consideration (as defined below) (but in no event less than zero) minus (B)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Black-Scholes Warrant Value (as defined below). The “</w:t>
      </w:r>
      <w:r>
        <w:rPr>
          <w:rFonts w:ascii="Arial" w:cs="Arial" w:eastAsia="Arial" w:hAnsi="Arial"/>
          <w:sz w:val="17"/>
          <w:szCs w:val="17"/>
          <w:b w:val="1"/>
          <w:bCs w:val="1"/>
          <w:i w:val="1"/>
          <w:iCs w:val="1"/>
          <w:color w:val="auto"/>
        </w:rPr>
        <w:t>Black-Scholes Warrant Value</w:t>
      </w:r>
      <w:r>
        <w:rPr>
          <w:rFonts w:ascii="Arial" w:cs="Arial" w:eastAsia="Arial" w:hAnsi="Arial"/>
          <w:sz w:val="17"/>
          <w:szCs w:val="17"/>
          <w:color w:val="auto"/>
        </w:rPr>
        <w:t>” means the value of a Warrant immediately prior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consummation of the applicable event based on the Black-Scholes Warrant Model for a Capped American Call on Bloomberg Financial Markets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the volume weighted average price of the Ordinary Shares as reported during the ten-trading day period ending on the trading day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the applicable event, (3) the assumed volatility shall be the ninety-day volatility obtained from the HVT function on Bloomberg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as of the trading day immediately prior to the day of the announcement of the applicable event, and (4) the assumed risk-free interest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means (i) if the consideration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holders of the Ordinary Shares consists exclusively of cash, the amount of such cash per Ordinary Share, and (ii) in all other cases, the volume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price of the Ordinary Shares as reported during the ten-trading day period ending on the trading day prior to the effective date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event. If any reclassification or reorganization also results in a change in Ordinary Shares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then such adjustment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reorganizations, mergers or consolidations, sales or other transfers. In no event shall the Warrant Price be reduced to less than the par value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issuable upon exercise of the Warrant.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firstLine="648"/>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Adjustment</w:t>
      </w:r>
      <w:r>
        <w:rPr>
          <w:rFonts w:ascii="Arial" w:cs="Arial" w:eastAsia="Arial" w:hAnsi="Arial"/>
          <w:sz w:val="16"/>
          <w:szCs w:val="16"/>
          <w:color w:val="auto"/>
        </w:rPr>
        <w:t>. For the avoidance of doubt, no adjustment shall be made to the terms of the Warrants solely as a result of an adjustment to the conversion ratio of the Company’s Class B ordinary shares into Ordinary Shares or the conversion of Class B ordinary shares into Ordinary Shares, in each case, pursuant to the Company’s amended and restated memorandum and articles of association, as amended from time to time.</w:t>
      </w:r>
    </w:p>
    <w:p>
      <w:pPr>
        <w:spacing w:after="0" w:line="149"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request.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0" w:name="page71"/>
    <w:bookmarkEnd w:id="70"/>
    <w:p>
      <w:pPr>
        <w:ind w:right="20"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 of Warrants.</w:t>
      </w:r>
      <w:r>
        <w:rPr>
          <w:rFonts w:ascii="Arial" w:cs="Arial" w:eastAsia="Arial" w:hAnsi="Arial"/>
          <w:sz w:val="17"/>
          <w:szCs w:val="17"/>
          <w:color w:val="auto"/>
        </w:rPr>
        <w:t xml:space="preserve"> Subject to Section 6.5 hereof, not less than all of the outstanding Warrants may be redeemed, at the option of the Company, at any time while they are exercisable and prior to their expiration, at the office of the Warrant Agent, upon notice to the Registered Holders of the Warrants, as described in Section 6.3 below, at a Redemption Price of $0.01 per Warrant; provided that the reported closing price of the Ordinary Shares reported has been at least $18.00 per share (subject to adjustment in compliance with Section 4 hereof), on each of twenty trading days within the thirty-trading day period ending on the third Business Day prior to the date on which notice of the redemption is given; and provided, further, that there is an effective registration statement covering the Ordinary Shares issuable upon exercise of the Warrants, and a current prospectus relating thereto, available throughout the 30-day Redemption Period (as defined in Section 6.3 below) or the Company has elected to require the exercise of the Warrants on a “cashless basis” pursuant to subsection 3.3.1.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Date Fixed for, and Notice of, Redemption</w:t>
      </w:r>
      <w:r>
        <w:rPr>
          <w:rFonts w:ascii="Arial" w:cs="Arial" w:eastAsia="Arial" w:hAnsi="Arial"/>
          <w:sz w:val="17"/>
          <w:szCs w:val="17"/>
          <w:color w:val="auto"/>
        </w:rPr>
        <w:t xml:space="preserve">. In the event that the Company elects to redeem all of the Warrants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the Company shall fix a date for the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Notice of redemption shall be mailed by first class mail, postage prepaid, by the Company not less than thirty days prior to the Redemption Date (the “</w:t>
      </w:r>
      <w:r>
        <w:rPr>
          <w:rFonts w:ascii="Arial" w:cs="Arial" w:eastAsia="Arial" w:hAnsi="Arial"/>
          <w:sz w:val="17"/>
          <w:szCs w:val="17"/>
          <w:b w:val="1"/>
          <w:bCs w:val="1"/>
          <w:i w:val="1"/>
          <w:iCs w:val="1"/>
          <w:color w:val="auto"/>
        </w:rPr>
        <w:t>30-day Redemption Period</w:t>
      </w:r>
      <w:r>
        <w:rPr>
          <w:rFonts w:ascii="Arial" w:cs="Arial" w:eastAsia="Arial" w:hAnsi="Arial"/>
          <w:sz w:val="17"/>
          <w:szCs w:val="17"/>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“Redemption Price” shall mean the price per Warrant at which any Warrants are redeemed pursuant to Section 6.1.</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the notice of redemption shall contain the information necessary to calculate the number of Ordinary Shares to be received upon exercise of the Warrants, including the “Fair Market Value” (as such term is defined in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hereof) in such case. On and after the Redemption Date, the record holder of the Warrants shall have no further rights except to receive, upon surrender of the Warrants, the Redemption Price.</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Notwithstanding anything contained herein, the redemption rights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177"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2" w:name="page73"/>
    <w:bookmarkEnd w:id="72"/>
    <w:p>
      <w:pPr>
        <w:ind w:right="18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Ordinary Shares</w:t>
      </w:r>
      <w:r>
        <w:rPr>
          <w:rFonts w:ascii="Arial" w:cs="Arial" w:eastAsia="Arial" w:hAnsi="Arial"/>
          <w:sz w:val="17"/>
          <w:szCs w:val="17"/>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Ordinary Shares; Cashless Exercise at Company’s Option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Ordinary Shares</w:t>
      </w:r>
      <w:r>
        <w:rPr>
          <w:rFonts w:ascii="Arial" w:cs="Arial" w:eastAsia="Arial" w:hAnsi="Arial"/>
          <w:sz w:val="16"/>
          <w:szCs w:val="16"/>
          <w:color w:val="auto"/>
        </w:rPr>
        <w:t xml:space="preserve">. The Company agrees that as soon as practicable, but in no event later than twenty Business Days after the closing of its initial Business Combination, it shall use commercially reasonable efforts to file with the Commission a registration statement for the registration, under the Securities Act, of the Ordinary Shares issuable upon exercise of the Warrants. The Company shall use commercially reasonable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sixtieth (60th) day following the closing of the Business Combination, holders of the Warrants shall have the right, during the period beginning on the sixty-first (61st) day after the closing of the Business Combination and ending upon such registration statement being declared effective by the Commission, and during any other period when the Company shall fail to have maintained an effective registration statement covering the Ordinary Shares issuable upon exercise of the Warrants, to exercise such Warrants on a “cashless basis,” by exchanging the Warrants (in accordance with Section 3(a)(9) of the Securities Act (or any successor rule) or another exemption) for that number of Ordinary Shares per Warrant equal to the lesser of (A) the quotient obtained by dividing (x) the product of the number of Ordinary Shares underlying such Warrant, multiplied by the excess of the “Fair Market Value” (as defined below) over the Warrant Price by (y) the Fair Market Value and (B) 0.365.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shall mean the volume weighted average price of the Ordinary Shares as reported during the ten-trading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Ordinary Shares issued upon such exercise shall be freely tradable under U.S.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6" w:lineRule="exact"/>
        <w:rPr>
          <w:sz w:val="20"/>
          <w:szCs w:val="20"/>
          <w:color w:val="auto"/>
        </w:rPr>
      </w:pPr>
    </w:p>
    <w:p>
      <w:pPr>
        <w:ind w:right="140" w:firstLine="1296"/>
        <w:spacing w:after="0" w:line="290"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Ordinary Shares are at the time of any exercise of a Warrant not listed on a national securities exchange such that they satisfy the definition of a “covered security”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and in the event the Company does not so elect, the Company will use reasonable best efforts to register or qualify for sale the Ordinary Shares issuable upon exercise of the Public Warrants under the blue sky laws of the state of residence of the exercising Public Warrant holder to the extent an exemption is not available.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ind w:right="420"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Ordinary Shares not later than the effective date of any such appointment.</w:t>
      </w:r>
    </w:p>
    <w:p>
      <w:pPr>
        <w:spacing w:after="0" w:line="124"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right="380"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4" w:name="page75"/>
    <w:bookmarkEnd w:id="74"/>
    <w:p>
      <w:pPr>
        <w:jc w:val="both"/>
        <w:ind w:right="580"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Secretary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jc w:val="both"/>
        <w:ind w:right="340"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87"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right="60" w:firstLine="648"/>
        <w:spacing w:after="0" w:line="31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Acceptance of Agency</w:t>
      </w:r>
      <w:r>
        <w:rPr>
          <w:rFonts w:ascii="Arial" w:cs="Arial" w:eastAsia="Arial" w:hAnsi="Arial"/>
          <w:sz w:val="16"/>
          <w:szCs w:val="16"/>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1601 Bryan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4141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Leonard</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Christian O. Nagler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 S. Seligson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9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77" w:name="page78"/>
    <w:bookmarkEnd w:id="77"/>
    <w:p>
      <w:pPr>
        <w:ind w:right="40"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 —Private Placement Warrants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580390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 Cayman Islands Exempted Company</w:t>
      </w:r>
    </w:p>
    <w:p>
      <w:pPr>
        <w:spacing w:after="0" w:line="207" w:lineRule="exact"/>
        <w:rPr>
          <w:sz w:val="20"/>
          <w:szCs w:val="20"/>
          <w:color w:val="auto"/>
        </w:rPr>
      </w:pPr>
    </w:p>
    <w:p>
      <w:pPr>
        <w:ind w:left="10420"/>
        <w:spacing w:after="0"/>
        <w:rPr>
          <w:sz w:val="20"/>
          <w:szCs w:val="20"/>
          <w:color w:val="auto"/>
        </w:rPr>
      </w:pPr>
      <w:r>
        <w:rPr>
          <w:rFonts w:ascii="Arial" w:cs="Arial" w:eastAsia="Arial" w:hAnsi="Arial"/>
          <w:sz w:val="17"/>
          <w:szCs w:val="17"/>
          <w:b w:val="1"/>
          <w:bCs w:val="1"/>
          <w:color w:val="auto"/>
        </w:rPr>
        <w:t>CUSIP [●]</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3900" w:val="left"/>
        </w:tabs>
        <w:rPr>
          <w:sz w:val="20"/>
          <w:szCs w:val="20"/>
          <w:color w:val="auto"/>
        </w:rPr>
      </w:pPr>
      <w:r>
        <w:rPr>
          <w:rFonts w:ascii="Arial" w:cs="Arial" w:eastAsia="Arial" w:hAnsi="Arial"/>
          <w:sz w:val="18"/>
          <w:szCs w:val="18"/>
          <w:color w:val="auto"/>
        </w:rPr>
        <w:t>This Warrant Certificate certifies that</w:t>
      </w:r>
      <w:r>
        <w:rPr>
          <w:sz w:val="20"/>
          <w:szCs w:val="20"/>
          <w:color w:val="auto"/>
        </w:rPr>
        <w:tab/>
      </w:r>
      <w:r>
        <w:rPr>
          <w:rFonts w:ascii="Arial" w:cs="Arial" w:eastAsia="Arial" w:hAnsi="Arial"/>
          <w:sz w:val="16"/>
          <w:szCs w:val="16"/>
          <w:color w:val="auto"/>
        </w:rPr>
        <w:t>, or registered assigns, is the registered holder of warrant(s) evidenced hereby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(the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Each whole Warrant is initially exercisable for one fully paid and non-assessable Ordinary Share. No fractional shares will be issued upon exercise of any Warrant. The number of Ordinary Shares issuable upon exercise of the Warrants is subject to adjustment upon the occurrence of certain events set forth in the Warrant Agreement.</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initial Exercise Price per Ordinary Share for any Warrant is equal to $11.50 per share. The Exercise Price is subject to adjustment upon the occurrence of certain events set forth in the Warrant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8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 that would apply the laws of another jurisdiction.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Ordinary Shares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“holders” or “holder” meaning the Registered Holders or Registered Holder)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and (ii) a prospectus thereunder relating to the Ordinary Shares is current, except through “cashless exercise” as provided for in the Warrant Agreement or another exemption from registration.</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Ordinary Shares and herewith</w:t>
      </w:r>
    </w:p>
    <w:p>
      <w:pPr>
        <w:spacing w:after="0" w:line="46" w:lineRule="exact"/>
        <w:rPr>
          <w:sz w:val="20"/>
          <w:szCs w:val="20"/>
          <w:color w:val="auto"/>
        </w:rPr>
      </w:pPr>
    </w:p>
    <w:p>
      <w:pPr>
        <w:spacing w:after="0"/>
        <w:tabs>
          <w:tab w:leader="none" w:pos="10680" w:val="left"/>
        </w:tabs>
        <w:rPr>
          <w:sz w:val="20"/>
          <w:szCs w:val="20"/>
          <w:color w:val="auto"/>
        </w:rPr>
      </w:pPr>
      <w:r>
        <w:rPr>
          <w:rFonts w:ascii="Arial" w:cs="Arial" w:eastAsia="Arial" w:hAnsi="Arial"/>
          <w:sz w:val="17"/>
          <w:szCs w:val="17"/>
          <w:color w:val="auto"/>
        </w:rPr>
        <w:t>tenders payment for such Ordinary Shares to the order of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the amount of $</w:t>
      </w:r>
      <w:r>
        <w:rPr>
          <w:sz w:val="20"/>
          <w:szCs w:val="20"/>
          <w:color w:val="auto"/>
        </w:rPr>
        <w:tab/>
      </w:r>
      <w:r>
        <w:rPr>
          <w:rFonts w:ascii="Arial" w:cs="Arial" w:eastAsia="Arial" w:hAnsi="Arial"/>
          <w:sz w:val="17"/>
          <w:szCs w:val="17"/>
          <w:color w:val="auto"/>
        </w:rPr>
        <w: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hereof. The undersigned requests that a certificate for such Ordinary Shares be registered in the name of</w:t>
      </w:r>
    </w:p>
    <w:p>
      <w:pPr>
        <w:spacing w:after="0" w:line="9" w:lineRule="exact"/>
        <w:rPr>
          <w:sz w:val="20"/>
          <w:szCs w:val="20"/>
          <w:color w:val="auto"/>
        </w:rPr>
      </w:pPr>
    </w:p>
    <w:p>
      <w:pPr>
        <w:ind w:left="1400"/>
        <w:spacing w:after="0"/>
        <w:tabs>
          <w:tab w:leader="none" w:pos="3400" w:val="left"/>
          <w:tab w:leader="none" w:pos="7860" w:val="left"/>
          <w:tab w:leader="none" w:pos="10240" w:val="left"/>
        </w:tabs>
        <w:rPr>
          <w:sz w:val="20"/>
          <w:szCs w:val="20"/>
          <w:color w:val="auto"/>
        </w:rPr>
      </w:pPr>
      <w:r>
        <w:rPr>
          <w:rFonts w:ascii="Arial" w:cs="Arial" w:eastAsia="Arial" w:hAnsi="Arial"/>
          <w:sz w:val="18"/>
          <w:szCs w:val="18"/>
          <w:color w:val="auto"/>
        </w:rPr>
        <w:t>whose address is</w:t>
      </w:r>
      <w:r>
        <w:rPr>
          <w:sz w:val="20"/>
          <w:szCs w:val="20"/>
          <w:color w:val="auto"/>
        </w:rPr>
        <w:tab/>
      </w:r>
      <w:r>
        <w:rPr>
          <w:rFonts w:ascii="Arial" w:cs="Arial" w:eastAsia="Arial" w:hAnsi="Arial"/>
          <w:sz w:val="18"/>
          <w:szCs w:val="18"/>
          <w:color w:val="auto"/>
        </w:rPr>
        <w:t>and that such Ordinary Shares be delivered to</w:t>
      </w:r>
      <w:r>
        <w:rPr>
          <w:sz w:val="20"/>
          <w:szCs w:val="20"/>
          <w:color w:val="auto"/>
        </w:rPr>
        <w:tab/>
      </w:r>
      <w:r>
        <w:rPr>
          <w:rFonts w:ascii="Arial" w:cs="Arial" w:eastAsia="Arial" w:hAnsi="Arial"/>
          <w:sz w:val="18"/>
          <w:szCs w:val="18"/>
          <w:color w:val="auto"/>
        </w:rPr>
        <w:t>whose address is</w:t>
      </w:r>
      <w:r>
        <w:rPr>
          <w:sz w:val="20"/>
          <w:szCs w:val="20"/>
          <w:color w:val="auto"/>
        </w:rPr>
        <w:tab/>
      </w:r>
      <w:r>
        <w:rPr>
          <w:rFonts w:ascii="Arial" w:cs="Arial" w:eastAsia="Arial" w:hAnsi="Arial"/>
          <w:sz w:val="16"/>
          <w:szCs w:val="16"/>
          <w:color w:val="auto"/>
        </w:rPr>
        <w:t>. If said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number of Ordinary Shares is less than all of the Ordinary Shares purchasable hereunder, the undersigned requests that a new Warrant Certificate</w:t>
      </w:r>
    </w:p>
    <w:p>
      <w:pPr>
        <w:spacing w:after="0" w:line="21" w:lineRule="exact"/>
        <w:rPr>
          <w:sz w:val="20"/>
          <w:szCs w:val="20"/>
          <w:color w:val="auto"/>
        </w:rPr>
      </w:pPr>
    </w:p>
    <w:p>
      <w:pPr>
        <w:spacing w:after="0"/>
        <w:tabs>
          <w:tab w:leader="none" w:pos="7700" w:val="left"/>
          <w:tab w:leader="none" w:pos="9980" w:val="left"/>
        </w:tabs>
        <w:rPr>
          <w:sz w:val="20"/>
          <w:szCs w:val="20"/>
          <w:color w:val="auto"/>
        </w:rPr>
      </w:pPr>
      <w:r>
        <w:rPr>
          <w:rFonts w:ascii="Arial" w:cs="Arial" w:eastAsia="Arial" w:hAnsi="Arial"/>
          <w:sz w:val="18"/>
          <w:szCs w:val="18"/>
          <w:color w:val="auto"/>
        </w:rPr>
        <w:t>representing the remaining balance of such Ordinary Shares be registered in the name 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5"/>
          <w:szCs w:val="15"/>
          <w:color w:val="auto"/>
        </w:rPr>
        <w:t>and that such</w:t>
      </w:r>
    </w:p>
    <w:p>
      <w:pPr>
        <w:spacing w:after="0" w:line="9" w:lineRule="exact"/>
        <w:rPr>
          <w:sz w:val="20"/>
          <w:szCs w:val="20"/>
          <w:color w:val="auto"/>
        </w:rPr>
      </w:pPr>
    </w:p>
    <w:p>
      <w:pPr>
        <w:spacing w:after="0"/>
        <w:tabs>
          <w:tab w:leader="none" w:pos="3840" w:val="left"/>
          <w:tab w:leader="none" w:pos="6440" w:val="left"/>
        </w:tabs>
        <w:rPr>
          <w:sz w:val="20"/>
          <w:szCs w:val="20"/>
          <w:color w:val="auto"/>
        </w:rPr>
      </w:pPr>
      <w:r>
        <w:rPr>
          <w:rFonts w:ascii="Arial" w:cs="Arial" w:eastAsia="Arial" w:hAnsi="Arial"/>
          <w:sz w:val="18"/>
          <w:szCs w:val="18"/>
          <w:color w:val="auto"/>
        </w:rPr>
        <w:t>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Ordinary Shares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2"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Warrant Certificate representing the remaining balance of such Ordinary Shares be registered in the name of</w:t>
      </w:r>
      <w:r>
        <w:rPr>
          <w:sz w:val="20"/>
          <w:szCs w:val="20"/>
          <w:color w:val="auto"/>
        </w:rPr>
        <w:tab/>
      </w:r>
      <w:r>
        <w:rPr>
          <w:rFonts w:ascii="Arial" w:cs="Arial" w:eastAsia="Arial" w:hAnsi="Arial"/>
          <w:sz w:val="15"/>
          <w:szCs w:val="15"/>
          <w:color w:val="auto"/>
        </w:rPr>
        <w:t>, whose address is</w:t>
      </w:r>
    </w:p>
    <w:p>
      <w:pPr>
        <w:spacing w:after="0" w:line="9" w:lineRule="exact"/>
        <w:rPr>
          <w:sz w:val="20"/>
          <w:szCs w:val="20"/>
          <w:color w:val="auto"/>
        </w:rPr>
      </w:pPr>
    </w:p>
    <w:p>
      <w:pPr>
        <w:ind w:left="1440"/>
        <w:spacing w:after="0"/>
        <w:tabs>
          <w:tab w:leader="none" w:pos="6360" w:val="left"/>
          <w:tab w:leader="none" w:pos="9100" w:val="left"/>
        </w:tabs>
        <w:rPr>
          <w:sz w:val="20"/>
          <w:szCs w:val="20"/>
          <w:color w:val="auto"/>
        </w:rPr>
      </w:pP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Date: 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39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SUSTAINABLE OPPORTUNITIES ACQUISITION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OTHER SIGNATORIES THERETO, THE SECURITIES REPRESENTED BY THIS CERTIFICATE MAY NOT BE SOLD OR TRANSFERRED PRIOR TO THE DATE THAT IS THIRTY DAYS AFTER THE DATE UPON WHICH THE COMPANY COMPLETES ITS INITIAL BUSINESS COMBINATION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WARRANT AGREEMENT REFERRED TO HEREIN) EXCEPT TO A PERMITTED TRANSFEREE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WARRANT AGREEMENT) WHO AGREES IN WRITING WITH THE COMPANY TO BE SUBJECT TO SUCH TRANSFER PROVISIONS.</w:t>
      </w:r>
    </w:p>
    <w:p>
      <w:pPr>
        <w:spacing w:after="0" w:line="19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SECURITIES EVIDENCED BY THIS CERTIFICATE AND CLASS A ORDINARY SHARES OF THE COMPANY ISSUED UPON EXERCISE OF SUCH SECURITIES SHALL BE ENTITLED TO REGISTRATION RIGHTS UNDER AN AGREEMENT TO BE ENTERED INTO BY THE COMPANY.”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165735</wp:posOffset>
            </wp:positionV>
            <wp:extent cx="2040255"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2040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800" w:type="dxa"/>
        <w:tblCellMar>
          <w:top w:w="0" w:type="dxa"/>
          <w:left w:w="0" w:type="dxa"/>
          <w:bottom w:w="0" w:type="dxa"/>
          <w:right w:w="0" w:type="dxa"/>
        </w:tblCellMar>
      </w:tblPr>
      <w:tr>
        <w:trPr>
          <w:trHeight w:val="216"/>
        </w:trPr>
        <w:tc>
          <w:tcPr>
            <w:tcW w:w="2840" w:type="dxa"/>
            <w:vAlign w:val="bottom"/>
          </w:tcPr>
          <w:p>
            <w:pPr>
              <w:jc w:val="center"/>
              <w:ind w:right="1090"/>
              <w:spacing w:after="0"/>
              <w:rPr>
                <w:sz w:val="20"/>
                <w:szCs w:val="20"/>
                <w:color w:val="auto"/>
              </w:rPr>
            </w:pPr>
            <w:r>
              <w:rPr>
                <w:rFonts w:ascii="Arial" w:cs="Arial" w:eastAsia="Arial" w:hAnsi="Arial"/>
                <w:sz w:val="18"/>
                <w:szCs w:val="18"/>
                <w:color w:val="auto"/>
                <w:w w:val="92"/>
              </w:rPr>
              <w:t>601 Lexington Avenue</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jc w:val="center"/>
              <w:ind w:right="1090"/>
              <w:spacing w:after="0"/>
              <w:rPr>
                <w:sz w:val="20"/>
                <w:szCs w:val="20"/>
                <w:color w:val="auto"/>
              </w:rPr>
            </w:pPr>
            <w:r>
              <w:rPr>
                <w:rFonts w:ascii="Arial" w:cs="Arial" w:eastAsia="Arial" w:hAnsi="Arial"/>
                <w:sz w:val="18"/>
                <w:szCs w:val="18"/>
                <w:color w:val="auto"/>
                <w:w w:val="93"/>
              </w:rPr>
              <w:t>New York, NY 10022</w:t>
            </w:r>
          </w:p>
        </w:tc>
        <w:tc>
          <w:tcPr>
            <w:tcW w:w="2320" w:type="dxa"/>
            <w:vAlign w:val="bottom"/>
            <w:vMerge w:val="restart"/>
          </w:tcPr>
          <w:p>
            <w:pPr>
              <w:jc w:val="center"/>
              <w:ind w:left="1090"/>
              <w:spacing w:after="0"/>
              <w:rPr>
                <w:sz w:val="20"/>
                <w:szCs w:val="20"/>
                <w:color w:val="auto"/>
              </w:rPr>
            </w:pPr>
            <w:r>
              <w:rPr>
                <w:rFonts w:ascii="Arial" w:cs="Arial" w:eastAsia="Arial" w:hAnsi="Arial"/>
                <w:sz w:val="18"/>
                <w:szCs w:val="18"/>
                <w:color w:val="auto"/>
                <w:w w:val="91"/>
              </w:rPr>
              <w:t>Facsimile:</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jc w:val="center"/>
              <w:ind w:right="1090"/>
              <w:spacing w:after="0"/>
              <w:rPr>
                <w:sz w:val="20"/>
                <w:szCs w:val="20"/>
                <w:color w:val="auto"/>
              </w:rPr>
            </w:pPr>
            <w:r>
              <w:rPr>
                <w:rFonts w:ascii="Arial" w:cs="Arial" w:eastAsia="Arial" w:hAnsi="Arial"/>
                <w:sz w:val="18"/>
                <w:szCs w:val="18"/>
                <w:color w:val="auto"/>
                <w:w w:val="92"/>
              </w:rPr>
              <w:t>(212) 446-4800</w:t>
            </w:r>
          </w:p>
        </w:tc>
        <w:tc>
          <w:tcPr>
            <w:tcW w:w="2320" w:type="dxa"/>
            <w:vAlign w:val="bottom"/>
          </w:tcPr>
          <w:p>
            <w:pPr>
              <w:jc w:val="right"/>
              <w:spacing w:after="0"/>
              <w:rPr>
                <w:sz w:val="20"/>
                <w:szCs w:val="20"/>
                <w:color w:val="auto"/>
              </w:rPr>
            </w:pPr>
            <w:r>
              <w:rPr>
                <w:rFonts w:ascii="Arial" w:cs="Arial" w:eastAsia="Arial" w:hAnsi="Arial"/>
                <w:sz w:val="18"/>
                <w:szCs w:val="18"/>
                <w:color w:val="auto"/>
              </w:rPr>
              <w:t>(212) 446-4900</w:t>
            </w:r>
          </w:p>
        </w:tc>
        <w:tc>
          <w:tcPr>
            <w:tcW w:w="0" w:type="dxa"/>
            <w:vAlign w:val="bottom"/>
          </w:tcPr>
          <w:p>
            <w:pPr>
              <w:spacing w:after="0"/>
              <w:rPr>
                <w:sz w:val="1"/>
                <w:szCs w:val="1"/>
                <w:color w:val="auto"/>
              </w:rPr>
            </w:pPr>
          </w:p>
        </w:tc>
      </w:tr>
      <w:tr>
        <w:trPr>
          <w:trHeight w:val="432"/>
        </w:trPr>
        <w:tc>
          <w:tcPr>
            <w:tcW w:w="2840" w:type="dxa"/>
            <w:vAlign w:val="bottom"/>
          </w:tcPr>
          <w:p>
            <w:pPr>
              <w:jc w:val="center"/>
              <w:ind w:right="1090"/>
              <w:spacing w:after="0"/>
              <w:rPr>
                <w:sz w:val="20"/>
                <w:szCs w:val="20"/>
                <w:color w:val="auto"/>
              </w:rPr>
            </w:pPr>
            <w:r>
              <w:rPr>
                <w:rFonts w:ascii="Arial" w:cs="Arial" w:eastAsia="Arial" w:hAnsi="Arial"/>
                <w:sz w:val="18"/>
                <w:szCs w:val="18"/>
                <w:color w:val="auto"/>
                <w:w w:val="95"/>
              </w:rPr>
              <w:t>www.kirkland.com</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Sustainable Opportunities Acquisition Corp.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issuing this opinion in our capacity as special United States counsel to Sustainable Opportunities Acquisition Corp., a Cayman Island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on a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Statement on Form S-1 (333-237245) originally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March 17, 2020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34,500,000 units of the Company, including the underwriter’s over-allotment option to purchase an additional 4,500,000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with each Unit consisting of one Class A ordinary share, par value $0.0001 per share (the “</w:t>
      </w: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one-half of one warrant of the Company to purchase one Class A Ordinary Share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promulgated under the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ind w:firstLine="656"/>
        <w:spacing w:after="0" w:line="263" w:lineRule="auto"/>
        <w:tabs>
          <w:tab w:leader="none" w:pos="8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form of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proposed to be entered into by and between the Company and Citigroup Global Markets Inc., as representative of the several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xml:space="preserve">”), relating to the sale by the Company to the Underwriters of the Units, filed as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to the Registration Statement;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form of Unit Certificate, filed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to the Registration Statement;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form of Warrant Certificate, filed as </w:t>
      </w:r>
      <w:r>
        <w:rPr>
          <w:rFonts w:ascii="Arial" w:cs="Arial" w:eastAsia="Arial" w:hAnsi="Arial"/>
          <w:sz w:val="18"/>
          <w:szCs w:val="18"/>
          <w:u w:val="single" w:color="auto"/>
          <w:color w:val="auto"/>
        </w:rPr>
        <w:t>Exhibit 4.3</w:t>
      </w:r>
      <w:r>
        <w:rPr>
          <w:rFonts w:ascii="Arial" w:cs="Arial" w:eastAsia="Arial" w:hAnsi="Arial"/>
          <w:sz w:val="18"/>
          <w:szCs w:val="18"/>
          <w:color w:val="auto"/>
        </w:rPr>
        <w:t xml:space="preserve"> to the Registration Statement; and</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form of Warrant Agreement proposed to be entered into by and between the Company and Continental Stock Transfer &amp; Trust Company, as warrant agent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xml:space="preserve">”), filed as </w:t>
      </w:r>
      <w:r>
        <w:rPr>
          <w:rFonts w:ascii="Arial" w:cs="Arial" w:eastAsia="Arial" w:hAnsi="Arial"/>
          <w:sz w:val="18"/>
          <w:szCs w:val="18"/>
          <w:u w:val="single" w:color="auto"/>
          <w:color w:val="auto"/>
        </w:rPr>
        <w:t>Exhibit 4.4</w:t>
      </w:r>
      <w:r>
        <w:rPr>
          <w:rFonts w:ascii="Arial" w:cs="Arial" w:eastAsia="Arial" w:hAnsi="Arial"/>
          <w:sz w:val="18"/>
          <w:szCs w:val="18"/>
          <w:color w:val="auto"/>
        </w:rPr>
        <w:t xml:space="preserve"> to the Registration Statement.</w:t>
      </w:r>
    </w:p>
    <w:p>
      <w:pPr>
        <w:spacing w:after="0" w:line="17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For purposes of this letter, we have examined such other documents, records, certificates, resolutions and other instruments deemed necessary as a basis for this opinion, and we have assumed the authenticity of all documents submitted to us as originals, the conformity to the originals of all documents submitted to us as copies and the authenticity of the originals of all documents submitted to us as copies. As to any facts material to the opinions expressed herein which we have not independently established or verified, we have relied upon statements and representations of officers and other representatives of the Company and others.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Beijing Boston Chicago Dallas Hong Kong Houston London Los Angeles Munich Palo Alto Paris San Francisco Shanghai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2959735</wp:posOffset>
            </wp:positionH>
            <wp:positionV relativeFrom="page">
              <wp:posOffset>448945</wp:posOffset>
            </wp:positionV>
            <wp:extent cx="165417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7"/>
          <w:szCs w:val="17"/>
          <w:color w:val="auto"/>
        </w:rPr>
        <w:t>2</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with respect to the laws of any jurisdiction other than the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120" w:firstLine="656"/>
        <w:spacing w:after="0" w:line="263" w:lineRule="auto"/>
        <w:tabs>
          <w:tab w:leader="none" w:pos="8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When the Units are delivered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183" w:lineRule="exact"/>
        <w:rPr>
          <w:rFonts w:ascii="Arial" w:cs="Arial" w:eastAsia="Arial" w:hAnsi="Arial"/>
          <w:sz w:val="18"/>
          <w:szCs w:val="18"/>
          <w:color w:val="auto"/>
        </w:rPr>
      </w:pPr>
    </w:p>
    <w:p>
      <w:pPr>
        <w:ind w:right="200" w:firstLine="656"/>
        <w:spacing w:after="0" w:line="263" w:lineRule="auto"/>
        <w:tabs>
          <w:tab w:leader="none" w:pos="8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When the Units are delivered in accordance with the Underwriting Agreement upon payment of the agreed upon consideration therefor, the Warrants included in such Units will constitute valid and binding obligations of the Company, enforceable against the Company in accordance with their terms under the laws of the State of New York.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225" w:lineRule="exact"/>
        <w:rPr>
          <w:sz w:val="20"/>
          <w:szCs w:val="20"/>
          <w:color w:val="auto"/>
        </w:rPr>
      </w:pPr>
    </w:p>
    <w:p>
      <w:pPr>
        <w:ind w:right="280" w:firstLine="656"/>
        <w:spacing w:after="0" w:line="286" w:lineRule="auto"/>
        <w:tabs>
          <w:tab w:leader="none" w:pos="8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Warrant Agreement;</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has the corporate power and authority to execute, deliver and perform all its obligations under the Warrant Agreement;</w:t>
      </w:r>
    </w:p>
    <w:p>
      <w:pPr>
        <w:spacing w:after="0" w:line="236" w:lineRule="exact"/>
        <w:rPr>
          <w:rFonts w:ascii="Arial" w:cs="Arial" w:eastAsia="Arial" w:hAnsi="Arial"/>
          <w:sz w:val="17"/>
          <w:szCs w:val="17"/>
          <w:color w:val="auto"/>
        </w:rPr>
      </w:pPr>
    </w:p>
    <w:p>
      <w:pPr>
        <w:ind w:firstLine="656"/>
        <w:spacing w:after="0" w:line="273" w:lineRule="auto"/>
        <w:tabs>
          <w:tab w:leader="none" w:pos="8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Warrant Agreement nor the performance by the Company of its obligations thereunder, including the issuance and sale of the Units: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laws of the State of New York); and</w:t>
      </w:r>
    </w:p>
    <w:p>
      <w:pPr>
        <w:spacing w:after="0" w:line="177" w:lineRule="exact"/>
        <w:rPr>
          <w:rFonts w:ascii="Arial" w:cs="Arial" w:eastAsia="Arial" w:hAnsi="Arial"/>
          <w:sz w:val="17"/>
          <w:szCs w:val="17"/>
          <w:color w:val="auto"/>
        </w:rPr>
      </w:pPr>
    </w:p>
    <w:p>
      <w:pPr>
        <w:ind w:right="20" w:firstLine="656"/>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the Warrant Agreement nor the performance by the Company of its obligations thereunder, including the issuance and sale of the Units, requires or will require the consent, approval, licensing or authorization of, or any filing, recording or registration with, any governmental authority under any law, rule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448945</wp:posOffset>
            </wp:positionV>
            <wp:extent cx="165417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7"/>
          <w:szCs w:val="17"/>
          <w:color w:val="auto"/>
        </w:rPr>
        <w:t>3</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opinions expressed above are subject to the qualifications that we express no opinion as to the applicability of, compliance with, or effect of</w:t>
      </w:r>
    </w:p>
    <w:p>
      <w:pPr>
        <w:spacing w:after="0" w:line="46" w:lineRule="exact"/>
        <w:rPr>
          <w:sz w:val="20"/>
          <w:szCs w:val="20"/>
          <w:color w:val="auto"/>
        </w:rPr>
      </w:pPr>
    </w:p>
    <w:p>
      <w:pPr>
        <w:ind w:firstLine="8"/>
        <w:spacing w:after="0" w:line="286"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an implied covenant of good faith and fair dealing, (iv) public policy considerations which may limit the rights of parties to obtain certain remedies, (v)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(vi) governmental authority to limit, delay or prohibit the making of payments outside of the United States or in a foreign currency or currency unit and (vii) any laws except the laws of the State of New York. We advise you that issues addressed by this letter may be governed in whole or in part by other laws, but we express no opinion as to whether any relevant difference exists between the laws upon which our opinions are based and any other laws which may actually govern.</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hereby consent to the filing of this opinion with the Commission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offering of the Units.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We assume no obligation to revise or supplement this opinion should the present laws of the State of New York be changed by legislative action, judicial decision or otherwise.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purposes.</w:t>
      </w:r>
    </w:p>
    <w:p>
      <w:pPr>
        <w:spacing w:after="0" w:line="17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May [●], 2020 by and between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Company’s registration statement on Form S-1, File No. 333-237245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for the initial public offering of the Company’s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of which consists of one of the Company’s Class A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 value $0.0001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and one-half of one redeemable warrant, each whole warrant entitling the holder thereof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one Ordinary Share (such initial public offering hereinafter referred to as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has been declared effective as of the date hereof by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and</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Citigroup Global Markets Inc.,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WHEREAS, as described in the Prospectus, $300,000,000 of the gross proceeds of the Offering and sale of the Private Placement Warrants (as defined in the Underwriting Agreement) (or $345,000,000 if the Underwriters’ option to purchase additional units is exercised in full) will be delivered to the Trustee to be deposited and held in a segregated trust account located at all times in the United States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the shareholders for whose benefit the Trustee shall hold the Property will be referred to as the “</w:t>
      </w:r>
      <w:r>
        <w:rPr>
          <w:rFonts w:ascii="Arial" w:cs="Arial" w:eastAsia="Arial" w:hAnsi="Arial"/>
          <w:sz w:val="18"/>
          <w:szCs w:val="18"/>
          <w:b w:val="1"/>
          <w:bCs w:val="1"/>
          <w:i w:val="1"/>
          <w:iCs w:val="1"/>
          <w:color w:val="auto"/>
        </w:rPr>
        <w:t>Public Shareholders,</w:t>
      </w:r>
      <w:r>
        <w:rPr>
          <w:rFonts w:ascii="Arial" w:cs="Arial" w:eastAsia="Arial" w:hAnsi="Arial"/>
          <w:sz w:val="18"/>
          <w:szCs w:val="18"/>
          <w:color w:val="auto"/>
        </w:rPr>
        <w:t>” and the Public Shareholders and the Company will be referred to together as the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$10,500,000, or $12,075,000 if the Underwriters’ option to purchase additional units is exercised in full, is attributable to deferred underwriting discounts and commissions that will be payable by the Company to the Underwriters upon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840" w:hanging="184"/>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ind w:right="20" w:firstLine="1304"/>
        <w:spacing w:after="0" w:line="263" w:lineRule="auto"/>
        <w:tabs>
          <w:tab w:leader="none" w:pos="15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the Trust Account established by the Trustee in the United States at J.P. Morgan Chase Bank, N.A.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560" w:hanging="256"/>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80" w:firstLine="1304"/>
        <w:spacing w:after="0" w:line="273" w:lineRule="auto"/>
        <w:tabs>
          <w:tab w:leader="none" w:pos="1541"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Collect and receive, when due, all principal, interest or other income arising from the Property, which shall become part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211" w:lineRule="exact"/>
        <w:rPr>
          <w:sz w:val="20"/>
          <w:szCs w:val="20"/>
          <w:color w:val="auto"/>
        </w:rPr>
      </w:pPr>
    </w:p>
    <w:p>
      <w:pPr>
        <w:ind w:right="380" w:firstLine="1304"/>
        <w:spacing w:after="0" w:line="277" w:lineRule="auto"/>
        <w:tabs>
          <w:tab w:leader="none" w:pos="15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firstLine="1304"/>
        <w:spacing w:after="0" w:line="277"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right="600"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160"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right="40" w:firstLine="1304"/>
        <w:spacing w:after="0" w:line="287" w:lineRule="auto"/>
        <w:tabs>
          <w:tab w:leader="none" w:pos="1511"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(less up to $100,000 of interest to pay dissolution expenses and net of taxes payable), only as directed in the Termination Letter and the other documents referred to therein, or (y) upon the date which is the later of (1) 18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the funds held in the Trust Account (less up to $100,000 of interest to pay dissolution expenses and net of taxes payable), shall be distributed to the Public Shareholders of record as of such date. It is acknowledged and agreed that there should be no reduction in the principal amount per share initially deposited in the Trust Account;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1" w:name="page92"/>
    <w:bookmarkEnd w:id="91"/>
    <w:p>
      <w:pPr>
        <w:ind w:left="-60" w:firstLine="1304"/>
        <w:spacing w:after="0" w:line="269" w:lineRule="auto"/>
        <w:tabs>
          <w:tab w:leader="none" w:pos="1451"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85" w:lineRule="exact"/>
        <w:rPr>
          <w:rFonts w:ascii="Arial" w:cs="Arial" w:eastAsia="Arial" w:hAnsi="Arial"/>
          <w:sz w:val="17"/>
          <w:szCs w:val="17"/>
          <w:color w:val="auto"/>
        </w:rPr>
      </w:pPr>
    </w:p>
    <w:p>
      <w:pPr>
        <w:jc w:val="both"/>
        <w:ind w:left="-60" w:right="40" w:firstLine="1304"/>
        <w:spacing w:after="0" w:line="259" w:lineRule="auto"/>
        <w:tabs>
          <w:tab w:leader="none" w:pos="14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Shareholder Redemption Withdrawal Instruction</w:t>
      </w:r>
      <w:r>
        <w:rPr>
          <w:rFonts w:ascii="Arial" w:cs="Arial" w:eastAsia="Arial" w:hAnsi="Arial"/>
          <w:sz w:val="18"/>
          <w:szCs w:val="18"/>
          <w:color w:val="auto"/>
        </w:rPr>
        <w:t>”), the Trustee shall distribute to the remitting brokers on behalf of Public Shareholders redeeming Ordinary Shares the amount required to pay redeemed Ordinary Shares from Public Shareholders pursuant to the Company’s amended and restated memorandum and articles of association; and</w:t>
      </w:r>
    </w:p>
    <w:p>
      <w:pPr>
        <w:spacing w:after="0" w:line="186" w:lineRule="exact"/>
        <w:rPr>
          <w:rFonts w:ascii="Arial" w:cs="Arial" w:eastAsia="Arial" w:hAnsi="Arial"/>
          <w:sz w:val="18"/>
          <w:szCs w:val="18"/>
          <w:color w:val="auto"/>
        </w:rPr>
      </w:pPr>
    </w:p>
    <w:p>
      <w:pPr>
        <w:ind w:left="1460" w:hanging="216"/>
        <w:spacing w:after="0"/>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780" w:hanging="184"/>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left="-60" w:right="20" w:firstLine="1304"/>
        <w:spacing w:after="0" w:line="257" w:lineRule="auto"/>
        <w:tabs>
          <w:tab w:leader="none" w:pos="1481"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Chief Executive Officer, Chief Financial Officer or other authorized officer of the Company.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92" w:name="page93"/>
    <w:bookmarkEnd w:id="92"/>
    <w:p>
      <w:pPr>
        <w:ind w:left="-20" w:firstLine="1304"/>
        <w:spacing w:after="0" w:line="288" w:lineRule="auto"/>
        <w:tabs>
          <w:tab w:leader="none" w:pos="15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ind w:left="-20" w:right="100" w:firstLine="1304"/>
        <w:spacing w:after="0" w:line="293" w:lineRule="auto"/>
        <w:tabs>
          <w:tab w:leader="none" w:pos="1521"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164" w:lineRule="exact"/>
        <w:rPr>
          <w:rFonts w:ascii="Arial" w:cs="Arial" w:eastAsia="Arial" w:hAnsi="Arial"/>
          <w:sz w:val="16"/>
          <w:szCs w:val="16"/>
          <w:color w:val="auto"/>
        </w:rPr>
      </w:pPr>
    </w:p>
    <w:p>
      <w:pPr>
        <w:ind w:left="-20" w:right="160" w:firstLine="1304"/>
        <w:spacing w:after="0" w:line="259" w:lineRule="auto"/>
        <w:tabs>
          <w:tab w:leader="none" w:pos="15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shareholder meeting verifying the vote of such shareholders regarding such Business Combination;</w:t>
      </w:r>
    </w:p>
    <w:p>
      <w:pPr>
        <w:spacing w:after="0" w:line="186" w:lineRule="exact"/>
        <w:rPr>
          <w:rFonts w:ascii="Arial" w:cs="Arial" w:eastAsia="Arial" w:hAnsi="Arial"/>
          <w:sz w:val="18"/>
          <w:szCs w:val="18"/>
          <w:color w:val="auto"/>
        </w:rPr>
      </w:pPr>
    </w:p>
    <w:p>
      <w:pPr>
        <w:ind w:left="-20" w:right="180" w:firstLine="1304"/>
        <w:spacing w:after="0" w:line="277"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ind w:left="-20" w:right="160" w:firstLine="1304"/>
        <w:spacing w:after="0" w:line="259" w:lineRule="auto"/>
        <w:tabs>
          <w:tab w:leader="none" w:pos="15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3" w:name="page94"/>
    <w:bookmarkEnd w:id="93"/>
    <w:p>
      <w:pPr>
        <w:ind w:left="-20" w:right="80" w:firstLine="1304"/>
        <w:spacing w:after="0" w:line="277" w:lineRule="auto"/>
        <w:tabs>
          <w:tab w:leader="none" w:pos="1531"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w:t>
      </w:r>
    </w:p>
    <w:p>
      <w:pPr>
        <w:spacing w:after="0" w:line="170" w:lineRule="exact"/>
        <w:rPr>
          <w:rFonts w:ascii="Arial" w:cs="Arial" w:eastAsia="Arial" w:hAnsi="Arial"/>
          <w:sz w:val="18"/>
          <w:szCs w:val="18"/>
          <w:color w:val="auto"/>
        </w:rPr>
      </w:pPr>
    </w:p>
    <w:p>
      <w:pPr>
        <w:ind w:left="-20" w:right="100" w:firstLine="1304"/>
        <w:spacing w:after="0" w:line="293" w:lineRule="auto"/>
        <w:tabs>
          <w:tab w:leader="none" w:pos="1531"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the Company seeks to amend any provisions of its amended and restated memorandum and articles of association (i) to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therein or (ii) with respect to any other provisions relating to the rights of holders of the Public Shares (in each case, an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the Company will provide the Trustee with a letter (an “</w:t>
      </w:r>
      <w:r>
        <w:rPr>
          <w:rFonts w:ascii="Arial" w:cs="Arial" w:eastAsia="Arial" w:hAnsi="Arial"/>
          <w:sz w:val="16"/>
          <w:szCs w:val="16"/>
          <w:b w:val="1"/>
          <w:bCs w:val="1"/>
          <w:i w:val="1"/>
          <w:iCs w:val="1"/>
          <w:color w:val="auto"/>
        </w:rPr>
        <w:t>Amendment Notification Letter</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providing instructions for the distribution of funds to Public Shareholders who exercise their redemption option in connection with such Amendment; and</w:t>
      </w:r>
    </w:p>
    <w:p>
      <w:pPr>
        <w:spacing w:after="0" w:line="164" w:lineRule="exact"/>
        <w:rPr>
          <w:rFonts w:ascii="Arial" w:cs="Arial" w:eastAsia="Arial" w:hAnsi="Arial"/>
          <w:sz w:val="16"/>
          <w:szCs w:val="16"/>
          <w:color w:val="auto"/>
        </w:rPr>
      </w:pPr>
    </w:p>
    <w:p>
      <w:pPr>
        <w:ind w:left="-20" w:right="400" w:firstLine="1304"/>
        <w:spacing w:after="0" w:line="342" w:lineRule="auto"/>
        <w:tabs>
          <w:tab w:leader="none" w:pos="1491" w:val="left"/>
        </w:tabs>
        <w:numPr>
          <w:ilvl w:val="1"/>
          <w:numId w:val="65"/>
        </w:numPr>
        <w:rPr>
          <w:rFonts w:ascii="Arial" w:cs="Arial" w:eastAsia="Arial" w:hAnsi="Arial"/>
          <w:sz w:val="16"/>
          <w:szCs w:val="16"/>
          <w:color w:val="auto"/>
        </w:rPr>
      </w:pPr>
      <w:r>
        <w:rPr>
          <w:rFonts w:ascii="Arial" w:cs="Arial" w:eastAsia="Arial" w:hAnsi="Arial"/>
          <w:sz w:val="16"/>
          <w:szCs w:val="16"/>
          <w:color w:val="auto"/>
        </w:rPr>
        <w:t>Within five (5) business days after the Underwriters exercise their option to purchase additional units (or any unexercised portion thereof) or such option to purchase additional units expires, provide the Trustee with a notice in writing of the total amount of the Deferred Discount.</w:t>
      </w:r>
    </w:p>
    <w:p>
      <w:pPr>
        <w:spacing w:after="0" w:line="123" w:lineRule="exact"/>
        <w:rPr>
          <w:rFonts w:ascii="Arial" w:cs="Arial" w:eastAsia="Arial" w:hAnsi="Arial"/>
          <w:sz w:val="16"/>
          <w:szCs w:val="16"/>
          <w:color w:val="auto"/>
        </w:rPr>
      </w:pPr>
    </w:p>
    <w:p>
      <w:pPr>
        <w:ind w:left="820" w:hanging="184"/>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20" w:right="380" w:firstLine="1304"/>
        <w:spacing w:after="0" w:line="277" w:lineRule="auto"/>
        <w:tabs>
          <w:tab w:leader="none" w:pos="152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left="-20" w:right="180" w:firstLine="1304"/>
        <w:spacing w:after="0" w:line="277" w:lineRule="auto"/>
        <w:tabs>
          <w:tab w:leader="none" w:pos="1531"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ind w:left="-20" w:firstLine="1304"/>
        <w:spacing w:after="0" w:line="286" w:lineRule="auto"/>
        <w:tabs>
          <w:tab w:leader="none" w:pos="1521" w:val="left"/>
        </w:tabs>
        <w:numPr>
          <w:ilvl w:val="1"/>
          <w:numId w:val="66"/>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540" w:hanging="256"/>
        <w:spacing w:after="0"/>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Change the investment of any Property, other than in compliance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1520" w:hanging="236"/>
        <w:spacing w:after="0"/>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20" w:right="400" w:firstLine="1304"/>
        <w:spacing w:after="0" w:line="308" w:lineRule="auto"/>
        <w:tabs>
          <w:tab w:leader="none" w:pos="1501" w:val="left"/>
        </w:tabs>
        <w:numPr>
          <w:ilvl w:val="1"/>
          <w:numId w:val="66"/>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4" w:name="page95"/>
    <w:bookmarkEnd w:id="94"/>
    <w:p>
      <w:pPr>
        <w:ind w:firstLine="1304"/>
        <w:spacing w:after="0" w:line="290" w:lineRule="auto"/>
        <w:tabs>
          <w:tab w:leader="none" w:pos="1551"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65" w:lineRule="exact"/>
        <w:rPr>
          <w:rFonts w:ascii="Arial" w:cs="Arial" w:eastAsia="Arial" w:hAnsi="Arial"/>
          <w:sz w:val="16"/>
          <w:szCs w:val="16"/>
          <w:color w:val="auto"/>
        </w:rPr>
      </w:pPr>
    </w:p>
    <w:p>
      <w:pPr>
        <w:ind w:left="1560" w:hanging="256"/>
        <w:spacing w:after="0"/>
        <w:tabs>
          <w:tab w:leader="none" w:pos="15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260" w:firstLine="1304"/>
        <w:spacing w:after="0" w:line="277" w:lineRule="auto"/>
        <w:tabs>
          <w:tab w:leader="none" w:pos="1511"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160" w:firstLine="1304"/>
        <w:spacing w:after="0" w:line="308" w:lineRule="auto"/>
        <w:tabs>
          <w:tab w:leader="none" w:pos="1511" w:val="left"/>
        </w:tabs>
        <w:numPr>
          <w:ilvl w:val="1"/>
          <w:numId w:val="67"/>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right="440" w:firstLine="1304"/>
        <w:spacing w:after="0" w:line="263" w:lineRule="auto"/>
        <w:tabs>
          <w:tab w:leader="none" w:pos="15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Verify calculations, qualify or otherwise approve the Company’s written requests for distributions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210" w:lineRule="exact"/>
        <w:rPr>
          <w:rFonts w:ascii="Arial" w:cs="Arial" w:eastAsia="Arial" w:hAnsi="Arial"/>
          <w:sz w:val="17"/>
          <w:szCs w:val="17"/>
          <w:color w:val="auto"/>
        </w:rPr>
      </w:pPr>
    </w:p>
    <w:p>
      <w:pPr>
        <w:ind w:right="140" w:firstLine="656"/>
        <w:spacing w:after="0" w:line="257" w:lineRule="auto"/>
        <w:tabs>
          <w:tab w:leader="none" w:pos="82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820" w:hanging="1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left="-20" w:firstLine="1304"/>
        <w:spacing w:after="0" w:line="271" w:lineRule="auto"/>
        <w:tabs>
          <w:tab w:leader="none" w:pos="1521"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ind w:left="-20" w:right="60" w:firstLine="1304"/>
        <w:spacing w:after="0" w:line="263" w:lineRule="auto"/>
        <w:tabs>
          <w:tab w:leader="none" w:pos="15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20" w:hanging="1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ind w:left="-20" w:firstLine="1304"/>
        <w:spacing w:after="0" w:line="272" w:lineRule="auto"/>
        <w:tabs>
          <w:tab w:leader="none" w:pos="1521"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ind w:left="-20" w:right="400" w:firstLine="1304"/>
        <w:spacing w:after="0" w:line="311" w:lineRule="auto"/>
        <w:tabs>
          <w:tab w:leader="none" w:pos="1531"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48" w:lineRule="exact"/>
        <w:rPr>
          <w:rFonts w:ascii="Arial" w:cs="Arial" w:eastAsia="Arial" w:hAnsi="Arial"/>
          <w:sz w:val="16"/>
          <w:szCs w:val="16"/>
          <w:color w:val="auto"/>
        </w:rPr>
      </w:pPr>
    </w:p>
    <w:p>
      <w:pPr>
        <w:ind w:left="-20" w:right="40" w:firstLine="1304"/>
        <w:spacing w:after="0" w:line="289" w:lineRule="auto"/>
        <w:tabs>
          <w:tab w:leader="none" w:pos="1521"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amendment will affect any Public Shareholder who has properly elected to redeem his or her Ordinary Shares in connection with a shareholder vote to amend this Agreement (i) to modify the substance or timing of the Company’s obligation to provide holders of the Public Shares the right to have their shares redeemed in connection with an initial Business Combination or to redeem 100% of its Ordinary Shares if the Company does not complete its initial Business Combination within the time frame specified in the Company’s amended and restated memorandum and articles of association or (ii) with respect to any other provisions relating to the rights of holders of the Public Shares), this Agreement or any provision hereof may only be changed, amended or modified (other than to correct a typographical error) by a writing signed by each of the parties hereto.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6" w:name="page97"/>
    <w:bookmarkEnd w:id="96"/>
    <w:p>
      <w:pPr>
        <w:jc w:val="both"/>
        <w:ind w:left="-80" w:right="160" w:firstLine="1304"/>
        <w:spacing w:after="0" w:line="263" w:lineRule="auto"/>
        <w:tabs>
          <w:tab w:leader="none" w:pos="14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left="-80" w:firstLine="1304"/>
        <w:spacing w:after="0" w:line="308" w:lineRule="auto"/>
        <w:tabs>
          <w:tab w:leader="none" w:pos="1461"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Continental Stock Transfer &amp; Trust Company</w:t>
      </w:r>
    </w:p>
    <w:p>
      <w:pPr>
        <w:ind w:left="122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Francis E. Wolf, Jr. &amp; Celeste Gonzalez</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Scott Leonard</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scott.leonard@3920partners.com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Christian O. Nagler</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Peter S. Seligson</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cnagler@kirkland.com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peter.seligson@kirkland.com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Pavan Bellur</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pavan.bellur@citi.com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Deanna L. Kirkpatrick and Derek Dostal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deanna.kirkpatrick@davispolk.com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derek.dostal@davispolk.com</w:t>
      </w:r>
    </w:p>
    <w:p>
      <w:pPr>
        <w:spacing w:after="0" w:line="211" w:lineRule="exact"/>
        <w:rPr>
          <w:sz w:val="20"/>
          <w:szCs w:val="20"/>
          <w:color w:val="auto"/>
        </w:rPr>
      </w:pPr>
    </w:p>
    <w:p>
      <w:pPr>
        <w:ind w:right="20" w:firstLine="1304"/>
        <w:spacing w:after="0" w:line="311" w:lineRule="auto"/>
        <w:tabs>
          <w:tab w:leader="none" w:pos="1521"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right="640" w:firstLine="1304"/>
        <w:spacing w:after="0" w:line="277"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ind w:right="600" w:firstLine="1304"/>
        <w:spacing w:after="0" w:line="263"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firstLine="1304"/>
        <w:spacing w:after="0" w:line="277" w:lineRule="auto"/>
        <w:tabs>
          <w:tab w:leader="none" w:pos="15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third-party beneficiary of this Agreement.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Trustee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904" w:right="7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ind w:left="520"/>
              <w:spacing w:after="0"/>
              <w:rPr>
                <w:sz w:val="20"/>
                <w:szCs w:val="20"/>
                <w:color w:val="auto"/>
              </w:rPr>
            </w:pPr>
            <w:r>
              <w:rPr>
                <w:rFonts w:ascii="Arial" w:cs="Arial" w:eastAsia="Arial" w:hAnsi="Arial"/>
                <w:sz w:val="18"/>
                <w:szCs w:val="18"/>
                <w:b w:val="1"/>
                <w:bCs w:val="1"/>
                <w:color w:val="auto"/>
              </w:rPr>
              <w:t>SCHEDULE 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520" w:type="dxa"/>
            <w:vAlign w:val="bottom"/>
            <w:gridSpan w:val="2"/>
          </w:tcPr>
          <w:p>
            <w:pPr>
              <w:ind w:left="1860"/>
              <w:spacing w:after="0"/>
              <w:rPr>
                <w:sz w:val="20"/>
                <w:szCs w:val="20"/>
                <w:color w:val="auto"/>
              </w:rPr>
            </w:pPr>
            <w:r>
              <w:rPr>
                <w:rFonts w:ascii="Arial" w:cs="Arial" w:eastAsia="Arial" w:hAnsi="Arial"/>
                <w:sz w:val="18"/>
                <w:szCs w:val="18"/>
                <w:b w:val="1"/>
                <w:bCs w:val="1"/>
                <w:color w:val="auto"/>
              </w:rPr>
              <w:t>Fee Item</w:t>
            </w:r>
          </w:p>
        </w:tc>
        <w:tc>
          <w:tcPr>
            <w:tcW w:w="4380" w:type="dxa"/>
            <w:vAlign w:val="bottom"/>
          </w:tcPr>
          <w:p>
            <w:pPr>
              <w:ind w:left="1060"/>
              <w:spacing w:after="0"/>
              <w:rPr>
                <w:sz w:val="20"/>
                <w:szCs w:val="20"/>
                <w:color w:val="auto"/>
              </w:rPr>
            </w:pPr>
            <w:r>
              <w:rPr>
                <w:rFonts w:ascii="Arial" w:cs="Arial" w:eastAsia="Arial" w:hAnsi="Arial"/>
                <w:sz w:val="18"/>
                <w:szCs w:val="18"/>
                <w:b w:val="1"/>
                <w:bCs w:val="1"/>
                <w:color w:val="auto"/>
              </w:rPr>
              <w:t>Time and method of payment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Annual fee</w:t>
            </w: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First year, initial closing of IPO by wire transfer; thereafter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5"/>
              </w:rPr>
              <w:t>on the anniversary of the effective date of the IPO by wire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transfer or check</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Transaction processing fee for disbursements to Company</w:t>
            </w: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Billed by Trustee to Company under Section 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Sections 1(i), (j), and (k)</w:t>
            </w:r>
          </w:p>
        </w:tc>
        <w:tc>
          <w:tcPr>
            <w:tcW w:w="4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Paying Agent services as required pursuant to Section 1(i)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1(k)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Billed to Company upon delivery of service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-121920</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Section 1(i) and 1(k)</w:t>
      </w:r>
      <w:r>
        <w:rPr>
          <w:sz w:val="20"/>
          <w:szCs w:val="20"/>
          <w:color w:val="auto"/>
        </w:rPr>
        <w:tab/>
      </w:r>
      <w:r>
        <w:rPr>
          <w:rFonts w:ascii="Arial" w:cs="Arial" w:eastAsia="Arial" w:hAnsi="Arial"/>
          <w:sz w:val="16"/>
          <w:szCs w:val="16"/>
          <w:color w:val="auto"/>
        </w:rPr>
        <w:t>Prevailing rates</w:t>
      </w:r>
    </w:p>
    <w:p>
      <w:pPr>
        <w:spacing w:after="0" w:line="200" w:lineRule="exact"/>
        <w:rPr>
          <w:sz w:val="20"/>
          <w:szCs w:val="20"/>
          <w:color w:val="auto"/>
        </w:rPr>
      </w:pPr>
    </w:p>
    <w:p>
      <w:pPr>
        <w:sectPr>
          <w:pgSz w:w="11900" w:h="16838" w:orient="portrait"/>
          <w:cols w:equalWidth="0" w:num="2">
            <w:col w:w="4200" w:space="320"/>
            <w:col w:w="6720"/>
          </w:cols>
          <w:pgMar w:left="320" w:top="904"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ind w:left="660"/>
              <w:spacing w:after="0"/>
              <w:rPr>
                <w:sz w:val="20"/>
                <w:szCs w:val="20"/>
                <w:color w:val="auto"/>
              </w:rPr>
            </w:pPr>
            <w:r>
              <w:rPr>
                <w:rFonts w:ascii="Arial" w:cs="Arial" w:eastAsia="Arial" w:hAnsi="Arial"/>
                <w:sz w:val="18"/>
                <w:szCs w:val="18"/>
                <w:color w:val="auto"/>
              </w:rPr>
              <w:t>Re: Trust Account No.</w:t>
            </w:r>
          </w:p>
        </w:tc>
        <w:tc>
          <w:tcPr>
            <w:tcW w:w="1500" w:type="dxa"/>
            <w:vAlign w:val="bottom"/>
          </w:tcPr>
          <w:p>
            <w:pPr>
              <w:ind w:left="140"/>
              <w:spacing w:after="0"/>
              <w:rPr>
                <w:sz w:val="20"/>
                <w:szCs w:val="20"/>
                <w:color w:val="auto"/>
              </w:rPr>
            </w:pPr>
            <w:r>
              <w:rPr>
                <w:rFonts w:ascii="Arial" w:cs="Arial" w:eastAsia="Arial" w:hAnsi="Arial"/>
                <w:sz w:val="18"/>
                <w:szCs w:val="18"/>
                <w:color w:val="auto"/>
                <w:w w:val="91"/>
              </w:rPr>
              <w:t>Termination Letter</w:t>
            </w:r>
          </w:p>
        </w:tc>
      </w:tr>
      <w:tr>
        <w:trPr>
          <w:trHeight w:val="20"/>
        </w:trPr>
        <w:tc>
          <w:tcPr>
            <w:tcW w:w="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453"/>
        </w:trPr>
        <w:tc>
          <w:tcPr>
            <w:tcW w:w="248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1500" w:type="dxa"/>
            <w:vAlign w:val="bottom"/>
          </w:tcPr>
          <w:p>
            <w:pPr>
              <w:spacing w:after="0"/>
              <w:rPr>
                <w:sz w:val="24"/>
                <w:szCs w:val="24"/>
                <w:color w:val="auto"/>
              </w:rPr>
            </w:pPr>
          </w:p>
        </w:tc>
      </w:tr>
    </w:tbl>
    <w:p>
      <w:pPr>
        <w:spacing w:after="0" w:line="20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w:t>
      </w:r>
    </w:p>
    <w:p>
      <w:pPr>
        <w:spacing w:after="0"/>
        <w:rPr>
          <w:sz w:val="20"/>
          <w:szCs w:val="20"/>
          <w:color w:val="auto"/>
        </w:rPr>
      </w:pPr>
      <w:r>
        <w:rPr>
          <w:rFonts w:ascii="Arial" w:cs="Arial" w:eastAsia="Arial" w:hAnsi="Arial"/>
          <w:sz w:val="16"/>
          <w:szCs w:val="16"/>
          <w:color w:val="auto"/>
        </w:rPr>
        <w:t>has entered into an agreement with ___________ (the “</w:t>
      </w:r>
      <w:r>
        <w:rPr>
          <w:rFonts w:ascii="Arial" w:cs="Arial" w:eastAsia="Arial" w:hAnsi="Arial"/>
          <w:sz w:val="16"/>
          <w:szCs w:val="16"/>
          <w:b w:val="1"/>
          <w:bCs w:val="1"/>
          <w:i w:val="1"/>
          <w:iCs w:val="1"/>
          <w:color w:val="auto"/>
        </w:rPr>
        <w:t>Target Business</w:t>
      </w:r>
      <w:r>
        <w:rPr>
          <w:rFonts w:ascii="Arial" w:cs="Arial" w:eastAsia="Arial" w:hAnsi="Arial"/>
          <w:sz w:val="16"/>
          <w:szCs w:val="16"/>
          <w:color w:val="auto"/>
        </w:rPr>
        <w:t>”) to consummate a business combination with Target Business (the “</w:t>
      </w:r>
      <w:r>
        <w:rPr>
          <w:rFonts w:ascii="Arial" w:cs="Arial" w:eastAsia="Arial" w:hAnsi="Arial"/>
          <w:sz w:val="16"/>
          <w:szCs w:val="16"/>
          <w:b w:val="1"/>
          <w:bCs w:val="1"/>
          <w:i w:val="1"/>
          <w:iCs w:val="1"/>
          <w:color w:val="auto"/>
        </w:rPr>
        <w:t>Business</w:t>
      </w:r>
    </w:p>
    <w:p>
      <w:pPr>
        <w:spacing w:after="0" w:line="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on or about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of the consummation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Company shall direct on the Consummation Date. It is acknowledged and agreed that while the funds are on deposit in said trust operating account at J.P. Morgan Chase Bank, N.A. awaiting distribution, the Company will not earn any interest or dividends.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 (ii) 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Representative with respect to the transfer of the funds held in the Trust Account, including payment of the Deferred Discount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1" w:name="page102"/>
    <w:bookmarkEnd w:id="101"/>
    <w:p>
      <w:pPr>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w:t>
      </w:r>
    </w:p>
    <w:p>
      <w:pPr>
        <w:ind w:right="180"/>
        <w:spacing w:after="0" w:line="255" w:lineRule="auto"/>
        <w:rPr>
          <w:sz w:val="20"/>
          <w:szCs w:val="20"/>
          <w:color w:val="auto"/>
        </w:rPr>
      </w:pPr>
      <w:r>
        <w:rPr>
          <w:rFonts w:ascii="Arial" w:cs="Arial" w:eastAsia="Arial" w:hAnsi="Arial"/>
          <w:sz w:val="18"/>
          <w:szCs w:val="18"/>
          <w:color w:val="auto"/>
        </w:rPr>
        <w:t>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terms of the Trust Agreement, we hereby authorize you to liquidate all of the assets in the Trust Account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 20___ and to transfer the total proceeds into the trust operating account at J.P. Morgan Chase Bank, N.A. to await distribution to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The Company has selected __________ as the effective date for the purpose of determining when the Public Shareholders will be entitled to</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receive their share of the liquidation 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of the Trust Agreement.</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w:t>
      </w:r>
    </w:p>
    <w:p>
      <w:pPr>
        <w:spacing w:after="0"/>
        <w:rPr>
          <w:sz w:val="20"/>
          <w:szCs w:val="20"/>
          <w:color w:val="auto"/>
        </w:rPr>
      </w:pPr>
      <w:r>
        <w:rPr>
          <w:rFonts w:ascii="Arial" w:cs="Arial" w:eastAsia="Arial" w:hAnsi="Arial"/>
          <w:sz w:val="16"/>
          <w:szCs w:val="16"/>
          <w:color w:val="auto"/>
        </w:rPr>
        <w:t>you deliver to the Company $___________ of the interest income earned on the Property as of the date hereof. Capitalized terms used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meanings set forth in the Trust Agreement.</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Shareholder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w:t>
      </w:r>
    </w:p>
    <w:p>
      <w:pPr>
        <w:spacing w:after="0"/>
        <w:rPr>
          <w:sz w:val="20"/>
          <w:szCs w:val="20"/>
          <w:color w:val="auto"/>
        </w:rPr>
      </w:pPr>
      <w:r>
        <w:rPr>
          <w:rFonts w:ascii="Arial" w:cs="Arial" w:eastAsia="Arial" w:hAnsi="Arial"/>
          <w:sz w:val="16"/>
          <w:szCs w:val="16"/>
          <w:color w:val="auto"/>
        </w:rPr>
        <w:t>you deliver to the Company’s shareholders $___________ of the principal and interest income earned on the Property as of the date hereof.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but not defined herein shall have the meanings set forth in the Trust Agreement.</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Section 1(k)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SHAREHOLDER RIGHTS AGREEMENT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REGISTRATION AND SHAREHOLDER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May [●], 2020, is made and entered into by and among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Sustainable Opportunities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Sponsor purchased 8,625,000 shares (the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of the Company’s Class B ordinary shares, par value $0.0001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 “</w:t>
      </w: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 and the Sponsor subsequently transferred an aggregate of 90,000 Founder Shares to the other Holders;</w:t>
      </w:r>
    </w:p>
    <w:p>
      <w:pPr>
        <w:spacing w:after="0" w:line="116" w:lineRule="exact"/>
        <w:rPr>
          <w:sz w:val="20"/>
          <w:szCs w:val="20"/>
          <w:color w:val="auto"/>
        </w:rPr>
      </w:pPr>
    </w:p>
    <w:p>
      <w:pPr>
        <w:jc w:val="both"/>
        <w:ind w:right="62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Founder Shares are convertible into the Company’s Class A ordinary shares, par value $0.0001 per share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Ordinary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time of the initial Business Combination on a one-for-one basis, subject to adjustment, on the terms and conditions provided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amended and restated memorandum and articles of association, as may be amended from time to time;</w:t>
      </w:r>
    </w:p>
    <w:p>
      <w:pPr>
        <w:spacing w:after="0" w:line="14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May [●], 2020, the Company and the Sponsor entered into that certain Private Placement Warrants Purchase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Sponsor agreed to purchase 9,500,000 warrants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in a private placement transaction occurring simultaneously with the closing of the Company’s initial public offering;</w:t>
      </w:r>
    </w:p>
    <w:p>
      <w:pPr>
        <w:spacing w:after="0" w:line="17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finance the Company’s transaction costs in connection with an intended Business Combination (as defined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an affiliate of our Sponsor or certain of the Company’s officers or directors may, but are not obligated to, loan the Company funds as the Company may require, of which up to $1,500,000 of such loans may be convertible into an additional 1,500,000 Private Placement Warrants (the “</w:t>
      </w:r>
      <w:r>
        <w:rPr>
          <w:rFonts w:ascii="Arial" w:cs="Arial" w:eastAsia="Arial" w:hAnsi="Arial"/>
          <w:sz w:val="18"/>
          <w:szCs w:val="18"/>
          <w:b w:val="1"/>
          <w:bCs w:val="1"/>
          <w:i w:val="1"/>
          <w:iCs w:val="1"/>
          <w:color w:val="auto"/>
        </w:rPr>
        <w:t>Working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Warrants</w:t>
      </w:r>
      <w:r>
        <w:rPr>
          <w:rFonts w:ascii="Arial" w:cs="Arial" w:eastAsia="Arial" w:hAnsi="Arial"/>
          <w:sz w:val="18"/>
          <w:szCs w:val="18"/>
          <w:color w:val="auto"/>
        </w:rPr>
        <w:t>”); and</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i w:val="1"/>
          <w:iCs w:val="1"/>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23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share exchange, asset acquisition, share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Ordinary Shares issuable upon conversion thereof.</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Ordinary Shares equals or exceeds $12.00 per share (as adjusted for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the date hereof, by and between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7" w:name="page108"/>
    <w:bookmarkEnd w:id="107"/>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 Date</w:t>
      </w:r>
      <w:r>
        <w:rPr>
          <w:rFonts w:ascii="Arial" w:cs="Arial" w:eastAsia="Arial" w:hAnsi="Arial"/>
          <w:sz w:val="16"/>
          <w:szCs w:val="16"/>
          <w:color w:val="auto"/>
        </w:rPr>
        <w:t>” shall mean the date of the final Prospectus filed with the Commission and relating to the Company’s initial public offering.</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(including any Ordinary Shares or other equivalent equity security issued or issuable upon the conversion of any such Founder Shares or exercisable for Ordinary Shares), (b) the Private Placement Warrants (including any Ordinary Shares issued or issuable upon the exercise of any such Private Placement Warrants), (c) the Working Capital Warrants (including any Ordinary Shares issued or issuable upon the conversion of working capital loans),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share of the Ordinary Shares by way of a share capitalization or share split or in connection with a combination of shares, recapitalization, merger, consolidation or reorganization;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8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right="340" w:firstLine="656"/>
        <w:spacing w:after="0" w:line="277" w:lineRule="auto"/>
        <w:tabs>
          <w:tab w:leader="none" w:pos="9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Ordinary Shares is then listed;</w:t>
      </w:r>
    </w:p>
    <w:p>
      <w:pPr>
        <w:spacing w:after="0" w:line="170" w:lineRule="exact"/>
        <w:rPr>
          <w:rFonts w:ascii="Arial" w:cs="Arial" w:eastAsia="Arial" w:hAnsi="Arial"/>
          <w:sz w:val="18"/>
          <w:szCs w:val="18"/>
          <w:color w:val="auto"/>
        </w:rPr>
      </w:pPr>
    </w:p>
    <w:p>
      <w:pPr>
        <w:ind w:firstLine="656"/>
        <w:spacing w:after="0" w:line="277" w:lineRule="auto"/>
        <w:tabs>
          <w:tab w:leader="none" w:pos="9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220" w:firstLine="656"/>
        <w:spacing w:after="0" w:line="277" w:lineRule="auto"/>
        <w:tabs>
          <w:tab w:leader="none" w:pos="9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8" w:name="page109"/>
    <w:bookmarkEnd w:id="108"/>
    <w:p>
      <w:pPr>
        <w:ind w:right="480" w:firstLine="656"/>
        <w:spacing w:after="0" w:line="263" w:lineRule="auto"/>
        <w:tabs>
          <w:tab w:leader="none" w:pos="9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means an individual elected to the Board that has been nominated by the Sponsor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Takedown 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have the meaning given in the Recitals hereto.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three (3)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 Underwritten Shelf Takedown shall not count as a Demand Registration.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right="200"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ind w:right="60"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7"/>
          <w:szCs w:val="17"/>
          <w:b w:val="1"/>
          <w:bCs w:val="1"/>
          <w:i w:val="1"/>
          <w:iCs w:val="1"/>
          <w:color w:val="auto"/>
        </w:rPr>
        <w:t>Pro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Rata</w:t>
      </w:r>
      <w:r>
        <w:rPr>
          <w:rFonts w:ascii="Arial" w:cs="Arial" w:eastAsia="Arial" w:hAnsi="Arial"/>
          <w:sz w:val="17"/>
          <w:szCs w:val="17"/>
          <w:color w:val="auto"/>
        </w:rPr>
        <w:t>”)) that can be sold without exceeding the Maximum Number of Securities; (ii) second, to the extent that the Maximum Number of Securities has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not apply to an Underwritten Shelf Takedown conducted in accordance with </w:t>
      </w:r>
      <w:r>
        <w:rPr>
          <w:rFonts w:ascii="Arial" w:cs="Arial" w:eastAsia="Arial" w:hAnsi="Arial"/>
          <w:sz w:val="16"/>
          <w:szCs w:val="16"/>
          <w:u w:val="single" w:color="auto"/>
          <w:color w:val="auto"/>
        </w:rPr>
        <w:t>subsection 2.3.3.</w:t>
      </w:r>
    </w:p>
    <w:p>
      <w:pPr>
        <w:spacing w:after="0" w:line="171" w:lineRule="exact"/>
        <w:rPr>
          <w:sz w:val="20"/>
          <w:szCs w:val="20"/>
          <w:color w:val="auto"/>
        </w:rPr>
      </w:pPr>
    </w:p>
    <w:p>
      <w:pPr>
        <w:ind w:right="140" w:firstLine="1296"/>
        <w:spacing w:after="0" w:line="291"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166" w:lineRule="exact"/>
        <w:rPr>
          <w:sz w:val="20"/>
          <w:szCs w:val="20"/>
          <w:color w:val="auto"/>
        </w:rPr>
      </w:pPr>
    </w:p>
    <w:p>
      <w:pPr>
        <w:ind w:right="160" w:firstLine="1952"/>
        <w:spacing w:after="0" w:line="291" w:lineRule="auto"/>
        <w:tabs>
          <w:tab w:leader="none" w:pos="2189"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right="100" w:firstLine="8"/>
        <w:spacing w:after="0" w:line="281" w:lineRule="auto"/>
        <w:tabs>
          <w:tab w:leader="none" w:pos="28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which can be sold without exceeding the Maximum Number of Securities; and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ind w:right="100" w:firstLine="8"/>
        <w:spacing w:after="0" w:line="260" w:lineRule="auto"/>
        <w:tabs>
          <w:tab w:leader="none" w:pos="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and (B), the Ordinary Shares, if any, as to which Registration has been requested pursuant to written contractual piggy-back registration rights of other shareholders of the Company, Pro Rata, which can be sold without exceeding the Maximum Number of Securities;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right="80" w:firstLine="1952"/>
        <w:spacing w:after="0" w:line="288" w:lineRule="auto"/>
        <w:tabs>
          <w:tab w:leader="none" w:pos="219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or if the Company is ineligible to use Form S-3, on Form S-1; a registration statement filed pursuant to this </w:t>
      </w:r>
      <w:r>
        <w:rPr>
          <w:rFonts w:ascii="Arial" w:cs="Arial" w:eastAsia="Arial" w:hAnsi="Arial"/>
          <w:sz w:val="16"/>
          <w:szCs w:val="16"/>
          <w:u w:val="single" w:color="auto"/>
          <w:color w:val="auto"/>
        </w:rPr>
        <w:t>subsection 2.3</w:t>
      </w:r>
      <w:r>
        <w:rPr>
          <w:rFonts w:ascii="Arial" w:cs="Arial" w:eastAsia="Arial" w:hAnsi="Arial"/>
          <w:sz w:val="16"/>
          <w:szCs w:val="16"/>
          <w:color w:val="auto"/>
        </w:rPr>
        <w:t>.1 (a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right="20" w:firstLine="1296"/>
        <w:spacing w:after="0" w:line="285" w:lineRule="auto"/>
        <w:rPr>
          <w:sz w:val="20"/>
          <w:szCs w:val="20"/>
          <w:color w:val="auto"/>
        </w:rPr>
      </w:pPr>
      <w:r>
        <w:rPr>
          <w:rFonts w:ascii="Arial" w:cs="Arial" w:eastAsia="Arial" w:hAnsi="Arial"/>
          <w:sz w:val="16"/>
          <w:szCs w:val="16"/>
          <w:color w:val="auto"/>
        </w:rPr>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6"/>
          <w:szCs w:val="16"/>
          <w:b w:val="1"/>
          <w:bCs w:val="1"/>
          <w:i w:val="1"/>
          <w:iCs w:val="1"/>
          <w:color w:val="auto"/>
        </w:rPr>
        <w:t>Subsequent Shelf Registration</w:t>
      </w:r>
      <w:r>
        <w:rPr>
          <w:rFonts w:ascii="Arial" w:cs="Arial" w:eastAsia="Arial" w:hAnsi="Arial"/>
          <w:sz w:val="16"/>
          <w:szCs w:val="16"/>
          <w:color w:val="auto"/>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only be required to cause such Registrable Securities to be so covered once annually after inquiry of the Holders.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2.3.3. At any time and from time to time after a Shelf has been declared effective by the Commission, the Sponsor may request to sell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any portion of its Registrable Securities in an underwritten offering that is registered pursuant to the Shelf (each, an “</w:t>
      </w:r>
      <w:r>
        <w:rPr>
          <w:rFonts w:ascii="Arial" w:cs="Arial" w:eastAsia="Arial" w:hAnsi="Arial"/>
          <w:sz w:val="18"/>
          <w:szCs w:val="18"/>
          <w:b w:val="1"/>
          <w:bCs w:val="1"/>
          <w:i w:val="1"/>
          <w:iCs w:val="1"/>
          <w:color w:val="auto"/>
        </w:rPr>
        <w:t>Underwritten Shelf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Takedown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Company shall only be obligated to effect an Underwritten Shelf Takedown if such offering shall include securities with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offering price (including piggyback securities and before deduction of underwriting discounts) reasonably expected to exceed, in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 All requests for Underwritten Shelf Takedowns shall be made by giving written notice to the Company at least 48 hours prior to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announcement of such Underwritten Shelf Takedown, which shall specify the approximate number of Registrable Securities proposed to be sold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Underwritten Shelf Takedown and the expected price range (net of underwriting discounts and commissions) of such Underwritten Shelf Takedown.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include in any Underwritten Shelf Takedown the securities requested to be included by any holder (each a “</w:t>
      </w:r>
      <w:r>
        <w:rPr>
          <w:rFonts w:ascii="Arial" w:cs="Arial" w:eastAsia="Arial" w:hAnsi="Arial"/>
          <w:sz w:val="16"/>
          <w:szCs w:val="16"/>
          <w:b w:val="1"/>
          <w:bCs w:val="1"/>
          <w:i w:val="1"/>
          <w:iCs w:val="1"/>
          <w:color w:val="auto"/>
        </w:rPr>
        <w:t>Takedown Requesting Holder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least 24 hours prior to the public announcement of such Underwritten Shelf Takedown pursuant to written contractual piggyback registration rights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holder (including to those set forth herein). The Sponsor shall have the right to select the underwriter(s) for such offering (which shall consist of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more reputable nationally recognized investment banks), subject to the Company’s prior approval which shall not be unreasonably withheld, conditioned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delayed. For purposes of clarity, any Registration effected pursuant to this </w:t>
      </w:r>
      <w:r>
        <w:rPr>
          <w:rFonts w:ascii="Arial" w:cs="Arial" w:eastAsia="Arial" w:hAnsi="Arial"/>
          <w:sz w:val="16"/>
          <w:szCs w:val="16"/>
          <w:u w:val="single" w:color="auto"/>
          <w:color w:val="auto"/>
        </w:rPr>
        <w:t>subsection 2.3.3</w:t>
      </w:r>
      <w:r>
        <w:rPr>
          <w:rFonts w:ascii="Arial" w:cs="Arial" w:eastAsia="Arial" w:hAnsi="Arial"/>
          <w:sz w:val="16"/>
          <w:szCs w:val="16"/>
          <w:color w:val="auto"/>
        </w:rPr>
        <w:t xml:space="preserve"> shall not be counted as a Registration pursuant to a Demand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1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w:t>
      </w:r>
    </w:p>
    <w:p>
      <w:pPr>
        <w:spacing w:after="0" w:line="181" w:lineRule="exact"/>
        <w:rPr>
          <w:sz w:val="20"/>
          <w:szCs w:val="20"/>
          <w:color w:val="auto"/>
        </w:rPr>
      </w:pPr>
    </w:p>
    <w:p>
      <w:pPr>
        <w:ind w:right="100" w:firstLine="1296"/>
        <w:spacing w:after="0" w:line="301" w:lineRule="auto"/>
        <w:rPr>
          <w:sz w:val="20"/>
          <w:szCs w:val="20"/>
          <w:color w:val="auto"/>
        </w:rPr>
      </w:pPr>
      <w:r>
        <w:rPr>
          <w:rFonts w:ascii="Arial" w:cs="Arial" w:eastAsia="Arial" w:hAnsi="Arial"/>
          <w:sz w:val="16"/>
          <w:szCs w:val="16"/>
          <w:color w:val="auto"/>
        </w:rPr>
        <w:t xml:space="preserve">2.3.5. The Sponsor shall have the right to withdraw from an 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16"/>
          <w:szCs w:val="16"/>
          <w:u w:val="single" w:color="auto"/>
          <w:color w:val="auto"/>
        </w:rPr>
        <w:t>subsection 2.3.5</w:t>
      </w:r>
      <w:r>
        <w:rPr>
          <w:rFonts w:ascii="Arial" w:cs="Arial" w:eastAsia="Arial" w:hAnsi="Arial"/>
          <w:sz w:val="16"/>
          <w:szCs w:val="16"/>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right="40" w:firstLine="648"/>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6"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14" w:name="page115"/>
    <w:bookmarkEnd w:id="114"/>
    <w:p>
      <w:pPr>
        <w:ind w:right="80"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84" w:lineRule="exact"/>
        <w:rPr>
          <w:sz w:val="20"/>
          <w:szCs w:val="20"/>
          <w:color w:val="auto"/>
        </w:rPr>
      </w:pPr>
    </w:p>
    <w:p>
      <w:pPr>
        <w:jc w:val="both"/>
        <w:ind w:right="460"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jc w:val="both"/>
        <w:ind w:right="340" w:firstLine="1296"/>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right="200"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right="180"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$35,000,000,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8"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7" w:name="page118"/>
    <w:bookmarkEnd w:id="117"/>
    <w:p>
      <w:pPr>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 RIGHTS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5.1. Subject to the terms and conditions of this Agreement, at any time and from time to time on or after the date that the Company consummates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and for so long as the Sponsor holds any Registrable Securities:</w:t>
      </w:r>
    </w:p>
    <w:p>
      <w:pPr>
        <w:spacing w:after="0" w:line="211" w:lineRule="exact"/>
        <w:rPr>
          <w:sz w:val="20"/>
          <w:szCs w:val="20"/>
          <w:color w:val="auto"/>
        </w:rPr>
      </w:pPr>
    </w:p>
    <w:p>
      <w:pPr>
        <w:ind w:right="300" w:firstLine="1296"/>
        <w:spacing w:after="0" w:line="259" w:lineRule="auto"/>
        <w:rPr>
          <w:sz w:val="20"/>
          <w:szCs w:val="20"/>
          <w:color w:val="auto"/>
        </w:rPr>
      </w:pPr>
      <w:r>
        <w:rPr>
          <w:rFonts w:ascii="Arial" w:cs="Arial" w:eastAsia="Arial" w:hAnsi="Arial"/>
          <w:sz w:val="18"/>
          <w:szCs w:val="18"/>
          <w:color w:val="auto"/>
        </w:rPr>
        <w:t>5.1.1. The Sponsor shall have the right, but not the obligation, to designate three individuals to be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187"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5.1.3. The Company shall, to the fullest extent permitted by applicable law, use its best efforts to take all actions necessary to ensure that:</w:t>
      </w:r>
    </w:p>
    <w:p>
      <w:pPr>
        <w:spacing w:after="0" w:line="46" w:lineRule="exact"/>
        <w:rPr>
          <w:sz w:val="20"/>
          <w:szCs w:val="20"/>
          <w:color w:val="auto"/>
        </w:rPr>
      </w:pPr>
    </w:p>
    <w:p>
      <w:pPr>
        <w:ind w:right="20" w:firstLine="8"/>
        <w:spacing w:after="0" w:line="295" w:lineRule="auto"/>
        <w:tabs>
          <w:tab w:leader="none" w:pos="2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161"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7"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right="360" w:firstLine="1296"/>
        <w:spacing w:after="0" w:line="279" w:lineRule="auto"/>
        <w:rPr>
          <w:sz w:val="20"/>
          <w:szCs w:val="20"/>
          <w:color w:val="auto"/>
        </w:rPr>
      </w:pPr>
      <w:r>
        <w:rPr>
          <w:rFonts w:ascii="Arial" w:cs="Arial" w:eastAsia="Arial" w:hAnsi="Arial"/>
          <w:sz w:val="17"/>
          <w:szCs w:val="17"/>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71"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w:t>
      </w:r>
    </w:p>
    <w:p>
      <w:pPr>
        <w:spacing w:after="0" w:line="188" w:lineRule="exact"/>
        <w:rPr>
          <w:sz w:val="20"/>
          <w:szCs w:val="20"/>
          <w:color w:val="auto"/>
        </w:rPr>
      </w:pPr>
    </w:p>
    <w:p>
      <w:pPr>
        <w:jc w:val="both"/>
        <w:ind w:right="200" w:firstLine="1296"/>
        <w:spacing w:after="0" w:line="257" w:lineRule="auto"/>
        <w:rPr>
          <w:sz w:val="20"/>
          <w:szCs w:val="20"/>
          <w:color w:val="auto"/>
        </w:rPr>
      </w:pPr>
      <w:r>
        <w:rPr>
          <w:rFonts w:ascii="Arial" w:cs="Arial" w:eastAsia="Arial" w:hAnsi="Arial"/>
          <w:sz w:val="18"/>
          <w:szCs w:val="18"/>
          <w:color w:val="auto"/>
        </w:rPr>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or another document (except to the extent such amendment or alteration permits the Company to provide broader indemnification or exculpation rights on a retroactive basis than permitted prior thereto).</w:t>
      </w:r>
    </w:p>
    <w:p>
      <w:pPr>
        <w:spacing w:after="0" w:line="188"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5.1.9. Each Nominee may, but does not need to qualify as “independent” pursuant to listing standards of the New York Stock Exchange (or such other national securities exchange upon which the Company’s securities are then listed).</w:t>
      </w:r>
    </w:p>
    <w:p>
      <w:pPr>
        <w:spacing w:after="0" w:line="170"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180"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1601 Bryan Street, Suite 4141, Dallas, Texas 75201, with copy to; Kirkland &amp; Ellis LLP, 601 Lexington Avenue, New York, New York 10022, Attention: Christian O. Nagler and Peter S. Seligson,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ind w:right="700" w:firstLine="1296"/>
        <w:spacing w:after="0" w:line="277" w:lineRule="auto"/>
        <w:rPr>
          <w:sz w:val="20"/>
          <w:szCs w:val="20"/>
          <w:color w:val="auto"/>
        </w:rPr>
      </w:pPr>
      <w:r>
        <w:rPr>
          <w:rFonts w:ascii="Arial" w:cs="Arial" w:eastAsia="Arial" w:hAnsi="Arial"/>
          <w:sz w:val="18"/>
          <w:szCs w:val="18"/>
          <w:color w:val="auto"/>
        </w:rPr>
        <w:t>6.2.1. This Agreement and the rights, duties and obligations of the Company hereunder may not be assigned or delegated by the Company in whole or in part.</w:t>
      </w:r>
    </w:p>
    <w:p>
      <w:pPr>
        <w:spacing w:after="0" w:line="170"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84" w:lineRule="exact"/>
        <w:rPr>
          <w:sz w:val="20"/>
          <w:szCs w:val="20"/>
          <w:color w:val="auto"/>
        </w:rPr>
      </w:pPr>
    </w:p>
    <w:p>
      <w:pPr>
        <w:ind w:right="640" w:firstLine="1296"/>
        <w:spacing w:after="0" w:line="277" w:lineRule="auto"/>
        <w:rPr>
          <w:sz w:val="20"/>
          <w:szCs w:val="20"/>
          <w:color w:val="auto"/>
        </w:rPr>
      </w:pPr>
      <w:r>
        <w:rPr>
          <w:rFonts w:ascii="Arial" w:cs="Arial" w:eastAsia="Arial" w:hAnsi="Arial"/>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6.2.4.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w:t>
      </w:r>
    </w:p>
    <w:p>
      <w:pPr>
        <w:spacing w:after="0" w:line="170"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500" w:firstLine="648"/>
        <w:spacing w:after="0" w:line="31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0" w:name="page121"/>
    <w:bookmarkEnd w:id="120"/>
    <w:p>
      <w:pPr>
        <w:ind w:right="140" w:firstLine="648"/>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xml:space="preserve"> Titles and headings of sections of this Agreement are for convenience only and shall not affect the construction of any provision of this Agreement.</w:t>
      </w:r>
    </w:p>
    <w:p>
      <w:pPr>
        <w:spacing w:after="0" w:line="170" w:lineRule="exact"/>
        <w:rPr>
          <w:sz w:val="20"/>
          <w:szCs w:val="20"/>
          <w:color w:val="auto"/>
        </w:rPr>
      </w:pPr>
    </w:p>
    <w:p>
      <w:pPr>
        <w:ind w:right="420" w:firstLine="648"/>
        <w:spacing w:after="0" w:line="27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xml:space="preserve">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6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(i) the tenth anniversary of the date of this Agreement or (ii) the date as of which no Registrable Securities remain outstanding.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Article IV</w:t>
      </w:r>
      <w:r>
        <w:rPr>
          <w:rFonts w:ascii="Arial" w:cs="Arial" w:eastAsia="Arial" w:hAnsi="Arial"/>
          <w:sz w:val="18"/>
          <w:szCs w:val="18"/>
          <w:color w:val="auto"/>
        </w:rPr>
        <w:t xml:space="preserve"> shall survive any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Isaac Barchas</w:t>
      </w:r>
    </w:p>
    <w:p>
      <w:pPr>
        <w:spacing w:after="0" w:line="23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Rick Gaenzle</w:t>
      </w:r>
    </w:p>
    <w:p>
      <w:pPr>
        <w:spacing w:after="0" w:line="23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980" w:top="904" w:right="599" w:bottom="1440" w:gutter="0" w:footer="0" w:header="0"/>
        </w:sectPr>
      </w:pPr>
    </w:p>
    <w:bookmarkStart w:id="122" w:name="page123"/>
    <w:bookmarkEnd w:id="122"/>
    <w:p>
      <w:pPr>
        <w:ind w:left="10060"/>
        <w:spacing w:after="0"/>
        <w:rPr>
          <w:sz w:val="20"/>
          <w:szCs w:val="20"/>
          <w:color w:val="auto"/>
        </w:rPr>
      </w:pPr>
      <w:r>
        <w:rPr>
          <w:rFonts w:ascii="Arial" w:cs="Arial" w:eastAsia="Arial" w:hAnsi="Arial"/>
          <w:sz w:val="21"/>
          <w:szCs w:val="21"/>
          <w:b w:val="1"/>
          <w:bCs w:val="1"/>
          <w:color w:val="auto"/>
        </w:rPr>
        <w:t>Exhibit 10.3</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THIS PRIVATE PLACEMENT WARRANTS PURCHASE AGREEMENT (as it may from time to time be amended and including all exhibits referenced herein,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May [●], 2020, is entered into by and between Sustainable Opportunities Acquisition Corp.,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Sustainable Opportunities Holdings LLC, a Delaware limited liability company (the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each unit consisting of one Class A ordinary share of the Company, par value $0.0001 per share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and one-half of one warrant, each whole warrant entitling the holder to purchase one Share at an exercise price of $11.50 per Share, as set forth in the Company’s Registration Statement on Form S-1,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File Number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8"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WHEREAS, the Purchaser has agreed to purchase an aggregate of 9,500,000 warrants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each Private Placement Warrant entitling the holder to purchase one Share at an exercise price of $11.50 per Share, at a price of $1.00 per warrant.</w:t>
      </w:r>
    </w:p>
    <w:p>
      <w:pPr>
        <w:spacing w:after="0" w:line="124"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Authorization, Purchase and Sale; Terms of the Private Placement Warrants.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The Company has duly authorized the issuance and sale of the Private Placement Warrants to the Purchaser.</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Purchase and Sale of the Private Placement Warrants</w:t>
      </w:r>
      <w:r>
        <w:rPr>
          <w:rFonts w:ascii="Arial" w:cs="Arial" w:eastAsia="Arial" w:hAnsi="Arial"/>
          <w:sz w:val="17"/>
          <w:szCs w:val="17"/>
          <w:color w:val="auto"/>
        </w:rPr>
        <w:t>. On the date of the consummation of the Public Offering (the “</w:t>
      </w:r>
      <w:r>
        <w:rPr>
          <w:rFonts w:ascii="Arial" w:cs="Arial" w:eastAsia="Arial" w:hAnsi="Arial"/>
          <w:sz w:val="17"/>
          <w:szCs w:val="17"/>
          <w:b w:val="1"/>
          <w:bCs w:val="1"/>
          <w:i w:val="1"/>
          <w:iCs w:val="1"/>
          <w:color w:val="auto"/>
        </w:rPr>
        <w:t>IPO Closing Date</w:t>
      </w:r>
      <w:r>
        <w:rPr>
          <w:rFonts w:ascii="Arial" w:cs="Arial" w:eastAsia="Arial" w:hAnsi="Arial"/>
          <w:sz w:val="17"/>
          <w:szCs w:val="17"/>
          <w:color w:val="auto"/>
        </w:rPr>
        <w:t>”), the Company shall issue and sell to the Purchaser, and the Purchaser shall purchase from the Company, 9,500,000 Private Placement Warrants at a price of $1.00 per warrant for an aggregate purchase price of $9,500,000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The Purchaser shall pay the Purchase Price by wire transfer of immediately available funds in the following amounts: (i) $3,500,000 to the Company, at a financial institution to be chosen by the Company, and (ii) $6,000,000 to the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maintained by Continental Stock Transfer &amp; Trust Company, acting as trustee in accordance with the Company’s wiring instructions at least one (1) business day prior to the IPO Closing Date; provided however that if underwriters of the Public Offering exercise their option to purchase additional units, in whole or in part, the amount in clause (ii) shall instead be equal to 2% of the gross proceeds of the Public Offering, including such option, and the amount in clause (i) shall instead be equal to the difference between (x) $9,500,000 and (y) 2% of the gross proceeds of the Public Offering. On the IPO Closing Date, subject to the receipt of funds pursuant to the immediately prior sentence, the Company, at its option, shall deliver a certificate evidencing the Private Placement Warrants purchased on such date duly registered in the Purchaser’s name to the Purchaser or effect such delivery in book-entry form.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Terms of the Private Placement Warrants</w:t>
      </w:r>
      <w:r>
        <w:rPr>
          <w:rFonts w:ascii="Arial" w:cs="Arial" w:eastAsia="Arial" w:hAnsi="Arial"/>
          <w:sz w:val="18"/>
          <w:szCs w:val="18"/>
          <w:color w:val="auto"/>
        </w:rPr>
        <w:t>.</w:t>
      </w:r>
    </w:p>
    <w:p>
      <w:pPr>
        <w:spacing w:after="0" w:line="225" w:lineRule="exact"/>
        <w:rPr>
          <w:sz w:val="20"/>
          <w:szCs w:val="20"/>
          <w:color w:val="auto"/>
        </w:rPr>
      </w:pPr>
    </w:p>
    <w:p>
      <w:pPr>
        <w:ind w:right="160" w:firstLine="656"/>
        <w:spacing w:after="0" w:line="277" w:lineRule="auto"/>
        <w:tabs>
          <w:tab w:leader="none" w:pos="8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Private Placement Warrant shall have the terms set forth in a Warrant Agreement to be entered into by the Company and a warrant agent on the IPO Closing Date, in connection with the Public Offering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656"/>
        <w:spacing w:after="0" w:line="263" w:lineRule="auto"/>
        <w:tabs>
          <w:tab w:leader="none" w:pos="9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the IPO Closing Date, the Company and the Purchaser shall enter into a registration and shareholder rights agreement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Shareholder Rights Agreement</w:t>
      </w:r>
      <w:r>
        <w:rPr>
          <w:rFonts w:ascii="Arial" w:cs="Arial" w:eastAsia="Arial" w:hAnsi="Arial"/>
          <w:sz w:val="18"/>
          <w:szCs w:val="18"/>
          <w:color w:val="auto"/>
        </w:rPr>
        <w:t>”) pursuant to which the Company will grant certain registration rights to the Purchaser relating to the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Placement Warrants and the Shares underlying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3" w:name="page124"/>
    <w:bookmarkEnd w:id="123"/>
    <w:p>
      <w:pPr>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Warrants, the Company hereby represents and warrants to the Purchaser (which representations and warranties shall survive the IPO Closing Date) that:</w:t>
      </w:r>
    </w:p>
    <w:p>
      <w:pPr>
        <w:spacing w:after="0" w:line="18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Incorporation and Corporate Power</w:t>
      </w:r>
      <w:r>
        <w:rPr>
          <w:rFonts w:ascii="Arial" w:cs="Arial" w:eastAsia="Arial" w:hAnsi="Arial"/>
          <w:sz w:val="17"/>
          <w:szCs w:val="17"/>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73" w:lineRule="auto"/>
        <w:tabs>
          <w:tab w:leader="none" w:pos="86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Private Placement Warrants have been duly authorized by the Company as of the IPO Closing Date.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the Warrant Agreement and this Agreement, the Private Placement Warrants will constitute valid and binding obligations of the Company, enforceable in accordance with their terms as of the IPO Closing Date.</w:t>
      </w:r>
    </w:p>
    <w:p>
      <w:pPr>
        <w:spacing w:after="0" w:line="177" w:lineRule="exact"/>
        <w:rPr>
          <w:rFonts w:ascii="Arial" w:cs="Arial" w:eastAsia="Arial" w:hAnsi="Arial"/>
          <w:sz w:val="17"/>
          <w:szCs w:val="17"/>
          <w:color w:val="auto"/>
        </w:rPr>
      </w:pPr>
    </w:p>
    <w:p>
      <w:pPr>
        <w:ind w:firstLine="656"/>
        <w:spacing w:after="0" w:line="270" w:lineRule="auto"/>
        <w:tabs>
          <w:tab w:leader="none" w:pos="91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IPO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memorandum and articles of association of the company (in effect on the date hereof or as may be amended prior to completion of the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and upon registration in the Company’s register of members,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and upon registration in the Company’s register of members, the Purchaser will have good title to the Private Placement Warrants purchased by it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4" w:name="page125"/>
    <w:bookmarkEnd w:id="124"/>
    <w:p>
      <w:pPr>
        <w:ind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18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and sell the Private Placement Warrants to the Purchaser, the Purchaser hereby represents and warrants to the Company (which representations and warranties shall survive the IPO Closing Date) that:</w:t>
      </w:r>
    </w:p>
    <w:p>
      <w:pPr>
        <w:spacing w:after="0" w:line="18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right="320" w:firstLine="656"/>
        <w:spacing w:after="0" w:line="263" w:lineRule="auto"/>
        <w:tabs>
          <w:tab w:leader="none" w:pos="8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ind w:right="40" w:firstLine="656"/>
        <w:spacing w:after="0" w:line="254" w:lineRule="auto"/>
        <w:tabs>
          <w:tab w:leader="none" w:pos="91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the IPO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56"/>
        <w:spacing w:after="0" w:line="263" w:lineRule="auto"/>
        <w:tabs>
          <w:tab w:leader="none" w:pos="8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Purchaser is acquiring the Private Placement Warrants and, upon exercise of the Private Placement Warrants, the Shares issuable upon such exercise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for its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ind w:right="140" w:firstLine="656"/>
        <w:spacing w:after="0" w:line="277" w:lineRule="auto"/>
        <w:tabs>
          <w:tab w:leader="none" w:pos="91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Purchaser is an “</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as such term is defined in Rule 501(a)(3) of Regulation D, and the Purchaser has not experienced a disqualifying event as enumerated pursuant to Rule 506(d) of Regulation D under the Securities Act.</w:t>
      </w:r>
    </w:p>
    <w:p>
      <w:pPr>
        <w:spacing w:after="0" w:line="170" w:lineRule="exact"/>
        <w:rPr>
          <w:rFonts w:ascii="Arial" w:cs="Arial" w:eastAsia="Arial" w:hAnsi="Arial"/>
          <w:sz w:val="18"/>
          <w:szCs w:val="18"/>
          <w:color w:val="auto"/>
        </w:rPr>
      </w:pPr>
    </w:p>
    <w:p>
      <w:pPr>
        <w:ind w:right="180" w:firstLine="656"/>
        <w:spacing w:after="0" w:line="259" w:lineRule="auto"/>
        <w:tabs>
          <w:tab w:leader="none" w:pos="9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right="200" w:firstLine="656"/>
        <w:spacing w:after="0" w:line="277" w:lineRule="auto"/>
        <w:tabs>
          <w:tab w:leader="none" w:pos="9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right="120" w:firstLine="656"/>
        <w:spacing w:after="0" w:line="257"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ind w:right="100" w:firstLine="656"/>
        <w:spacing w:after="0" w:line="263" w:lineRule="auto"/>
        <w:tabs>
          <w:tab w:leader="none" w:pos="9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83" w:lineRule="exact"/>
        <w:rPr>
          <w:rFonts w:ascii="Arial" w:cs="Arial" w:eastAsia="Arial" w:hAnsi="Arial"/>
          <w:sz w:val="18"/>
          <w:szCs w:val="18"/>
          <w:color w:val="auto"/>
        </w:rPr>
      </w:pPr>
    </w:p>
    <w:p>
      <w:pPr>
        <w:ind w:right="100" w:firstLine="656"/>
        <w:spacing w:after="0" w:line="289" w:lineRule="auto"/>
        <w:tabs>
          <w:tab w:leader="none" w:pos="10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Securities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under the Securities Act when reselling the securities of a blank check company. Based on that position, Rule 144 adopted pursuant to the Securities Act would not be available for resale transactions of the Securities despite technical compliance with the requirements of such Rule, and the Securities can be resold only through a registered offering or in reliance upon another exemption from the registration requirements of the Securities Act.</w:t>
      </w:r>
    </w:p>
    <w:p>
      <w:pPr>
        <w:spacing w:after="0" w:line="166" w:lineRule="exact"/>
        <w:rPr>
          <w:rFonts w:ascii="Arial" w:cs="Arial" w:eastAsia="Arial" w:hAnsi="Arial"/>
          <w:sz w:val="16"/>
          <w:szCs w:val="16"/>
          <w:color w:val="auto"/>
        </w:rPr>
      </w:pPr>
    </w:p>
    <w:p>
      <w:pPr>
        <w:ind w:firstLine="656"/>
        <w:spacing w:after="0" w:line="296" w:lineRule="auto"/>
        <w:tabs>
          <w:tab w:leader="none" w:pos="10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15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are subject to the fulfillment, on or before the IPO Closing Date, of each of the following conditions:</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the IPO Closing Date as though then made.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IPO Closing Date.</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right="20"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Warrant Agreement and Registration and Shareholder Rights Agreement</w:t>
      </w:r>
      <w:r>
        <w:rPr>
          <w:rFonts w:ascii="Arial" w:cs="Arial" w:eastAsia="Arial" w:hAnsi="Arial"/>
          <w:sz w:val="18"/>
          <w:szCs w:val="18"/>
          <w:color w:val="auto"/>
        </w:rPr>
        <w:t>. The Company shall have entered into the Warrant Agreement, in the form of Exhibit A hereto, and the Registration and Shareholder Rights Agreement, in the form of Exhibit B hereto, in each case on terms satisfactory to the Purchaser.</w:t>
      </w:r>
    </w:p>
    <w:p>
      <w:pPr>
        <w:spacing w:after="0" w:line="18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the IPO Closing Date, of each of the following conditions: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the IPO Closing Date as though then made.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IPO Closing Date.</w:t>
      </w:r>
    </w:p>
    <w:p>
      <w:pPr>
        <w:spacing w:after="0" w:line="170"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Corporate Consents</w:t>
      </w:r>
      <w:r>
        <w:rPr>
          <w:rFonts w:ascii="Arial" w:cs="Arial" w:eastAsia="Arial" w:hAnsi="Arial"/>
          <w:sz w:val="16"/>
          <w:szCs w:val="16"/>
          <w:color w:val="auto"/>
        </w:rPr>
        <w:t>. The Company shall have obtained the consent of its Board of Directors authorizing the execution, delivery and performance of this Agreement and the Warrant Agreement and the issuance and sale of the Private Placement Warrants hereunder.</w:t>
      </w:r>
    </w:p>
    <w:p>
      <w:pPr>
        <w:spacing w:after="0" w:line="12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Miscellaneous.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18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2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This letter agreement may not be amended, modified or waived as to any particular provision, except by a written instrument executed by the parties hereto.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-130175</wp:posOffset>
            </wp:positionV>
            <wp:extent cx="24174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PURCHASER:</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980" w:top="908" w:right="59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and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May [●], 2020, by and between Sustainable Opportunities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Corp., a Cayman Islands exempted company (the “Company”), and ______________________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 The amended and restated memorandum and articles of association of the Company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provide for the indemnification of the officers and directors of the Company. Indemnitee may also be entitled to indemnification pursuant to applicable Cayman Islands law.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right="16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shareholders and that the Company should act to assure such persons that there will be increased certainty of such protection in the future;</w:t>
      </w:r>
    </w:p>
    <w:p>
      <w:pPr>
        <w:spacing w:after="0" w:line="1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is a supplement to and in furtherance of the Articles of the Company and any resolutions adopted pursuant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a substitute therefor, nor to diminish or abrogate any rights of Indemnitee thereunder; and</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covenants contained herein and subject to the provisions of the letter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May [●], 2020, the Company and Indemnitee do hereby covenant and agree as follows:</w:t>
      </w:r>
    </w:p>
    <w:p>
      <w:pPr>
        <w:spacing w:after="0" w:line="162"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consideration of the Company’s covenants and obligations hereunder, Indemnitee will serve or continue 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ind w:left="652" w:hanging="652"/>
        <w:spacing w:after="0"/>
        <w:tabs>
          <w:tab w:leader="none" w:pos="6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652" w:right="140" w:hanging="652"/>
        <w:spacing w:after="0" w:line="301" w:lineRule="auto"/>
        <w:tabs>
          <w:tab w:leader="none" w:pos="6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57" w:lineRule="exact"/>
        <w:rPr>
          <w:rFonts w:ascii="Arial" w:cs="Arial" w:eastAsia="Arial" w:hAnsi="Arial"/>
          <w:sz w:val="16"/>
          <w:szCs w:val="16"/>
          <w:color w:val="auto"/>
        </w:rPr>
      </w:pPr>
    </w:p>
    <w:p>
      <w:pPr>
        <w:ind w:left="652" w:right="40" w:hanging="652"/>
        <w:spacing w:after="0" w:line="277"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in effect on the date hereof.</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Cayman Court</w:t>
      </w:r>
      <w:r>
        <w:rPr>
          <w:rFonts w:ascii="Arial" w:cs="Arial" w:eastAsia="Arial" w:hAnsi="Arial"/>
          <w:sz w:val="18"/>
          <w:szCs w:val="18"/>
          <w:color w:val="auto"/>
        </w:rPr>
        <w:t>” shall mean the courts of the Cayman Islands.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ind w:left="1292" w:right="80" w:hanging="644"/>
        <w:spacing w:after="0" w:line="293" w:lineRule="auto"/>
        <w:tabs>
          <w:tab w:leader="none" w:pos="129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Acquisition of Shares by Third Party</w:t>
      </w:r>
      <w:r>
        <w:rPr>
          <w:rFonts w:ascii="Arial" w:cs="Arial" w:eastAsia="Arial" w:hAnsi="Arial"/>
          <w:sz w:val="16"/>
          <w:szCs w:val="16"/>
          <w:color w:val="auto"/>
        </w:rPr>
        <w:t>. Other than an affiliate of Sustainable Opportunities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any Person is or becomes the Beneficial Owner, directly or indirectly, of securities of the Company representing fifteen percent (15%) or more of the combined voting power of the Company’s then-outstanding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164" w:lineRule="exact"/>
        <w:rPr>
          <w:rFonts w:ascii="Arial" w:cs="Arial" w:eastAsia="Arial" w:hAnsi="Arial"/>
          <w:sz w:val="16"/>
          <w:szCs w:val="16"/>
          <w:color w:val="auto"/>
        </w:rPr>
      </w:pPr>
    </w:p>
    <w:p>
      <w:pPr>
        <w:ind w:left="1292" w:hanging="644"/>
        <w:spacing w:after="0" w:line="279" w:lineRule="auto"/>
        <w:tabs>
          <w:tab w:leader="none" w:pos="1292"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Change in Board of Directors</w:t>
      </w:r>
      <w:r>
        <w:rPr>
          <w:rFonts w:ascii="Arial" w:cs="Arial" w:eastAsia="Arial" w:hAnsi="Arial"/>
          <w:sz w:val="17"/>
          <w:szCs w:val="17"/>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Arial" w:cs="Arial" w:eastAsia="Arial" w:hAnsi="Arial"/>
          <w:sz w:val="17"/>
          <w:szCs w:val="17"/>
          <w:b w:val="1"/>
          <w:bCs w:val="1"/>
          <w:i w:val="1"/>
          <w:iCs w:val="1"/>
          <w:color w:val="auto"/>
        </w:rPr>
        <w:t>Continuing Directors</w:t>
      </w:r>
      <w:r>
        <w:rPr>
          <w:rFonts w:ascii="Arial" w:cs="Arial" w:eastAsia="Arial" w:hAnsi="Arial"/>
          <w:sz w:val="17"/>
          <w:szCs w:val="17"/>
          <w:color w:val="auto"/>
        </w:rPr>
        <w:t>”), cease for any reason to constitute at least a majority of the members of the Board;</w:t>
      </w:r>
    </w:p>
    <w:p>
      <w:pPr>
        <w:spacing w:after="0" w:line="171" w:lineRule="exact"/>
        <w:rPr>
          <w:rFonts w:ascii="Arial" w:cs="Arial" w:eastAsia="Arial" w:hAnsi="Arial"/>
          <w:sz w:val="17"/>
          <w:szCs w:val="17"/>
          <w:color w:val="auto"/>
        </w:rPr>
      </w:pPr>
    </w:p>
    <w:p>
      <w:pPr>
        <w:ind w:left="1292" w:right="60" w:hanging="644"/>
        <w:spacing w:after="0" w:line="268" w:lineRule="auto"/>
        <w:tabs>
          <w:tab w:leader="none" w:pos="1292"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share exchange, asset acquisition, share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 of the then-outstanding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providing for such Business Combination;</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sectPr>
      </w:pPr>
    </w:p>
    <w:bookmarkStart w:id="132" w:name="page133"/>
    <w:bookmarkEnd w:id="132"/>
    <w:p>
      <w:pPr>
        <w:ind w:left="1292" w:right="280" w:hanging="644"/>
        <w:spacing w:after="0" w:line="279" w:lineRule="auto"/>
        <w:tabs>
          <w:tab w:leader="none" w:pos="1292"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1" w:lineRule="exact"/>
        <w:rPr>
          <w:rFonts w:ascii="Arial" w:cs="Arial" w:eastAsia="Arial" w:hAnsi="Arial"/>
          <w:sz w:val="17"/>
          <w:szCs w:val="17"/>
          <w:color w:val="auto"/>
        </w:rPr>
      </w:pPr>
    </w:p>
    <w:p>
      <w:pPr>
        <w:jc w:val="both"/>
        <w:ind w:left="1292" w:right="40" w:hanging="644"/>
        <w:spacing w:after="0" w:line="263" w:lineRule="auto"/>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83" w:lineRule="exact"/>
        <w:rPr>
          <w:rFonts w:ascii="Arial" w:cs="Arial" w:eastAsia="Arial" w:hAnsi="Arial"/>
          <w:sz w:val="18"/>
          <w:szCs w:val="18"/>
          <w:color w:val="auto"/>
        </w:rPr>
      </w:pPr>
    </w:p>
    <w:p>
      <w:pPr>
        <w:ind w:left="652" w:right="520" w:hanging="652"/>
        <w:spacing w:after="0" w:line="342" w:lineRule="auto"/>
        <w:tabs>
          <w:tab w:leader="none" w:pos="6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23" w:lineRule="exact"/>
        <w:rPr>
          <w:rFonts w:ascii="Arial" w:cs="Arial" w:eastAsia="Arial" w:hAnsi="Arial"/>
          <w:sz w:val="16"/>
          <w:szCs w:val="16"/>
          <w:color w:val="auto"/>
        </w:rPr>
      </w:pPr>
    </w:p>
    <w:p>
      <w:pPr>
        <w:ind w:left="652" w:right="1060" w:hanging="652"/>
        <w:spacing w:after="0" w:line="277"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left="652" w:hanging="652"/>
        <w:spacing w:after="0" w:line="259"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left="652" w:right="20" w:hanging="652"/>
        <w:spacing w:after="0" w:line="253"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94" w:lineRule="exact"/>
        <w:rPr>
          <w:rFonts w:ascii="Arial" w:cs="Arial" w:eastAsia="Arial" w:hAnsi="Arial"/>
          <w:sz w:val="18"/>
          <w:szCs w:val="18"/>
          <w:color w:val="auto"/>
        </w:rPr>
      </w:pPr>
    </w:p>
    <w:p>
      <w:pPr>
        <w:ind w:left="652" w:hanging="652"/>
        <w:spacing w:after="0"/>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w:t>
      </w:r>
    </w:p>
    <w:p>
      <w:pPr>
        <w:spacing w:after="0" w:line="225" w:lineRule="exact"/>
        <w:rPr>
          <w:rFonts w:ascii="Arial" w:cs="Arial" w:eastAsia="Arial" w:hAnsi="Arial"/>
          <w:sz w:val="18"/>
          <w:szCs w:val="18"/>
          <w:color w:val="auto"/>
        </w:rPr>
      </w:pPr>
    </w:p>
    <w:p>
      <w:pPr>
        <w:ind w:left="652" w:right="280" w:hanging="652"/>
        <w:spacing w:after="0" w:line="275" w:lineRule="auto"/>
        <w:tabs>
          <w:tab w:leader="none" w:pos="6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opposed to the best interests of the Company</w:t>
      </w:r>
      <w:r>
        <w:rPr>
          <w:rFonts w:ascii="Arial" w:cs="Arial" w:eastAsia="Arial" w:hAnsi="Arial"/>
          <w:sz w:val="17"/>
          <w:szCs w:val="17"/>
          <w:color w:val="auto"/>
        </w:rPr>
        <w:t>” as referred to in this Agreement.</w:t>
      </w:r>
    </w:p>
    <w:p>
      <w:pPr>
        <w:spacing w:after="0" w:line="2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133" w:name="page134"/>
    <w:bookmarkEnd w:id="133"/>
    <w:p>
      <w:pPr>
        <w:ind w:left="660" w:hanging="652"/>
        <w:spacing w:after="0" w:line="293"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ind w:left="660" w:hanging="652"/>
        <w:spacing w:after="0" w:line="273"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exclude: (i) the Company; (ii) any Subsidiaries of the Company; (iii) any employment benefit plan of the Company or of a Subsidiary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of the Company or of a corporation owned directly or indirectly by the shareholders of the Company in substantially the same proportions as their ownership of shares of the Company.</w:t>
      </w:r>
    </w:p>
    <w:p>
      <w:pPr>
        <w:spacing w:after="0" w:line="177" w:lineRule="exact"/>
        <w:rPr>
          <w:rFonts w:ascii="Arial" w:cs="Arial" w:eastAsia="Arial" w:hAnsi="Arial"/>
          <w:sz w:val="17"/>
          <w:szCs w:val="17"/>
          <w:color w:val="auto"/>
        </w:rPr>
      </w:pPr>
    </w:p>
    <w:p>
      <w:pPr>
        <w:ind w:left="660" w:right="60" w:hanging="652"/>
        <w:spacing w:after="0" w:line="270"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0" w:lineRule="exact"/>
        <w:rPr>
          <w:rFonts w:ascii="Arial" w:cs="Arial" w:eastAsia="Arial" w:hAnsi="Arial"/>
          <w:sz w:val="17"/>
          <w:szCs w:val="17"/>
          <w:color w:val="auto"/>
        </w:rPr>
      </w:pPr>
    </w:p>
    <w:p>
      <w:pPr>
        <w:ind w:left="660" w:right="60" w:hanging="652"/>
        <w:spacing w:after="0" w:line="34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660" w:right="80" w:hanging="652"/>
        <w:spacing w:after="0" w:line="25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phrase “to the fullest extent permitted by applicable law” shall include, but not be limited to: (a) to the fullest extent authorized or permitted by the provision of applicable Cayman Islands law that authorizes or contemplates additional indemnification by agreement, or the corresponding provision of any amendment to or replacement of applicable Cayman Islands law, and (b) to the fullest extent authorized or permitted by any amendments to or replacements of applicable Cayman Islands law adopted after the date of this Agreement that increase the extent to which a corporation may indemnify its officers and directors.</w:t>
      </w:r>
    </w:p>
    <w:p>
      <w:pPr>
        <w:spacing w:after="0" w:line="184"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THIRD-PARTY PROCEEDINGS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34" w:name="page135"/>
    <w:bookmarkEnd w:id="134"/>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PROCEEDINGS BY OR IN THE RIGHT OF THE COMPANY</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1"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PARTY WHO IS WHOLLY OR PARTLY SUCCESSFUL</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Notwithstanding any other provisions of this Agreement, but subject to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78"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 other provision of this Agreement, but subject to Section 27, to the extent that Indemnitee is, by reason of his or her Corporate Status, a witness or deponent in any Proceeding to which Indemnitee is not a party or threatened to be made a party, he or she shall, to the fullest extent permitted by applicable law, be indemnified, held harmless and exonerated against all Expenses actually and reasonably incurred by him or her or on his or her behalf in connection therewith.</w:t>
      </w:r>
    </w:p>
    <w:p>
      <w:pPr>
        <w:spacing w:after="0" w:line="183"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Notwithstanding any limitation in Sections 3, 4 or 5, but subject to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35" w:name="page136"/>
    <w:bookmarkEnd w:id="135"/>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p>
    <w:p>
      <w:pPr>
        <w:spacing w:after="0" w:line="229" w:lineRule="exact"/>
        <w:rPr>
          <w:sz w:val="20"/>
          <w:szCs w:val="20"/>
          <w:color w:val="auto"/>
        </w:rPr>
      </w:pPr>
    </w:p>
    <w:p>
      <w:pPr>
        <w:ind w:left="660" w:right="180" w:hanging="652"/>
        <w:spacing w:after="0" w:line="255"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92"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660" w:right="120" w:hanging="652"/>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 Indemnitee shall seek payments or advances from the Company only to the extent that such payments or advances are unavailable from any insurance policy of the Company covering Indemnitee.</w:t>
      </w:r>
    </w:p>
    <w:p>
      <w:pPr>
        <w:spacing w:after="0" w:line="183"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Notwithstanding any provision in this Agreement, but subject to Section 27, the Company shall not be obligated under this Agreement to make any indemnification, advance Expenses, hold harmless or exoneration payment in connection with any claim made against Indemnitee:</w:t>
      </w:r>
    </w:p>
    <w:p>
      <w:pPr>
        <w:spacing w:after="0" w:line="146" w:lineRule="exact"/>
        <w:rPr>
          <w:sz w:val="20"/>
          <w:szCs w:val="20"/>
          <w:color w:val="auto"/>
        </w:rPr>
      </w:pPr>
    </w:p>
    <w:p>
      <w:pPr>
        <w:ind w:left="660" w:hanging="652"/>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660" w:right="600" w:hanging="652"/>
        <w:spacing w:after="0" w:line="34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23" w:lineRule="exact"/>
        <w:rPr>
          <w:rFonts w:ascii="Arial" w:cs="Arial" w:eastAsia="Arial" w:hAnsi="Arial"/>
          <w:sz w:val="16"/>
          <w:szCs w:val="16"/>
          <w:color w:val="auto"/>
        </w:rPr>
      </w:pPr>
    </w:p>
    <w:p>
      <w:pPr>
        <w:ind w:left="660" w:right="80" w:hanging="652"/>
        <w:spacing w:after="0" w:line="25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6" w:name="page137"/>
    <w:bookmarkEnd w:id="136"/>
    <w:p>
      <w:pPr>
        <w:ind w:left="652" w:hanging="652"/>
        <w:spacing w:after="0"/>
        <w:tabs>
          <w:tab w:leader="none" w:pos="6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p>
    <w:p>
      <w:pPr>
        <w:spacing w:after="0" w:line="229" w:lineRule="exact"/>
        <w:rPr>
          <w:sz w:val="20"/>
          <w:szCs w:val="20"/>
          <w:color w:val="auto"/>
        </w:rPr>
      </w:pPr>
    </w:p>
    <w:p>
      <w:pPr>
        <w:ind w:left="652" w:hanging="652"/>
        <w:spacing w:after="0" w:line="286"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but subject to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hold harmless or exoneration payment is excluded pursuant to Section 9,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652" w:hanging="652"/>
        <w:spacing w:after="0"/>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652" w:right="200" w:hanging="652"/>
        <w:spacing w:after="0" w:line="277"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66" w:lineRule="exact"/>
        <w:rPr>
          <w:sz w:val="20"/>
          <w:szCs w:val="20"/>
          <w:color w:val="auto"/>
        </w:rPr>
      </w:pPr>
    </w:p>
    <w:p>
      <w:pPr>
        <w:ind w:left="652" w:hanging="652"/>
        <w:spacing w:after="0"/>
        <w:tabs>
          <w:tab w:leader="none" w:pos="65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p>
    <w:p>
      <w:pPr>
        <w:spacing w:after="0" w:line="229" w:lineRule="exact"/>
        <w:rPr>
          <w:sz w:val="20"/>
          <w:szCs w:val="20"/>
          <w:color w:val="auto"/>
        </w:rPr>
      </w:pPr>
    </w:p>
    <w:p>
      <w:pPr>
        <w:ind w:left="652" w:right="180" w:hanging="652"/>
        <w:spacing w:after="0" w:line="279" w:lineRule="auto"/>
        <w:tabs>
          <w:tab w:leader="none" w:pos="65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1" w:lineRule="exact"/>
        <w:rPr>
          <w:rFonts w:ascii="Arial" w:cs="Arial" w:eastAsia="Arial" w:hAnsi="Arial"/>
          <w:sz w:val="17"/>
          <w:szCs w:val="17"/>
          <w:color w:val="auto"/>
        </w:rPr>
      </w:pPr>
    </w:p>
    <w:p>
      <w:pPr>
        <w:ind w:left="652" w:right="600" w:hanging="652"/>
        <w:spacing w:after="0" w:line="259" w:lineRule="auto"/>
        <w:tabs>
          <w:tab w:leader="none" w:pos="6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83" w:lineRule="exact"/>
        <w:rPr>
          <w:sz w:val="20"/>
          <w:szCs w:val="20"/>
          <w:color w:val="auto"/>
        </w:rPr>
      </w:pPr>
    </w:p>
    <w:p>
      <w:pPr>
        <w:ind w:left="652" w:hanging="652"/>
        <w:spacing w:after="0"/>
        <w:tabs>
          <w:tab w:leader="none" w:pos="6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p>
    <w:p>
      <w:pPr>
        <w:spacing w:after="0" w:line="229" w:lineRule="exact"/>
        <w:rPr>
          <w:sz w:val="20"/>
          <w:szCs w:val="20"/>
          <w:color w:val="auto"/>
        </w:rPr>
      </w:pPr>
    </w:p>
    <w:p>
      <w:pPr>
        <w:ind w:left="652" w:right="80" w:hanging="652"/>
        <w:spacing w:after="0" w:line="268" w:lineRule="auto"/>
        <w:tabs>
          <w:tab w:leader="none" w:pos="65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by ordinary resolution.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37" w:name="page138"/>
    <w:bookmarkEnd w:id="137"/>
    <w:p>
      <w:pPr>
        <w:ind w:left="652" w:hanging="652"/>
        <w:spacing w:after="0" w:line="284" w:lineRule="auto"/>
        <w:tabs>
          <w:tab w:leader="none" w:pos="6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Counsel</w:t>
      </w:r>
      <w:r>
        <w:rPr>
          <w:rFonts w:ascii="Arial" w:cs="Arial" w:eastAsia="Arial" w:hAnsi="Arial"/>
          <w:sz w:val="16"/>
          <w:szCs w:val="16"/>
          <w:color w:val="auto"/>
        </w:rPr>
        <w:t>” as defined in Section 2 of this Agreement. If the Independent Counsel is selected by the Board, the Company shall give written notice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Indemnitee advising him or her of the identity of the Independent Counsel so selected and certifying that the Independent Counsel so selected meets the requirements of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81" w:lineRule="exact"/>
        <w:rPr>
          <w:rFonts w:ascii="Arial" w:cs="Arial" w:eastAsia="Arial" w:hAnsi="Arial"/>
          <w:sz w:val="16"/>
          <w:szCs w:val="16"/>
          <w:color w:val="auto"/>
        </w:rPr>
      </w:pPr>
    </w:p>
    <w:p>
      <w:pPr>
        <w:ind w:left="652" w:right="40" w:hanging="652"/>
        <w:spacing w:after="0" w:line="263"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52" w:hanging="652"/>
        <w:spacing w:after="0"/>
        <w:tabs>
          <w:tab w:leader="none" w:pos="6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p>
    <w:p>
      <w:pPr>
        <w:spacing w:after="0" w:line="229" w:lineRule="exact"/>
        <w:rPr>
          <w:sz w:val="20"/>
          <w:szCs w:val="20"/>
          <w:color w:val="auto"/>
        </w:rPr>
      </w:pPr>
    </w:p>
    <w:p>
      <w:pPr>
        <w:ind w:left="652" w:right="20" w:hanging="652"/>
        <w:spacing w:after="0" w:line="290"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65" w:lineRule="exact"/>
        <w:rPr>
          <w:rFonts w:ascii="Arial" w:cs="Arial" w:eastAsia="Arial" w:hAnsi="Arial"/>
          <w:sz w:val="16"/>
          <w:szCs w:val="16"/>
          <w:color w:val="auto"/>
        </w:rPr>
      </w:pPr>
    </w:p>
    <w:p>
      <w:pPr>
        <w:ind w:left="652" w:right="20" w:hanging="652"/>
        <w:spacing w:after="0" w:line="290"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138" w:name="page139"/>
    <w:bookmarkEnd w:id="138"/>
    <w:p>
      <w:pPr>
        <w:ind w:left="660" w:right="80" w:hanging="652"/>
        <w:spacing w:after="0" w:line="25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jc w:val="both"/>
        <w:ind w:left="660" w:right="380" w:hanging="652"/>
        <w:spacing w:after="0" w:line="34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0"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229" w:lineRule="exact"/>
        <w:rPr>
          <w:sz w:val="20"/>
          <w:szCs w:val="20"/>
          <w:color w:val="auto"/>
        </w:rPr>
      </w:pPr>
    </w:p>
    <w:p>
      <w:pPr>
        <w:ind w:left="660" w:hanging="652"/>
        <w:spacing w:after="0" w:line="268"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Sections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Commercial Arbitration Rules and Mediation Procedures of the American Arbitration Association shall apply to any such arbitration. The Company shall not oppose Indemnitee’s right to seek any such adjudication or award in arbitration.</w:t>
      </w:r>
    </w:p>
    <w:p>
      <w:pPr>
        <w:spacing w:after="0" w:line="184" w:lineRule="exact"/>
        <w:rPr>
          <w:rFonts w:ascii="Arial" w:cs="Arial" w:eastAsia="Arial" w:hAnsi="Arial"/>
          <w:sz w:val="17"/>
          <w:szCs w:val="17"/>
          <w:color w:val="auto"/>
        </w:rPr>
      </w:pPr>
    </w:p>
    <w:p>
      <w:pPr>
        <w:ind w:left="660" w:right="60" w:hanging="652"/>
        <w:spacing w:after="0" w:line="263"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9" w:name="page140"/>
    <w:bookmarkEnd w:id="139"/>
    <w:p>
      <w:pPr>
        <w:ind w:left="660" w:hanging="652"/>
        <w:spacing w:after="0" w:line="272"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ind w:left="660" w:right="140" w:hanging="652"/>
        <w:spacing w:after="0" w:line="279"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left="660" w:right="340" w:hanging="652"/>
        <w:spacing w:after="0" w:line="263"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left="660" w:right="80" w:hanging="652"/>
        <w:spacing w:after="0" w:line="287"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w:t>
      </w:r>
    </w:p>
    <w:p>
      <w:pPr>
        <w:spacing w:after="0" w:line="2" w:lineRule="exact"/>
        <w:rPr>
          <w:rFonts w:ascii="Arial" w:cs="Arial" w:eastAsia="Arial" w:hAnsi="Arial"/>
          <w:sz w:val="16"/>
          <w:szCs w:val="16"/>
          <w:color w:val="auto"/>
        </w:rPr>
      </w:pPr>
    </w:p>
    <w:p>
      <w:pPr>
        <w:ind w:left="660"/>
        <w:spacing w:after="0" w:line="271" w:lineRule="auto"/>
        <w:rPr>
          <w:rFonts w:ascii="Arial" w:cs="Arial" w:eastAsia="Arial" w:hAnsi="Arial"/>
          <w:sz w:val="16"/>
          <w:szCs w:val="16"/>
          <w:color w:val="auto"/>
        </w:rPr>
      </w:pPr>
      <w:r>
        <w:rPr>
          <w:rFonts w:ascii="Arial" w:cs="Arial" w:eastAsia="Arial" w:hAnsi="Arial"/>
          <w:sz w:val="17"/>
          <w:szCs w:val="17"/>
          <w:color w:val="auto"/>
        </w:rPr>
        <w:t>(i)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6"/>
          <w:szCs w:val="16"/>
          <w:color w:val="auto"/>
        </w:rPr>
      </w:pPr>
    </w:p>
    <w:p>
      <w:pPr>
        <w:ind w:left="660" w:hanging="652"/>
        <w:spacing w:after="0" w:line="279"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6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Notwithstanding anything herein to the contrary, but subject to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0" w:name="page141"/>
    <w:bookmarkEnd w:id="140"/>
    <w:p>
      <w:pPr>
        <w:ind w:left="652" w:hanging="652"/>
        <w:spacing w:after="0"/>
        <w:tabs>
          <w:tab w:leader="none" w:pos="65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p>
    <w:p>
      <w:pPr>
        <w:spacing w:after="0" w:line="229" w:lineRule="exact"/>
        <w:rPr>
          <w:sz w:val="20"/>
          <w:szCs w:val="20"/>
          <w:color w:val="auto"/>
        </w:rPr>
      </w:pPr>
    </w:p>
    <w:p>
      <w:pPr>
        <w:ind w:left="652" w:right="40" w:hanging="652"/>
        <w:spacing w:after="0" w:line="269" w:lineRule="auto"/>
        <w:tabs>
          <w:tab w:leader="none" w:pos="65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8" w:lineRule="exact"/>
        <w:rPr>
          <w:rFonts w:ascii="Arial" w:cs="Arial" w:eastAsia="Arial" w:hAnsi="Arial"/>
          <w:sz w:val="17"/>
          <w:szCs w:val="17"/>
          <w:color w:val="auto"/>
        </w:rPr>
      </w:pPr>
    </w:p>
    <w:p>
      <w:pPr>
        <w:ind w:left="652" w:right="40" w:hanging="652"/>
        <w:spacing w:after="0" w:line="290"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Articles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in such capacity as a director, officer, employee or agent of the Company, or arising out of his or her status as such, whether or not the Company would have the power to indemnify him or her against such liability under the provisions of this Agreement and the Articles.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ind w:left="652" w:hanging="652"/>
        <w:spacing w:after="0" w:line="270" w:lineRule="auto"/>
        <w:tabs>
          <w:tab w:leader="none" w:pos="65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652" w:right="220" w:hanging="652"/>
        <w:spacing w:after="0" w:line="259" w:lineRule="auto"/>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ind w:left="652" w:right="220" w:hanging="652"/>
        <w:spacing w:after="0" w:line="289"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but subject to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66" w:lineRule="exact"/>
        <w:rPr>
          <w:rFonts w:ascii="Arial" w:cs="Arial" w:eastAsia="Arial" w:hAnsi="Arial"/>
          <w:sz w:val="16"/>
          <w:szCs w:val="16"/>
          <w:color w:val="auto"/>
        </w:rPr>
      </w:pPr>
    </w:p>
    <w:p>
      <w:pPr>
        <w:ind w:left="652" w:right="280" w:hanging="652"/>
        <w:spacing w:after="0" w:line="277" w:lineRule="auto"/>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41" w:name="page142"/>
    <w:bookmarkEnd w:id="141"/>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7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p>
    <w:p>
      <w:pPr>
        <w:spacing w:after="0" w:line="229" w:lineRule="exact"/>
        <w:rPr>
          <w:sz w:val="20"/>
          <w:szCs w:val="20"/>
          <w:color w:val="auto"/>
        </w:rPr>
      </w:pPr>
    </w:p>
    <w:p>
      <w:pPr>
        <w:ind w:left="660" w:hanging="652"/>
        <w:spacing w:after="0" w:line="263"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ind w:left="660" w:right="260" w:hanging="652"/>
        <w:spacing w:after="0" w:line="286"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5" w:lineRule="exact"/>
        <w:rPr>
          <w:rFonts w:ascii="Arial" w:cs="Arial" w:eastAsia="Arial" w:hAnsi="Arial"/>
          <w:sz w:val="17"/>
          <w:szCs w:val="17"/>
          <w:color w:val="auto"/>
        </w:rPr>
      </w:pPr>
    </w:p>
    <w:p>
      <w:pPr>
        <w:ind w:left="660" w:right="40" w:hanging="652"/>
        <w:spacing w:after="0" w:line="293"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64" w:lineRule="exact"/>
        <w:rPr>
          <w:rFonts w:ascii="Arial" w:cs="Arial" w:eastAsia="Arial" w:hAnsi="Arial"/>
          <w:sz w:val="16"/>
          <w:szCs w:val="16"/>
          <w:color w:val="auto"/>
        </w:rPr>
      </w:pPr>
    </w:p>
    <w:p>
      <w:pPr>
        <w:ind w:left="660" w:right="360" w:hanging="652"/>
        <w:spacing w:after="0" w:line="259"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2" w:name="page143"/>
    <w:bookmarkEnd w:id="142"/>
    <w:p>
      <w:pPr>
        <w:ind w:left="660" w:right="40" w:hanging="652"/>
        <w:spacing w:after="0" w:line="269"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w:t>
      </w:r>
    </w:p>
    <w:p>
      <w:pPr>
        <w:spacing w:after="0" w:line="18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80"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notices, requests, demands and other communications under this Agreement shall be in writing and shall be deemed to have been duly given</w:t>
      </w:r>
    </w:p>
    <w:p>
      <w:pPr>
        <w:spacing w:after="0" w:line="46" w:lineRule="exact"/>
        <w:rPr>
          <w:sz w:val="20"/>
          <w:szCs w:val="20"/>
          <w:color w:val="auto"/>
        </w:rPr>
      </w:pPr>
    </w:p>
    <w:p>
      <w:pPr>
        <w:ind w:right="60" w:firstLine="8"/>
        <w:spacing w:after="0" w:line="260" w:lineRule="auto"/>
        <w:tabs>
          <w:tab w:leader="none" w:pos="2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85" w:lineRule="exact"/>
        <w:rPr>
          <w:sz w:val="20"/>
          <w:szCs w:val="20"/>
          <w:color w:val="auto"/>
        </w:rPr>
      </w:pPr>
    </w:p>
    <w:p>
      <w:pPr>
        <w:ind w:left="660" w:right="120" w:hanging="65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660" w:right="7340"/>
        <w:spacing w:after="0" w:line="258" w:lineRule="auto"/>
        <w:rPr>
          <w:rFonts w:ascii="Arial" w:cs="Arial" w:eastAsia="Arial" w:hAnsi="Arial"/>
          <w:sz w:val="18"/>
          <w:szCs w:val="18"/>
          <w:color w:val="auto"/>
        </w:rPr>
      </w:pPr>
      <w:r>
        <w:rPr>
          <w:rFonts w:ascii="Arial" w:cs="Arial" w:eastAsia="Arial" w:hAnsi="Arial"/>
          <w:sz w:val="18"/>
          <w:szCs w:val="18"/>
          <w:color w:val="auto"/>
        </w:rPr>
        <w:t>Sustainable Opportunities Acquisition Corp. 1601 Bryan Street, Suite 4141</w:t>
      </w:r>
    </w:p>
    <w:p>
      <w:pPr>
        <w:spacing w:after="0" w:line="1" w:lineRule="exact"/>
        <w:rPr>
          <w:rFonts w:ascii="Arial" w:cs="Arial" w:eastAsia="Arial" w:hAnsi="Arial"/>
          <w:sz w:val="18"/>
          <w:szCs w:val="18"/>
          <w:color w:val="auto"/>
        </w:rPr>
      </w:pPr>
    </w:p>
    <w:p>
      <w:pPr>
        <w:ind w:left="660" w:right="8760"/>
        <w:spacing w:after="0" w:line="323" w:lineRule="auto"/>
        <w:rPr>
          <w:rFonts w:ascii="Arial" w:cs="Arial" w:eastAsia="Arial" w:hAnsi="Arial"/>
          <w:sz w:val="18"/>
          <w:szCs w:val="18"/>
          <w:color w:val="auto"/>
        </w:rPr>
      </w:pPr>
      <w:r>
        <w:rPr>
          <w:rFonts w:ascii="Arial" w:cs="Arial" w:eastAsia="Arial" w:hAnsi="Arial"/>
          <w:sz w:val="16"/>
          <w:szCs w:val="16"/>
          <w:color w:val="auto"/>
        </w:rPr>
        <w:t>Dallas, Texas 75201 Attention: Scott Leonard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Christian O. Nagler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Peter S. Seligson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Agreement and the legal relations among the parties shall be governed by, and construed and enforced in accordance with, the laws of the State of New York,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43" w:name="page144"/>
    <w:bookmarkEnd w:id="143"/>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0"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headings of the paragraphs of this Agreement are inserted for convenience only and shall not be deemed to constitute part of this Agreement or to affect the construction thereof.</w:t>
      </w:r>
    </w:p>
    <w:p>
      <w:pPr>
        <w:spacing w:after="0" w:line="16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p>
    <w:p>
      <w:pPr>
        <w:spacing w:after="0" w:line="22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53"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0"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Notwithstanding anything contained herein to the contrary, Indemnitee hereby agrees that it does not have any right, title, interest or claim of any kind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4"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INSURANCE</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502920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800" w:right="759" w:bottom="1440" w:gutter="0" w:footer="0" w:header="0"/>
        </w:sectPr>
      </w:pPr>
    </w:p>
    <w:bookmarkStart w:id="145" w:name="page146"/>
    <w:bookmarkEnd w:id="145"/>
    <w:p>
      <w:pPr>
        <w:ind w:left="564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letter will confirm our agreement that, commencing on the effective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of the registration statement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for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securities of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until the earlier of (i) the consummation by the Company of an initial business combination or (ii) the Company’s liquidation (in each case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Sustainable Opportunities Holdings LLC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shall take steps directly or indirectly to make available to the Company certain office space, secretarial and administrative services as may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by the Company from time to time, situated at 1601 Bryan Street, Suite 4141, Dallas, Texas 75201 (or any successor location). In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therefore, the Company shall pay the Sponsor a sum of $10,000 per month on the Effective Date and continuing monthly thereafter until the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The Sponsor hereby agrees that it does not have any right, title, interest or claim of any kind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in or to any monies that may be set aside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that may be established upon the consummation of the IPO and hereby waives any Claim it may have in the future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result of, or arising out of, any negotiations, contracts or agreements with the Company and will not seek recourse against the Trust Account for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 whatsoever.</w:t>
      </w:r>
    </w:p>
    <w:p>
      <w:pPr>
        <w:spacing w:after="0" w:line="21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This letter agreement may not be amended, modified or waived as to any particular provision, except by a written instrument executed by the parties hereto.</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parties may assign this letter agreement and any of their rights, interests, or obligations hereunder at any time upon five days’ notice to the other party.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letter agreement shall be governed by, construed in accordance with, and interpreted pursuant to the laws of the State of New York, without giving effect to its choice of laws principles.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10.8</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This letter (the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Citigroup Global Markets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unit comprised of one Class A ordinary share of the Company, par value $0.0001 per share (the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and one-half of one redeemable warrant, each whole warrant exercisable for one Class A Ordinary Share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10 hereof.</w:t>
      </w:r>
    </w:p>
    <w:p>
      <w:pPr>
        <w:spacing w:after="0" w:line="17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65" w:lineRule="exact"/>
        <w:rPr>
          <w:sz w:val="20"/>
          <w:szCs w:val="20"/>
          <w:color w:val="auto"/>
        </w:rPr>
      </w:pPr>
    </w:p>
    <w:p>
      <w:pPr>
        <w:ind w:left="660" w:right="280" w:hanging="652"/>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beneficially owned by it, whether acquired before, in or after the IPO, in favor of such Business Combination. It is acknowledged and agreed that the Company shall not enter into a definitive agreement regarding a proposed Business Combination, or issue any equity securities of the Company prior to an initial Business Combination without the prior consent of the Sponsor.</w:t>
      </w:r>
    </w:p>
    <w:p>
      <w:pPr>
        <w:spacing w:after="0" w:line="186" w:lineRule="exact"/>
        <w:rPr>
          <w:rFonts w:ascii="Arial" w:cs="Arial" w:eastAsia="Arial" w:hAnsi="Arial"/>
          <w:sz w:val="18"/>
          <w:szCs w:val="18"/>
          <w:color w:val="auto"/>
        </w:rPr>
      </w:pPr>
    </w:p>
    <w:p>
      <w:pPr>
        <w:ind w:left="660" w:right="40" w:hanging="652"/>
        <w:spacing w:after="0" w:line="284"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event that the Company fails to consummate a Business Combination within the time period set forth in the Company’s amended and restated memorandum and articles of association, as the same may be further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the undersigned will, as promptly as possible, take all necessary actions to cause the Company to (i) cease all operations except for the purpose of winding up, (ii) as promptly as reasonably possible, but not more than 10 business days thereafter, redeem the IPO Shares, at a per-share price, payable in cash, equal to the aggregate amount then on deposit in the Trust Account, including interest earned on the Trust Account not previously released to the Company to pay income taxes (less up to $100,000 of such net interest to pay dissolution expenses), divided by the number of then-outstanding IPO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the cases of clauses (ii) and (iii) to the Company’s obligations under Cayman Islands law to provide for claims of creditors and in all cases subject to the other requirements of applicable law. The undersigned hereby waives any and all right, title, interest or claim of any kind in or to any distribution of the Trust Account and any remaining net assets of the Company as a result of such liquidation with respect to the Founder Shares owned by the undersigned. However, if the undersigned has acquired IPO Shares in or after the IPO, it will be entitled to liquidating distributions from the Trust Account with respect to such IPO Shares in the event that the Company fails to consummate a Business Combination within the time period set forth in the Charter. In the event of the liquidation of the Trust Account, the undersigned agrees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IPO Share and (ii) the actual amount per IPO Share held in the Trust Account as of the date of the liquidation of the Trust Account, if less than $10.00 per IPO Share due to reductions in the value of the assets in the Trust Account, in each case net of the interest that may be withdrawn to pay the Company’s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liability will not apply to any claims by a third party or prospective target business who executed a waiver of any and all rights to the monies held in the Trust Account (whether or not such waiver is enforceable) nor will it apply to any claims under the Company’s obligation to indemnify the Underwriters against certain liabilities, including liabilities under the Securities Act of 1933, as amended, pursuant to the Underwriting Agreement. The undersigned acknowledges and agrees that there will be no distribution from the Trust Account with respect to any Warrants, all rights of which will terminate on the Company’s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ind w:left="652" w:right="40" w:hanging="652"/>
        <w:spacing w:after="0" w:line="257" w:lineRule="auto"/>
        <w:tabs>
          <w:tab w:leader="none" w:pos="6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must obtain an opinion from an independent investment banking firm, which is a member of the Financial Industry Regulatory Authority, or an independent accounting firm that such Business Combination is fair to the Company’s unaffiliated shareholders from a financial point of view.</w:t>
      </w:r>
    </w:p>
    <w:p>
      <w:pPr>
        <w:spacing w:after="0" w:line="187" w:lineRule="exact"/>
        <w:rPr>
          <w:rFonts w:ascii="Arial" w:cs="Arial" w:eastAsia="Arial" w:hAnsi="Arial"/>
          <w:sz w:val="18"/>
          <w:szCs w:val="18"/>
          <w:color w:val="auto"/>
        </w:rPr>
      </w:pPr>
    </w:p>
    <w:p>
      <w:pPr>
        <w:ind w:left="652" w:hanging="652"/>
        <w:spacing w:after="0" w:line="259" w:lineRule="auto"/>
        <w:tabs>
          <w:tab w:leader="none" w:pos="6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Neither the undersigned nor any affiliate of the undersigned will be entitled to receive and will not accept any compensation or other cash payment from the Company prior to, or for services rendered in order to effectuate, the consummation of the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allowed to make the payments set forth in the Registration Statement adjacent to the caption “Prospectus Summary—The Offering—Limited payments to insiders.”</w:t>
      </w:r>
    </w:p>
    <w:p>
      <w:pPr>
        <w:spacing w:after="0" w:line="186" w:lineRule="exact"/>
        <w:rPr>
          <w:rFonts w:ascii="Arial" w:cs="Arial" w:eastAsia="Arial" w:hAnsi="Arial"/>
          <w:sz w:val="18"/>
          <w:szCs w:val="18"/>
          <w:color w:val="auto"/>
        </w:rPr>
      </w:pPr>
    </w:p>
    <w:p>
      <w:pPr>
        <w:ind w:left="652" w:right="80" w:hanging="652"/>
        <w:spacing w:after="0" w:line="271" w:lineRule="auto"/>
        <w:tabs>
          <w:tab w:leader="none" w:pos="65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The undersigned agrees that the Founder Shares may not be transferred, assigned or sold (except to certain permitted transferees as described in the Registration Statement or herein)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until the earlier to occur of: (1) one year after the completion of a Business Combination or (2)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Notwithstanding the foregoing, if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the Founder Shares will be released from the Lockup.</w:t>
      </w:r>
    </w:p>
    <w:p>
      <w:pPr>
        <w:spacing w:after="0" w:line="178" w:lineRule="exact"/>
        <w:rPr>
          <w:rFonts w:ascii="Arial" w:cs="Arial" w:eastAsia="Arial" w:hAnsi="Arial"/>
          <w:sz w:val="17"/>
          <w:szCs w:val="17"/>
          <w:color w:val="auto"/>
        </w:rPr>
      </w:pPr>
    </w:p>
    <w:p>
      <w:pPr>
        <w:ind w:left="1292" w:right="20" w:hanging="644"/>
        <w:spacing w:after="0" w:line="288" w:lineRule="auto"/>
        <w:tabs>
          <w:tab w:leader="none" w:pos="129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undersigned will not, without the prior written consent of the Representative pursuant to the Underwriting Agreement, offer, sell, contract to sell, pledge or otherwise dispose of (or enter into any transaction that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of the Securities and Exchange Commission promulgated thereunder with respect to, any other Units, Class A Ordinary Shares or Warrants of the Company or any securities convertible into, or exercisable, or exchangeable for, Class A Ordinary Shares or publicly announce an intention to effect any such transaction, for a period of 180 days after the date of the Underwriting Agreement.</w:t>
      </w:r>
    </w:p>
    <w:p>
      <w:pPr>
        <w:spacing w:after="0" w:line="168" w:lineRule="exact"/>
        <w:rPr>
          <w:rFonts w:ascii="Arial" w:cs="Arial" w:eastAsia="Arial" w:hAnsi="Arial"/>
          <w:sz w:val="16"/>
          <w:szCs w:val="16"/>
          <w:color w:val="auto"/>
        </w:rPr>
      </w:pPr>
    </w:p>
    <w:p>
      <w:pPr>
        <w:jc w:val="both"/>
        <w:ind w:left="1292" w:right="460" w:hanging="644"/>
        <w:spacing w:after="0" w:line="263" w:lineRule="auto"/>
        <w:tabs>
          <w:tab w:leader="none" w:pos="129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undersigned agrees that until the Company consummates an initial Business Combination, the undersigned’s Private Placement Warrants will be subject to the transfer restrictions described in the Private Placement Warrants Purchase Agreement relating to the undersigned’s Private Placement Warrants.</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0" w:name="page151"/>
    <w:bookmarkEnd w:id="150"/>
    <w:p>
      <w:pPr>
        <w:ind w:left="1292" w:right="120" w:hanging="644"/>
        <w:spacing w:after="0" w:line="285" w:lineRule="auto"/>
        <w:tabs>
          <w:tab w:leader="none" w:pos="129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5(a) and (c), transfers, assignments and sales by the undersigned of the Founder Shares, Private Placement Warrants and Class A Ordinary Shares issued or issuable upon the exercise of the Private Placement Warrants or conversion of the Founder Shares are permitted (i) to the Company’s officers or directors, any affiliates or family members of any of the Company’s officers or directors, any members or partners of the undersigned or their affiliates, any affiliates of the undersigned,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private sales or transfers made in connection with the consummation of the Business Combination at prices no greater than the price at which the Founder Shares, Private Placement Warrants or Class A Ordinary Shares, as applicable, were originally purchased; (vi) by virtue of the undersigned’s organizational documents upon liquidation or dissolution of the undersigned; (vii) to the Company for no value for cancellation in connection with the consummation of the Business Combination; (viii) in the event of the Company’s liquidation prior to the completion of a Business Combination; or (ix) in the event of completion of a liquidation, merger, share exchange or other similar transaction which results in all of the Company’s shareholders having the right to exchange their Class A Ordinary Shares for cash, securities or other property subsequent to the completion of a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(i) through (vi) these permitted transferees must enter into a written agreement agreeing to be bound by the restrictions herein. For the avoidance of doubt, the transfers of Founder Shares, Private Placement Warrants and Class A Ordinary Shares issued or issuable upon the exercise of the Private Placement Warrants or conversion of the Founder Shares shall be permitted regardless of whether a filing under Section 16(a) of the Exchange Act shall be required or shall be voluntarily made with respect to such transfers.</w:t>
      </w:r>
    </w:p>
    <w:p>
      <w:pPr>
        <w:spacing w:after="0" w:line="168" w:lineRule="exact"/>
        <w:rPr>
          <w:rFonts w:ascii="Arial" w:cs="Arial" w:eastAsia="Arial" w:hAnsi="Arial"/>
          <w:sz w:val="16"/>
          <w:szCs w:val="16"/>
          <w:color w:val="auto"/>
        </w:rPr>
      </w:pPr>
    </w:p>
    <w:p>
      <w:pPr>
        <w:ind w:left="652" w:hanging="652"/>
        <w:spacing w:after="0"/>
        <w:tabs>
          <w:tab w:leader="none" w:pos="6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it is bound, to enter into this Letter Agreement.</w:t>
      </w:r>
    </w:p>
    <w:p>
      <w:pPr>
        <w:spacing w:after="0" w:line="225" w:lineRule="exact"/>
        <w:rPr>
          <w:rFonts w:ascii="Arial" w:cs="Arial" w:eastAsia="Arial" w:hAnsi="Arial"/>
          <w:sz w:val="18"/>
          <w:szCs w:val="18"/>
          <w:color w:val="auto"/>
        </w:rPr>
      </w:pPr>
    </w:p>
    <w:p>
      <w:pPr>
        <w:ind w:left="652" w:hanging="652"/>
        <w:spacing w:after="0" w:line="287" w:lineRule="auto"/>
        <w:tabs>
          <w:tab w:leader="none" w:pos="6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undersigned hereby waives any right to exercise redemption rights with respect to any of the Company’s ordinary shares owned or to be owned by the undersigned, directly or indirectly, whether such shares be part of the Founder Shares or IPO Shares, and agrees not to seek redemption with respect to such shares (or sell such shares to the Company in any tender offer) in connection with any shareholder vote to approve</w:t>
      </w:r>
    </w:p>
    <w:p>
      <w:pPr>
        <w:spacing w:after="0" w:line="2" w:lineRule="exact"/>
        <w:rPr>
          <w:rFonts w:ascii="Arial" w:cs="Arial" w:eastAsia="Arial" w:hAnsi="Arial"/>
          <w:sz w:val="16"/>
          <w:szCs w:val="16"/>
          <w:color w:val="auto"/>
        </w:rPr>
      </w:pPr>
    </w:p>
    <w:p>
      <w:pPr>
        <w:ind w:left="652" w:right="140" w:hanging="4"/>
        <w:spacing w:after="0" w:line="253" w:lineRule="auto"/>
        <w:tabs>
          <w:tab w:leader="none" w:pos="90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Business Combination or (y) an amendment to the Charter that would affect the substance or timing of the Company’s obligation to provide holders of the Class A Ordinary Shares the right to have their shares redeemed in connection with an initial Business Combination or to redeem 100% of the Class A Ordinary Shares if the Company has not consummated a Business Combination within 18 months from the closing of the IPO.</w:t>
      </w:r>
    </w:p>
    <w:p>
      <w:pPr>
        <w:spacing w:after="0" w:line="192" w:lineRule="exact"/>
        <w:rPr>
          <w:rFonts w:ascii="Arial" w:cs="Arial" w:eastAsia="Arial" w:hAnsi="Arial"/>
          <w:sz w:val="18"/>
          <w:szCs w:val="18"/>
          <w:color w:val="auto"/>
        </w:rPr>
      </w:pPr>
    </w:p>
    <w:p>
      <w:pPr>
        <w:ind w:left="652" w:right="20" w:hanging="652"/>
        <w:spacing w:after="0" w:line="254" w:lineRule="auto"/>
        <w:tabs>
          <w:tab w:leader="none" w:pos="6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undersigned hereby agrees to not propose any amendment to the Charter that would affect the substance or timing of the Company’s obligation to provide for the redemption of the Class A Ordinary Shares in connection with an initial Business Combination or to redeem 100% of the Class A Ordinary Shares if the Company does not complete an initial Business Combination within within 18 months from the closing of the IPO unless the Company provides its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the Company to pay taxes, divided by the number of then outstanding Class A Ordinary Shares.</w:t>
      </w:r>
    </w:p>
    <w:p>
      <w:pPr>
        <w:spacing w:after="0" w:line="194" w:lineRule="exact"/>
        <w:rPr>
          <w:rFonts w:ascii="Arial" w:cs="Arial" w:eastAsia="Arial" w:hAnsi="Arial"/>
          <w:sz w:val="18"/>
          <w:szCs w:val="18"/>
          <w:color w:val="auto"/>
        </w:rPr>
      </w:pPr>
    </w:p>
    <w:p>
      <w:pPr>
        <w:ind w:left="652" w:right="80" w:hanging="652"/>
        <w:spacing w:after="0" w:line="255" w:lineRule="auto"/>
        <w:tabs>
          <w:tab w:leader="none" w:pos="6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arising out of or relating in any way to this Letter Agreement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1" w:name="page152"/>
    <w:bookmarkEnd w:id="151"/>
    <w:p>
      <w:pPr>
        <w:ind w:left="652" w:right="80" w:hanging="652"/>
        <w:spacing w:after="0" w:line="290" w:lineRule="auto"/>
        <w:tabs>
          <w:tab w:leader="none" w:pos="6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used herein, (i)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recapitalization, reorganization or other similar business combination with one or more businesses or entities; (ii) “</w:t>
      </w:r>
      <w:r>
        <w:rPr>
          <w:rFonts w:ascii="Arial" w:cs="Arial" w:eastAsia="Arial" w:hAnsi="Arial"/>
          <w:sz w:val="16"/>
          <w:szCs w:val="16"/>
          <w:b w:val="1"/>
          <w:bCs w:val="1"/>
          <w:i w:val="1"/>
          <w:iCs w:val="1"/>
          <w:color w:val="auto"/>
        </w:rPr>
        <w:t>Insiders</w:t>
      </w:r>
      <w:r>
        <w:rPr>
          <w:rFonts w:ascii="Arial" w:cs="Arial" w:eastAsia="Arial" w:hAnsi="Arial"/>
          <w:sz w:val="16"/>
          <w:szCs w:val="16"/>
          <w:color w:val="auto"/>
        </w:rPr>
        <w:t>” shall mean the Sponsor and all officers and directors of the Company immediately prior to the IPO;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all of the Class B Ordinary Shares of the Company acquired by an Insider prior to the IPO; (iv) “</w:t>
      </w:r>
      <w:r>
        <w:rPr>
          <w:rFonts w:ascii="Arial" w:cs="Arial" w:eastAsia="Arial" w:hAnsi="Arial"/>
          <w:sz w:val="16"/>
          <w:szCs w:val="16"/>
          <w:b w:val="1"/>
          <w:bCs w:val="1"/>
          <w:i w:val="1"/>
          <w:iCs w:val="1"/>
          <w:color w:val="auto"/>
        </w:rPr>
        <w:t>IPO Shares</w:t>
      </w:r>
      <w:r>
        <w:rPr>
          <w:rFonts w:ascii="Arial" w:cs="Arial" w:eastAsia="Arial" w:hAnsi="Arial"/>
          <w:sz w:val="16"/>
          <w:szCs w:val="16"/>
          <w:color w:val="auto"/>
        </w:rPr>
        <w:t>” shall mean the Class A Ordinary Shares issued in the Company’s IPO;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warrants that are being sold privately by the Company simultaneously with the consummation of the IPO;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the net proceeds of the Company’s IPO and a portion of the proceeds from the sale of the Private Placement Warrants will be deposited; and (vii)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the Company’s registration statement on Form S-1 (SEC File No. 333-237245) filed with the Securities and Exchange Commission, as amended.</w:t>
      </w:r>
    </w:p>
    <w:p>
      <w:pPr>
        <w:spacing w:after="0" w:line="165" w:lineRule="exact"/>
        <w:rPr>
          <w:rFonts w:ascii="Arial" w:cs="Arial" w:eastAsia="Arial" w:hAnsi="Arial"/>
          <w:sz w:val="16"/>
          <w:szCs w:val="16"/>
          <w:color w:val="auto"/>
        </w:rPr>
      </w:pPr>
    </w:p>
    <w:p>
      <w:pPr>
        <w:ind w:left="652" w:right="80" w:hanging="652"/>
        <w:spacing w:after="0" w:line="301" w:lineRule="auto"/>
        <w:tabs>
          <w:tab w:leader="none" w:pos="6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7" w:lineRule="exact"/>
        <w:rPr>
          <w:rFonts w:ascii="Arial" w:cs="Arial" w:eastAsia="Arial" w:hAnsi="Arial"/>
          <w:sz w:val="16"/>
          <w:szCs w:val="16"/>
          <w:color w:val="auto"/>
        </w:rPr>
      </w:pPr>
    </w:p>
    <w:p>
      <w:pPr>
        <w:ind w:left="652" w:hanging="652"/>
        <w:spacing w:after="0" w:line="311" w:lineRule="auto"/>
        <w:tabs>
          <w:tab w:leader="none" w:pos="6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undersigned acknowledges and understands that the Underwriters and the Company will rely upon the agreements, representations and warranties set forth herein in proceeding with the IPO. Nothing contained herein shall be deemed to render any Underwriter a representative of, or a fiduciary with respect to, the Company, its shareholders or any creditor or vendor of the Company with respect to the subject matter hereof.</w:t>
      </w:r>
    </w:p>
    <w:p>
      <w:pPr>
        <w:spacing w:after="0" w:line="148" w:lineRule="exact"/>
        <w:rPr>
          <w:rFonts w:ascii="Arial" w:cs="Arial" w:eastAsia="Arial" w:hAnsi="Arial"/>
          <w:sz w:val="16"/>
          <w:szCs w:val="16"/>
          <w:color w:val="auto"/>
        </w:rPr>
      </w:pPr>
    </w:p>
    <w:p>
      <w:pPr>
        <w:ind w:left="652" w:right="60" w:hanging="652"/>
        <w:spacing w:after="0" w:line="254" w:lineRule="auto"/>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This Letter Agreement shall be binding on the undersigned and such person’s respective successors, heirs, personal representatives and assigns. This Letter Agreement shall terminate on the earlier of (i) the consummation of a Business Combination (other than with respect to paragraph 5, which shall survive until the expiration of all applicable lock up periods) and (ii) the liquidation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termination shall not relieve the undersigned from liability for any breach of this agreement prior to its termination. The parties hereto may not assign either this Letter Agreement or any of their rights, interests, or obligations hereunder without the prior written consent of the other party. Any purported assignment in violation of this paragraph shall be void and ineffectual and shall not operate to transfer or assign any interest or title to the purported assignee.</w:t>
      </w:r>
    </w:p>
    <w:p>
      <w:pPr>
        <w:spacing w:after="0" w:line="1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152" w:name="page153"/>
    <w:bookmarkEnd w:id="152"/>
    <w:p>
      <w:pPr>
        <w:ind w:left="5640"/>
        <w:spacing w:after="0"/>
        <w:rPr>
          <w:sz w:val="20"/>
          <w:szCs w:val="20"/>
          <w:color w:val="auto"/>
        </w:rPr>
      </w:pPr>
      <w:r>
        <w:rPr>
          <w:rFonts w:ascii="Arial" w:cs="Arial" w:eastAsia="Arial" w:hAnsi="Arial"/>
          <w:sz w:val="18"/>
          <w:szCs w:val="18"/>
          <w:color w:val="auto"/>
        </w:rPr>
        <w:t>SUSTAINABLE OPPORTUNITIES HOLDINGS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This letter (the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Citigroup Global Markets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unit comprised of one Class A ordinary share of the Company, par value $0.0001 per share (the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and one-half of one redeemable warrant, each whole warrant exercisable for one Class A Ordinary Share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12 hereof.</w:t>
      </w:r>
    </w:p>
    <w:p>
      <w:pPr>
        <w:spacing w:after="0" w:line="178"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the undersigned, and for other good and valuable consideration, the receipt and sufficiency of which are hereby acknowledged, the undersigned hereby agrees with the Company as follows:</w:t>
      </w:r>
    </w:p>
    <w:p>
      <w:pPr>
        <w:spacing w:after="0" w:line="184" w:lineRule="exact"/>
        <w:rPr>
          <w:sz w:val="20"/>
          <w:szCs w:val="20"/>
          <w:color w:val="auto"/>
        </w:rPr>
      </w:pPr>
    </w:p>
    <w:p>
      <w:pPr>
        <w:ind w:left="660" w:right="80" w:hanging="652"/>
        <w:spacing w:after="0" w:line="286"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Company solicits approval of its shareholders of a Business Combination, the undersigned will vote all shares beneficially owned by him or her, whether acquired before, in or after the IPO, in favor of such Business Combination. It is acknowledged and agreed that the Company shall not enter into a definitive agreement regarding a proposed Business Combination without the prior consent of the Sponsor.</w:t>
      </w:r>
    </w:p>
    <w:p>
      <w:pPr>
        <w:spacing w:after="0" w:line="165" w:lineRule="exact"/>
        <w:rPr>
          <w:rFonts w:ascii="Arial" w:cs="Arial" w:eastAsia="Arial" w:hAnsi="Arial"/>
          <w:sz w:val="17"/>
          <w:szCs w:val="17"/>
          <w:color w:val="auto"/>
        </w:rPr>
      </w:pPr>
    </w:p>
    <w:p>
      <w:pPr>
        <w:ind w:left="660" w:right="40" w:hanging="652"/>
        <w:spacing w:after="0" w:line="26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event that the Company fails to consummate a Business Combination within the time period set forth in the Company’s amended and restated memorandum and articles of association, as the same may be further amended from time to time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undersigned will, as promptly as possible, take all necessary actions to cause the Company to (i) cease all operations except for the purpose of winding up, (ii) as promptly as reasonably possible, but not more than 10 business days thereafter, redeem the IPO Shares, at a per-share price, payable in cash, equal to the aggregate amount then on deposit in the Trust Account, including interest earned on the Trust Account not previously released to the Company to pay income taxes (less up to $100,000 of such net interest to pay dissolution expenses), divided by the number of then-outstanding IPO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the cases of clauses (ii) and (iii) to the Company’s obligations under Cayman Islands law to provide for claims of creditors and in all cases subject to the other requirements of applicable law. The undersigned hereby waives any and all right, title, interest or claim of any kind in or to any distribution of the Trust Account and any remaining net assets of the Company as a result of such liquidation with respect to the Founder Shares owned by the undersigned. However, if any of the undersigned have acquired IPO Shares in or after the IPO, they will be entitled to liquidating distributions from the Trust Account with respect to such IPO Shares in the event that the Company fails to consummate a Business Combination within the time period set forth in the Charter. The undersigned acknowledges and agrees that there will be no distribution from the Trust Account with respect to any Warrants, all rights of which will terminate on the Company’s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left="652" w:hanging="652"/>
        <w:spacing w:after="0" w:line="257" w:lineRule="auto"/>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must obtain an opinion from an independent investment banking firm, which is a member of the Financial Industry Regulatory Authority, or an independent accounting firm that such Business Combination is fair to the Company’s unaffiliated shareholders from a financial point of view.</w:t>
      </w:r>
    </w:p>
    <w:p>
      <w:pPr>
        <w:spacing w:after="0" w:line="187" w:lineRule="exact"/>
        <w:rPr>
          <w:rFonts w:ascii="Arial" w:cs="Arial" w:eastAsia="Arial" w:hAnsi="Arial"/>
          <w:sz w:val="18"/>
          <w:szCs w:val="18"/>
          <w:color w:val="auto"/>
        </w:rPr>
      </w:pPr>
    </w:p>
    <w:p>
      <w:pPr>
        <w:ind w:left="652" w:right="220" w:hanging="652"/>
        <w:spacing w:after="0" w:line="279" w:lineRule="auto"/>
        <w:tabs>
          <w:tab w:leader="none" w:pos="65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None of the undersigned, any member of the family of any of the undersigned, or any affiliate of the undersigned will be entitled to receive and will not accept any compensation or other cash payment from the Company prior to, or for services rendered in order to effectuate, the consummation of the Business Combination; provided that the Company shall be allowed to make the payments set forth in the Registration Statement adjacent to the caption “Prospectus Summary—The Offering—Limited payments to insiders.”</w:t>
      </w:r>
    </w:p>
    <w:p>
      <w:pPr>
        <w:spacing w:after="0" w:line="171" w:lineRule="exact"/>
        <w:rPr>
          <w:rFonts w:ascii="Arial" w:cs="Arial" w:eastAsia="Arial" w:hAnsi="Arial"/>
          <w:sz w:val="17"/>
          <w:szCs w:val="17"/>
          <w:color w:val="auto"/>
        </w:rPr>
      </w:pPr>
    </w:p>
    <w:p>
      <w:pPr>
        <w:ind w:left="1292" w:right="60" w:hanging="1292"/>
        <w:spacing w:after="0" w:line="290"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undersigned agrees that the Founder Shares may not be transferred, assigned or sold (except to certain permitted transferees as described in the Registration Statement or herein)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until the earlier to occur of: (1) one year after the completion of a Business Combination or (2)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Notwithstanding the foregoing, if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the Founder Shares will be released from the Lockup.</w:t>
      </w:r>
    </w:p>
    <w:p>
      <w:pPr>
        <w:spacing w:after="0" w:line="37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5" w:name="page156"/>
    <w:bookmarkEnd w:id="155"/>
    <w:p>
      <w:pPr>
        <w:ind w:left="644" w:right="20" w:hanging="644"/>
        <w:spacing w:after="0" w:line="288"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undersigned will not, without the prior written consent of the Representative pursuant to the Underwriting Agreement, offer, sell, contract to sell, pledge or otherwise dispose of (or enter into any transaction that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of the Securities and Exchange Commission promulgated thereunder with respect to, any other Units, Class A Ordinary Shares or Warrants of the Company or any securities convertible into, or exercisable, or exchangeable for, Class A Ordinary Shares or publicly announce an intention to effect any such transaction, for a period of 180 days after the date of the Underwriting Agreement.</w:t>
      </w:r>
    </w:p>
    <w:p>
      <w:pPr>
        <w:spacing w:after="0" w:line="168" w:lineRule="exact"/>
        <w:rPr>
          <w:rFonts w:ascii="Arial" w:cs="Arial" w:eastAsia="Arial" w:hAnsi="Arial"/>
          <w:sz w:val="16"/>
          <w:szCs w:val="16"/>
          <w:color w:val="auto"/>
        </w:rPr>
      </w:pPr>
    </w:p>
    <w:p>
      <w:pPr>
        <w:jc w:val="both"/>
        <w:ind w:left="644" w:right="460" w:hanging="644"/>
        <w:spacing w:after="0" w:line="263"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undersigned agrees that until the Company consummates an initial Business Combination, the undersigned’s Private Placement Warrants will be subject to the transfer restrictions described in the Private Placement Warrants Purchase Agreement relating to the undersigned’s Private Placement Warrants.</w:t>
      </w:r>
    </w:p>
    <w:p>
      <w:pPr>
        <w:spacing w:after="0" w:line="183" w:lineRule="exact"/>
        <w:rPr>
          <w:rFonts w:ascii="Arial" w:cs="Arial" w:eastAsia="Arial" w:hAnsi="Arial"/>
          <w:sz w:val="18"/>
          <w:szCs w:val="18"/>
          <w:color w:val="auto"/>
        </w:rPr>
      </w:pPr>
    </w:p>
    <w:p>
      <w:pPr>
        <w:ind w:left="644" w:hanging="644"/>
        <w:spacing w:after="0" w:line="285"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5(a) and (c), transfers, assignments and sales by the undersigned of the Founder Shares, Private Placement Warrants and Class A Ordinary Shares issued or issuable upon the exercise of the Private Placement Warrants or conversion of the Founder Shares are permitted (i) to the Company’s officers or directors, any affiliates or family members of any of the Company’s officers or directors, to Sustainable Opportunities Holdings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any members or partners of the Sponsor or their affiliates, any affiliates of the Sponsor,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private sales or transfers made in connection with the consummation of the Business Combination at prices no greater than the price at which the Founder Shares, Private Placement Warrants or Class A Ordinary Shares, as applicable, were originally purchased; (vi) by virtue of the Sponsor’s organizational documents upon liquidation or dissolution of the Sponsor; (vii) to the Company for no value for cancellation in connection with the consummation of the Business Combination; (viii) in the event of the Company’s liquidation prior to the completion of a Business Combination; or (ix) in the event of completion of a liquidation, merger, share exchange or other similar transaction which results in all of the Company’s shareholders having the right to exchange their Class A Ordinary Shares for cash, securities or other property subsequent to the completion of a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(i) through (vi) these permitted transferees must enter into a written agreement agreeing to be bound by the restrictions herein. For the avoidance of doubt, the transfers of Founder Shares, Private Placement Warrants and Class A Ordinary Shares issued or issuable upon the exercise of the Private Placement Warrants or conversion of the Founder Shares shall be permitted regardless of whether a filing under Section 16(a) of the Exchange Act shall be required or shall be voluntarily made with respect to such transfers.</w:t>
      </w:r>
    </w:p>
    <w:p>
      <w:pPr>
        <w:spacing w:after="0" w:line="37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6" w:name="page157"/>
    <w:bookmarkEnd w:id="156"/>
    <w:p>
      <w:pPr>
        <w:ind w:left="1292" w:right="60" w:hanging="644"/>
        <w:spacing w:after="0" w:line="296" w:lineRule="auto"/>
        <w:tabs>
          <w:tab w:leader="none" w:pos="129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undersigned acknowledges and agrees that if, in order to consummate any Business Combination, the holders of Founder Shares or Private Placement Warrants are required to contribute back to the capital of the Company a portion of any such securities to be cancelled by the Company or transfer any such securities to third parties, the undersigned will contribute back to the capital of the Company or transfer to such third parties, at no cost, a proportionate number of Founder Shares or Private Placement Warrants, as applicable, pro rata with the other holders of Founder Shares or Private Placement Warrants, as applicable.</w:t>
      </w:r>
    </w:p>
    <w:p>
      <w:pPr>
        <w:spacing w:after="0" w:line="161" w:lineRule="exact"/>
        <w:rPr>
          <w:rFonts w:ascii="Arial" w:cs="Arial" w:eastAsia="Arial" w:hAnsi="Arial"/>
          <w:sz w:val="16"/>
          <w:szCs w:val="16"/>
          <w:color w:val="auto"/>
        </w:rPr>
      </w:pPr>
    </w:p>
    <w:p>
      <w:pPr>
        <w:ind w:left="1292" w:hanging="1292"/>
        <w:spacing w:after="0" w:line="296" w:lineRule="auto"/>
        <w:tabs>
          <w:tab w:leader="none" w:pos="64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In order to minimize potential conflicts of interest that may arise from multiple corporate affiliations, the undersigned hereby agrees that until the earliest of the Company’s initial Business Combination or liquidation, the undersigned shall present to the Company for its consideration, prior to presentation to any other entity, any target business that has a fair market value of at least 80% of the assets held in the Trust Account (excluding the amount of deferred underwriting discounts held in trust and taxes payable on the interest earned on the trust account), subject to any existing or future fiduciary or contractual obligations the undersigned might have.</w:t>
      </w:r>
    </w:p>
    <w:p>
      <w:pPr>
        <w:spacing w:after="0" w:line="161" w:lineRule="exact"/>
        <w:rPr>
          <w:rFonts w:ascii="Arial" w:cs="Arial" w:eastAsia="Arial" w:hAnsi="Arial"/>
          <w:sz w:val="18"/>
          <w:szCs w:val="18"/>
          <w:color w:val="auto"/>
        </w:rPr>
      </w:pPr>
    </w:p>
    <w:p>
      <w:pPr>
        <w:ind w:left="1292" w:right="60" w:hanging="644"/>
        <w:spacing w:after="0" w:line="259"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undersigned hereby agrees and acknowledges that (i) each of the Underwriters and the Company would be irreparably injured in the event of a breach of the obligations under paragraph 6(a) above,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39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7" w:name="page158"/>
    <w:bookmarkEnd w:id="157"/>
    <w:p>
      <w:pPr>
        <w:ind w:left="652" w:hanging="652"/>
        <w:spacing w:after="0" w:line="288" w:lineRule="auto"/>
        <w:tabs>
          <w:tab w:leader="none" w:pos="65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undersigned agrees to be a director or officer of the Company, as applicable, until the earlier of the consummation by the Company of an initial Business Combination, the liquidation of the Company, or his or her removal, death or incapacity. In the event of the removal or resignation of the undersigned as a director or officer (as applicable), the undersigned agrees that he or she will not, prior to the consummation of the Business Combination, without the prior express written consent of the Company, (i) use for the benefit of the undersigned or to the detriment of the Company or (ii) disclose to any third party (unless required by law or governmental authority), any information regarding a potential target of the Company that is not generally known by persons outside of the Company, the Sponsor, or their respective affiliates. The undersigned’s biographical information previously furnished to the Company and the Representative is true and accurate in all material respects, does not omit any material information with respect to the undersigned’s background and contains all of the information required to be disclosed pursuant to Item 401 of Regulation S-K, promulgated under the Securities Act of 1933, as amended. The undersigned’s FINRA Questionnaire previously furnished to the Company and the Representative is true and accurate in all material respects. The undersigned represents and warrants that:</w:t>
      </w:r>
    </w:p>
    <w:p>
      <w:pPr>
        <w:spacing w:after="0" w:line="168" w:lineRule="exact"/>
        <w:rPr>
          <w:rFonts w:ascii="Arial" w:cs="Arial" w:eastAsia="Arial" w:hAnsi="Arial"/>
          <w:sz w:val="16"/>
          <w:szCs w:val="16"/>
          <w:color w:val="auto"/>
        </w:rPr>
      </w:pPr>
    </w:p>
    <w:p>
      <w:pPr>
        <w:ind w:left="1292" w:right="100" w:hanging="644"/>
        <w:spacing w:after="0" w:line="277"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He or she is not subject to, or a respondent in, any legal action for, any injunction, cease-and-desist order or order or stipulation to desist or refrain from any act or practice relating to the offering of securities in any jurisdiction;</w:t>
      </w:r>
    </w:p>
    <w:p>
      <w:pPr>
        <w:spacing w:after="0" w:line="170" w:lineRule="exact"/>
        <w:rPr>
          <w:rFonts w:ascii="Arial" w:cs="Arial" w:eastAsia="Arial" w:hAnsi="Arial"/>
          <w:sz w:val="18"/>
          <w:szCs w:val="18"/>
          <w:color w:val="auto"/>
        </w:rPr>
      </w:pPr>
    </w:p>
    <w:p>
      <w:pPr>
        <w:ind w:left="1292" w:right="40" w:hanging="644"/>
        <w:spacing w:after="0" w:line="263"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He or she has never been convicted of or pleaded guilty to any crime (i) involving any fraud or (ii) relating to any financial transaction or handling of funds of another person, or (iii) pertaining to any dealings in any securities and he is not currently a defendant in any such criminal proceeding; and</w:t>
      </w:r>
    </w:p>
    <w:p>
      <w:pPr>
        <w:spacing w:after="0" w:line="183" w:lineRule="exact"/>
        <w:rPr>
          <w:rFonts w:ascii="Arial" w:cs="Arial" w:eastAsia="Arial" w:hAnsi="Arial"/>
          <w:sz w:val="18"/>
          <w:szCs w:val="18"/>
          <w:color w:val="auto"/>
        </w:rPr>
      </w:pPr>
    </w:p>
    <w:p>
      <w:pPr>
        <w:ind w:left="1292" w:right="360" w:hanging="644"/>
        <w:spacing w:after="0" w:line="277"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He or she has never been suspended or expelled from membership in any securities or commodities exchange or association or had a securities or commodities license or registration denied, suspended or revoked.</w:t>
      </w:r>
    </w:p>
    <w:p>
      <w:pPr>
        <w:spacing w:after="0" w:line="170" w:lineRule="exact"/>
        <w:rPr>
          <w:rFonts w:ascii="Arial" w:cs="Arial" w:eastAsia="Arial" w:hAnsi="Arial"/>
          <w:sz w:val="18"/>
          <w:szCs w:val="18"/>
          <w:color w:val="auto"/>
        </w:rPr>
      </w:pPr>
    </w:p>
    <w:p>
      <w:pPr>
        <w:ind w:left="652" w:right="40" w:hanging="652"/>
        <w:spacing w:after="0" w:line="277" w:lineRule="auto"/>
        <w:tabs>
          <w:tab w:leader="none" w:pos="6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or she is bound, to enter into this Letter Agreement and to serve as a director or officer of the Company, as applicable.</w:t>
      </w:r>
    </w:p>
    <w:p>
      <w:pPr>
        <w:spacing w:after="0" w:line="170" w:lineRule="exact"/>
        <w:rPr>
          <w:rFonts w:ascii="Arial" w:cs="Arial" w:eastAsia="Arial" w:hAnsi="Arial"/>
          <w:sz w:val="18"/>
          <w:szCs w:val="18"/>
          <w:color w:val="auto"/>
        </w:rPr>
      </w:pPr>
    </w:p>
    <w:p>
      <w:pPr>
        <w:ind w:left="652" w:hanging="652"/>
        <w:spacing w:after="0" w:line="254" w:lineRule="auto"/>
        <w:tabs>
          <w:tab w:leader="none" w:pos="6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hereby waives his or her right to exercise redemption rights with respect to any of the Company’s ordinary shares owned or to be owned by the undersigned, directly or indirectly, whether such shares be part of the Founder Shares or IPO Shares, and agrees that he or she will not seek redemption with respect to such shares (or sell such shares to the Company in any tender offer) in connection with any shareholder vote to approve (x) a Business Combination or (y) an amendment to the Charter that would affect the substance or timing of the Company’s obligation to provide holders of the Class A Ordinary Shares the right to have their shares redeemed in connection with an initial Business Combination or to redeem 100% of the Class A Ordinary Shares if the Company has not consummated a Business Combination within 18 months from the closing of the IPO.</w:t>
      </w:r>
    </w:p>
    <w:p>
      <w:pPr>
        <w:spacing w:after="0" w:line="194" w:lineRule="exact"/>
        <w:rPr>
          <w:rFonts w:ascii="Arial" w:cs="Arial" w:eastAsia="Arial" w:hAnsi="Arial"/>
          <w:sz w:val="18"/>
          <w:szCs w:val="18"/>
          <w:color w:val="auto"/>
        </w:rPr>
      </w:pPr>
    </w:p>
    <w:p>
      <w:pPr>
        <w:ind w:left="652" w:right="20" w:hanging="652"/>
        <w:spacing w:after="0" w:line="254" w:lineRule="auto"/>
        <w:tabs>
          <w:tab w:leader="none" w:pos="6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hereby agrees to not propose any amendment to the Charter that would affect the substance or timing of the Company’s obligation to provide for the redemption of the Class A Ordinary Shares in connection with an initial Business Combination or to redeem 100% of the Class A Ordinary Shares if the Company does not complete an initial Business Combination within within 18 months from the closing of the IPO unless the Company provides its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the Company to pay taxes, divided by the number of then outstanding Class A Ordinary Shares.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8" w:name="page159"/>
    <w:bookmarkEnd w:id="158"/>
    <w:p>
      <w:pPr>
        <w:ind w:left="652" w:right="20" w:hanging="652"/>
        <w:spacing w:after="0" w:line="255" w:lineRule="auto"/>
        <w:tabs>
          <w:tab w:leader="none" w:pos="6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arising out of or relating in any way to this Letter Agreement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192" w:lineRule="exact"/>
        <w:rPr>
          <w:rFonts w:ascii="Arial" w:cs="Arial" w:eastAsia="Arial" w:hAnsi="Arial"/>
          <w:sz w:val="18"/>
          <w:szCs w:val="18"/>
          <w:color w:val="auto"/>
        </w:rPr>
      </w:pPr>
    </w:p>
    <w:p>
      <w:pPr>
        <w:ind w:left="652" w:right="80" w:hanging="652"/>
        <w:spacing w:after="0" w:line="290" w:lineRule="auto"/>
        <w:tabs>
          <w:tab w:leader="none" w:pos="6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 used herein, (i)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recapitalization, reorganization or other similar business combination with one or more businesses or entities; (ii) “</w:t>
      </w:r>
      <w:r>
        <w:rPr>
          <w:rFonts w:ascii="Arial" w:cs="Arial" w:eastAsia="Arial" w:hAnsi="Arial"/>
          <w:sz w:val="16"/>
          <w:szCs w:val="16"/>
          <w:b w:val="1"/>
          <w:bCs w:val="1"/>
          <w:i w:val="1"/>
          <w:iCs w:val="1"/>
          <w:color w:val="auto"/>
        </w:rPr>
        <w:t>Insiders</w:t>
      </w:r>
      <w:r>
        <w:rPr>
          <w:rFonts w:ascii="Arial" w:cs="Arial" w:eastAsia="Arial" w:hAnsi="Arial"/>
          <w:sz w:val="16"/>
          <w:szCs w:val="16"/>
          <w:color w:val="auto"/>
        </w:rPr>
        <w:t>” shall mean the Sponsor and all officers and directors of the Company immediately prior to the IPO;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all of the Class B Ordinary Shares of the Company acquired by an Insider prior to the IPO; (iv) “</w:t>
      </w:r>
      <w:r>
        <w:rPr>
          <w:rFonts w:ascii="Arial" w:cs="Arial" w:eastAsia="Arial" w:hAnsi="Arial"/>
          <w:sz w:val="16"/>
          <w:szCs w:val="16"/>
          <w:b w:val="1"/>
          <w:bCs w:val="1"/>
          <w:i w:val="1"/>
          <w:iCs w:val="1"/>
          <w:color w:val="auto"/>
        </w:rPr>
        <w:t>IPO Shares</w:t>
      </w:r>
      <w:r>
        <w:rPr>
          <w:rFonts w:ascii="Arial" w:cs="Arial" w:eastAsia="Arial" w:hAnsi="Arial"/>
          <w:sz w:val="16"/>
          <w:szCs w:val="16"/>
          <w:color w:val="auto"/>
        </w:rPr>
        <w:t>” shall mean the Class A Ordinary Shares issued in the Company’s IPO;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warrants that are being sold privately by the Company simultaneously with the consummation of the IPO;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the net proceeds of the Company’s IPO and a portion of the proceeds from the sale of the Private Placement Warrants will be deposited; and (vii)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the Company’s registration statement on Form S-1 (SEC File No. 333-237245) filed with the Securities and Exchange Commission, as amended.</w:t>
      </w:r>
    </w:p>
    <w:p>
      <w:pPr>
        <w:spacing w:after="0" w:line="165" w:lineRule="exact"/>
        <w:rPr>
          <w:rFonts w:ascii="Arial" w:cs="Arial" w:eastAsia="Arial" w:hAnsi="Arial"/>
          <w:sz w:val="16"/>
          <w:szCs w:val="16"/>
          <w:color w:val="auto"/>
        </w:rPr>
      </w:pPr>
    </w:p>
    <w:p>
      <w:pPr>
        <w:ind w:left="652" w:right="80" w:hanging="652"/>
        <w:spacing w:after="0" w:line="301" w:lineRule="auto"/>
        <w:tabs>
          <w:tab w:leader="none" w:pos="6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7" w:lineRule="exact"/>
        <w:rPr>
          <w:rFonts w:ascii="Arial" w:cs="Arial" w:eastAsia="Arial" w:hAnsi="Arial"/>
          <w:sz w:val="16"/>
          <w:szCs w:val="16"/>
          <w:color w:val="auto"/>
        </w:rPr>
      </w:pPr>
    </w:p>
    <w:p>
      <w:pPr>
        <w:ind w:left="652" w:hanging="652"/>
        <w:spacing w:after="0" w:line="311" w:lineRule="auto"/>
        <w:tabs>
          <w:tab w:leader="none" w:pos="6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undersigned acknowledges and understands that the Underwriters and the Company will rely upon the agreements, representations and warranties set forth herein in proceeding with the IPO. Nothing contained herein shall be deemed to render any Underwriter a representative of, or a fiduciary with respect to, the Company, its shareholders or any creditor or vendor of the Company with respect to the subject matter hereof.</w:t>
      </w:r>
    </w:p>
    <w:p>
      <w:pPr>
        <w:spacing w:after="0" w:line="148" w:lineRule="exact"/>
        <w:rPr>
          <w:rFonts w:ascii="Arial" w:cs="Arial" w:eastAsia="Arial" w:hAnsi="Arial"/>
          <w:sz w:val="16"/>
          <w:szCs w:val="16"/>
          <w:color w:val="auto"/>
        </w:rPr>
      </w:pPr>
    </w:p>
    <w:p>
      <w:pPr>
        <w:ind w:left="652" w:right="60" w:hanging="652"/>
        <w:spacing w:after="0" w:line="254" w:lineRule="auto"/>
        <w:tabs>
          <w:tab w:leader="none" w:pos="6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Letter Agreement shall be binding on the undersigned and such person’s respective successors, heirs, personal representatives and assigns. This Letter Agreement shall terminate on the earlier of (i) the consummation of a Business Combination (other than with respect to paragraph 5, which shall survive until the expiration of all applicable lock up periods) and (ii) the liquidation of the Company; provided, that such termination shall not relieve the undersigned from liability for any breach of this agreement prior to its termination. The parties hereto may not assign either this Letter Agreement or any of their rights, interests, or obligations hereunder without the prior written consent of the other party. Any purported assignment in violation of this paragraph shall be void and ineffectual and shall not operate to transfer or assign any interest or title to the purported assignee.</w:t>
      </w:r>
    </w:p>
    <w:p>
      <w:pPr>
        <w:spacing w:after="0" w:line="1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159" w:name="page160"/>
    <w:bookmarkEnd w:id="159"/>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288925</wp:posOffset>
            </wp:positionV>
            <wp:extent cx="284607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303530</wp:posOffset>
            </wp:positionV>
            <wp:extent cx="284607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296545</wp:posOffset>
            </wp:positionV>
            <wp:extent cx="28460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296545</wp:posOffset>
            </wp:positionV>
            <wp:extent cx="284607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Isaac Barchas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303530</wp:posOffset>
            </wp:positionV>
            <wp:extent cx="284607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Rick Gaenzle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296545</wp:posOffset>
            </wp:positionV>
            <wp:extent cx="284607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60" w:name="page161"/>
    <w:bookmarkEnd w:id="160"/>
    <w:p>
      <w:pPr>
        <w:ind w:left="564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691515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20"/>
      </w:cols>
      <w:pgMar w:left="144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1"/>
      <w:numFmt w:val="decimal"/>
      <w:start w:val="24"/>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1"/>
      <w:numFmt w:val="bullet"/>
      <w:start w:val="1"/>
    </w:lvl>
  </w:abstractNum>
  <w:abstractNum w:abstractNumId="4">
    <w:nsid w:val="51D9C564"/>
    <w:multiLevelType w:val="hybridMultilevel"/>
    <w:lvl w:ilvl="0">
      <w:lvlJc w:val="left"/>
      <w:lvlText w:val="2"/>
      <w:numFmt w:val="bullet"/>
      <w:start w:val="1"/>
    </w:lvl>
  </w:abstractNum>
  <w:abstractNum w:abstractNumId="5">
    <w:nsid w:val="613EFDC5"/>
    <w:multiLevelType w:val="hybridMultilevel"/>
    <w:lvl w:ilvl="0">
      <w:lvlJc w:val="left"/>
      <w:lvlText w:val="3"/>
      <w:numFmt w:val="bullet"/>
      <w:start w:val="1"/>
    </w:lvl>
  </w:abstractNum>
  <w:abstractNum w:abstractNumId="6">
    <w:nsid w:val="BF72B14"/>
    <w:multiLevelType w:val="hybridMultilevel"/>
    <w:lvl w:ilvl="0">
      <w:lvlJc w:val="left"/>
      <w:lvlText w:val="4"/>
      <w:numFmt w:val="bullet"/>
      <w:start w:val="1"/>
    </w:lvl>
  </w:abstractNum>
  <w:abstractNum w:abstractNumId="7">
    <w:nsid w:val="11447B73"/>
    <w:multiLevelType w:val="hybridMultilevel"/>
    <w:lvl w:ilvl="0">
      <w:lvlJc w:val="left"/>
      <w:lvlText w:val="5"/>
      <w:numFmt w:val="bullet"/>
      <w:start w:val="1"/>
    </w:lvl>
  </w:abstractNum>
  <w:abstractNum w:abstractNumId="8">
    <w:nsid w:val="42963E5A"/>
    <w:multiLevelType w:val="hybridMultilevel"/>
    <w:lvl w:ilvl="0">
      <w:lvlJc w:val="left"/>
      <w:lvlText w:val="6"/>
      <w:numFmt w:val="bullet"/>
      <w:start w:val="1"/>
    </w:lvl>
  </w:abstractNum>
  <w:abstractNum w:abstractNumId="9">
    <w:nsid w:val="A0382C5"/>
    <w:multiLevelType w:val="hybridMultilevel"/>
    <w:lvl w:ilvl="0">
      <w:lvlJc w:val="left"/>
      <w:lvlText w:val="7"/>
      <w:numFmt w:val="bullet"/>
      <w:start w:val="1"/>
    </w:lvl>
  </w:abstractNum>
  <w:abstractNum w:abstractNumId="10">
    <w:nsid w:val="8F2B15E"/>
    <w:multiLevelType w:val="hybridMultilevel"/>
    <w:lvl w:ilvl="0">
      <w:lvlJc w:val="left"/>
      <w:lvlText w:val="1"/>
      <w:numFmt w:val="bullet"/>
      <w:start w:val="1"/>
    </w:lvl>
  </w:abstractNum>
  <w:abstractNum w:abstractNumId="11">
    <w:nsid w:val="1A32234B"/>
    <w:multiLevelType w:val="hybridMultilevel"/>
    <w:lvl w:ilvl="0">
      <w:lvlJc w:val="left"/>
      <w:lvlText w:val="(%1)"/>
      <w:numFmt w:val="lowerLetter"/>
      <w:start w:val="8"/>
    </w:lvl>
  </w:abstractNum>
  <w:abstractNum w:abstractNumId="12">
    <w:nsid w:val="3B0FD379"/>
    <w:multiLevelType w:val="hybridMultilevel"/>
    <w:lvl w:ilvl="0">
      <w:lvlJc w:val="left"/>
      <w:lvlText w:val="2"/>
      <w:numFmt w:val="bullet"/>
      <w:start w:val="1"/>
    </w:lvl>
  </w:abstractNum>
  <w:abstractNum w:abstractNumId="13">
    <w:nsid w:val="68EB2F63"/>
    <w:multiLevelType w:val="hybridMultilevel"/>
    <w:lvl w:ilvl="0">
      <w:lvlJc w:val="left"/>
      <w:lvlText w:val="3"/>
      <w:numFmt w:val="bullet"/>
      <w:start w:val="1"/>
    </w:lvl>
  </w:abstractNum>
  <w:abstractNum w:abstractNumId="14">
    <w:nsid w:val="4962813B"/>
    <w:multiLevelType w:val="hybridMultilevel"/>
    <w:lvl w:ilvl="0">
      <w:lvlJc w:val="left"/>
      <w:lvlText w:val="4"/>
      <w:numFmt w:val="bullet"/>
      <w:start w:val="1"/>
    </w:lvl>
  </w:abstractNum>
  <w:abstractNum w:abstractNumId="15">
    <w:nsid w:val="60B6DF70"/>
    <w:multiLevelType w:val="hybridMultilevel"/>
    <w:lvl w:ilvl="0">
      <w:lvlJc w:val="left"/>
      <w:lvlText w:val="5"/>
      <w:numFmt w:val="bullet"/>
      <w:start w:val="1"/>
    </w:lvl>
  </w:abstractNum>
  <w:abstractNum w:abstractNumId="16">
    <w:nsid w:val="6A5EE64"/>
    <w:multiLevelType w:val="hybridMultilevel"/>
    <w:lvl w:ilvl="0">
      <w:lvlJc w:val="left"/>
      <w:lvlText w:val="6"/>
      <w:numFmt w:val="bullet"/>
      <w:start w:val="1"/>
    </w:lvl>
  </w:abstractNum>
  <w:abstractNum w:abstractNumId="17">
    <w:nsid w:val="14330624"/>
    <w:multiLevelType w:val="hybridMultilevel"/>
    <w:lvl w:ilvl="0">
      <w:lvlJc w:val="left"/>
      <w:lvlText w:val="7"/>
      <w:numFmt w:val="bullet"/>
      <w:start w:val="1"/>
    </w:lvl>
  </w:abstractNum>
  <w:abstractNum w:abstractNumId="18">
    <w:nsid w:val="7FFFCA11"/>
    <w:multiLevelType w:val="hybridMultilevel"/>
    <w:lvl w:ilvl="0">
      <w:lvlJc w:val="left"/>
      <w:lvlText w:val="8"/>
      <w:numFmt w:val="bullet"/>
      <w:start w:val="1"/>
    </w:lvl>
  </w:abstractNum>
  <w:abstractNum w:abstractNumId="19">
    <w:nsid w:val="1A27709E"/>
    <w:multiLevelType w:val="hybridMultilevel"/>
    <w:lvl w:ilvl="0">
      <w:lvlJc w:val="left"/>
      <w:lvlText w:val="(%1)"/>
      <w:numFmt w:val="lowerLetter"/>
      <w:start w:val="1"/>
    </w:lvl>
  </w:abstractNum>
  <w:abstractNum w:abstractNumId="20">
    <w:nsid w:val="71EA1109"/>
    <w:multiLevelType w:val="hybridMultilevel"/>
    <w:lvl w:ilvl="0">
      <w:lvlJc w:val="left"/>
      <w:lvlText w:val="9"/>
      <w:numFmt w:val="bullet"/>
      <w:start w:val="1"/>
    </w:lvl>
  </w:abstractNum>
  <w:abstractNum w:abstractNumId="21">
    <w:nsid w:val="100F59DC"/>
    <w:multiLevelType w:val="hybridMultilevel"/>
    <w:lvl w:ilvl="0">
      <w:lvlJc w:val="left"/>
      <w:lvlText w:val="(%1)"/>
      <w:numFmt w:val="lowerLetter"/>
      <w:start w:val="1"/>
    </w:lvl>
  </w:abstractNum>
  <w:abstractNum w:abstractNumId="22">
    <w:nsid w:val="7FB7E0AA"/>
    <w:multiLevelType w:val="hybridMultilevel"/>
    <w:lvl w:ilvl="0">
      <w:lvlJc w:val="left"/>
      <w:lvlText w:val="(%1)"/>
      <w:numFmt w:val="lowerLetter"/>
      <w:start w:val="3"/>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decimal"/>
      <w:start w:val="19"/>
    </w:lvl>
  </w:abstractNum>
  <w:abstractNum w:abstractNumId="25">
    <w:nsid w:val="94211F2"/>
    <w:multiLevelType w:val="hybridMultilevel"/>
    <w:lvl w:ilvl="0">
      <w:lvlJc w:val="left"/>
      <w:lvlText w:val="(%1)"/>
      <w:numFmt w:val="lowerLetter"/>
      <w:start w:val="1"/>
    </w:lvl>
  </w:abstractNum>
  <w:abstractNum w:abstractNumId="26">
    <w:nsid w:val="885E1B"/>
    <w:multiLevelType w:val="hybridMultilevel"/>
    <w:lvl w:ilvl="0">
      <w:lvlJc w:val="left"/>
      <w:lvlText w:val="%1"/>
      <w:numFmt w:val="decimal"/>
      <w:start w:val="26"/>
    </w:lvl>
  </w:abstractNum>
  <w:abstractNum w:abstractNumId="27">
    <w:nsid w:val="76272110"/>
    <w:multiLevelType w:val="hybridMultilevel"/>
    <w:lvl w:ilvl="0">
      <w:lvlJc w:val="left"/>
      <w:lvlText w:val="%1"/>
      <w:numFmt w:val="decimal"/>
      <w:start w:val="30"/>
    </w:lvl>
    <w:lvl w:ilvl="1">
      <w:lvlJc w:val="left"/>
      <w:lvlText w:val="(%2)"/>
      <w:numFmt w:val="lowerLetter"/>
      <w:start w:val="1"/>
    </w:lvl>
  </w:abstractNum>
  <w:abstractNum w:abstractNumId="28">
    <w:nsid w:val="4C04A8AF"/>
    <w:multiLevelType w:val="hybridMultilevel"/>
    <w:lvl w:ilvl="0">
      <w:lvlJc w:val="left"/>
      <w:lvlText w:val="%1"/>
      <w:numFmt w:val="decimal"/>
      <w:start w:val="32"/>
    </w:lvl>
  </w:abstractNum>
  <w:abstractNum w:abstractNumId="29">
    <w:nsid w:val="1716703B"/>
    <w:multiLevelType w:val="hybridMultilevel"/>
    <w:lvl w:ilvl="0">
      <w:lvlJc w:val="left"/>
      <w:lvlText w:val="%1"/>
      <w:numFmt w:val="decimal"/>
      <w:start w:val="34"/>
    </w:lvl>
  </w:abstractNum>
  <w:abstractNum w:abstractNumId="30">
    <w:nsid w:val="14E17E33"/>
    <w:multiLevelType w:val="hybridMultilevel"/>
    <w:lvl w:ilvl="0">
      <w:lvlJc w:val="left"/>
      <w:lvlText w:val="%1"/>
      <w:numFmt w:val="decimal"/>
      <w:start w:val="36"/>
    </w:lvl>
  </w:abstractNum>
  <w:abstractNum w:abstractNumId="31">
    <w:nsid w:val="3222E7CD"/>
    <w:multiLevelType w:val="hybridMultilevel"/>
    <w:lvl w:ilvl="0">
      <w:lvlJc w:val="left"/>
      <w:lvlText w:val="%1"/>
      <w:numFmt w:val="decimal"/>
      <w:start w:val="40"/>
    </w:lvl>
  </w:abstractNum>
  <w:abstractNum w:abstractNumId="32">
    <w:nsid w:val="74DE0EE3"/>
    <w:multiLevelType w:val="hybridMultilevel"/>
    <w:lvl w:ilvl="0">
      <w:lvlJc w:val="left"/>
      <w:lvlText w:val="(%1)"/>
      <w:numFmt w:val="lowerLetter"/>
      <w:start w:val="1"/>
    </w:lvl>
  </w:abstractNum>
  <w:abstractNum w:abstractNumId="33">
    <w:nsid w:val="68EBC550"/>
    <w:multiLevelType w:val="hybridMultilevel"/>
    <w:lvl w:ilvl="0">
      <w:lvlJc w:val="left"/>
      <w:lvlText w:val="(%1)"/>
      <w:numFmt w:val="lowerLetter"/>
      <w:start w:val="1"/>
    </w:lvl>
  </w:abstractNum>
  <w:abstractNum w:abstractNumId="34">
    <w:nsid w:val="2DF6D648"/>
    <w:multiLevelType w:val="hybridMultilevel"/>
    <w:lvl w:ilvl="0">
      <w:lvlJc w:val="left"/>
      <w:lvlText w:val="%1"/>
      <w:numFmt w:val="decimal"/>
      <w:start w:val="46"/>
    </w:lvl>
  </w:abstractNum>
  <w:abstractNum w:abstractNumId="35">
    <w:nsid w:val="46B7D447"/>
    <w:multiLevelType w:val="hybridMultilevel"/>
    <w:lvl w:ilvl="0">
      <w:lvlJc w:val="left"/>
      <w:lvlText w:val="(%1)"/>
      <w:numFmt w:val="lowerLetter"/>
      <w:start w:val="1"/>
    </w:lvl>
  </w:abstractNum>
  <w:abstractNum w:abstractNumId="36">
    <w:nsid w:val="4A2AC315"/>
    <w:multiLevelType w:val="hybridMultilevel"/>
    <w:lvl w:ilvl="0">
      <w:lvlJc w:val="left"/>
      <w:lvlText w:val="(%1)"/>
      <w:numFmt w:val="lowerLetter"/>
      <w:start w:val="1"/>
    </w:lvl>
  </w:abstractNum>
  <w:abstractNum w:abstractNumId="37">
    <w:nsid w:val="39EE015C"/>
    <w:multiLevelType w:val="hybridMultilevel"/>
    <w:lvl w:ilvl="0">
      <w:lvlJc w:val="left"/>
      <w:lvlText w:val="(%1)"/>
      <w:numFmt w:val="lowerLetter"/>
      <w:start w:val="1"/>
    </w:lvl>
  </w:abstractNum>
  <w:abstractNum w:abstractNumId="38">
    <w:nsid w:val="57FC4FBB"/>
    <w:multiLevelType w:val="hybridMultilevel"/>
    <w:lvl w:ilvl="0">
      <w:lvlJc w:val="left"/>
      <w:lvlText w:val="(%1)"/>
      <w:numFmt w:val="lowerLetter"/>
      <w:start w:val="2"/>
    </w:lvl>
  </w:abstractNum>
  <w:abstractNum w:abstractNumId="39">
    <w:nsid w:val="CC1016F"/>
    <w:multiLevelType w:val="hybridMultilevel"/>
    <w:lvl w:ilvl="0">
      <w:lvlJc w:val="left"/>
      <w:lvlText w:val="(%1)"/>
      <w:numFmt w:val="lowerLetter"/>
      <w:start w:val="1"/>
    </w:lvl>
  </w:abstractNum>
  <w:abstractNum w:abstractNumId="40">
    <w:nsid w:val="43F18422"/>
    <w:multiLevelType w:val="hybridMultilevel"/>
    <w:lvl w:ilvl="0">
      <w:lvlJc w:val="left"/>
      <w:lvlText w:val="(%1)"/>
      <w:numFmt w:val="decimal"/>
      <w:start w:val="30"/>
    </w:lvl>
  </w:abstractNum>
  <w:abstractNum w:abstractNumId="41">
    <w:nsid w:val="60EF0119"/>
    <w:multiLevelType w:val="hybridMultilevel"/>
    <w:lvl w:ilvl="0">
      <w:lvlJc w:val="left"/>
      <w:lvlText w:val="%1."/>
      <w:numFmt w:val="decimal"/>
      <w:start w:val="1"/>
    </w:lvl>
  </w:abstractNum>
  <w:abstractNum w:abstractNumId="42">
    <w:nsid w:val="26F324BA"/>
    <w:multiLevelType w:val="hybridMultilevel"/>
    <w:lvl w:ilvl="0">
      <w:lvlJc w:val="left"/>
      <w:lvlText w:val="(%1)"/>
      <w:numFmt w:val="lowerLetter"/>
      <w:start w:val="35"/>
    </w:lvl>
    <w:lvl w:ilvl="1">
      <w:lvlJc w:val="left"/>
      <w:lvlText w:val="(%2)"/>
      <w:numFmt w:val="lowerLetter"/>
      <w:start w:val="1"/>
    </w:lvl>
  </w:abstractNum>
  <w:abstractNum w:abstractNumId="43">
    <w:nsid w:val="7F01579B"/>
    <w:multiLevelType w:val="hybridMultilevel"/>
    <w:lvl w:ilvl="0">
      <w:lvlJc w:val="left"/>
      <w:lvlText w:val="(%1)"/>
      <w:numFmt w:val="lowerLetter"/>
      <w:start w:val="2"/>
    </w:lvl>
  </w:abstractNum>
  <w:abstractNum w:abstractNumId="44">
    <w:nsid w:val="49DA307D"/>
    <w:multiLevelType w:val="hybridMultilevel"/>
    <w:lvl w:ilvl="0">
      <w:lvlJc w:val="left"/>
      <w:lvlText w:val="%1."/>
      <w:numFmt w:val="decimal"/>
      <w:start w:val="3"/>
    </w:lvl>
  </w:abstractNum>
  <w:abstractNum w:abstractNumId="45">
    <w:nsid w:val="7055A5F5"/>
    <w:multiLevelType w:val="hybridMultilevel"/>
    <w:lvl w:ilvl="0">
      <w:lvlJc w:val="left"/>
      <w:lvlText w:val="(%1)"/>
      <w:numFmt w:val="lowerLetter"/>
      <w:start w:val="26"/>
    </w:lvl>
  </w:abstractNum>
  <w:abstractNum w:abstractNumId="46">
    <w:nsid w:val="5FB8370B"/>
    <w:multiLevelType w:val="hybridMultilevel"/>
    <w:lvl w:ilvl="0">
      <w:lvlJc w:val="left"/>
      <w:lvlText w:val="(%1)"/>
      <w:numFmt w:val="lowerLetter"/>
      <w:start w:val="1"/>
    </w:lvl>
  </w:abstractNum>
  <w:abstractNum w:abstractNumId="47">
    <w:nsid w:val="50801EE1"/>
    <w:multiLevelType w:val="hybridMultilevel"/>
    <w:lvl w:ilvl="0">
      <w:lvlJc w:val="left"/>
      <w:lvlText w:val="(%1)"/>
      <w:numFmt w:val="lowerLetter"/>
      <w:start w:val="3"/>
    </w:lvl>
  </w:abstractNum>
  <w:abstractNum w:abstractNumId="48">
    <w:nsid w:val="488AC1A"/>
    <w:multiLevelType w:val="hybridMultilevel"/>
    <w:lvl w:ilvl="0">
      <w:lvlJc w:val="left"/>
      <w:lvlText w:val="%1."/>
      <w:numFmt w:val="decimal"/>
      <w:start w:val="4"/>
    </w:lvl>
  </w:abstractNum>
  <w:abstractNum w:abstractNumId="49">
    <w:nsid w:val="5FB8011C"/>
    <w:multiLevelType w:val="hybridMultilevel"/>
    <w:lvl w:ilvl="0">
      <w:lvlJc w:val="left"/>
      <w:lvlText w:val="%1."/>
      <w:numFmt w:val="decimal"/>
      <w:start w:val="5"/>
    </w:lvl>
  </w:abstractNum>
  <w:abstractNum w:abstractNumId="50">
    <w:nsid w:val="6AA78F7F"/>
    <w:multiLevelType w:val="hybridMultilevel"/>
    <w:lvl w:ilvl="0">
      <w:lvlJc w:val="left"/>
      <w:lvlText w:val="%1."/>
      <w:numFmt w:val="decimal"/>
      <w:start w:val="6"/>
    </w:lvl>
  </w:abstractNum>
  <w:abstractNum w:abstractNumId="51">
    <w:nsid w:val="7672BD23"/>
    <w:multiLevelType w:val="hybridMultilevel"/>
    <w:lvl w:ilvl="0">
      <w:lvlJc w:val="left"/>
      <w:lvlText w:val="%1."/>
      <w:numFmt w:val="decimal"/>
      <w:start w:val="7"/>
    </w:lvl>
  </w:abstractNum>
  <w:abstractNum w:abstractNumId="52">
    <w:nsid w:val="6FC75AF8"/>
    <w:multiLevelType w:val="hybridMultilevel"/>
    <w:lvl w:ilvl="0">
      <w:lvlJc w:val="left"/>
      <w:lvlText w:val="%1."/>
      <w:numFmt w:val="decimal"/>
      <w:start w:val="8"/>
    </w:lvl>
  </w:abstractNum>
  <w:abstractNum w:abstractNumId="53">
    <w:nsid w:val="6A5F7029"/>
    <w:multiLevelType w:val="hybridMultilevel"/>
    <w:lvl w:ilvl="0">
      <w:lvlJc w:val="left"/>
      <w:lvlText w:val="%1."/>
      <w:numFmt w:val="decimal"/>
      <w:start w:val="9"/>
    </w:lvl>
  </w:abstractNum>
  <w:abstractNum w:abstractNumId="54">
    <w:nsid w:val="7D5E18F8"/>
    <w:multiLevelType w:val="hybridMultilevel"/>
    <w:lvl w:ilvl="0">
      <w:lvlJc w:val="left"/>
      <w:lvlText w:val="(%1)"/>
      <w:numFmt w:val="lowerLetter"/>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lowerRoman"/>
      <w:start w:val="1"/>
    </w:lvl>
  </w:abstractNum>
  <w:abstractNum w:abstractNumId="58">
    <w:nsid w:val="555C55B5"/>
    <w:multiLevelType w:val="hybridMultilevel"/>
    <w:lvl w:ilvl="0">
      <w:lvlJc w:val="left"/>
      <w:lvlText w:val="%1."/>
      <w:numFmt w:val="decimal"/>
      <w:start w:val="1"/>
    </w:lvl>
    <w:lvl w:ilvl="1">
      <w:lvlJc w:val="left"/>
      <w:lvlText w:val="(%2)"/>
      <w:numFmt w:val="lowerLetter"/>
      <w:start w:val="1"/>
    </w:lvl>
  </w:abstractNum>
  <w:abstractNum w:abstractNumId="59">
    <w:nsid w:val="3FA62ACA"/>
    <w:multiLevelType w:val="hybridMultilevel"/>
    <w:lvl w:ilvl="0">
      <w:lvlJc w:val="left"/>
      <w:lvlText w:val="(%1)"/>
      <w:numFmt w:val="lowerLetter"/>
      <w:start w:val="2"/>
    </w:lvl>
  </w:abstractNum>
  <w:abstractNum w:abstractNumId="60">
    <w:nsid w:val="14FCE74E"/>
    <w:multiLevelType w:val="hybridMultilevel"/>
    <w:lvl w:ilvl="0">
      <w:lvlJc w:val="left"/>
      <w:lvlText w:val="(%1)"/>
      <w:numFmt w:val="lowerLetter"/>
      <w:start w:val="5"/>
    </w:lvl>
  </w:abstractNum>
  <w:abstractNum w:abstractNumId="61">
    <w:nsid w:val="6A3DD3E8"/>
    <w:multiLevelType w:val="hybridMultilevel"/>
    <w:lvl w:ilvl="0">
      <w:lvlJc w:val="left"/>
      <w:lvlText w:val="%1"/>
      <w:numFmt w:val="decimal"/>
      <w:start w:val="1"/>
    </w:lvl>
    <w:lvl w:ilvl="1">
      <w:lvlJc w:val="left"/>
      <w:lvlText w:val="(%2)"/>
      <w:numFmt w:val="lowerLetter"/>
      <w:start w:val="10"/>
    </w:lvl>
  </w:abstractNum>
  <w:abstractNum w:abstractNumId="62">
    <w:nsid w:val="71C91298"/>
    <w:multiLevelType w:val="hybridMultilevel"/>
    <w:lvl w:ilvl="0">
      <w:lvlJc w:val="left"/>
      <w:lvlText w:val="%1."/>
      <w:numFmt w:val="decimal"/>
      <w:start w:val="2"/>
    </w:lvl>
    <w:lvl w:ilvl="1">
      <w:lvlJc w:val="left"/>
      <w:lvlText w:val="(%2)"/>
      <w:numFmt w:val="lowerLetter"/>
      <w:start w:val="1"/>
    </w:lvl>
  </w:abstractNum>
  <w:abstractNum w:abstractNumId="63">
    <w:nsid w:val="9DAF632"/>
    <w:multiLevelType w:val="hybridMultilevel"/>
    <w:lvl w:ilvl="0">
      <w:lvlJc w:val="left"/>
      <w:lvlText w:val="(%1)"/>
      <w:numFmt w:val="lowerLetter"/>
      <w:start w:val="2"/>
    </w:lvl>
  </w:abstractNum>
  <w:abstractNum w:abstractNumId="64">
    <w:nsid w:val="53299938"/>
    <w:multiLevelType w:val="hybridMultilevel"/>
    <w:lvl w:ilvl="0">
      <w:lvlJc w:val="left"/>
      <w:lvlText w:val="%1"/>
      <w:numFmt w:val="decimal"/>
      <w:start w:val="1"/>
    </w:lvl>
    <w:lvl w:ilvl="1">
      <w:lvlJc w:val="left"/>
      <w:lvlText w:val="(%2)"/>
      <w:numFmt w:val="lowerLetter"/>
      <w:start w:val="7"/>
    </w:lvl>
  </w:abstractNum>
  <w:abstractNum w:abstractNumId="65">
    <w:nsid w:val="1FBFE8E0"/>
    <w:multiLevelType w:val="hybridMultilevel"/>
    <w:lvl w:ilvl="0">
      <w:lvlJc w:val="left"/>
      <w:lvlText w:val="%1."/>
      <w:numFmt w:val="decimal"/>
      <w:start w:val="3"/>
    </w:lvl>
    <w:lvl w:ilvl="1">
      <w:lvlJc w:val="left"/>
      <w:lvlText w:val="(%2)"/>
      <w:numFmt w:val="lowerLetter"/>
      <w:start w:val="1"/>
    </w:lvl>
  </w:abstractNum>
  <w:abstractNum w:abstractNumId="66">
    <w:nsid w:val="5092CA79"/>
    <w:multiLevelType w:val="hybridMultilevel"/>
    <w:lvl w:ilvl="0">
      <w:lvlJc w:val="left"/>
      <w:lvlText w:val="%1"/>
      <w:numFmt w:val="decimal"/>
      <w:start w:val="1"/>
    </w:lvl>
    <w:lvl w:ilvl="1">
      <w:lvlJc w:val="left"/>
      <w:lvlText w:val="(%2)"/>
      <w:numFmt w:val="lowerLetter"/>
      <w:start w:val="7"/>
    </w:lvl>
  </w:abstractNum>
  <w:abstractNum w:abstractNumId="67">
    <w:nsid w:val="1D545C4D"/>
    <w:multiLevelType w:val="hybridMultilevel"/>
    <w:lvl w:ilvl="0">
      <w:lvlJc w:val="left"/>
      <w:lvlText w:val="%1."/>
      <w:numFmt w:val="decimal"/>
      <w:start w:val="4"/>
    </w:lvl>
    <w:lvl w:ilvl="1">
      <w:lvlJc w:val="left"/>
      <w:lvlText w:val="%2"/>
      <w:numFmt w:val="lowerLetter"/>
      <w:start w:val="1"/>
    </w:lvl>
  </w:abstractNum>
  <w:abstractNum w:abstractNumId="68">
    <w:nsid w:val="59ADEA3D"/>
    <w:multiLevelType w:val="hybridMultilevel"/>
    <w:lvl w:ilvl="0">
      <w:lvlJc w:val="left"/>
      <w:lvlText w:val="%1."/>
      <w:numFmt w:val="decimal"/>
      <w:start w:val="5"/>
    </w:lvl>
    <w:lvl w:ilvl="1">
      <w:lvlJc w:val="left"/>
      <w:lvlText w:val="(%2)"/>
      <w:numFmt w:val="lowerLetter"/>
      <w:start w:val="1"/>
    </w:lvl>
  </w:abstractNum>
  <w:abstractNum w:abstractNumId="69">
    <w:nsid w:val="288F1A34"/>
    <w:multiLevelType w:val="hybridMultilevel"/>
    <w:lvl w:ilvl="0">
      <w:lvlJc w:val="left"/>
      <w:lvlText w:val="(%1)"/>
      <w:numFmt w:val="lowerLetter"/>
      <w:start w:val="4"/>
    </w:lvl>
  </w:abstractNum>
  <w:abstractNum w:abstractNumId="70">
    <w:nsid w:val="2A155DBC"/>
    <w:multiLevelType w:val="hybridMultilevel"/>
    <w:lvl w:ilvl="0">
      <w:lvlJc w:val="left"/>
      <w:lvlText w:val="(%1)"/>
      <w:numFmt w:val="lowerLetter"/>
      <w:start w:val="6"/>
    </w:lvl>
  </w:abstractNum>
  <w:abstractNum w:abstractNumId="71">
    <w:nsid w:val="1D9F6E5F"/>
    <w:multiLevelType w:val="hybridMultilevel"/>
    <w:lvl w:ilvl="0">
      <w:lvlJc w:val="left"/>
      <w:lvlText w:val="%1:"/>
      <w:numFmt w:val="lowerLetter"/>
      <w:start w:val="29"/>
    </w:lvl>
  </w:abstractNum>
  <w:abstractNum w:abstractNumId="72">
    <w:nsid w:val="97E1B4E"/>
    <w:multiLevelType w:val="hybridMultilevel"/>
    <w:lvl w:ilvl="0">
      <w:lvlJc w:val="left"/>
      <w:lvlText w:val="%1:"/>
      <w:numFmt w:val="lowerLetter"/>
      <w:start w:val="29"/>
    </w:lvl>
  </w:abstractNum>
  <w:abstractNum w:abstractNumId="73">
    <w:nsid w:val="51088277"/>
    <w:multiLevelType w:val="hybridMultilevel"/>
    <w:lvl w:ilvl="0">
      <w:lvlJc w:val="left"/>
      <w:lvlText w:val="%1:"/>
      <w:numFmt w:val="lowerLetter"/>
      <w:start w:val="29"/>
    </w:lvl>
  </w:abstractNum>
  <w:abstractNum w:abstractNumId="74">
    <w:nsid w:val="1CA0C5FA"/>
    <w:multiLevelType w:val="hybridMultilevel"/>
    <w:lvl w:ilvl="0">
      <w:lvlJc w:val="left"/>
      <w:lvlText w:val="%1:"/>
      <w:numFmt w:val="lowerLetter"/>
      <w:start w:val="29"/>
    </w:lvl>
  </w:abstractNum>
  <w:abstractNum w:abstractNumId="75">
    <w:nsid w:val="53584BCB"/>
    <w:multiLevelType w:val="hybridMultilevel"/>
    <w:lvl w:ilvl="0">
      <w:lvlJc w:val="left"/>
      <w:lvlText w:val="(%1)"/>
      <w:numFmt w:val="upperLetter"/>
      <w:start w:val="1"/>
    </w:lvl>
  </w:abstractNum>
  <w:abstractNum w:abstractNumId="76">
    <w:nsid w:val="415E286C"/>
    <w:multiLevelType w:val="hybridMultilevel"/>
    <w:lvl w:ilvl="0">
      <w:lvlJc w:val="left"/>
      <w:lvlText w:val="(%1)"/>
      <w:numFmt w:val="upperLetter"/>
      <w:start w:val="6"/>
    </w:lvl>
  </w:abstractNum>
  <w:abstractNum w:abstractNumId="77">
    <w:nsid w:val="7C58FD05"/>
    <w:multiLevelType w:val="hybridMultilevel"/>
    <w:lvl w:ilvl="0">
      <w:lvlJc w:val="left"/>
      <w:lvlText w:val="%1"/>
      <w:numFmt w:val="upperLetter"/>
      <w:start w:val="1"/>
    </w:lvl>
    <w:lvl w:ilvl="1">
      <w:lvlJc w:val="left"/>
      <w:lvlText w:val="(%2)"/>
      <w:numFmt w:val="lowerLetter"/>
      <w:start w:val="1"/>
    </w:lvl>
  </w:abstractNum>
  <w:abstractNum w:abstractNumId="78">
    <w:nsid w:val="23D86AAC"/>
    <w:multiLevelType w:val="hybridMultilevel"/>
    <w:lvl w:ilvl="0">
      <w:lvlJc w:val="left"/>
      <w:lvlText w:val="(%1)"/>
      <w:numFmt w:val="upperLetter"/>
      <w:start w:val="2"/>
    </w:lvl>
    <w:lvl w:ilvl="1">
      <w:lvlJc w:val="left"/>
      <w:lvlText w:val="%2"/>
      <w:numFmt w:val="lowerLetter"/>
      <w:start w:val="1"/>
    </w:lvl>
  </w:abstractNum>
  <w:abstractNum w:abstractNumId="79">
    <w:nsid w:val="45E6D486"/>
    <w:multiLevelType w:val="hybridMultilevel"/>
    <w:lvl w:ilvl="0">
      <w:lvlJc w:val="left"/>
      <w:lvlText w:val="(%1)"/>
      <w:numFmt w:val="upperLetter"/>
      <w:start w:val="1"/>
    </w:lvl>
    <w:lvl w:ilvl="1">
      <w:lvlJc w:val="left"/>
      <w:lvlText w:val="%2"/>
      <w:numFmt w:val="lowerLetter"/>
      <w:start w:val="1"/>
    </w:lvl>
  </w:abstractNum>
  <w:abstractNum w:abstractNumId="80">
    <w:nsid w:val="5C10FE21"/>
    <w:multiLevelType w:val="hybridMultilevel"/>
    <w:lvl w:ilvl="0">
      <w:lvlJc w:val="left"/>
      <w:lvlText w:val="(%1)"/>
      <w:numFmt w:val="lowerLetter"/>
      <w:start w:val="2"/>
    </w:lvl>
  </w:abstractNum>
  <w:abstractNum w:abstractNumId="81">
    <w:nsid w:val="E7FFA2B"/>
    <w:multiLevelType w:val="hybridMultilevel"/>
    <w:lvl w:ilvl="0">
      <w:lvlJc w:val="left"/>
      <w:lvlText w:val="(%1)"/>
      <w:numFmt w:val="lowerRoman"/>
      <w:start w:val="1"/>
    </w:lvl>
  </w:abstractNum>
  <w:abstractNum w:abstractNumId="82">
    <w:nsid w:val="3C5991AA"/>
    <w:multiLevelType w:val="hybridMultilevel"/>
    <w:lvl w:ilvl="0">
      <w:lvlJc w:val="left"/>
      <w:lvlText w:val="(%1)"/>
      <w:numFmt w:val="lowerRoman"/>
      <w:start w:val="1"/>
    </w:lvl>
  </w:abstractNum>
  <w:abstractNum w:abstractNumId="83">
    <w:nsid w:val="4BD8591A"/>
    <w:multiLevelType w:val="hybridMultilevel"/>
    <w:lvl w:ilvl="0">
      <w:lvlJc w:val="left"/>
      <w:lvlText w:val="(%1)"/>
      <w:numFmt w:val="lowerRoman"/>
      <w:start w:val="1"/>
    </w:lvl>
  </w:abstractNum>
  <w:abstractNum w:abstractNumId="84">
    <w:nsid w:val="78DF6A55"/>
    <w:multiLevelType w:val="hybridMultilevel"/>
    <w:lvl w:ilvl="0">
      <w:lvlJc w:val="left"/>
      <w:lvlText w:val="(%1)"/>
      <w:numFmt w:val="lowerRoman"/>
      <w:start w:val="1"/>
    </w:lvl>
  </w:abstractNum>
  <w:abstractNum w:abstractNumId="85">
    <w:nsid w:val="39B7AAA2"/>
    <w:multiLevelType w:val="hybridMultilevel"/>
    <w:lvl w:ilvl="0">
      <w:lvlJc w:val="left"/>
      <w:lvlText w:val="(%1)"/>
      <w:numFmt w:val="lowerRoman"/>
      <w:start w:val="1"/>
    </w:lvl>
  </w:abstractNum>
  <w:abstractNum w:abstractNumId="86">
    <w:nsid w:val="2B0D8DBE"/>
    <w:multiLevelType w:val="hybridMultilevel"/>
    <w:lvl w:ilvl="0">
      <w:lvlJc w:val="left"/>
      <w:lvlText w:val="(%1)"/>
      <w:numFmt w:val="lowerRoman"/>
      <w:start w:val="4"/>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decimal"/>
      <w:start w:val="2"/>
    </w:lvl>
  </w:abstractNum>
  <w:abstractNum w:abstractNumId="89">
    <w:nsid w:val="69E373"/>
    <w:multiLevelType w:val="hybridMultilevel"/>
    <w:lvl w:ilvl="0">
      <w:lvlJc w:val="left"/>
      <w:lvlText w:val="(%1)"/>
      <w:numFmt w:val="lowerLetter"/>
      <w:start w:val="1"/>
    </w:lvl>
    <w:lvl w:ilvl="1">
      <w:lvlJc w:val="left"/>
      <w:lvlText w:val="(%2)"/>
      <w:numFmt w:val="lowerRoman"/>
      <w:start w:val="1"/>
    </w:lvl>
  </w:abstractNum>
  <w:abstractNum w:abstractNumId="90">
    <w:nsid w:val="2C27173B"/>
    <w:multiLevelType w:val="hybridMultilevel"/>
    <w:lvl w:ilvl="0">
      <w:lvlJc w:val="left"/>
      <w:lvlText w:val="%1"/>
      <w:numFmt w:val="lowerLetter"/>
      <w:start w:val="1"/>
    </w:lvl>
    <w:lvl w:ilvl="1">
      <w:lvlJc w:val="left"/>
      <w:lvlText w:val="(%2)"/>
      <w:numFmt w:val="lowerRoman"/>
      <w:start w:val="4"/>
    </w:lvl>
  </w:abstractNum>
  <w:abstractNum w:abstractNumId="91">
    <w:nsid w:val="4C9B0904"/>
    <w:multiLevelType w:val="hybridMultilevel"/>
    <w:lvl w:ilvl="0">
      <w:lvlJc w:val="left"/>
      <w:lvlText w:val="(%1)"/>
      <w:numFmt w:val="lowerLetter"/>
      <w:start w:val="5"/>
    </w:lvl>
    <w:lvl w:ilvl="1">
      <w:lvlJc w:val="left"/>
      <w:lvlText w:val="%2"/>
      <w:numFmt w:val="lowerRoman"/>
      <w:start w:val="1"/>
    </w:lvl>
  </w:abstractNum>
  <w:abstractNum w:abstractNumId="92">
    <w:nsid w:val="6AA7B75C"/>
    <w:multiLevelType w:val="hybridMultilevel"/>
    <w:lvl w:ilvl="0">
      <w:lvlJc w:val="left"/>
      <w:lvlText w:val="(%1)"/>
      <w:numFmt w:val="lowerLetter"/>
      <w:start w:val="12"/>
    </w:lvl>
  </w:abstractNum>
  <w:abstractNum w:abstractNumId="93">
    <w:nsid w:val="1DF029D3"/>
    <w:multiLevelType w:val="hybridMultilevel"/>
    <w:lvl w:ilvl="0">
      <w:lvlJc w:val="left"/>
      <w:lvlText w:val="%1."/>
      <w:numFmt w:val="decimal"/>
      <w:start w:val="3"/>
    </w:lvl>
  </w:abstractNum>
  <w:abstractNum w:abstractNumId="94">
    <w:nsid w:val="5675FF36"/>
    <w:multiLevelType w:val="hybridMultilevel"/>
    <w:lvl w:ilvl="0">
      <w:lvlJc w:val="left"/>
      <w:lvlText w:val="%1."/>
      <w:numFmt w:val="decimal"/>
      <w:start w:val="4"/>
    </w:lvl>
  </w:abstractNum>
  <w:abstractNum w:abstractNumId="95">
    <w:nsid w:val="3DD15094"/>
    <w:multiLevelType w:val="hybridMultilevel"/>
    <w:lvl w:ilvl="0">
      <w:lvlJc w:val="left"/>
      <w:lvlText w:val="%1."/>
      <w:numFmt w:val="decimal"/>
      <w:start w:val="5"/>
    </w:lvl>
  </w:abstractNum>
  <w:abstractNum w:abstractNumId="96">
    <w:nsid w:val="3DB012B3"/>
    <w:multiLevelType w:val="hybridMultilevel"/>
    <w:lvl w:ilvl="0">
      <w:lvlJc w:val="left"/>
      <w:lvlText w:val="%1."/>
      <w:numFmt w:val="decimal"/>
      <w:start w:val="6"/>
    </w:lvl>
  </w:abstractNum>
  <w:abstractNum w:abstractNumId="97">
    <w:nsid w:val="2708C9AF"/>
    <w:multiLevelType w:val="hybridMultilevel"/>
    <w:lvl w:ilvl="0">
      <w:lvlJc w:val="left"/>
      <w:lvlText w:val="%1."/>
      <w:numFmt w:val="decimal"/>
      <w:start w:val="7"/>
    </w:lvl>
  </w:abstractNum>
  <w:abstractNum w:abstractNumId="98">
    <w:nsid w:val="5B25ACE2"/>
    <w:multiLevelType w:val="hybridMultilevel"/>
    <w:lvl w:ilvl="0">
      <w:lvlJc w:val="left"/>
      <w:lvlText w:val="%1."/>
      <w:numFmt w:val="decimal"/>
      <w:start w:val="8"/>
    </w:lvl>
  </w:abstractNum>
  <w:abstractNum w:abstractNumId="99">
    <w:nsid w:val="175DFCF0"/>
    <w:multiLevelType w:val="hybridMultilevel"/>
    <w:lvl w:ilvl="0">
      <w:lvlJc w:val="left"/>
      <w:lvlText w:val="(%1)"/>
      <w:numFmt w:val="lowerLetter"/>
      <w:start w:val="1"/>
    </w:lvl>
  </w:abstractNum>
  <w:abstractNum w:abstractNumId="100">
    <w:nsid w:val="4F97E3E4"/>
    <w:multiLevelType w:val="hybridMultilevel"/>
    <w:lvl w:ilvl="0">
      <w:lvlJc w:val="left"/>
      <w:lvlText w:val="%1."/>
      <w:numFmt w:val="decimal"/>
      <w:start w:val="9"/>
    </w:lvl>
  </w:abstractNum>
  <w:abstractNum w:abstractNumId="101">
    <w:nsid w:val="53B0A9E"/>
    <w:multiLevelType w:val="hybridMultilevel"/>
    <w:lvl w:ilvl="0">
      <w:lvlJc w:val="left"/>
      <w:lvlText w:val="(%1)"/>
      <w:numFmt w:val="lowerLetter"/>
      <w:start w:val="1"/>
    </w:lvl>
  </w:abstractNum>
  <w:abstractNum w:abstractNumId="102">
    <w:nsid w:val="34FD6B4F"/>
    <w:multiLevelType w:val="hybridMultilevel"/>
    <w:lvl w:ilvl="0">
      <w:lvlJc w:val="left"/>
      <w:lvlText w:val="%1."/>
      <w:numFmt w:val="decimal"/>
      <w:start w:val="10"/>
    </w:lvl>
  </w:abstractNum>
  <w:abstractNum w:abstractNumId="103">
    <w:nsid w:val="5915FF32"/>
    <w:multiLevelType w:val="hybridMultilevel"/>
    <w:lvl w:ilvl="0">
      <w:lvlJc w:val="left"/>
      <w:lvlText w:val="(%1)"/>
      <w:numFmt w:val="lowerLetter"/>
      <w:start w:val="1"/>
    </w:lvl>
  </w:abstractNum>
  <w:abstractNum w:abstractNumId="104">
    <w:nsid w:val="56438D15"/>
    <w:multiLevelType w:val="hybridMultilevel"/>
    <w:lvl w:ilvl="0">
      <w:lvlJc w:val="left"/>
      <w:lvlText w:val="%1."/>
      <w:numFmt w:val="decimal"/>
      <w:start w:val="11"/>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decimal"/>
      <w:start w:val="12"/>
    </w:lvl>
  </w:abstractNum>
  <w:abstractNum w:abstractNumId="107">
    <w:nsid w:val="17A1B582"/>
    <w:multiLevelType w:val="hybridMultilevel"/>
    <w:lvl w:ilvl="0">
      <w:lvlJc w:val="left"/>
      <w:lvlText w:val="(%1)"/>
      <w:numFmt w:val="lowerLetter"/>
      <w:start w:val="1"/>
    </w:lvl>
  </w:abstractNum>
  <w:abstractNum w:abstractNumId="108">
    <w:nsid w:val="4DF72E4E"/>
    <w:multiLevelType w:val="hybridMultilevel"/>
    <w:lvl w:ilvl="0">
      <w:lvlJc w:val="left"/>
      <w:lvlText w:val="(%1)"/>
      <w:numFmt w:val="lowerLetter"/>
      <w:start w:val="2"/>
    </w:lvl>
  </w:abstractNum>
  <w:abstractNum w:abstractNumId="109">
    <w:nsid w:val="5046B5A9"/>
    <w:multiLevelType w:val="hybridMultilevel"/>
    <w:lvl w:ilvl="0">
      <w:lvlJc w:val="left"/>
      <w:lvlText w:val="%1."/>
      <w:numFmt w:val="decimal"/>
      <w:start w:val="13"/>
    </w:lvl>
  </w:abstractNum>
  <w:abstractNum w:abstractNumId="110">
    <w:nsid w:val="5D888A08"/>
    <w:multiLevelType w:val="hybridMultilevel"/>
    <w:lvl w:ilvl="0">
      <w:lvlJc w:val="left"/>
      <w:lvlText w:val="(%1)"/>
      <w:numFmt w:val="lowerLetter"/>
      <w:start w:val="1"/>
    </w:lvl>
  </w:abstractNum>
  <w:abstractNum w:abstractNumId="111">
    <w:nsid w:val="2A082C70"/>
    <w:multiLevelType w:val="hybridMultilevel"/>
    <w:lvl w:ilvl="0">
      <w:lvlJc w:val="left"/>
      <w:lvlText w:val="(%1)"/>
      <w:numFmt w:val="lowerLetter"/>
      <w:start w:val="3"/>
    </w:lvl>
  </w:abstractNum>
  <w:abstractNum w:abstractNumId="112">
    <w:nsid w:val="5EC6AFD4"/>
    <w:multiLevelType w:val="hybridMultilevel"/>
    <w:lvl w:ilvl="0">
      <w:lvlJc w:val="left"/>
      <w:lvlText w:val="%1."/>
      <w:numFmt w:val="decimal"/>
      <w:start w:val="14"/>
    </w:lvl>
  </w:abstractNum>
  <w:abstractNum w:abstractNumId="113">
    <w:nsid w:val="19E21BB2"/>
    <w:multiLevelType w:val="hybridMultilevel"/>
    <w:lvl w:ilvl="0">
      <w:lvlJc w:val="left"/>
      <w:lvlText w:val="(%1)"/>
      <w:numFmt w:val="lowerLetter"/>
      <w:start w:val="1"/>
    </w:lvl>
  </w:abstractNum>
  <w:abstractNum w:abstractNumId="114">
    <w:nsid w:val="75E0858A"/>
    <w:multiLevelType w:val="hybridMultilevel"/>
    <w:lvl w:ilvl="0">
      <w:lvlJc w:val="left"/>
      <w:lvlText w:val="(%1)"/>
      <w:numFmt w:val="lowerLetter"/>
      <w:start w:val="3"/>
    </w:lvl>
  </w:abstractNum>
  <w:abstractNum w:abstractNumId="115">
    <w:nsid w:val="57A61A29"/>
    <w:multiLevelType w:val="hybridMultilevel"/>
    <w:lvl w:ilvl="0">
      <w:lvlJc w:val="left"/>
      <w:lvlText w:val="%1."/>
      <w:numFmt w:val="decimal"/>
      <w:start w:val="15"/>
    </w:lvl>
  </w:abstractNum>
  <w:abstractNum w:abstractNumId="116">
    <w:nsid w:val="5399C654"/>
    <w:multiLevelType w:val="hybridMultilevel"/>
    <w:lvl w:ilvl="0">
      <w:lvlJc w:val="left"/>
      <w:lvlText w:val="%1."/>
      <w:numFmt w:val="decimal"/>
      <w:start w:val="16"/>
    </w:lvl>
  </w:abstractNum>
  <w:abstractNum w:abstractNumId="117">
    <w:nsid w:val="20EE1348"/>
    <w:multiLevelType w:val="hybridMultilevel"/>
    <w:lvl w:ilvl="0">
      <w:lvlJc w:val="left"/>
      <w:lvlText w:val="(%1)"/>
      <w:numFmt w:val="lowerLetter"/>
      <w:start w:val="1"/>
    </w:lvl>
  </w:abstractNum>
  <w:abstractNum w:abstractNumId="118">
    <w:nsid w:val="4427069A"/>
    <w:multiLevelType w:val="hybridMultilevel"/>
    <w:lvl w:ilvl="0">
      <w:lvlJc w:val="left"/>
      <w:lvlText w:val="%1."/>
      <w:numFmt w:val="decimal"/>
      <w:start w:val="17"/>
    </w:lvl>
  </w:abstractNum>
  <w:abstractNum w:abstractNumId="119">
    <w:nsid w:val="B37E80A"/>
    <w:multiLevelType w:val="hybridMultilevel"/>
    <w:lvl w:ilvl="0">
      <w:lvlJc w:val="left"/>
      <w:lvlText w:val="%1."/>
      <w:numFmt w:val="decimal"/>
      <w:start w:val="18"/>
    </w:lvl>
  </w:abstractNum>
  <w:abstractNum w:abstractNumId="120">
    <w:nsid w:val="2157F6BC"/>
    <w:multiLevelType w:val="hybridMultilevel"/>
    <w:lvl w:ilvl="0">
      <w:lvlJc w:val="left"/>
      <w:lvlText w:val="%1."/>
      <w:numFmt w:val="decimal"/>
      <w:start w:val="19"/>
    </w:lvl>
  </w:abstractNum>
  <w:abstractNum w:abstractNumId="121">
    <w:nsid w:val="704E1DD5"/>
    <w:multiLevelType w:val="hybridMultilevel"/>
    <w:lvl w:ilvl="0">
      <w:lvlJc w:val="left"/>
      <w:lvlText w:val="(%1)"/>
      <w:numFmt w:val="lowerLetter"/>
      <w:start w:val="1"/>
    </w:lvl>
  </w:abstractNum>
  <w:abstractNum w:abstractNumId="122">
    <w:nsid w:val="57D2F10E"/>
    <w:multiLevelType w:val="hybridMultilevel"/>
    <w:lvl w:ilvl="0">
      <w:lvlJc w:val="left"/>
      <w:lvlText w:val="(%1)"/>
      <w:numFmt w:val="lowerLetter"/>
      <w:start w:val="5"/>
    </w:lvl>
  </w:abstractNum>
  <w:abstractNum w:abstractNumId="123">
    <w:nsid w:val="BFFAE18"/>
    <w:multiLevelType w:val="hybridMultilevel"/>
    <w:lvl w:ilvl="0">
      <w:lvlJc w:val="left"/>
      <w:lvlText w:val="%1."/>
      <w:numFmt w:val="decimal"/>
      <w:start w:val="20"/>
    </w:lvl>
  </w:abstractNum>
  <w:abstractNum w:abstractNumId="124">
    <w:nsid w:val="E3E47A8"/>
    <w:multiLevelType w:val="hybridMultilevel"/>
    <w:lvl w:ilvl="0">
      <w:lvlJc w:val="left"/>
      <w:lvlText w:val="%1."/>
      <w:numFmt w:val="decimal"/>
      <w:start w:val="21"/>
    </w:lvl>
  </w:abstractNum>
  <w:abstractNum w:abstractNumId="125">
    <w:nsid w:val="2E48F044"/>
    <w:multiLevelType w:val="hybridMultilevel"/>
    <w:lvl w:ilvl="0">
      <w:lvlJc w:val="left"/>
      <w:lvlText w:val="(%1)"/>
      <w:numFmt w:val="lowerRoman"/>
      <w:start w:val="1"/>
    </w:lvl>
  </w:abstractNum>
  <w:abstractNum w:abstractNumId="126">
    <w:nsid w:val="49D0FEAC"/>
    <w:multiLevelType w:val="hybridMultilevel"/>
    <w:lvl w:ilvl="0">
      <w:lvlJc w:val="left"/>
      <w:lvlText w:val="(%1)"/>
      <w:numFmt w:val="lowerLetter"/>
      <w:start w:val="1"/>
    </w:lvl>
  </w:abstractNum>
  <w:abstractNum w:abstractNumId="127">
    <w:nsid w:val="4BEE5A5B"/>
    <w:multiLevelType w:val="hybridMultilevel"/>
    <w:lvl w:ilvl="0">
      <w:lvlJc w:val="left"/>
      <w:lvlText w:val="%1."/>
      <w:numFmt w:val="decimal"/>
      <w:start w:val="22"/>
    </w:lvl>
  </w:abstractNum>
  <w:abstractNum w:abstractNumId="128">
    <w:nsid w:val="5551B9F3"/>
    <w:multiLevelType w:val="hybridMultilevel"/>
    <w:lvl w:ilvl="0">
      <w:lvlJc w:val="left"/>
      <w:lvlText w:val="%1."/>
      <w:numFmt w:val="decimal"/>
      <w:start w:val="23"/>
    </w:lvl>
  </w:abstractNum>
  <w:abstractNum w:abstractNumId="129">
    <w:nsid w:val="24F6AB8E"/>
    <w:multiLevelType w:val="hybridMultilevel"/>
    <w:lvl w:ilvl="0">
      <w:lvlJc w:val="left"/>
      <w:lvlText w:val="%1."/>
      <w:numFmt w:val="decimal"/>
      <w:start w:val="24"/>
    </w:lvl>
  </w:abstractNum>
  <w:abstractNum w:abstractNumId="130">
    <w:nsid w:val="634C574C"/>
    <w:multiLevelType w:val="hybridMultilevel"/>
    <w:lvl w:ilvl="0">
      <w:lvlJc w:val="left"/>
      <w:lvlText w:val="%1."/>
      <w:numFmt w:val="decimal"/>
      <w:start w:val="25"/>
    </w:lvl>
  </w:abstractNum>
  <w:abstractNum w:abstractNumId="131">
    <w:nsid w:val="24E99DD7"/>
    <w:multiLevelType w:val="hybridMultilevel"/>
    <w:lvl w:ilvl="0">
      <w:lvlJc w:val="left"/>
      <w:lvlText w:val="%1."/>
      <w:numFmt w:val="decimal"/>
      <w:start w:val="26"/>
    </w:lvl>
  </w:abstractNum>
  <w:abstractNum w:abstractNumId="132">
    <w:nsid w:val="2A31B62D"/>
    <w:multiLevelType w:val="hybridMultilevel"/>
    <w:lvl w:ilvl="0">
      <w:lvlJc w:val="left"/>
      <w:lvlText w:val="%1."/>
      <w:numFmt w:val="decimal"/>
      <w:start w:val="27"/>
    </w:lvl>
  </w:abstractNum>
  <w:abstractNum w:abstractNumId="133">
    <w:nsid w:val="1849C29B"/>
    <w:multiLevelType w:val="hybridMultilevel"/>
    <w:lvl w:ilvl="0">
      <w:lvlJc w:val="left"/>
      <w:lvlText w:val="%1."/>
      <w:numFmt w:val="decimal"/>
      <w:start w:val="28"/>
    </w:lvl>
  </w:abstractNum>
  <w:abstractNum w:abstractNumId="134">
    <w:nsid w:val="7DFF9D09"/>
    <w:multiLevelType w:val="hybridMultilevel"/>
    <w:lvl w:ilvl="0">
      <w:lvlJc w:val="left"/>
      <w:lvlText w:val="%1."/>
      <w:numFmt w:val="decimal"/>
      <w:start w:val="1"/>
    </w:lvl>
  </w:abstractNum>
  <w:abstractNum w:abstractNumId="135">
    <w:nsid w:val="754342"/>
    <w:multiLevelType w:val="hybridMultilevel"/>
    <w:lvl w:ilvl="0">
      <w:lvlJc w:val="left"/>
      <w:lvlText w:val="%1."/>
      <w:numFmt w:val="decimal"/>
      <w:start w:val="3"/>
    </w:lvl>
    <w:lvl w:ilvl="1">
      <w:lvlJc w:val="left"/>
      <w:lvlText w:val="(%2)"/>
      <w:numFmt w:val="lowerLetter"/>
      <w:start w:val="2"/>
    </w:lvl>
  </w:abstractNum>
  <w:abstractNum w:abstractNumId="136">
    <w:nsid w:val="69E7F3E5"/>
    <w:multiLevelType w:val="hybridMultilevel"/>
    <w:lvl w:ilvl="0">
      <w:lvlJc w:val="left"/>
      <w:lvlText w:val="%1"/>
      <w:numFmt w:val="decimal"/>
      <w:start w:val="1"/>
    </w:lvl>
    <w:lvl w:ilvl="1">
      <w:lvlJc w:val="left"/>
      <w:lvlText w:val="(%2)"/>
      <w:numFmt w:val="lowerLetter"/>
      <w:start w:val="4"/>
    </w:lvl>
  </w:abstractNum>
  <w:abstractNum w:abstractNumId="137">
    <w:nsid w:val="2A6DE806"/>
    <w:multiLevelType w:val="hybridMultilevel"/>
    <w:lvl w:ilvl="0">
      <w:lvlJc w:val="left"/>
      <w:lvlText w:val="%1."/>
      <w:numFmt w:val="decimal"/>
      <w:start w:val="6"/>
    </w:lvl>
    <w:lvl w:ilvl="1">
      <w:lvlJc w:val="left"/>
      <w:lvlText w:val="(%2)"/>
      <w:numFmt w:val="lowerLetter"/>
      <w:start w:val="24"/>
    </w:lvl>
  </w:abstractNum>
  <w:abstractNum w:abstractNumId="138">
    <w:nsid w:val="1816F8C4"/>
    <w:multiLevelType w:val="hybridMultilevel"/>
    <w:lvl w:ilvl="0">
      <w:lvlJc w:val="left"/>
      <w:lvlText w:val="%1."/>
      <w:numFmt w:val="decimal"/>
      <w:start w:val="10"/>
    </w:lvl>
  </w:abstractNum>
  <w:abstractNum w:abstractNumId="139">
    <w:nsid w:val="37DF2233"/>
    <w:multiLevelType w:val="hybridMultilevel"/>
    <w:lvl w:ilvl="0">
      <w:lvlJc w:val="left"/>
      <w:lvlText w:val="%1."/>
      <w:numFmt w:val="decimal"/>
      <w:start w:val="1"/>
    </w:lvl>
  </w:abstractNum>
  <w:abstractNum w:abstractNumId="140">
    <w:nsid w:val="7AB49DAF"/>
    <w:multiLevelType w:val="hybridMultilevel"/>
    <w:lvl w:ilvl="0">
      <w:lvlJc w:val="left"/>
      <w:lvlText w:val="%1."/>
      <w:numFmt w:val="decimal"/>
      <w:start w:val="3"/>
    </w:lvl>
  </w:abstractNum>
  <w:abstractNum w:abstractNumId="141">
    <w:nsid w:val="759F82CD"/>
    <w:multiLevelType w:val="hybridMultilevel"/>
    <w:lvl w:ilvl="0">
      <w:lvlJc w:val="left"/>
      <w:lvlText w:val="(%1)"/>
      <w:numFmt w:val="lowerLetter"/>
      <w:start w:val="2"/>
    </w:lvl>
  </w:abstractNum>
  <w:abstractNum w:abstractNumId="142">
    <w:nsid w:val="61E74EA3"/>
    <w:multiLevelType w:val="hybridMultilevel"/>
    <w:lvl w:ilvl="0">
      <w:lvlJc w:val="left"/>
      <w:lvlText w:val="%1"/>
      <w:numFmt w:val="decimal"/>
      <w:start w:val="1"/>
    </w:lvl>
    <w:lvl w:ilvl="1">
      <w:lvlJc w:val="left"/>
      <w:lvlText w:val="(%2)"/>
      <w:numFmt w:val="lowerLetter"/>
      <w:start w:val="5"/>
    </w:lvl>
  </w:abstractNum>
  <w:abstractNum w:abstractNumId="143">
    <w:nsid w:val="597B4D84"/>
    <w:multiLevelType w:val="hybridMultilevel"/>
    <w:lvl w:ilvl="0">
      <w:lvlJc w:val="left"/>
      <w:lvlText w:val="%1."/>
      <w:numFmt w:val="decimal"/>
      <w:start w:val="6"/>
    </w:lvl>
    <w:lvl w:ilvl="1">
      <w:lvlJc w:val="left"/>
      <w:lvlText w:val="(%2)"/>
      <w:numFmt w:val="lowerLetter"/>
      <w:start w:val="2"/>
    </w:lvl>
  </w:abstractNum>
  <w:abstractNum w:abstractNumId="144">
    <w:nsid w:val="F819E7F"/>
    <w:multiLevelType w:val="hybridMultilevel"/>
    <w:lvl w:ilvl="0">
      <w:lvlJc w:val="left"/>
      <w:lvlText w:val="%1."/>
      <w:numFmt w:val="decimal"/>
      <w:start w:val="7"/>
    </w:lvl>
    <w:lvl w:ilvl="1">
      <w:lvlJc w:val="left"/>
      <w:lvlText w:val="(%2)"/>
      <w:numFmt w:val="lowerLetter"/>
      <w:start w:val="1"/>
    </w:lvl>
  </w:abstractNum>
  <w:abstractNum w:abstractNumId="145">
    <w:nsid w:val="57C7D42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jpeg"/><Relationship Id="rId127" Type="http://schemas.openxmlformats.org/officeDocument/2006/relationships/image" Target="media/image114.png"/><Relationship Id="rId128" Type="http://schemas.openxmlformats.org/officeDocument/2006/relationships/image" Target="media/image115.jpeg"/><Relationship Id="rId129" Type="http://schemas.openxmlformats.org/officeDocument/2006/relationships/image" Target="media/image116.png"/><Relationship Id="rId130" Type="http://schemas.openxmlformats.org/officeDocument/2006/relationships/image" Target="media/image117.jpe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17" Type="http://schemas.openxmlformats.org/officeDocument/2006/relationships/hyperlink" Target="http://www.sec.gov/Archives/edgar/data/1798562/000121390020006690/fs12020ex3-1_sustainable.htm" TargetMode="External"/><Relationship Id="rId18" Type="http://schemas.openxmlformats.org/officeDocument/2006/relationships/hyperlink" Target="http://www.sec.gov/Archives/edgar/data/1798562/000121390020006690/fs12020ex10-6_sustainable.htm" TargetMode="External"/><Relationship Id="rId19" Type="http://schemas.openxmlformats.org/officeDocument/2006/relationships/hyperlink" Target="http://www.sec.gov/Archives/edgar/data/1798562/000121390020006690/fs12020ex10-7_sustainable.htm" TargetMode="External"/><Relationship Id="rId20" Type="http://schemas.openxmlformats.org/officeDocument/2006/relationships/hyperlink" Target="http://www.sec.gov/Archives/edgar/data/1798562/000121390020006690/fs12020ex23-1_sustainable.htm" TargetMode="External"/><Relationship Id="rId21" Type="http://schemas.openxmlformats.org/officeDocument/2006/relationships/hyperlink" Target="http://www.sec.gov/Archives/edgar/data/1798562/000121390020006690/fs12020ex99-1_sustainable.htm" TargetMode="External"/><Relationship Id="rId22" Type="http://schemas.openxmlformats.org/officeDocument/2006/relationships/hyperlink" Target="http://www.sec.gov/Archives/edgar/data/1798562/000121390020006690/fs12020ex99-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2020-05-01T08:22:54Z</dcterms:created>
  <dcterms:modified xsi:type="dcterms:W3CDTF">2020-05-01T08:22:54Z</dcterms:modified>
</cp:coreProperties>
</file>