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left="460" w:right="479"/>
        <w:spacing w:after="0" w:line="282" w:lineRule="auto"/>
        <w:rPr>
          <w:sz w:val="20"/>
          <w:szCs w:val="20"/>
          <w:color w:val="auto"/>
        </w:rPr>
      </w:pPr>
      <w:r>
        <w:rPr>
          <w:rFonts w:ascii="Arial" w:cs="Arial" w:eastAsia="Arial" w:hAnsi="Arial"/>
          <w:sz w:val="18"/>
          <w:szCs w:val="18"/>
          <w:b w:val="1"/>
          <w:bCs w:val="1"/>
          <w:color w:val="auto"/>
        </w:rPr>
        <w:t>Filed with the U.S. Securities and Exchange Commission on May 1, 2020 under the Securities Act of 1933, as amended.</w:t>
      </w:r>
    </w:p>
    <w:p>
      <w:pPr>
        <w:spacing w:after="0" w:line="81" w:lineRule="exact"/>
        <w:rPr>
          <w:sz w:val="24"/>
          <w:szCs w:val="24"/>
          <w:color w:val="auto"/>
        </w:rPr>
      </w:pPr>
    </w:p>
    <w:p>
      <w:pPr>
        <w:jc w:val="right"/>
        <w:ind w:right="459"/>
        <w:spacing w:after="0"/>
        <w:rPr>
          <w:sz w:val="20"/>
          <w:szCs w:val="20"/>
          <w:color w:val="auto"/>
        </w:rPr>
      </w:pPr>
      <w:r>
        <w:rPr>
          <w:rFonts w:ascii="Arial" w:cs="Arial" w:eastAsia="Arial" w:hAnsi="Arial"/>
          <w:sz w:val="18"/>
          <w:szCs w:val="18"/>
          <w:b w:val="1"/>
          <w:bCs w:val="1"/>
          <w:color w:val="auto"/>
        </w:rPr>
        <w:t>No. 333-237245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288290</wp:posOffset>
            </wp:positionH>
            <wp:positionV relativeFrom="paragraph">
              <wp:posOffset>68580</wp:posOffset>
            </wp:positionV>
            <wp:extent cx="514350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143500" cy="26035"/>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111760</wp:posOffset>
            </wp:positionV>
            <wp:extent cx="514350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143500" cy="26035"/>
                    </a:xfrm>
                    <a:prstGeom prst="rect">
                      <a:avLst/>
                    </a:prstGeom>
                    <a:noFill/>
                  </pic:spPr>
                </pic:pic>
              </a:graphicData>
            </a:graphic>
          </wp:anchor>
        </w:drawing>
      </w:r>
    </w:p>
    <w:p>
      <w:pPr>
        <w:spacing w:after="0" w:line="35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49" w:lineRule="exact"/>
        <w:rPr>
          <w:sz w:val="24"/>
          <w:szCs w:val="24"/>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3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2</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to</w:t>
      </w:r>
    </w:p>
    <w:p>
      <w:pPr>
        <w:spacing w:after="0" w:line="9" w:lineRule="exact"/>
        <w:rPr>
          <w:sz w:val="24"/>
          <w:szCs w:val="24"/>
          <w:color w:val="auto"/>
        </w:rPr>
      </w:pPr>
    </w:p>
    <w:p>
      <w:pPr>
        <w:jc w:val="center"/>
        <w:ind w:right="59"/>
        <w:spacing w:after="0"/>
        <w:rPr>
          <w:sz w:val="20"/>
          <w:szCs w:val="20"/>
          <w:color w:val="auto"/>
        </w:rPr>
      </w:pPr>
      <w:r>
        <w:rPr>
          <w:rFonts w:ascii="Arial" w:cs="Arial" w:eastAsia="Arial" w:hAnsi="Arial"/>
          <w:sz w:val="18"/>
          <w:szCs w:val="18"/>
          <w:b w:val="1"/>
          <w:bCs w:val="1"/>
          <w:color w:val="auto"/>
        </w:rPr>
        <w:t>FORM S-1 REGISTRATION STATEMENT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UNDER</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THE SECURITIES ACT OF 1933</w:t>
      </w:r>
    </w:p>
    <w:p>
      <w:pPr>
        <w:spacing w:after="0" w:line="49" w:lineRule="exact"/>
        <w:rPr>
          <w:sz w:val="24"/>
          <w:szCs w:val="24"/>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44"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Sustainable Opportunities Acquisition Corp.</w:t>
      </w:r>
    </w:p>
    <w:p>
      <w:pPr>
        <w:spacing w:after="0" w:line="3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6" w:lineRule="exact"/>
        <w:rPr>
          <w:sz w:val="24"/>
          <w:szCs w:val="24"/>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181" w:lineRule="exact"/>
        <w:rPr>
          <w:sz w:val="24"/>
          <w:szCs w:val="24"/>
          <w:color w:val="auto"/>
        </w:rPr>
      </w:pPr>
    </w:p>
    <w:tbl>
      <w:tblPr>
        <w:tblLayout w:type="fixed"/>
        <w:tblInd w:w="680" w:type="dxa"/>
        <w:tblCellMar>
          <w:top w:w="0" w:type="dxa"/>
          <w:left w:w="0" w:type="dxa"/>
          <w:bottom w:w="0" w:type="dxa"/>
          <w:right w:w="0" w:type="dxa"/>
        </w:tblCellMar>
      </w:tblPr>
      <w:tr>
        <w:trPr>
          <w:trHeight w:val="234"/>
        </w:trPr>
        <w:tc>
          <w:tcPr>
            <w:tcW w:w="2440" w:type="dxa"/>
            <w:vAlign w:val="bottom"/>
          </w:tcPr>
          <w:p>
            <w:pPr>
              <w:ind w:left="420"/>
              <w:spacing w:after="0"/>
              <w:rPr>
                <w:sz w:val="20"/>
                <w:szCs w:val="20"/>
                <w:color w:val="auto"/>
              </w:rPr>
            </w:pPr>
            <w:r>
              <w:rPr>
                <w:rFonts w:ascii="Arial" w:cs="Arial" w:eastAsia="Arial" w:hAnsi="Arial"/>
                <w:sz w:val="18"/>
                <w:szCs w:val="18"/>
                <w:b w:val="1"/>
                <w:bCs w:val="1"/>
                <w:color w:val="auto"/>
              </w:rPr>
              <w:t>Cayman Islands</w:t>
            </w:r>
          </w:p>
        </w:tc>
        <w:tc>
          <w:tcPr>
            <w:tcW w:w="2900" w:type="dxa"/>
            <w:vAlign w:val="bottom"/>
          </w:tcPr>
          <w:p>
            <w:pPr>
              <w:jc w:val="center"/>
              <w:ind w:right="130"/>
              <w:spacing w:after="0"/>
              <w:rPr>
                <w:sz w:val="20"/>
                <w:szCs w:val="20"/>
                <w:color w:val="auto"/>
              </w:rPr>
            </w:pPr>
            <w:r>
              <w:rPr>
                <w:rFonts w:ascii="Arial" w:cs="Arial" w:eastAsia="Arial" w:hAnsi="Arial"/>
                <w:sz w:val="18"/>
                <w:szCs w:val="18"/>
                <w:b w:val="1"/>
                <w:bCs w:val="1"/>
                <w:color w:val="auto"/>
                <w:w w:val="89"/>
              </w:rPr>
              <w:t>6770</w:t>
            </w:r>
          </w:p>
        </w:tc>
        <w:tc>
          <w:tcPr>
            <w:tcW w:w="1840" w:type="dxa"/>
            <w:vAlign w:val="bottom"/>
          </w:tcPr>
          <w:p>
            <w:pPr>
              <w:jc w:val="center"/>
              <w:ind w:left="430"/>
              <w:spacing w:after="0"/>
              <w:rPr>
                <w:sz w:val="20"/>
                <w:szCs w:val="20"/>
                <w:color w:val="auto"/>
              </w:rPr>
            </w:pPr>
            <w:r>
              <w:rPr>
                <w:rFonts w:ascii="Arial" w:cs="Arial" w:eastAsia="Arial" w:hAnsi="Arial"/>
                <w:sz w:val="18"/>
                <w:szCs w:val="18"/>
                <w:b w:val="1"/>
                <w:bCs w:val="1"/>
                <w:color w:val="auto"/>
                <w:w w:val="91"/>
              </w:rPr>
              <w:t>98-1523768</w:t>
            </w:r>
          </w:p>
        </w:tc>
      </w:tr>
      <w:tr>
        <w:trPr>
          <w:trHeight w:val="242"/>
        </w:trPr>
        <w:tc>
          <w:tcPr>
            <w:tcW w:w="2440" w:type="dxa"/>
            <w:vAlign w:val="bottom"/>
          </w:tcPr>
          <w:p>
            <w:pPr>
              <w:jc w:val="center"/>
              <w:ind w:right="190"/>
              <w:spacing w:after="0"/>
              <w:rPr>
                <w:sz w:val="20"/>
                <w:szCs w:val="20"/>
                <w:color w:val="auto"/>
              </w:rPr>
            </w:pPr>
            <w:r>
              <w:rPr>
                <w:rFonts w:ascii="Arial" w:cs="Arial" w:eastAsia="Arial" w:hAnsi="Arial"/>
                <w:sz w:val="18"/>
                <w:szCs w:val="18"/>
                <w:color w:val="auto"/>
                <w:w w:val="92"/>
              </w:rPr>
              <w:t>(State or other jurisdiction of</w:t>
            </w:r>
          </w:p>
        </w:tc>
        <w:tc>
          <w:tcPr>
            <w:tcW w:w="2900" w:type="dxa"/>
            <w:vAlign w:val="bottom"/>
          </w:tcPr>
          <w:p>
            <w:pPr>
              <w:jc w:val="center"/>
              <w:ind w:right="210"/>
              <w:spacing w:after="0"/>
              <w:rPr>
                <w:sz w:val="20"/>
                <w:szCs w:val="20"/>
                <w:color w:val="auto"/>
              </w:rPr>
            </w:pPr>
            <w:r>
              <w:rPr>
                <w:rFonts w:ascii="Arial" w:cs="Arial" w:eastAsia="Arial" w:hAnsi="Arial"/>
                <w:sz w:val="18"/>
                <w:szCs w:val="18"/>
                <w:color w:val="auto"/>
                <w:w w:val="91"/>
              </w:rPr>
              <w:t>Primary Standard Industrial</w:t>
            </w:r>
          </w:p>
        </w:tc>
        <w:tc>
          <w:tcPr>
            <w:tcW w:w="1840" w:type="dxa"/>
            <w:vAlign w:val="bottom"/>
          </w:tcPr>
          <w:p>
            <w:pPr>
              <w:jc w:val="center"/>
              <w:ind w:left="370"/>
              <w:spacing w:after="0"/>
              <w:rPr>
                <w:sz w:val="20"/>
                <w:szCs w:val="20"/>
                <w:color w:val="auto"/>
              </w:rPr>
            </w:pPr>
            <w:r>
              <w:rPr>
                <w:rFonts w:ascii="Arial" w:cs="Arial" w:eastAsia="Arial" w:hAnsi="Arial"/>
                <w:sz w:val="18"/>
                <w:szCs w:val="18"/>
                <w:color w:val="auto"/>
                <w:w w:val="92"/>
              </w:rPr>
              <w:t>(I.R.S. Employer</w:t>
            </w:r>
          </w:p>
        </w:tc>
      </w:tr>
      <w:tr>
        <w:trPr>
          <w:trHeight w:val="230"/>
        </w:trPr>
        <w:tc>
          <w:tcPr>
            <w:tcW w:w="2440" w:type="dxa"/>
            <w:vAlign w:val="bottom"/>
          </w:tcPr>
          <w:p>
            <w:pPr>
              <w:jc w:val="center"/>
              <w:ind w:right="190"/>
              <w:spacing w:after="0"/>
              <w:rPr>
                <w:sz w:val="20"/>
                <w:szCs w:val="20"/>
                <w:color w:val="auto"/>
              </w:rPr>
            </w:pPr>
            <w:r>
              <w:rPr>
                <w:rFonts w:ascii="Arial" w:cs="Arial" w:eastAsia="Arial" w:hAnsi="Arial"/>
                <w:sz w:val="18"/>
                <w:szCs w:val="18"/>
                <w:color w:val="auto"/>
                <w:w w:val="92"/>
              </w:rPr>
              <w:t>incorporation or organization)</w:t>
            </w:r>
          </w:p>
        </w:tc>
        <w:tc>
          <w:tcPr>
            <w:tcW w:w="2900" w:type="dxa"/>
            <w:vAlign w:val="bottom"/>
          </w:tcPr>
          <w:p>
            <w:pPr>
              <w:jc w:val="center"/>
              <w:ind w:right="150"/>
              <w:spacing w:after="0"/>
              <w:rPr>
                <w:sz w:val="20"/>
                <w:szCs w:val="20"/>
                <w:color w:val="auto"/>
              </w:rPr>
            </w:pPr>
            <w:r>
              <w:rPr>
                <w:rFonts w:ascii="Arial" w:cs="Arial" w:eastAsia="Arial" w:hAnsi="Arial"/>
                <w:sz w:val="18"/>
                <w:szCs w:val="18"/>
                <w:color w:val="auto"/>
                <w:w w:val="91"/>
              </w:rPr>
              <w:t>Classification Code Number)</w:t>
            </w:r>
          </w:p>
        </w:tc>
        <w:tc>
          <w:tcPr>
            <w:tcW w:w="1840" w:type="dxa"/>
            <w:vAlign w:val="bottom"/>
          </w:tcPr>
          <w:p>
            <w:pPr>
              <w:jc w:val="center"/>
              <w:ind w:left="410"/>
              <w:spacing w:after="0"/>
              <w:rPr>
                <w:sz w:val="20"/>
                <w:szCs w:val="20"/>
                <w:color w:val="auto"/>
              </w:rPr>
            </w:pPr>
            <w:r>
              <w:rPr>
                <w:rFonts w:ascii="Arial" w:cs="Arial" w:eastAsia="Arial" w:hAnsi="Arial"/>
                <w:sz w:val="18"/>
                <w:szCs w:val="18"/>
                <w:color w:val="auto"/>
                <w:w w:val="95"/>
              </w:rPr>
              <w:t>Identification No.)</w:t>
            </w:r>
          </w:p>
        </w:tc>
      </w:tr>
    </w:tbl>
    <w:p>
      <w:pPr>
        <w:spacing w:after="0" w:line="211" w:lineRule="exact"/>
        <w:rPr>
          <w:sz w:val="24"/>
          <w:szCs w:val="24"/>
          <w:color w:val="auto"/>
        </w:rPr>
      </w:pPr>
    </w:p>
    <w:p>
      <w:pPr>
        <w:ind w:left="3340"/>
        <w:spacing w:after="0"/>
        <w:rPr>
          <w:sz w:val="20"/>
          <w:szCs w:val="20"/>
          <w:color w:val="auto"/>
        </w:rPr>
      </w:pPr>
      <w:r>
        <w:rPr>
          <w:rFonts w:ascii="Arial" w:cs="Arial" w:eastAsia="Arial" w:hAnsi="Arial"/>
          <w:sz w:val="18"/>
          <w:szCs w:val="18"/>
          <w:b w:val="1"/>
          <w:bCs w:val="1"/>
          <w:color w:val="auto"/>
        </w:rPr>
        <w:t>1601 Bryan Street, Suite 4141</w:t>
      </w:r>
    </w:p>
    <w:p>
      <w:pPr>
        <w:spacing w:after="0" w:line="27" w:lineRule="exact"/>
        <w:rPr>
          <w:sz w:val="24"/>
          <w:szCs w:val="24"/>
          <w:color w:val="auto"/>
        </w:rPr>
      </w:pPr>
    </w:p>
    <w:p>
      <w:pPr>
        <w:ind w:left="3740"/>
        <w:spacing w:after="0"/>
        <w:rPr>
          <w:sz w:val="20"/>
          <w:szCs w:val="20"/>
          <w:color w:val="auto"/>
        </w:rPr>
      </w:pPr>
      <w:r>
        <w:rPr>
          <w:rFonts w:ascii="Arial" w:cs="Arial" w:eastAsia="Arial" w:hAnsi="Arial"/>
          <w:sz w:val="18"/>
          <w:szCs w:val="18"/>
          <w:b w:val="1"/>
          <w:bCs w:val="1"/>
          <w:color w:val="auto"/>
        </w:rPr>
        <w:t>Dallas, Texas 75201</w:t>
      </w:r>
    </w:p>
    <w:p>
      <w:pPr>
        <w:spacing w:after="0" w:line="9" w:lineRule="exact"/>
        <w:rPr>
          <w:sz w:val="24"/>
          <w:szCs w:val="24"/>
          <w:color w:val="auto"/>
        </w:rPr>
      </w:pPr>
    </w:p>
    <w:p>
      <w:pPr>
        <w:ind w:left="3940"/>
        <w:spacing w:after="0"/>
        <w:rPr>
          <w:sz w:val="20"/>
          <w:szCs w:val="20"/>
          <w:color w:val="auto"/>
        </w:rPr>
      </w:pPr>
      <w:r>
        <w:rPr>
          <w:rFonts w:ascii="Arial" w:cs="Arial" w:eastAsia="Arial" w:hAnsi="Arial"/>
          <w:sz w:val="18"/>
          <w:szCs w:val="18"/>
          <w:b w:val="1"/>
          <w:bCs w:val="1"/>
          <w:color w:val="auto"/>
        </w:rPr>
        <w:t>(952) 456-5304</w:t>
      </w:r>
    </w:p>
    <w:p>
      <w:pPr>
        <w:spacing w:after="0" w:line="9" w:lineRule="exact"/>
        <w:rPr>
          <w:sz w:val="24"/>
          <w:szCs w:val="24"/>
          <w:color w:val="auto"/>
        </w:rPr>
      </w:pPr>
    </w:p>
    <w:p>
      <w:pPr>
        <w:ind w:left="1000"/>
        <w:spacing w:after="0"/>
        <w:rPr>
          <w:sz w:val="20"/>
          <w:szCs w:val="20"/>
          <w:color w:val="auto"/>
        </w:rPr>
      </w:pPr>
      <w:r>
        <w:rPr>
          <w:rFonts w:ascii="Arial" w:cs="Arial" w:eastAsia="Arial" w:hAnsi="Arial"/>
          <w:sz w:val="17"/>
          <w:szCs w:val="17"/>
          <w:color w:val="auto"/>
        </w:rPr>
        <w:t>(Address, including zip code, and telephone number, including area code, of registrant’s principal</w:t>
      </w:r>
    </w:p>
    <w:p>
      <w:pPr>
        <w:spacing w:after="0" w:line="21" w:lineRule="exact"/>
        <w:rPr>
          <w:sz w:val="24"/>
          <w:szCs w:val="24"/>
          <w:color w:val="auto"/>
        </w:rPr>
      </w:pPr>
    </w:p>
    <w:p>
      <w:pPr>
        <w:ind w:left="3860"/>
        <w:spacing w:after="0"/>
        <w:rPr>
          <w:sz w:val="20"/>
          <w:szCs w:val="20"/>
          <w:color w:val="auto"/>
        </w:rPr>
      </w:pPr>
      <w:r>
        <w:rPr>
          <w:rFonts w:ascii="Arial" w:cs="Arial" w:eastAsia="Arial" w:hAnsi="Arial"/>
          <w:sz w:val="18"/>
          <w:szCs w:val="18"/>
          <w:color w:val="auto"/>
        </w:rPr>
        <w:t>executive offices)</w:t>
      </w:r>
    </w:p>
    <w:p>
      <w:pPr>
        <w:spacing w:after="0" w:line="1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Scott Leonard</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1601 Bryan Street, Suite 4141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Dallas, Texas 75201</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(952) 456-5304</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(Name, address, including zip code, and telephone number, including area code, of agent for service)</w:t>
      </w:r>
    </w:p>
    <w:p>
      <w:pPr>
        <w:spacing w:after="0" w:line="22" w:lineRule="exact"/>
        <w:rPr>
          <w:sz w:val="24"/>
          <w:szCs w:val="24"/>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w:t>
      </w:r>
    </w:p>
    <w:p>
      <w:pPr>
        <w:spacing w:after="0" w:line="194" w:lineRule="exact"/>
        <w:rPr>
          <w:sz w:val="24"/>
          <w:szCs w:val="24"/>
          <w:color w:val="auto"/>
        </w:rPr>
      </w:pPr>
    </w:p>
    <w:tbl>
      <w:tblPr>
        <w:tblLayout w:type="fixed"/>
        <w:tblInd w:w="1380" w:type="dxa"/>
        <w:tblCellMar>
          <w:top w:w="0" w:type="dxa"/>
          <w:left w:w="0" w:type="dxa"/>
          <w:bottom w:w="0" w:type="dxa"/>
          <w:right w:w="0" w:type="dxa"/>
        </w:tblCellMar>
      </w:tblPr>
      <w:tr>
        <w:trPr>
          <w:trHeight w:val="216"/>
        </w:trPr>
        <w:tc>
          <w:tcPr>
            <w:tcW w:w="3080" w:type="dxa"/>
            <w:vAlign w:val="bottom"/>
          </w:tcPr>
          <w:p>
            <w:pPr>
              <w:jc w:val="center"/>
              <w:ind w:right="870"/>
              <w:spacing w:after="0"/>
              <w:rPr>
                <w:sz w:val="20"/>
                <w:szCs w:val="20"/>
                <w:color w:val="auto"/>
              </w:rPr>
            </w:pPr>
            <w:r>
              <w:rPr>
                <w:rFonts w:ascii="Arial" w:cs="Arial" w:eastAsia="Arial" w:hAnsi="Arial"/>
                <w:sz w:val="18"/>
                <w:szCs w:val="18"/>
                <w:b w:val="1"/>
                <w:bCs w:val="1"/>
                <w:color w:val="auto"/>
                <w:w w:val="93"/>
              </w:rPr>
              <w:t>Christian O. Nagler</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90"/>
              </w:rPr>
              <w:t>Derek J. Dostal</w:t>
            </w:r>
          </w:p>
        </w:tc>
      </w:tr>
      <w:tr>
        <w:trPr>
          <w:trHeight w:val="216"/>
        </w:trPr>
        <w:tc>
          <w:tcPr>
            <w:tcW w:w="3080" w:type="dxa"/>
            <w:vAlign w:val="bottom"/>
          </w:tcPr>
          <w:p>
            <w:pPr>
              <w:jc w:val="center"/>
              <w:ind w:right="870"/>
              <w:spacing w:after="0"/>
              <w:rPr>
                <w:sz w:val="20"/>
                <w:szCs w:val="20"/>
                <w:color w:val="auto"/>
              </w:rPr>
            </w:pPr>
            <w:r>
              <w:rPr>
                <w:rFonts w:ascii="Arial" w:cs="Arial" w:eastAsia="Arial" w:hAnsi="Arial"/>
                <w:sz w:val="18"/>
                <w:szCs w:val="18"/>
                <w:b w:val="1"/>
                <w:bCs w:val="1"/>
                <w:color w:val="auto"/>
                <w:w w:val="87"/>
              </w:rPr>
              <w:t>Peter S. Seligson</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96"/>
              </w:rPr>
              <w:t>Deanna L. Kirkpatrick</w:t>
            </w:r>
          </w:p>
        </w:tc>
      </w:tr>
      <w:tr>
        <w:trPr>
          <w:trHeight w:val="216"/>
        </w:trPr>
        <w:tc>
          <w:tcPr>
            <w:tcW w:w="3080" w:type="dxa"/>
            <w:vAlign w:val="bottom"/>
          </w:tcPr>
          <w:p>
            <w:pPr>
              <w:jc w:val="center"/>
              <w:ind w:right="870"/>
              <w:spacing w:after="0"/>
              <w:rPr>
                <w:sz w:val="20"/>
                <w:szCs w:val="20"/>
                <w:color w:val="auto"/>
              </w:rPr>
            </w:pPr>
            <w:r>
              <w:rPr>
                <w:rFonts w:ascii="Arial" w:cs="Arial" w:eastAsia="Arial" w:hAnsi="Arial"/>
                <w:sz w:val="18"/>
                <w:szCs w:val="18"/>
                <w:b w:val="1"/>
                <w:bCs w:val="1"/>
                <w:color w:val="auto"/>
                <w:w w:val="98"/>
              </w:rPr>
              <w:t>Kirkland &amp; Ellis LLP</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95"/>
              </w:rPr>
              <w:t>Davis Polk &amp; Wardwell LLP</w:t>
            </w:r>
          </w:p>
        </w:tc>
      </w:tr>
      <w:tr>
        <w:trPr>
          <w:trHeight w:val="216"/>
        </w:trPr>
        <w:tc>
          <w:tcPr>
            <w:tcW w:w="3080" w:type="dxa"/>
            <w:vAlign w:val="bottom"/>
          </w:tcPr>
          <w:p>
            <w:pPr>
              <w:jc w:val="center"/>
              <w:ind w:right="870"/>
              <w:spacing w:after="0"/>
              <w:rPr>
                <w:sz w:val="20"/>
                <w:szCs w:val="20"/>
                <w:color w:val="auto"/>
              </w:rPr>
            </w:pPr>
            <w:r>
              <w:rPr>
                <w:rFonts w:ascii="Arial" w:cs="Arial" w:eastAsia="Arial" w:hAnsi="Arial"/>
                <w:sz w:val="18"/>
                <w:szCs w:val="18"/>
                <w:b w:val="1"/>
                <w:bCs w:val="1"/>
                <w:color w:val="auto"/>
                <w:w w:val="90"/>
              </w:rPr>
              <w:t>601 Lexington Avenue</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88"/>
              </w:rPr>
              <w:t>450 Lexington Avenue</w:t>
            </w:r>
          </w:p>
        </w:tc>
      </w:tr>
      <w:tr>
        <w:trPr>
          <w:trHeight w:val="216"/>
        </w:trPr>
        <w:tc>
          <w:tcPr>
            <w:tcW w:w="308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New York, New York 10022</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New York, New York 10017</w:t>
            </w:r>
          </w:p>
        </w:tc>
      </w:tr>
      <w:tr>
        <w:trPr>
          <w:trHeight w:val="216"/>
        </w:trPr>
        <w:tc>
          <w:tcPr>
            <w:tcW w:w="3080" w:type="dxa"/>
            <w:vAlign w:val="bottom"/>
          </w:tcPr>
          <w:p>
            <w:pPr>
              <w:jc w:val="center"/>
              <w:ind w:right="890"/>
              <w:spacing w:after="0"/>
              <w:rPr>
                <w:sz w:val="20"/>
                <w:szCs w:val="20"/>
                <w:color w:val="auto"/>
              </w:rPr>
            </w:pPr>
            <w:r>
              <w:rPr>
                <w:rFonts w:ascii="Arial" w:cs="Arial" w:eastAsia="Arial" w:hAnsi="Arial"/>
                <w:sz w:val="18"/>
                <w:szCs w:val="18"/>
                <w:b w:val="1"/>
                <w:bCs w:val="1"/>
                <w:color w:val="auto"/>
                <w:w w:val="91"/>
              </w:rPr>
              <w:t>Tel: (212) 446-4800</w:t>
            </w:r>
          </w:p>
        </w:tc>
        <w:tc>
          <w:tcPr>
            <w:tcW w:w="3180" w:type="dxa"/>
            <w:vAlign w:val="bottom"/>
          </w:tcPr>
          <w:p>
            <w:pPr>
              <w:jc w:val="center"/>
              <w:ind w:left="870"/>
              <w:spacing w:after="0"/>
              <w:rPr>
                <w:sz w:val="20"/>
                <w:szCs w:val="20"/>
                <w:color w:val="auto"/>
              </w:rPr>
            </w:pPr>
            <w:r>
              <w:rPr>
                <w:rFonts w:ascii="Arial" w:cs="Arial" w:eastAsia="Arial" w:hAnsi="Arial"/>
                <w:sz w:val="18"/>
                <w:szCs w:val="18"/>
                <w:b w:val="1"/>
                <w:bCs w:val="1"/>
                <w:color w:val="auto"/>
                <w:w w:val="91"/>
              </w:rPr>
              <w:t>Tel: (212) 450-4000</w:t>
            </w:r>
          </w:p>
        </w:tc>
      </w:tr>
      <w:tr>
        <w:trPr>
          <w:trHeight w:val="234"/>
        </w:trPr>
        <w:tc>
          <w:tcPr>
            <w:tcW w:w="3080" w:type="dxa"/>
            <w:vAlign w:val="bottom"/>
          </w:tcPr>
          <w:p>
            <w:pPr>
              <w:jc w:val="center"/>
              <w:ind w:right="870"/>
              <w:spacing w:after="0"/>
              <w:rPr>
                <w:sz w:val="20"/>
                <w:szCs w:val="20"/>
                <w:color w:val="auto"/>
              </w:rPr>
            </w:pPr>
            <w:r>
              <w:rPr>
                <w:rFonts w:ascii="Arial" w:cs="Arial" w:eastAsia="Arial" w:hAnsi="Arial"/>
                <w:sz w:val="18"/>
                <w:szCs w:val="18"/>
                <w:b w:val="1"/>
                <w:bCs w:val="1"/>
                <w:color w:val="auto"/>
                <w:w w:val="92"/>
              </w:rPr>
              <w:t>Fax: (212) 446-4900</w:t>
            </w:r>
          </w:p>
        </w:tc>
        <w:tc>
          <w:tcPr>
            <w:tcW w:w="3180" w:type="dxa"/>
            <w:vAlign w:val="bottom"/>
          </w:tcPr>
          <w:p>
            <w:pPr>
              <w:jc w:val="center"/>
              <w:ind w:left="850"/>
              <w:spacing w:after="0"/>
              <w:rPr>
                <w:sz w:val="20"/>
                <w:szCs w:val="20"/>
                <w:color w:val="auto"/>
              </w:rPr>
            </w:pPr>
            <w:r>
              <w:rPr>
                <w:rFonts w:ascii="Arial" w:cs="Arial" w:eastAsia="Arial" w:hAnsi="Arial"/>
                <w:sz w:val="18"/>
                <w:szCs w:val="18"/>
                <w:b w:val="1"/>
                <w:bCs w:val="1"/>
                <w:color w:val="auto"/>
                <w:w w:val="92"/>
              </w:rPr>
              <w:t>Fax: (212) 701-5800</w:t>
            </w:r>
          </w:p>
        </w:tc>
      </w:tr>
    </w:tbl>
    <w:p>
      <w:pPr>
        <w:spacing w:after="0" w:line="202" w:lineRule="exact"/>
        <w:rPr>
          <w:sz w:val="24"/>
          <w:szCs w:val="24"/>
          <w:color w:val="auto"/>
        </w:rPr>
      </w:pPr>
    </w:p>
    <w:p>
      <w:pPr>
        <w:ind w:left="3380"/>
        <w:spacing w:after="0"/>
        <w:rPr>
          <w:sz w:val="20"/>
          <w:szCs w:val="20"/>
          <w:color w:val="auto"/>
        </w:rPr>
      </w:pPr>
      <w:r>
        <w:rPr>
          <w:rFonts w:ascii="Arial" w:cs="Arial" w:eastAsia="Arial" w:hAnsi="Arial"/>
          <w:sz w:val="11"/>
          <w:szCs w:val="11"/>
          <w:b w:val="1"/>
          <w:bCs w:val="1"/>
          <w:color w:val="auto"/>
        </w:rPr>
        <w:t>__________________________________________</w:t>
      </w:r>
    </w:p>
    <w:p>
      <w:pPr>
        <w:spacing w:after="0" w:line="58" w:lineRule="exact"/>
        <w:rPr>
          <w:sz w:val="24"/>
          <w:szCs w:val="24"/>
          <w:color w:val="auto"/>
        </w:rPr>
      </w:pPr>
    </w:p>
    <w:p>
      <w:pPr>
        <w:jc w:val="center"/>
        <w:ind w:left="460" w:right="459"/>
        <w:spacing w:after="0" w:line="282" w:lineRule="auto"/>
        <w:rPr>
          <w:sz w:val="20"/>
          <w:szCs w:val="20"/>
          <w:color w:val="auto"/>
        </w:rPr>
      </w:pPr>
      <w:r>
        <w:rPr>
          <w:rFonts w:ascii="Arial" w:cs="Arial" w:eastAsia="Arial" w:hAnsi="Arial"/>
          <w:sz w:val="18"/>
          <w:szCs w:val="18"/>
          <w:b w:val="1"/>
          <w:bCs w:val="1"/>
          <w:color w:val="auto"/>
        </w:rPr>
        <w:t>Approximate date of commencement of proposed sale to the public: As soon as practicable after the effective date of this registration statement.</w:t>
      </w:r>
    </w:p>
    <w:p>
      <w:pPr>
        <w:spacing w:after="0" w:line="44" w:lineRule="exact"/>
        <w:rPr>
          <w:sz w:val="24"/>
          <w:szCs w:val="24"/>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If any of the securities being registered on this Form are to be offered on a delayed or continuous basis pursuant to Rule 415 under the Securities Act of 1933, as amended (the “Securities Act”), check the following box. £</w:t>
      </w:r>
    </w:p>
    <w:p>
      <w:pPr>
        <w:spacing w:after="0" w:line="62" w:lineRule="exact"/>
        <w:rPr>
          <w:sz w:val="24"/>
          <w:szCs w:val="24"/>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 £</w:t>
      </w:r>
    </w:p>
    <w:p>
      <w:pPr>
        <w:spacing w:after="0" w:line="49" w:lineRule="exact"/>
        <w:rPr>
          <w:sz w:val="24"/>
          <w:szCs w:val="24"/>
          <w:color w:val="auto"/>
        </w:rPr>
      </w:pPr>
    </w:p>
    <w:p>
      <w:pPr>
        <w:jc w:val="both"/>
        <w:ind w:left="460" w:right="659" w:firstLine="432"/>
        <w:spacing w:after="0" w:line="263" w:lineRule="auto"/>
        <w:rPr>
          <w:sz w:val="20"/>
          <w:szCs w:val="20"/>
          <w:color w:val="auto"/>
        </w:rPr>
      </w:pPr>
      <w:r>
        <w:rPr>
          <w:rFonts w:ascii="Arial" w:cs="Arial" w:eastAsia="Arial" w:hAnsi="Arial"/>
          <w:sz w:val="18"/>
          <w:szCs w:val="18"/>
          <w:color w:val="auto"/>
        </w:rPr>
        <w:t>If this Form is a post-effective amendment filed pursuant to Rule 462(c) under the Securities Act, check the following box and list the Securities Act registration statement number of the earlier effective registration statement for the same offering. £</w:t>
      </w:r>
    </w:p>
    <w:p>
      <w:pPr>
        <w:spacing w:after="0" w:line="62" w:lineRule="exact"/>
        <w:rPr>
          <w:sz w:val="24"/>
          <w:szCs w:val="24"/>
          <w:color w:val="auto"/>
        </w:rPr>
      </w:pPr>
    </w:p>
    <w:p>
      <w:pPr>
        <w:jc w:val="both"/>
        <w:ind w:left="460" w:right="639" w:firstLine="432"/>
        <w:spacing w:after="0" w:line="263" w:lineRule="auto"/>
        <w:rPr>
          <w:sz w:val="20"/>
          <w:szCs w:val="20"/>
          <w:color w:val="auto"/>
        </w:rPr>
      </w:pPr>
      <w:r>
        <w:rPr>
          <w:rFonts w:ascii="Arial" w:cs="Arial" w:eastAsia="Arial" w:hAnsi="Arial"/>
          <w:sz w:val="18"/>
          <w:szCs w:val="18"/>
          <w:color w:val="auto"/>
        </w:rPr>
        <w:t>If this Form is a post-effective amendment filed pursuant to Rule 462(d) under the Securities Act, check the following box and list the Securities Act registration statement number of the earlier effective registration statement for the same offering. £</w:t>
      </w:r>
    </w:p>
    <w:p>
      <w:pPr>
        <w:spacing w:after="0" w:line="62" w:lineRule="exact"/>
        <w:rPr>
          <w:sz w:val="24"/>
          <w:szCs w:val="24"/>
          <w:color w:val="auto"/>
        </w:rPr>
      </w:pPr>
    </w:p>
    <w:p>
      <w:pPr>
        <w:ind w:left="460" w:right="779" w:firstLine="432"/>
        <w:spacing w:after="0" w:line="279" w:lineRule="auto"/>
        <w:rPr>
          <w:sz w:val="20"/>
          <w:szCs w:val="20"/>
          <w:color w:val="auto"/>
        </w:rPr>
      </w:pPr>
      <w:r>
        <w:rPr>
          <w:rFonts w:ascii="Arial" w:cs="Arial" w:eastAsia="Arial" w:hAnsi="Arial"/>
          <w:sz w:val="17"/>
          <w:szCs w:val="17"/>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Securities Exchange Act of 1934, as amended (the “Exchange Act”).</w:t>
      </w:r>
    </w:p>
    <w:p>
      <w:pPr>
        <w:spacing w:after="0" w:line="158" w:lineRule="exact"/>
        <w:rPr>
          <w:sz w:val="24"/>
          <w:szCs w:val="24"/>
          <w:color w:val="auto"/>
        </w:rPr>
      </w:pPr>
    </w:p>
    <w:tbl>
      <w:tblPr>
        <w:tblLayout w:type="fixed"/>
        <w:tblInd w:w="820" w:type="dxa"/>
        <w:tblCellMar>
          <w:top w:w="0" w:type="dxa"/>
          <w:left w:w="0" w:type="dxa"/>
          <w:bottom w:w="0" w:type="dxa"/>
          <w:right w:w="0" w:type="dxa"/>
        </w:tblCellMar>
      </w:tblPr>
      <w:tr>
        <w:trPr>
          <w:trHeight w:val="244"/>
        </w:trPr>
        <w:tc>
          <w:tcPr>
            <w:tcW w:w="190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1040" w:type="dxa"/>
            <w:vAlign w:val="bottom"/>
          </w:tcPr>
          <w:p>
            <w:pPr>
              <w:ind w:left="280"/>
              <w:spacing w:after="0"/>
              <w:rPr>
                <w:sz w:val="20"/>
                <w:szCs w:val="20"/>
                <w:color w:val="auto"/>
              </w:rPr>
            </w:pPr>
            <w:r>
              <w:rPr>
                <w:rFonts w:ascii="Arial" w:cs="Arial" w:eastAsia="Arial" w:hAnsi="Arial"/>
                <w:sz w:val="18"/>
                <w:szCs w:val="18"/>
                <w:color w:val="auto"/>
              </w:rPr>
              <w:t>£</w:t>
            </w:r>
          </w:p>
        </w:tc>
        <w:tc>
          <w:tcPr>
            <w:tcW w:w="3000" w:type="dxa"/>
            <w:vAlign w:val="bottom"/>
          </w:tcPr>
          <w:p>
            <w:pPr>
              <w:ind w:left="640"/>
              <w:spacing w:after="0"/>
              <w:rPr>
                <w:sz w:val="20"/>
                <w:szCs w:val="20"/>
                <w:color w:val="auto"/>
              </w:rPr>
            </w:pPr>
            <w:r>
              <w:rPr>
                <w:rFonts w:ascii="Arial" w:cs="Arial" w:eastAsia="Arial" w:hAnsi="Arial"/>
                <w:sz w:val="18"/>
                <w:szCs w:val="18"/>
                <w:color w:val="auto"/>
              </w:rPr>
              <w:t>Accelerated filer</w:t>
            </w:r>
          </w:p>
        </w:tc>
        <w:tc>
          <w:tcPr>
            <w:tcW w:w="500" w:type="dxa"/>
            <w:vAlign w:val="bottom"/>
          </w:tcPr>
          <w:p>
            <w:pPr>
              <w:ind w:left="380"/>
              <w:spacing w:after="0"/>
              <w:rPr>
                <w:sz w:val="20"/>
                <w:szCs w:val="20"/>
                <w:color w:val="auto"/>
              </w:rPr>
            </w:pPr>
            <w:r>
              <w:rPr>
                <w:rFonts w:ascii="Arial" w:cs="Arial" w:eastAsia="Arial" w:hAnsi="Arial"/>
                <w:sz w:val="18"/>
                <w:szCs w:val="18"/>
                <w:color w:val="auto"/>
                <w:w w:val="99"/>
              </w:rPr>
              <w:t>£</w:t>
            </w:r>
          </w:p>
        </w:tc>
      </w:tr>
      <w:tr>
        <w:trPr>
          <w:trHeight w:val="284"/>
        </w:trPr>
        <w:tc>
          <w:tcPr>
            <w:tcW w:w="1900" w:type="dxa"/>
            <w:vAlign w:val="bottom"/>
          </w:tcPr>
          <w:p>
            <w:pPr>
              <w:spacing w:after="0"/>
              <w:rPr>
                <w:sz w:val="20"/>
                <w:szCs w:val="20"/>
                <w:color w:val="auto"/>
              </w:rPr>
            </w:pPr>
            <w:r>
              <w:rPr>
                <w:rFonts w:ascii="Arial" w:cs="Arial" w:eastAsia="Arial" w:hAnsi="Arial"/>
                <w:sz w:val="18"/>
                <w:szCs w:val="18"/>
                <w:color w:val="auto"/>
              </w:rPr>
              <w:t>Non-accelerated filer</w:t>
            </w:r>
          </w:p>
        </w:tc>
        <w:tc>
          <w:tcPr>
            <w:tcW w:w="1040" w:type="dxa"/>
            <w:vAlign w:val="bottom"/>
          </w:tcPr>
          <w:p>
            <w:pPr>
              <w:ind w:left="280"/>
              <w:spacing w:after="0"/>
              <w:rPr>
                <w:sz w:val="20"/>
                <w:szCs w:val="20"/>
                <w:color w:val="auto"/>
              </w:rPr>
            </w:pPr>
            <w:r>
              <w:rPr>
                <w:rFonts w:ascii="Arial" w:cs="Arial" w:eastAsia="Arial" w:hAnsi="Arial"/>
                <w:sz w:val="18"/>
                <w:szCs w:val="18"/>
                <w:color w:val="auto"/>
              </w:rPr>
              <w:t>S</w:t>
            </w:r>
          </w:p>
        </w:tc>
        <w:tc>
          <w:tcPr>
            <w:tcW w:w="3000" w:type="dxa"/>
            <w:vAlign w:val="bottom"/>
          </w:tcPr>
          <w:p>
            <w:pPr>
              <w:ind w:left="640"/>
              <w:spacing w:after="0"/>
              <w:rPr>
                <w:sz w:val="20"/>
                <w:szCs w:val="20"/>
                <w:color w:val="auto"/>
              </w:rPr>
            </w:pPr>
            <w:r>
              <w:rPr>
                <w:rFonts w:ascii="Arial" w:cs="Arial" w:eastAsia="Arial" w:hAnsi="Arial"/>
                <w:sz w:val="18"/>
                <w:szCs w:val="18"/>
                <w:color w:val="auto"/>
              </w:rPr>
              <w:t>Smaller reporting company</w:t>
            </w:r>
          </w:p>
        </w:tc>
        <w:tc>
          <w:tcPr>
            <w:tcW w:w="500" w:type="dxa"/>
            <w:vAlign w:val="bottom"/>
          </w:tcPr>
          <w:p>
            <w:pPr>
              <w:ind w:left="380"/>
              <w:spacing w:after="0"/>
              <w:rPr>
                <w:sz w:val="20"/>
                <w:szCs w:val="20"/>
                <w:color w:val="auto"/>
              </w:rPr>
            </w:pPr>
            <w:r>
              <w:rPr>
                <w:rFonts w:ascii="Arial" w:cs="Arial" w:eastAsia="Arial" w:hAnsi="Arial"/>
                <w:sz w:val="18"/>
                <w:szCs w:val="18"/>
                <w:color w:val="auto"/>
                <w:w w:val="82"/>
              </w:rPr>
              <w:t>S</w:t>
            </w:r>
          </w:p>
        </w:tc>
      </w:tr>
      <w:tr>
        <w:trPr>
          <w:trHeight w:val="283"/>
        </w:trPr>
        <w:tc>
          <w:tcPr>
            <w:tcW w:w="19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3000" w:type="dxa"/>
            <w:vAlign w:val="bottom"/>
          </w:tcPr>
          <w:p>
            <w:pPr>
              <w:ind w:left="640"/>
              <w:spacing w:after="0"/>
              <w:rPr>
                <w:sz w:val="20"/>
                <w:szCs w:val="20"/>
                <w:color w:val="auto"/>
              </w:rPr>
            </w:pPr>
            <w:r>
              <w:rPr>
                <w:rFonts w:ascii="Arial" w:cs="Arial" w:eastAsia="Arial" w:hAnsi="Arial"/>
                <w:sz w:val="18"/>
                <w:szCs w:val="18"/>
                <w:color w:val="auto"/>
              </w:rPr>
              <w:t>Emerging growth company</w:t>
            </w:r>
          </w:p>
        </w:tc>
        <w:tc>
          <w:tcPr>
            <w:tcW w:w="500" w:type="dxa"/>
            <w:vAlign w:val="bottom"/>
          </w:tcPr>
          <w:p>
            <w:pPr>
              <w:ind w:left="380"/>
              <w:spacing w:after="0"/>
              <w:rPr>
                <w:sz w:val="20"/>
                <w:szCs w:val="20"/>
                <w:color w:val="auto"/>
              </w:rPr>
            </w:pPr>
            <w:r>
              <w:rPr>
                <w:rFonts w:ascii="Arial" w:cs="Arial" w:eastAsia="Arial" w:hAnsi="Arial"/>
                <w:sz w:val="18"/>
                <w:szCs w:val="18"/>
                <w:color w:val="auto"/>
                <w:w w:val="82"/>
              </w:rPr>
              <w:t>S</w:t>
            </w:r>
          </w:p>
        </w:tc>
      </w:tr>
    </w:tbl>
    <w:p>
      <w:pPr>
        <w:spacing w:after="0" w:line="188" w:lineRule="exact"/>
        <w:rPr>
          <w:sz w:val="24"/>
          <w:szCs w:val="24"/>
          <w:color w:val="auto"/>
        </w:rPr>
      </w:pPr>
    </w:p>
    <w:p>
      <w:pPr>
        <w:ind w:left="460" w:right="919" w:firstLine="432"/>
        <w:spacing w:after="0" w:line="263"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7(a)(2)(B) of the Securities Act. £</w:t>
      </w:r>
    </w:p>
    <w:p>
      <w:pPr>
        <w:sectPr>
          <w:pgSz w:w="11900" w:h="16838" w:orient="portrait"/>
          <w:cols w:equalWidth="0" w:num="1">
            <w:col w:w="9019"/>
          </w:cols>
          <w:pgMar w:left="1440" w:top="270" w:right="1440" w:bottom="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i w:val="1"/>
          <w:iCs w:val="1"/>
          <w:color w:val="auto"/>
        </w:rPr>
        <w:t>CALCULATION OF REGISTRATION FEE</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6"/>
              </w:rPr>
              <w:t>Proposed</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6"/>
              </w:rPr>
              <w:t>Proposed</w:t>
            </w:r>
          </w:p>
        </w:tc>
        <w:tc>
          <w:tcPr>
            <w:tcW w:w="10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7"/>
              </w:rPr>
              <w:t>Maximum</w:t>
            </w:r>
          </w:p>
        </w:tc>
        <w:tc>
          <w:tcPr>
            <w:tcW w:w="1020" w:type="dxa"/>
            <w:vAlign w:val="bottom"/>
          </w:tcPr>
          <w:p>
            <w:pPr>
              <w:spacing w:after="0"/>
              <w:rPr>
                <w:sz w:val="17"/>
                <w:szCs w:val="17"/>
                <w:color w:val="auto"/>
              </w:rPr>
            </w:pPr>
          </w:p>
        </w:tc>
      </w:tr>
      <w:tr>
        <w:trPr>
          <w:trHeight w:val="203"/>
        </w:trPr>
        <w:tc>
          <w:tcPr>
            <w:tcW w:w="35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6"/>
              </w:rPr>
              <w:t>Offering</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8"/>
              </w:rPr>
              <w:t>Aggregate</w:t>
            </w:r>
          </w:p>
        </w:tc>
        <w:tc>
          <w:tcPr>
            <w:tcW w:w="1020" w:type="dxa"/>
            <w:vAlign w:val="bottom"/>
          </w:tcPr>
          <w:p>
            <w:pPr>
              <w:jc w:val="center"/>
              <w:ind w:left="79"/>
              <w:spacing w:after="0"/>
              <w:rPr>
                <w:sz w:val="20"/>
                <w:szCs w:val="20"/>
                <w:color w:val="auto"/>
              </w:rPr>
            </w:pPr>
            <w:r>
              <w:rPr>
                <w:rFonts w:ascii="Arial" w:cs="Arial" w:eastAsia="Arial" w:hAnsi="Arial"/>
                <w:sz w:val="16"/>
                <w:szCs w:val="16"/>
                <w:b w:val="1"/>
                <w:bCs w:val="1"/>
                <w:color w:val="auto"/>
                <w:w w:val="92"/>
              </w:rPr>
              <w:t>Amount of</w:t>
            </w:r>
          </w:p>
        </w:tc>
      </w:tr>
      <w:tr>
        <w:trPr>
          <w:trHeight w:val="202"/>
        </w:trPr>
        <w:tc>
          <w:tcPr>
            <w:tcW w:w="3540" w:type="dxa"/>
            <w:vAlign w:val="bottom"/>
          </w:tcPr>
          <w:p>
            <w:pPr>
              <w:spacing w:after="0"/>
              <w:rPr>
                <w:sz w:val="17"/>
                <w:szCs w:val="17"/>
                <w:color w:val="auto"/>
              </w:rPr>
            </w:pPr>
          </w:p>
        </w:tc>
        <w:tc>
          <w:tcPr>
            <w:tcW w:w="1400" w:type="dxa"/>
            <w:vAlign w:val="bottom"/>
          </w:tcPr>
          <w:p>
            <w:pPr>
              <w:jc w:val="center"/>
              <w:spacing w:after="0"/>
              <w:rPr>
                <w:sz w:val="20"/>
                <w:szCs w:val="20"/>
                <w:color w:val="auto"/>
              </w:rPr>
            </w:pPr>
            <w:r>
              <w:rPr>
                <w:rFonts w:ascii="Arial" w:cs="Arial" w:eastAsia="Arial" w:hAnsi="Arial"/>
                <w:sz w:val="16"/>
                <w:szCs w:val="16"/>
                <w:b w:val="1"/>
                <w:bCs w:val="1"/>
                <w:color w:val="auto"/>
                <w:w w:val="91"/>
              </w:rPr>
              <w:t>Amount Being</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2"/>
              </w:rPr>
              <w:t>Price Per</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93"/>
              </w:rPr>
              <w:t>Offering</w:t>
            </w:r>
          </w:p>
        </w:tc>
        <w:tc>
          <w:tcPr>
            <w:tcW w:w="1020" w:type="dxa"/>
            <w:vAlign w:val="bottom"/>
          </w:tcPr>
          <w:p>
            <w:pPr>
              <w:jc w:val="center"/>
              <w:ind w:left="79"/>
              <w:spacing w:after="0"/>
              <w:rPr>
                <w:sz w:val="20"/>
                <w:szCs w:val="20"/>
                <w:color w:val="auto"/>
              </w:rPr>
            </w:pPr>
            <w:r>
              <w:rPr>
                <w:rFonts w:ascii="Arial" w:cs="Arial" w:eastAsia="Arial" w:hAnsi="Arial"/>
                <w:sz w:val="16"/>
                <w:szCs w:val="16"/>
                <w:b w:val="1"/>
                <w:bCs w:val="1"/>
                <w:color w:val="auto"/>
                <w:w w:val="92"/>
              </w:rPr>
              <w:t>Registration</w:t>
            </w:r>
          </w:p>
        </w:tc>
      </w:tr>
      <w:tr>
        <w:trPr>
          <w:trHeight w:val="248"/>
        </w:trPr>
        <w:tc>
          <w:tcPr>
            <w:tcW w:w="3540" w:type="dxa"/>
            <w:vAlign w:val="bottom"/>
          </w:tcPr>
          <w:p>
            <w:pPr>
              <w:spacing w:after="0"/>
              <w:rPr>
                <w:sz w:val="20"/>
                <w:szCs w:val="20"/>
                <w:color w:val="auto"/>
              </w:rPr>
            </w:pPr>
            <w:r>
              <w:rPr>
                <w:rFonts w:ascii="Arial" w:cs="Arial" w:eastAsia="Arial" w:hAnsi="Arial"/>
                <w:sz w:val="16"/>
                <w:szCs w:val="16"/>
                <w:b w:val="1"/>
                <w:bCs w:val="1"/>
                <w:color w:val="auto"/>
                <w:w w:val="96"/>
              </w:rPr>
              <w:t>Title of Each Class of Security Being Registered</w:t>
            </w:r>
          </w:p>
        </w:tc>
        <w:tc>
          <w:tcPr>
            <w:tcW w:w="1400" w:type="dxa"/>
            <w:vAlign w:val="bottom"/>
          </w:tcPr>
          <w:p>
            <w:pPr>
              <w:jc w:val="center"/>
              <w:ind w:left="19"/>
              <w:spacing w:after="0"/>
              <w:rPr>
                <w:sz w:val="20"/>
                <w:szCs w:val="20"/>
                <w:color w:val="auto"/>
              </w:rPr>
            </w:pPr>
            <w:r>
              <w:rPr>
                <w:rFonts w:ascii="Arial" w:cs="Arial" w:eastAsia="Arial" w:hAnsi="Arial"/>
                <w:sz w:val="16"/>
                <w:szCs w:val="16"/>
                <w:b w:val="1"/>
                <w:bCs w:val="1"/>
                <w:color w:val="auto"/>
                <w:w w:val="89"/>
              </w:rPr>
              <w:t>Registered</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7"/>
              </w:rPr>
              <w:t>Security</w:t>
            </w:r>
            <w:r>
              <w:rPr>
                <w:rFonts w:ascii="Arial" w:cs="Arial" w:eastAsia="Arial" w:hAnsi="Arial"/>
                <w:sz w:val="18"/>
                <w:szCs w:val="18"/>
                <w:b w:val="1"/>
                <w:bCs w:val="1"/>
                <w:color w:val="auto"/>
                <w:w w:val="87"/>
                <w:vertAlign w:val="superscript"/>
              </w:rPr>
              <w:t>(1)</w:t>
            </w:r>
          </w:p>
        </w:tc>
        <w:tc>
          <w:tcPr>
            <w:tcW w:w="1020" w:type="dxa"/>
            <w:vAlign w:val="bottom"/>
          </w:tcPr>
          <w:p>
            <w:pPr>
              <w:jc w:val="center"/>
              <w:spacing w:after="0"/>
              <w:rPr>
                <w:sz w:val="20"/>
                <w:szCs w:val="20"/>
                <w:color w:val="auto"/>
              </w:rPr>
            </w:pPr>
            <w:r>
              <w:rPr>
                <w:rFonts w:ascii="Arial" w:cs="Arial" w:eastAsia="Arial" w:hAnsi="Arial"/>
                <w:sz w:val="16"/>
                <w:szCs w:val="16"/>
                <w:b w:val="1"/>
                <w:bCs w:val="1"/>
                <w:color w:val="auto"/>
                <w:w w:val="85"/>
              </w:rPr>
              <w:t>Price</w:t>
            </w:r>
            <w:r>
              <w:rPr>
                <w:rFonts w:ascii="Arial" w:cs="Arial" w:eastAsia="Arial" w:hAnsi="Arial"/>
                <w:sz w:val="18"/>
                <w:szCs w:val="18"/>
                <w:b w:val="1"/>
                <w:bCs w:val="1"/>
                <w:color w:val="auto"/>
                <w:w w:val="85"/>
                <w:vertAlign w:val="superscript"/>
              </w:rPr>
              <w:t>(1)</w:t>
            </w:r>
          </w:p>
        </w:tc>
        <w:tc>
          <w:tcPr>
            <w:tcW w:w="1020" w:type="dxa"/>
            <w:vAlign w:val="bottom"/>
          </w:tcPr>
          <w:p>
            <w:pPr>
              <w:jc w:val="center"/>
              <w:ind w:left="99"/>
              <w:spacing w:after="0"/>
              <w:rPr>
                <w:sz w:val="20"/>
                <w:szCs w:val="20"/>
                <w:color w:val="auto"/>
              </w:rPr>
            </w:pPr>
            <w:r>
              <w:rPr>
                <w:rFonts w:ascii="Arial" w:cs="Arial" w:eastAsia="Arial" w:hAnsi="Arial"/>
                <w:sz w:val="16"/>
                <w:szCs w:val="16"/>
                <w:b w:val="1"/>
                <w:bCs w:val="1"/>
                <w:color w:val="auto"/>
                <w:w w:val="86"/>
              </w:rPr>
              <w:t>Fee</w:t>
            </w:r>
          </w:p>
        </w:tc>
      </w:tr>
    </w:tbl>
    <w:p>
      <w:pPr>
        <w:spacing w:after="0" w:line="1" w:lineRule="exact"/>
        <w:rPr>
          <w:sz w:val="20"/>
          <w:szCs w:val="20"/>
          <w:color w:val="auto"/>
        </w:rPr>
      </w:pPr>
    </w:p>
    <w:tbl>
      <w:tblPr>
        <w:tblLayout w:type="fixed"/>
        <w:tblInd w:w="460" w:type="dxa"/>
        <w:tblCellMar>
          <w:top w:w="0" w:type="dxa"/>
          <w:left w:w="0" w:type="dxa"/>
          <w:bottom w:w="0" w:type="dxa"/>
          <w:right w:w="0" w:type="dxa"/>
        </w:tblCellMar>
      </w:tblPr>
      <w:tr>
        <w:trPr>
          <w:trHeight w:val="204"/>
        </w:trPr>
        <w:tc>
          <w:tcPr>
            <w:tcW w:w="3480" w:type="dxa"/>
            <w:vAlign w:val="bottom"/>
            <w:tcBorders>
              <w:top w:val="single" w:sz="8" w:color="auto"/>
            </w:tcBorders>
            <w:shd w:val="clear" w:color="auto" w:fill="CCEEFF"/>
          </w:tcPr>
          <w:p>
            <w:pPr>
              <w:spacing w:after="0" w:line="204" w:lineRule="exact"/>
              <w:rPr>
                <w:sz w:val="20"/>
                <w:szCs w:val="20"/>
                <w:color w:val="auto"/>
              </w:rPr>
            </w:pPr>
            <w:r>
              <w:rPr>
                <w:rFonts w:ascii="Arial" w:cs="Arial" w:eastAsia="Arial" w:hAnsi="Arial"/>
                <w:sz w:val="18"/>
                <w:szCs w:val="18"/>
                <w:color w:val="auto"/>
                <w:w w:val="94"/>
              </w:rPr>
              <w:t>Units, each consisting of one Class A ordinary</w:t>
            </w:r>
          </w:p>
        </w:tc>
        <w:tc>
          <w:tcPr>
            <w:tcW w:w="100" w:type="dxa"/>
            <w:vAlign w:val="bottom"/>
            <w:tcBorders>
              <w:top w:val="single" w:sz="8" w:color="CCEEFF"/>
            </w:tcBorders>
            <w:shd w:val="clear" w:color="auto" w:fill="CCEEFF"/>
          </w:tcPr>
          <w:p>
            <w:pPr>
              <w:spacing w:after="0"/>
              <w:rPr>
                <w:sz w:val="17"/>
                <w:szCs w:val="17"/>
                <w:color w:val="auto"/>
              </w:rPr>
            </w:pPr>
          </w:p>
        </w:tc>
        <w:tc>
          <w:tcPr>
            <w:tcW w:w="142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1040" w:type="dxa"/>
            <w:vAlign w:val="bottom"/>
            <w:tcBorders>
              <w:top w:val="single" w:sz="8" w:color="auto"/>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260" w:type="dxa"/>
            <w:vAlign w:val="bottom"/>
            <w:tcBorders>
              <w:top w:val="single" w:sz="8" w:color="auto"/>
            </w:tcBorders>
            <w:shd w:val="clear" w:color="auto" w:fill="CCEEFF"/>
          </w:tcPr>
          <w:p>
            <w:pPr>
              <w:spacing w:after="0"/>
              <w:rPr>
                <w:sz w:val="17"/>
                <w:szCs w:val="17"/>
                <w:color w:val="auto"/>
              </w:rPr>
            </w:pPr>
          </w:p>
        </w:tc>
        <w:tc>
          <w:tcPr>
            <w:tcW w:w="600" w:type="dxa"/>
            <w:vAlign w:val="bottom"/>
            <w:tcBorders>
              <w:top w:val="single" w:sz="8" w:color="auto"/>
            </w:tcBorders>
            <w:shd w:val="clear" w:color="auto" w:fill="CCEEFF"/>
          </w:tcPr>
          <w:p>
            <w:pPr>
              <w:spacing w:after="0"/>
              <w:rPr>
                <w:sz w:val="17"/>
                <w:szCs w:val="17"/>
                <w:color w:val="auto"/>
              </w:rPr>
            </w:pPr>
          </w:p>
        </w:tc>
        <w:tc>
          <w:tcPr>
            <w:tcW w:w="2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share, $0.0001 par value, and</w:t>
            </w:r>
          </w:p>
        </w:tc>
        <w:tc>
          <w:tcPr>
            <w:tcW w:w="1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71"/>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one-half of one redeemable warrant</w:t>
            </w:r>
            <w:r>
              <w:rPr>
                <w:rFonts w:ascii="Arial" w:cs="Arial" w:eastAsia="Arial" w:hAnsi="Arial"/>
                <w:sz w:val="20"/>
                <w:szCs w:val="20"/>
                <w:color w:val="auto"/>
                <w:vertAlign w:val="superscript"/>
              </w:rPr>
              <w:t>(2)</w:t>
            </w:r>
          </w:p>
        </w:tc>
        <w:tc>
          <w:tcPr>
            <w:tcW w:w="1760" w:type="dxa"/>
            <w:vAlign w:val="bottom"/>
            <w:gridSpan w:val="3"/>
            <w:shd w:val="clear" w:color="auto" w:fill="CCEEFF"/>
          </w:tcPr>
          <w:p>
            <w:pPr>
              <w:ind w:left="80"/>
              <w:spacing w:after="0"/>
              <w:rPr>
                <w:sz w:val="20"/>
                <w:szCs w:val="20"/>
                <w:color w:val="auto"/>
              </w:rPr>
            </w:pPr>
            <w:r>
              <w:rPr>
                <w:rFonts w:ascii="Arial" w:cs="Arial" w:eastAsia="Arial" w:hAnsi="Arial"/>
                <w:sz w:val="18"/>
                <w:szCs w:val="18"/>
                <w:color w:val="auto"/>
              </w:rPr>
              <w:t>34,500,000 Units   $</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10.00</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$345,000,000</w:t>
            </w:r>
          </w:p>
        </w:tc>
        <w:tc>
          <w:tcPr>
            <w:tcW w:w="2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44,781</w:t>
            </w: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0"/>
        </w:trPr>
        <w:tc>
          <w:tcPr>
            <w:tcW w:w="3580" w:type="dxa"/>
            <w:vAlign w:val="bottom"/>
            <w:gridSpan w:val="2"/>
          </w:tcPr>
          <w:p>
            <w:pPr>
              <w:spacing w:after="0"/>
              <w:rPr>
                <w:sz w:val="20"/>
                <w:szCs w:val="20"/>
                <w:color w:val="auto"/>
              </w:rPr>
            </w:pPr>
            <w:r>
              <w:rPr>
                <w:rFonts w:ascii="Arial" w:cs="Arial" w:eastAsia="Arial" w:hAnsi="Arial"/>
                <w:sz w:val="18"/>
                <w:szCs w:val="18"/>
                <w:color w:val="auto"/>
                <w:w w:val="95"/>
              </w:rPr>
              <w:t>Class A ordinary shares included as part of the</w:t>
            </w:r>
          </w:p>
        </w:tc>
        <w:tc>
          <w:tcPr>
            <w:tcW w:w="1760" w:type="dxa"/>
            <w:vAlign w:val="bottom"/>
            <w:gridSpan w:val="3"/>
            <w:vMerge w:val="restart"/>
          </w:tcPr>
          <w:p>
            <w:pPr>
              <w:jc w:val="center"/>
              <w:ind w:right="340"/>
              <w:spacing w:after="0"/>
              <w:rPr>
                <w:sz w:val="20"/>
                <w:szCs w:val="20"/>
                <w:color w:val="auto"/>
              </w:rPr>
            </w:pPr>
            <w:r>
              <w:rPr>
                <w:rFonts w:ascii="Arial" w:cs="Arial" w:eastAsia="Arial" w:hAnsi="Arial"/>
                <w:sz w:val="18"/>
                <w:szCs w:val="18"/>
                <w:color w:val="auto"/>
                <w:w w:val="88"/>
              </w:rPr>
              <w:t>34,500,000 Shares</w:t>
            </w:r>
          </w:p>
        </w:tc>
        <w:tc>
          <w:tcPr>
            <w:tcW w:w="60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760" w:type="dxa"/>
            <w:vAlign w:val="bottom"/>
            <w:gridSpan w:val="3"/>
            <w:vMerge w:val="restart"/>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01"/>
        </w:trPr>
        <w:tc>
          <w:tcPr>
            <w:tcW w:w="3480" w:type="dxa"/>
            <w:vAlign w:val="bottom"/>
          </w:tcPr>
          <w:p>
            <w:pPr>
              <w:ind w:left="520"/>
              <w:spacing w:after="0" w:line="101" w:lineRule="exact"/>
              <w:rPr>
                <w:sz w:val="20"/>
                <w:szCs w:val="20"/>
                <w:color w:val="auto"/>
              </w:rPr>
            </w:pPr>
            <w:r>
              <w:rPr>
                <w:rFonts w:ascii="Arial" w:cs="Arial" w:eastAsia="Arial" w:hAnsi="Arial"/>
                <w:sz w:val="10"/>
                <w:szCs w:val="10"/>
                <w:color w:val="auto"/>
              </w:rPr>
              <w:t>(3)</w:t>
            </w:r>
          </w:p>
        </w:tc>
        <w:tc>
          <w:tcPr>
            <w:tcW w:w="100" w:type="dxa"/>
            <w:vAlign w:val="bottom"/>
          </w:tcPr>
          <w:p>
            <w:pPr>
              <w:spacing w:after="0"/>
              <w:rPr>
                <w:sz w:val="8"/>
                <w:szCs w:val="8"/>
                <w:color w:val="auto"/>
              </w:rPr>
            </w:pPr>
          </w:p>
        </w:tc>
        <w:tc>
          <w:tcPr>
            <w:tcW w:w="1760" w:type="dxa"/>
            <w:vAlign w:val="bottom"/>
            <w:gridSpan w:val="3"/>
            <w:vMerge w:val="continue"/>
          </w:tcPr>
          <w:p>
            <w:pPr>
              <w:spacing w:after="0"/>
              <w:rPr>
                <w:sz w:val="8"/>
                <w:szCs w:val="8"/>
                <w:color w:val="auto"/>
              </w:rPr>
            </w:pPr>
          </w:p>
        </w:tc>
        <w:tc>
          <w:tcPr>
            <w:tcW w:w="600" w:type="dxa"/>
            <w:vAlign w:val="bottom"/>
            <w:gridSpan w:val="2"/>
            <w:vMerge w:val="continue"/>
          </w:tcPr>
          <w:p>
            <w:pPr>
              <w:spacing w:after="0"/>
              <w:rPr>
                <w:sz w:val="8"/>
                <w:szCs w:val="8"/>
                <w:color w:val="auto"/>
              </w:rPr>
            </w:pPr>
          </w:p>
        </w:tc>
        <w:tc>
          <w:tcPr>
            <w:tcW w:w="1140" w:type="dxa"/>
            <w:vAlign w:val="bottom"/>
            <w:gridSpan w:val="2"/>
            <w:vMerge w:val="continue"/>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gridSpan w:val="3"/>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7"/>
        </w:trPr>
        <w:tc>
          <w:tcPr>
            <w:tcW w:w="3580" w:type="dxa"/>
            <w:vAlign w:val="bottom"/>
            <w:gridSpan w:val="2"/>
          </w:tcPr>
          <w:p>
            <w:pPr>
              <w:ind w:left="180"/>
              <w:spacing w:after="0" w:line="27" w:lineRule="exact"/>
              <w:rPr>
                <w:sz w:val="20"/>
                <w:szCs w:val="20"/>
                <w:color w:val="auto"/>
              </w:rPr>
            </w:pPr>
            <w:r>
              <w:rPr>
                <w:rFonts w:ascii="Arial" w:cs="Arial" w:eastAsia="Arial" w:hAnsi="Arial"/>
                <w:sz w:val="3"/>
                <w:szCs w:val="3"/>
                <w:color w:val="auto"/>
              </w:rPr>
              <w:t>units</w:t>
            </w:r>
          </w:p>
        </w:tc>
        <w:tc>
          <w:tcPr>
            <w:tcW w:w="1760" w:type="dxa"/>
            <w:vAlign w:val="bottom"/>
            <w:gridSpan w:val="3"/>
            <w:vMerge w:val="continue"/>
          </w:tcPr>
          <w:p>
            <w:pPr>
              <w:spacing w:after="0"/>
              <w:rPr>
                <w:sz w:val="2"/>
                <w:szCs w:val="2"/>
                <w:color w:val="auto"/>
              </w:rPr>
            </w:pPr>
          </w:p>
        </w:tc>
        <w:tc>
          <w:tcPr>
            <w:tcW w:w="600" w:type="dxa"/>
            <w:vAlign w:val="bottom"/>
            <w:gridSpan w:val="2"/>
            <w:vMerge w:val="continue"/>
          </w:tcPr>
          <w:p>
            <w:pPr>
              <w:spacing w:after="0"/>
              <w:rPr>
                <w:sz w:val="2"/>
                <w:szCs w:val="2"/>
                <w:color w:val="auto"/>
              </w:rPr>
            </w:pPr>
          </w:p>
        </w:tc>
        <w:tc>
          <w:tcPr>
            <w:tcW w:w="1140" w:type="dxa"/>
            <w:vAlign w:val="bottom"/>
            <w:gridSpan w:val="2"/>
            <w:vMerge w:val="continue"/>
          </w:tcPr>
          <w:p>
            <w:pPr>
              <w:spacing w:after="0"/>
              <w:rPr>
                <w:sz w:val="2"/>
                <w:szCs w:val="2"/>
                <w:color w:val="auto"/>
              </w:rPr>
            </w:pPr>
          </w:p>
        </w:tc>
        <w:tc>
          <w:tcPr>
            <w:tcW w:w="260" w:type="dxa"/>
            <w:vAlign w:val="bottom"/>
          </w:tcPr>
          <w:p>
            <w:pPr>
              <w:spacing w:after="0"/>
              <w:rPr>
                <w:sz w:val="2"/>
                <w:szCs w:val="2"/>
                <w:color w:val="auto"/>
              </w:rPr>
            </w:pPr>
          </w:p>
        </w:tc>
        <w:tc>
          <w:tcPr>
            <w:tcW w:w="760" w:type="dxa"/>
            <w:vAlign w:val="bottom"/>
            <w:gridSpan w:val="3"/>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3"/>
        </w:trPr>
        <w:tc>
          <w:tcPr>
            <w:tcW w:w="34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gridSpan w:val="3"/>
          </w:tcPr>
          <w:p>
            <w:pPr>
              <w:jc w:val="right"/>
              <w:ind w:right="40"/>
              <w:spacing w:after="0"/>
              <w:rPr>
                <w:sz w:val="20"/>
                <w:szCs w:val="20"/>
                <w:color w:val="auto"/>
              </w:rPr>
            </w:pP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04"/>
        </w:trPr>
        <w:tc>
          <w:tcPr>
            <w:tcW w:w="3580" w:type="dxa"/>
            <w:vAlign w:val="bottom"/>
            <w:gridSpan w:val="2"/>
            <w:shd w:val="clear" w:color="auto" w:fill="CCEEFF"/>
          </w:tcPr>
          <w:p>
            <w:pPr>
              <w:spacing w:after="0" w:line="204" w:lineRule="exact"/>
              <w:rPr>
                <w:sz w:val="20"/>
                <w:szCs w:val="20"/>
                <w:color w:val="auto"/>
              </w:rPr>
            </w:pPr>
            <w:r>
              <w:rPr>
                <w:rFonts w:ascii="Arial" w:cs="Arial" w:eastAsia="Arial" w:hAnsi="Arial"/>
                <w:sz w:val="18"/>
                <w:szCs w:val="18"/>
                <w:color w:val="auto"/>
                <w:w w:val="99"/>
              </w:rPr>
              <w:t>Redeemable warrants included as part of the</w:t>
            </w:r>
          </w:p>
        </w:tc>
        <w:tc>
          <w:tcPr>
            <w:tcW w:w="1420" w:type="dxa"/>
            <w:vAlign w:val="bottom"/>
            <w:shd w:val="clear" w:color="auto" w:fill="CCEEFF"/>
          </w:tcPr>
          <w:p>
            <w:pPr>
              <w:jc w:val="right"/>
              <w:ind w:right="210"/>
              <w:spacing w:after="0" w:line="204" w:lineRule="exact"/>
              <w:rPr>
                <w:sz w:val="20"/>
                <w:szCs w:val="20"/>
                <w:color w:val="auto"/>
              </w:rPr>
            </w:pPr>
            <w:r>
              <w:rPr>
                <w:rFonts w:ascii="Arial" w:cs="Arial" w:eastAsia="Arial" w:hAnsi="Arial"/>
                <w:sz w:val="18"/>
                <w:szCs w:val="18"/>
                <w:color w:val="auto"/>
              </w:rPr>
              <w:t>17,250,000</w:t>
            </w:r>
          </w:p>
        </w:tc>
        <w:tc>
          <w:tcPr>
            <w:tcW w:w="1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3580" w:type="dxa"/>
            <w:vAlign w:val="bottom"/>
            <w:gridSpan w:val="2"/>
            <w:shd w:val="clear" w:color="auto" w:fill="CCEEFF"/>
          </w:tcPr>
          <w:p>
            <w:pPr>
              <w:ind w:left="180"/>
              <w:spacing w:after="0"/>
              <w:rPr>
                <w:sz w:val="20"/>
                <w:szCs w:val="20"/>
                <w:color w:val="auto"/>
              </w:rPr>
            </w:pPr>
            <w:r>
              <w:rPr>
                <w:rFonts w:ascii="Arial" w:cs="Arial" w:eastAsia="Arial" w:hAnsi="Arial"/>
                <w:sz w:val="18"/>
                <w:szCs w:val="18"/>
                <w:color w:val="auto"/>
              </w:rPr>
              <w:t>units</w:t>
            </w:r>
            <w:r>
              <w:rPr>
                <w:rFonts w:ascii="Arial" w:cs="Arial" w:eastAsia="Arial" w:hAnsi="Arial"/>
                <w:sz w:val="20"/>
                <w:szCs w:val="20"/>
                <w:color w:val="auto"/>
                <w:vertAlign w:val="superscript"/>
              </w:rPr>
              <w:t>(3)</w:t>
            </w:r>
          </w:p>
        </w:tc>
        <w:tc>
          <w:tcPr>
            <w:tcW w:w="1760" w:type="dxa"/>
            <w:vAlign w:val="bottom"/>
            <w:gridSpan w:val="3"/>
            <w:shd w:val="clear" w:color="auto" w:fill="CCEEFF"/>
          </w:tcPr>
          <w:p>
            <w:pPr>
              <w:ind w:left="480"/>
              <w:spacing w:after="0"/>
              <w:rPr>
                <w:sz w:val="20"/>
                <w:szCs w:val="20"/>
                <w:color w:val="auto"/>
              </w:rPr>
            </w:pPr>
            <w:r>
              <w:rPr>
                <w:rFonts w:ascii="Arial" w:cs="Arial" w:eastAsia="Arial" w:hAnsi="Arial"/>
                <w:sz w:val="18"/>
                <w:szCs w:val="18"/>
                <w:color w:val="auto"/>
              </w:rPr>
              <w:t>Warrants</w:t>
            </w:r>
          </w:p>
        </w:tc>
        <w:tc>
          <w:tcPr>
            <w:tcW w:w="6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76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w:t>
            </w:r>
            <w:r>
              <w:rPr>
                <w:rFonts w:ascii="Arial" w:cs="Arial" w:eastAsia="Arial" w:hAnsi="Arial"/>
                <w:sz w:val="10"/>
                <w:szCs w:val="10"/>
                <w:color w:val="auto"/>
              </w:rPr>
              <w:t>(4)</w:t>
            </w:r>
          </w:p>
        </w:tc>
        <w:tc>
          <w:tcPr>
            <w:tcW w:w="0" w:type="dxa"/>
            <w:vAlign w:val="bottom"/>
          </w:tcPr>
          <w:p>
            <w:pPr>
              <w:spacing w:after="0"/>
              <w:rPr>
                <w:sz w:val="1"/>
                <w:szCs w:val="1"/>
                <w:color w:val="auto"/>
              </w:rPr>
            </w:pPr>
          </w:p>
        </w:tc>
      </w:tr>
      <w:tr>
        <w:trPr>
          <w:trHeight w:val="20"/>
        </w:trPr>
        <w:tc>
          <w:tcPr>
            <w:tcW w:w="3580" w:type="dxa"/>
            <w:vAlign w:val="bottom"/>
            <w:gridSpan w:val="2"/>
            <w:vMerge w:val="restart"/>
          </w:tcPr>
          <w:p>
            <w:pPr>
              <w:spacing w:after="0"/>
              <w:rPr>
                <w:sz w:val="20"/>
                <w:szCs w:val="20"/>
                <w:color w:val="auto"/>
              </w:rPr>
            </w:pPr>
            <w:r>
              <w:rPr>
                <w:rFonts w:ascii="Arial" w:cs="Arial" w:eastAsia="Arial" w:hAnsi="Arial"/>
                <w:sz w:val="18"/>
                <w:szCs w:val="18"/>
                <w:color w:val="auto"/>
              </w:rPr>
              <w:t>Total</w:t>
            </w: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3580" w:type="dxa"/>
            <w:vAlign w:val="bottom"/>
            <w:gridSpan w:val="2"/>
            <w:vMerge w:val="continue"/>
          </w:tcPr>
          <w:p>
            <w:pPr>
              <w:spacing w:after="0"/>
              <w:rPr>
                <w:sz w:val="21"/>
                <w:szCs w:val="21"/>
                <w:color w:val="auto"/>
              </w:rPr>
            </w:pP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40" w:type="dxa"/>
            <w:vAlign w:val="bottom"/>
            <w:gridSpan w:val="2"/>
          </w:tcPr>
          <w:p>
            <w:pPr>
              <w:jc w:val="right"/>
              <w:ind w:right="100"/>
              <w:spacing w:after="0"/>
              <w:rPr>
                <w:sz w:val="20"/>
                <w:szCs w:val="20"/>
                <w:color w:val="auto"/>
              </w:rPr>
            </w:pPr>
            <w:r>
              <w:rPr>
                <w:rFonts w:ascii="Arial" w:cs="Arial" w:eastAsia="Arial" w:hAnsi="Arial"/>
                <w:sz w:val="18"/>
                <w:szCs w:val="18"/>
                <w:color w:val="auto"/>
                <w:w w:val="92"/>
              </w:rPr>
              <w:t>$345,000,000</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760" w:type="dxa"/>
            <w:vAlign w:val="bottom"/>
            <w:gridSpan w:val="3"/>
          </w:tcPr>
          <w:p>
            <w:pPr>
              <w:jc w:val="right"/>
              <w:ind w:right="40"/>
              <w:spacing w:after="0"/>
              <w:rPr>
                <w:sz w:val="20"/>
                <w:szCs w:val="20"/>
                <w:color w:val="auto"/>
              </w:rPr>
            </w:pPr>
            <w:r>
              <w:rPr>
                <w:rFonts w:ascii="Arial" w:cs="Arial" w:eastAsia="Arial" w:hAnsi="Arial"/>
                <w:sz w:val="18"/>
                <w:szCs w:val="18"/>
                <w:color w:val="auto"/>
              </w:rPr>
              <w:t>44,781</w:t>
            </w:r>
            <w:r>
              <w:rPr>
                <w:rFonts w:ascii="Arial" w:cs="Arial" w:eastAsia="Arial" w:hAnsi="Arial"/>
                <w:sz w:val="10"/>
                <w:szCs w:val="10"/>
                <w:color w:val="auto"/>
              </w:rPr>
              <w:t>(5)</w:t>
            </w:r>
          </w:p>
        </w:tc>
        <w:tc>
          <w:tcPr>
            <w:tcW w:w="0" w:type="dxa"/>
            <w:vAlign w:val="bottom"/>
          </w:tcPr>
          <w:p>
            <w:pPr>
              <w:spacing w:after="0"/>
              <w:rPr>
                <w:sz w:val="1"/>
                <w:szCs w:val="1"/>
                <w:color w:val="auto"/>
              </w:rPr>
            </w:pPr>
          </w:p>
        </w:tc>
      </w:tr>
      <w:tr>
        <w:trPr>
          <w:trHeight w:val="20"/>
        </w:trPr>
        <w:tc>
          <w:tcPr>
            <w:tcW w:w="3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hanging="426"/>
        <w:spacing w:after="0"/>
        <w:tabs>
          <w:tab w:leader="none" w:pos="880" w:val="left"/>
        </w:tabs>
        <w:numPr>
          <w:ilvl w:val="0"/>
          <w:numId w:val="1"/>
        </w:numPr>
        <w:rPr>
          <w:rFonts w:ascii="Arial" w:cs="Arial" w:eastAsia="Arial" w:hAnsi="Arial"/>
          <w:sz w:val="15"/>
          <w:szCs w:val="15"/>
          <w:color w:val="auto"/>
        </w:rPr>
      </w:pPr>
      <w:r>
        <w:rPr>
          <w:rFonts w:ascii="Arial" w:cs="Arial" w:eastAsia="Arial" w:hAnsi="Arial"/>
          <w:sz w:val="15"/>
          <w:szCs w:val="15"/>
          <w:color w:val="auto"/>
        </w:rPr>
        <w:t>Estimated solely for the purpose of calculating the registration fee pursuant to Rule 457(a) under the Securities Act.</w:t>
      </w:r>
    </w:p>
    <w:p>
      <w:pPr>
        <w:spacing w:after="0" w:line="33" w:lineRule="exact"/>
        <w:rPr>
          <w:rFonts w:ascii="Arial" w:cs="Arial" w:eastAsia="Arial" w:hAnsi="Arial"/>
          <w:sz w:val="15"/>
          <w:szCs w:val="15"/>
          <w:color w:val="auto"/>
        </w:rPr>
      </w:pPr>
    </w:p>
    <w:p>
      <w:pPr>
        <w:ind w:left="880" w:right="539" w:hanging="426"/>
        <w:spacing w:after="0" w:line="281" w:lineRule="auto"/>
        <w:tabs>
          <w:tab w:leader="none" w:pos="880" w:val="left"/>
        </w:tabs>
        <w:numPr>
          <w:ilvl w:val="0"/>
          <w:numId w:val="1"/>
        </w:numPr>
        <w:rPr>
          <w:rFonts w:ascii="Arial" w:cs="Arial" w:eastAsia="Arial" w:hAnsi="Arial"/>
          <w:sz w:val="15"/>
          <w:szCs w:val="15"/>
          <w:color w:val="auto"/>
        </w:rPr>
      </w:pPr>
      <w:r>
        <w:rPr>
          <w:rFonts w:ascii="Arial" w:cs="Arial" w:eastAsia="Arial" w:hAnsi="Arial"/>
          <w:sz w:val="15"/>
          <w:szCs w:val="15"/>
          <w:color w:val="auto"/>
        </w:rPr>
        <w:t>Includes 4,500,000 units, consisting of 4,500,000 Class A ordinary shares and 2,250,000 redeemable warrants, which may be issued upon exercise of a 45-day option granted to the underwriter to cover over-allotments, if any.</w:t>
      </w:r>
    </w:p>
    <w:p>
      <w:pPr>
        <w:spacing w:after="0" w:line="1" w:lineRule="exact"/>
        <w:rPr>
          <w:rFonts w:ascii="Arial" w:cs="Arial" w:eastAsia="Arial" w:hAnsi="Arial"/>
          <w:sz w:val="15"/>
          <w:szCs w:val="15"/>
          <w:color w:val="auto"/>
        </w:rPr>
      </w:pPr>
    </w:p>
    <w:p>
      <w:pPr>
        <w:ind w:left="880" w:right="619" w:hanging="426"/>
        <w:spacing w:after="0" w:line="281" w:lineRule="auto"/>
        <w:tabs>
          <w:tab w:leader="none" w:pos="880" w:val="left"/>
        </w:tabs>
        <w:numPr>
          <w:ilvl w:val="0"/>
          <w:numId w:val="1"/>
        </w:numPr>
        <w:rPr>
          <w:rFonts w:ascii="Arial" w:cs="Arial" w:eastAsia="Arial" w:hAnsi="Arial"/>
          <w:sz w:val="15"/>
          <w:szCs w:val="15"/>
          <w:color w:val="auto"/>
        </w:rPr>
      </w:pPr>
      <w:r>
        <w:rPr>
          <w:rFonts w:ascii="Arial" w:cs="Arial" w:eastAsia="Arial" w:hAnsi="Arial"/>
          <w:sz w:val="15"/>
          <w:szCs w:val="15"/>
          <w:color w:val="auto"/>
        </w:rPr>
        <w:t>Pursuant to Rule 416(a), there are also being registered an indeterminable number of additional securities as may be offered or issued to prevent dilution resulting from stock splits, stock dividends, or similar transactions.</w:t>
      </w:r>
    </w:p>
    <w:p>
      <w:pPr>
        <w:spacing w:after="0" w:line="1" w:lineRule="exact"/>
        <w:rPr>
          <w:rFonts w:ascii="Arial" w:cs="Arial" w:eastAsia="Arial" w:hAnsi="Arial"/>
          <w:sz w:val="15"/>
          <w:szCs w:val="15"/>
          <w:color w:val="auto"/>
        </w:rPr>
      </w:pP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No fee pursuant to Rule 457(g).</w:t>
      </w:r>
    </w:p>
    <w:p>
      <w:pPr>
        <w:spacing w:after="0" w:line="18" w:lineRule="exact"/>
        <w:rPr>
          <w:rFonts w:ascii="Arial" w:cs="Arial" w:eastAsia="Arial" w:hAnsi="Arial"/>
          <w:sz w:val="16"/>
          <w:szCs w:val="16"/>
          <w:color w:val="auto"/>
        </w:rPr>
      </w:pPr>
    </w:p>
    <w:p>
      <w:pPr>
        <w:ind w:left="880" w:hanging="426"/>
        <w:spacing w:after="0"/>
        <w:tabs>
          <w:tab w:leader="none" w:pos="880" w:val="left"/>
        </w:tabs>
        <w:numPr>
          <w:ilvl w:val="0"/>
          <w:numId w:val="1"/>
        </w:numPr>
        <w:rPr>
          <w:rFonts w:ascii="Arial" w:cs="Arial" w:eastAsia="Arial" w:hAnsi="Arial"/>
          <w:sz w:val="16"/>
          <w:szCs w:val="16"/>
          <w:color w:val="auto"/>
        </w:rPr>
      </w:pPr>
      <w:r>
        <w:rPr>
          <w:rFonts w:ascii="Arial" w:cs="Arial" w:eastAsia="Arial" w:hAnsi="Arial"/>
          <w:sz w:val="16"/>
          <w:szCs w:val="16"/>
          <w:color w:val="auto"/>
        </w:rPr>
        <w:t>Previously paid.</w:t>
      </w:r>
    </w:p>
    <w:p>
      <w:pPr>
        <w:spacing w:after="0" w:line="141" w:lineRule="exact"/>
        <w:rPr>
          <w:sz w:val="20"/>
          <w:szCs w:val="20"/>
          <w:color w:val="auto"/>
        </w:rPr>
      </w:pPr>
    </w:p>
    <w:p>
      <w:pPr>
        <w:ind w:left="460" w:right="479" w:firstLine="432"/>
        <w:spacing w:after="0" w:line="298" w:lineRule="auto"/>
        <w:rPr>
          <w:sz w:val="20"/>
          <w:szCs w:val="20"/>
          <w:color w:val="auto"/>
        </w:rPr>
      </w:pPr>
      <w:r>
        <w:rPr>
          <w:rFonts w:ascii="Arial" w:cs="Arial" w:eastAsia="Arial" w:hAnsi="Arial"/>
          <w:sz w:val="16"/>
          <w:szCs w:val="16"/>
          <w:b w:val="1"/>
          <w:bCs w:val="1"/>
          <w:color w:val="auto"/>
        </w:rPr>
        <w:t>The Registrant hereby amends this Registration Statement on such date or dates as may be necessary to delay its effective date until the Registrant shall file a further amendment which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246380</wp:posOffset>
            </wp:positionV>
            <wp:extent cx="5143500" cy="254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289560</wp:posOffset>
            </wp:positionV>
            <wp:extent cx="5143500" cy="254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572135</wp:posOffset>
            </wp:positionV>
            <wp:extent cx="51435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2" w:name="page3"/>
    <w:bookmarkEnd w:id="2"/>
    <w:p>
      <w:pPr>
        <w:spacing w:after="0" w:line="14" w:lineRule="exact"/>
        <w:rPr>
          <w:sz w:val="20"/>
          <w:szCs w:val="20"/>
          <w:color w:val="auto"/>
        </w:rPr>
      </w:pPr>
    </w:p>
    <w:p>
      <w:pPr>
        <w:ind w:left="460" w:right="479"/>
        <w:spacing w:after="0" w:line="273" w:lineRule="auto"/>
        <w:rPr>
          <w:sz w:val="20"/>
          <w:szCs w:val="20"/>
          <w:color w:val="auto"/>
        </w:rPr>
      </w:pPr>
      <w:r>
        <w:rPr>
          <w:rFonts w:ascii="Arial" w:cs="Arial" w:eastAsia="Arial" w:hAnsi="Arial"/>
          <w:sz w:val="16"/>
          <w:szCs w:val="16"/>
          <w:color w:val="ED1C24"/>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jurisdiction where the offer or sale is not permitted.</w:t>
      </w:r>
    </w:p>
    <w:p>
      <w:pPr>
        <w:spacing w:after="0" w:line="180" w:lineRule="exact"/>
        <w:rPr>
          <w:sz w:val="20"/>
          <w:szCs w:val="20"/>
          <w:color w:val="auto"/>
        </w:rPr>
      </w:pPr>
    </w:p>
    <w:p>
      <w:pPr>
        <w:ind w:left="2420"/>
        <w:spacing w:after="0"/>
        <w:rPr>
          <w:sz w:val="20"/>
          <w:szCs w:val="20"/>
          <w:color w:val="auto"/>
        </w:rPr>
      </w:pPr>
      <w:r>
        <w:rPr>
          <w:rFonts w:ascii="Arial" w:cs="Arial" w:eastAsia="Arial" w:hAnsi="Arial"/>
          <w:sz w:val="18"/>
          <w:szCs w:val="18"/>
          <w:b w:val="1"/>
          <w:bCs w:val="1"/>
          <w:color w:val="D2232A"/>
        </w:rPr>
        <w:t>SUBJECT TO COMPLETION, DATED MAY 1, 2020</w:t>
      </w:r>
    </w:p>
    <w:p>
      <w:pPr>
        <w:spacing w:after="0" w:line="13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PRELIMINARY PROSPECTUS</w:t>
      </w:r>
    </w:p>
    <w:p>
      <w:pPr>
        <w:spacing w:after="0" w:line="74" w:lineRule="exact"/>
        <w:rPr>
          <w:sz w:val="20"/>
          <w:szCs w:val="20"/>
          <w:color w:val="auto"/>
        </w:rPr>
      </w:pPr>
    </w:p>
    <w:p>
      <w:pPr>
        <w:jc w:val="center"/>
        <w:spacing w:after="0"/>
        <w:rPr>
          <w:sz w:val="20"/>
          <w:szCs w:val="20"/>
          <w:color w:val="auto"/>
        </w:rPr>
      </w:pPr>
      <w:r>
        <w:rPr>
          <w:rFonts w:ascii="Arial" w:cs="Arial" w:eastAsia="Arial" w:hAnsi="Arial"/>
          <w:sz w:val="38"/>
          <w:szCs w:val="38"/>
          <w:b w:val="1"/>
          <w:bCs w:val="1"/>
          <w:color w:val="auto"/>
        </w:rPr>
        <w:t>Sustainable Opportunities Acquisition Corp.</w:t>
      </w:r>
    </w:p>
    <w:p>
      <w:pPr>
        <w:spacing w:after="0" w:line="80"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$300,000,000</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30,000,000 Units</w:t>
      </w:r>
    </w:p>
    <w:p>
      <w:pPr>
        <w:spacing w:after="0" w:line="3"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______________</w:t>
      </w:r>
    </w:p>
    <w:p>
      <w:pPr>
        <w:spacing w:after="0" w:line="79" w:lineRule="exact"/>
        <w:rPr>
          <w:sz w:val="20"/>
          <w:szCs w:val="20"/>
          <w:color w:val="auto"/>
        </w:rPr>
      </w:pPr>
    </w:p>
    <w:p>
      <w:pPr>
        <w:ind w:left="460" w:right="519" w:firstLine="432"/>
        <w:spacing w:after="0" w:line="313" w:lineRule="auto"/>
        <w:rPr>
          <w:sz w:val="20"/>
          <w:szCs w:val="20"/>
          <w:color w:val="auto"/>
        </w:rPr>
      </w:pPr>
      <w:r>
        <w:rPr>
          <w:rFonts w:ascii="Arial" w:cs="Arial" w:eastAsia="Arial" w:hAnsi="Arial"/>
          <w:sz w:val="14"/>
          <w:szCs w:val="14"/>
          <w:color w:val="auto"/>
        </w:rPr>
        <w:t>Sustainable Opportunities Acquisition Corp. is a newly incorporated blank check company incorporated as a Cayman Islands exempted company and incorporated for the purpose of effecting a merger, share exchange, asset acquisition, share purchase, reorganization or similar business combination with one or more businesses or entities, which we refer to as our initial business combination. We have not selected any business combination target and we have not, nor has anyone on our behalf, initiated any substantive discussions, directly or indirectly, with any business combination target. While we will not be limited to a particular industry or geographic region, given the experience of our management team, our acquisition and value creation strategy will be to identify, acquire, and build a company in the sustainable sector.</w:t>
      </w:r>
    </w:p>
    <w:p>
      <w:pPr>
        <w:spacing w:after="0" w:line="29" w:lineRule="exact"/>
        <w:rPr>
          <w:sz w:val="20"/>
          <w:szCs w:val="20"/>
          <w:color w:val="auto"/>
        </w:rPr>
      </w:pPr>
    </w:p>
    <w:p>
      <w:pPr>
        <w:ind w:left="460" w:right="599" w:firstLine="432"/>
        <w:spacing w:after="0" w:line="271" w:lineRule="auto"/>
        <w:rPr>
          <w:sz w:val="20"/>
          <w:szCs w:val="20"/>
          <w:color w:val="auto"/>
        </w:rPr>
      </w:pPr>
      <w:r>
        <w:rPr>
          <w:rFonts w:ascii="Arial" w:cs="Arial" w:eastAsia="Arial" w:hAnsi="Arial"/>
          <w:sz w:val="16"/>
          <w:szCs w:val="16"/>
          <w:color w:val="auto"/>
        </w:rPr>
        <w:t>This is an initial public offering of our securities. Each unit has an offering price of $10.00 and consists of one Class A ordinary share and one-half of one redeemable warrant. Each whole warrant entitles the holder thereof to purchase one Class A ordinary share at a price of $11.50 per share, subject to adjustment, terms and limitations as described herein. The underwriter has a 45-day option from the date of this prospectus to purchase up to 4,500,000 additional units to cover over-allotments, if any.</w:t>
      </w:r>
    </w:p>
    <w:p>
      <w:pPr>
        <w:spacing w:after="0" w:line="41" w:lineRule="exact"/>
        <w:rPr>
          <w:sz w:val="20"/>
          <w:szCs w:val="20"/>
          <w:color w:val="auto"/>
        </w:rPr>
      </w:pPr>
    </w:p>
    <w:p>
      <w:pPr>
        <w:ind w:left="460" w:right="659" w:firstLine="432"/>
        <w:spacing w:after="0" w:line="297" w:lineRule="auto"/>
        <w:rPr>
          <w:sz w:val="20"/>
          <w:szCs w:val="20"/>
          <w:color w:val="auto"/>
        </w:rPr>
      </w:pPr>
      <w:r>
        <w:rPr>
          <w:rFonts w:ascii="Arial" w:cs="Arial" w:eastAsia="Arial" w:hAnsi="Arial"/>
          <w:sz w:val="15"/>
          <w:szCs w:val="15"/>
          <w:color w:val="auto"/>
        </w:rPr>
        <w:t>We will provide our public shareholders with the opportunity to redeem all or a portion of their Class A ordinary shares upon the completion of our initial business combination, subject to the limitations described herein. If we have not consummated an initial business combination within 18 months from the closing of this offering, we will redeem 100% of the public shares for cash, subject to applicable law and certain conditions as described herein.</w:t>
      </w:r>
    </w:p>
    <w:p>
      <w:pPr>
        <w:spacing w:after="0" w:line="24"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6"/>
          <w:szCs w:val="16"/>
          <w:color w:val="auto"/>
        </w:rPr>
        <w:t>Our sponsor, Sustainable Opportunities Holdings LLC, has agreed to purchase 9,500,000 warrants, each exercisable to purchase one Class A ordinary share at $11.50 per share, at a price of $1.00 per warrant, in a private placement to occur concurrently with the closing of this offering. Our sponsor currently owns 8,625,000 Class B ordinary shares which will automatically convert into Class A ordinary shares at the time of our initial business combination as described herein. Prior to our initial business combination, only holders of our Class B ordinary shares will be entitled to vote on the election of directors.</w:t>
      </w:r>
    </w:p>
    <w:p>
      <w:pPr>
        <w:spacing w:after="0" w:line="59" w:lineRule="exact"/>
        <w:rPr>
          <w:sz w:val="20"/>
          <w:szCs w:val="20"/>
          <w:color w:val="auto"/>
        </w:rPr>
      </w:pPr>
    </w:p>
    <w:p>
      <w:pPr>
        <w:ind w:left="460" w:right="659" w:firstLine="432"/>
        <w:spacing w:after="0" w:line="290" w:lineRule="auto"/>
        <w:rPr>
          <w:sz w:val="20"/>
          <w:szCs w:val="20"/>
          <w:color w:val="auto"/>
        </w:rPr>
      </w:pPr>
      <w:r>
        <w:rPr>
          <w:rFonts w:ascii="Arial" w:cs="Arial" w:eastAsia="Arial" w:hAnsi="Arial"/>
          <w:sz w:val="14"/>
          <w:szCs w:val="14"/>
          <w:color w:val="auto"/>
        </w:rPr>
        <w:t>Currently, there is no public market for our securities. Our units have been approved for listing on the New York Stock Exchange, or NYSE, under the symbol “SOAC.U.” We expect that the Class A ordinary shares and warrants comprising the units will begin separate trading on the NYSE under the symbols “SOAC” and “SOAC WS,” respectively, on the 52</w:t>
      </w:r>
      <w:r>
        <w:rPr>
          <w:rFonts w:ascii="Arial" w:cs="Arial" w:eastAsia="Arial" w:hAnsi="Arial"/>
          <w:sz w:val="18"/>
          <w:szCs w:val="18"/>
          <w:color w:val="auto"/>
          <w:vertAlign w:val="superscript"/>
        </w:rPr>
        <w:t>nd</w:t>
      </w:r>
      <w:r>
        <w:rPr>
          <w:rFonts w:ascii="Arial" w:cs="Arial" w:eastAsia="Arial" w:hAnsi="Arial"/>
          <w:sz w:val="14"/>
          <w:szCs w:val="14"/>
          <w:color w:val="auto"/>
        </w:rPr>
        <w:t xml:space="preserve"> day following the date of this prospectus (or if such day is not a business day, the immediately succeeding business day) unless the underwriter permits earlier separate trading and we have satisfied certain conditions.</w:t>
      </w:r>
    </w:p>
    <w:p>
      <w:pPr>
        <w:spacing w:after="0" w:line="2"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______________</w:t>
      </w:r>
    </w:p>
    <w:p>
      <w:pPr>
        <w:spacing w:after="0" w:line="60" w:lineRule="exact"/>
        <w:rPr>
          <w:sz w:val="20"/>
          <w:szCs w:val="20"/>
          <w:color w:val="auto"/>
        </w:rPr>
      </w:pPr>
    </w:p>
    <w:p>
      <w:pPr>
        <w:ind w:left="460" w:right="659" w:firstLine="432"/>
        <w:spacing w:after="0" w:line="245" w:lineRule="auto"/>
        <w:rPr>
          <w:sz w:val="20"/>
          <w:szCs w:val="20"/>
          <w:color w:val="auto"/>
        </w:rPr>
      </w:pPr>
      <w:r>
        <w:rPr>
          <w:rFonts w:ascii="Arial" w:cs="Arial" w:eastAsia="Arial" w:hAnsi="Arial"/>
          <w:sz w:val="20"/>
          <w:szCs w:val="20"/>
          <w:b w:val="1"/>
          <w:bCs w:val="1"/>
          <w:color w:val="auto"/>
        </w:rPr>
        <w:t>We are an “emerging growth company” under applicable federal securities laws and will be subject to reduced public company reporting requirements. Investing in our securities involves a high degree of risk. See “Risk Factors” beginning on page 27 for a discussion of information that should be considered in connection with an investment in our securities. Investors will not be entitled to protections normally afforded to investors in Rule 419 blank check offerings.</w:t>
      </w:r>
    </w:p>
    <w:p>
      <w:pPr>
        <w:spacing w:after="0" w:line="49" w:lineRule="exact"/>
        <w:rPr>
          <w:sz w:val="20"/>
          <w:szCs w:val="20"/>
          <w:color w:val="auto"/>
        </w:rPr>
      </w:pPr>
    </w:p>
    <w:p>
      <w:pPr>
        <w:ind w:left="460" w:right="539" w:firstLine="432"/>
        <w:spacing w:after="0" w:line="265" w:lineRule="auto"/>
        <w:rPr>
          <w:sz w:val="20"/>
          <w:szCs w:val="20"/>
          <w:color w:val="auto"/>
        </w:rPr>
      </w:pPr>
      <w:r>
        <w:rPr>
          <w:rFonts w:ascii="Arial" w:cs="Arial" w:eastAsia="Arial" w:hAnsi="Arial"/>
          <w:sz w:val="16"/>
          <w:szCs w:val="16"/>
          <w:color w:val="auto"/>
        </w:rPr>
        <w:t>Neither the Securities and Exchange Commission (the “SEC”) nor any state securities commission has approved or disapproved of these securities or determined if this prospectus is truthful or complete. Any representation to the contrary is a criminal offense.</w:t>
      </w:r>
    </w:p>
    <w:p>
      <w:pPr>
        <w:spacing w:after="0" w:line="2" w:lineRule="exact"/>
        <w:rPr>
          <w:sz w:val="20"/>
          <w:szCs w:val="20"/>
          <w:color w:val="auto"/>
        </w:rPr>
      </w:pPr>
    </w:p>
    <w:p>
      <w:pPr>
        <w:ind w:left="3880"/>
        <w:spacing w:after="0"/>
        <w:rPr>
          <w:sz w:val="20"/>
          <w:szCs w:val="20"/>
          <w:color w:val="auto"/>
        </w:rPr>
      </w:pPr>
      <w:r>
        <w:rPr>
          <w:rFonts w:ascii="Arial" w:cs="Arial" w:eastAsia="Arial" w:hAnsi="Arial"/>
          <w:sz w:val="18"/>
          <w:szCs w:val="18"/>
          <w:b w:val="1"/>
          <w:bCs w:val="1"/>
          <w:color w:val="auto"/>
        </w:rPr>
        <w:t>______________</w:t>
      </w:r>
    </w:p>
    <w:p>
      <w:pPr>
        <w:spacing w:after="0" w:line="23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8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6"/>
                <w:szCs w:val="16"/>
                <w:b w:val="1"/>
                <w:bCs w:val="1"/>
                <w:color w:val="auto"/>
              </w:rPr>
              <w:t>Per Unit</w:t>
            </w:r>
          </w:p>
        </w:tc>
        <w:tc>
          <w:tcPr>
            <w:tcW w:w="220" w:type="dxa"/>
            <w:vAlign w:val="bottom"/>
          </w:tcPr>
          <w:p>
            <w:pPr>
              <w:spacing w:after="0"/>
              <w:rPr>
                <w:sz w:val="18"/>
                <w:szCs w:val="18"/>
                <w:color w:val="auto"/>
              </w:rPr>
            </w:pPr>
          </w:p>
        </w:tc>
        <w:tc>
          <w:tcPr>
            <w:tcW w:w="920" w:type="dxa"/>
            <w:vAlign w:val="bottom"/>
          </w:tcPr>
          <w:p>
            <w:pPr>
              <w:jc w:val="right"/>
              <w:ind w:right="319"/>
              <w:spacing w:after="0"/>
              <w:rPr>
                <w:sz w:val="20"/>
                <w:szCs w:val="20"/>
                <w:color w:val="auto"/>
              </w:rPr>
            </w:pPr>
            <w:r>
              <w:rPr>
                <w:rFonts w:ascii="Arial" w:cs="Arial" w:eastAsia="Arial" w:hAnsi="Arial"/>
                <w:sz w:val="16"/>
                <w:szCs w:val="16"/>
                <w:b w:val="1"/>
                <w:bCs w:val="1"/>
                <w:color w:val="auto"/>
              </w:rPr>
              <w:t>Total</w:t>
            </w:r>
          </w:p>
        </w:tc>
      </w:tr>
      <w:tr>
        <w:trPr>
          <w:trHeight w:val="46"/>
        </w:trPr>
        <w:tc>
          <w:tcPr>
            <w:tcW w:w="582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r>
      <w:tr>
        <w:trPr>
          <w:trHeight w:val="244"/>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Public offering price</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10.00</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300,000,000</w:t>
            </w:r>
          </w:p>
        </w:tc>
      </w:tr>
      <w:tr>
        <w:trPr>
          <w:trHeight w:val="284"/>
        </w:trPr>
        <w:tc>
          <w:tcPr>
            <w:tcW w:w="5820" w:type="dxa"/>
            <w:vAlign w:val="bottom"/>
          </w:tcPr>
          <w:p>
            <w:pPr>
              <w:spacing w:after="0"/>
              <w:rPr>
                <w:sz w:val="20"/>
                <w:szCs w:val="20"/>
                <w:color w:val="auto"/>
              </w:rPr>
            </w:pPr>
            <w:r>
              <w:rPr>
                <w:rFonts w:ascii="Arial" w:cs="Arial" w:eastAsia="Arial" w:hAnsi="Arial"/>
                <w:sz w:val="16"/>
                <w:szCs w:val="16"/>
                <w:color w:val="auto"/>
              </w:rPr>
              <w:t>Underwriting discounts and commissions</w:t>
            </w:r>
            <w:r>
              <w:rPr>
                <w:rFonts w:ascii="Arial" w:cs="Arial" w:eastAsia="Arial" w:hAnsi="Arial"/>
                <w:sz w:val="21"/>
                <w:szCs w:val="21"/>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0.55</w:t>
            </w:r>
          </w:p>
        </w:tc>
        <w:tc>
          <w:tcPr>
            <w:tcW w:w="100" w:type="dxa"/>
            <w:vAlign w:val="bottom"/>
          </w:tcPr>
          <w:p>
            <w:pPr>
              <w:spacing w:after="0"/>
              <w:rPr>
                <w:sz w:val="24"/>
                <w:szCs w:val="24"/>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Pr>
          <w:p>
            <w:pPr>
              <w:jc w:val="right"/>
              <w:spacing w:after="0"/>
              <w:rPr>
                <w:sz w:val="20"/>
                <w:szCs w:val="20"/>
                <w:color w:val="auto"/>
              </w:rPr>
            </w:pPr>
            <w:r>
              <w:rPr>
                <w:rFonts w:ascii="Arial" w:cs="Arial" w:eastAsia="Arial" w:hAnsi="Arial"/>
                <w:sz w:val="16"/>
                <w:szCs w:val="16"/>
                <w:color w:val="auto"/>
              </w:rPr>
              <w:t>16,500,000</w:t>
            </w:r>
          </w:p>
        </w:tc>
      </w:tr>
      <w:tr>
        <w:trPr>
          <w:trHeight w:val="263"/>
        </w:trPr>
        <w:tc>
          <w:tcPr>
            <w:tcW w:w="58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Proceeds, before expenses, to 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9.45</w:t>
            </w:r>
          </w:p>
        </w:tc>
        <w:tc>
          <w:tcPr>
            <w:tcW w:w="10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283,500,000</w:t>
            </w:r>
          </w:p>
        </w:tc>
      </w:tr>
      <w:tr>
        <w:trPr>
          <w:trHeight w:val="250"/>
        </w:trPr>
        <w:tc>
          <w:tcPr>
            <w:tcW w:w="5820" w:type="dxa"/>
            <w:vAlign w:val="bottom"/>
          </w:tcPr>
          <w:p>
            <w:pPr>
              <w:spacing w:after="0"/>
              <w:rPr>
                <w:sz w:val="20"/>
                <w:szCs w:val="20"/>
                <w:color w:val="auto"/>
              </w:rPr>
            </w:pPr>
            <w:r>
              <w:rPr>
                <w:rFonts w:ascii="Arial" w:cs="Arial" w:eastAsia="Arial" w:hAnsi="Arial"/>
                <w:sz w:val="16"/>
                <w:szCs w:val="16"/>
                <w:color w:val="auto"/>
              </w:rPr>
              <w:t>____________</w:t>
            </w:r>
          </w:p>
        </w:tc>
        <w:tc>
          <w:tcPr>
            <w:tcW w:w="180" w:type="dxa"/>
            <w:vAlign w:val="bottom"/>
          </w:tcPr>
          <w:p>
            <w:pPr>
              <w:spacing w:after="0"/>
              <w:rPr>
                <w:sz w:val="21"/>
                <w:szCs w:val="21"/>
                <w:color w:val="auto"/>
              </w:rPr>
            </w:pPr>
          </w:p>
        </w:tc>
        <w:tc>
          <w:tcPr>
            <w:tcW w:w="8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920" w:type="dxa"/>
            <w:vAlign w:val="bottom"/>
          </w:tcPr>
          <w:p>
            <w:pPr>
              <w:spacing w:after="0"/>
              <w:rPr>
                <w:sz w:val="21"/>
                <w:szCs w:val="21"/>
                <w:color w:val="auto"/>
              </w:rPr>
            </w:pPr>
          </w:p>
        </w:tc>
      </w:tr>
    </w:tbl>
    <w:p>
      <w:pPr>
        <w:spacing w:after="0" w:line="172" w:lineRule="exact"/>
        <w:rPr>
          <w:sz w:val="20"/>
          <w:szCs w:val="20"/>
          <w:color w:val="auto"/>
        </w:rPr>
      </w:pPr>
    </w:p>
    <w:p>
      <w:pPr>
        <w:ind w:left="880" w:right="599" w:hanging="426"/>
        <w:spacing w:after="0" w:line="271" w:lineRule="auto"/>
        <w:tabs>
          <w:tab w:leader="none" w:pos="880" w:val="left"/>
        </w:tabs>
        <w:numPr>
          <w:ilvl w:val="0"/>
          <w:numId w:val="2"/>
        </w:numPr>
        <w:rPr>
          <w:rFonts w:ascii="Arial" w:cs="Arial" w:eastAsia="Arial" w:hAnsi="Arial"/>
          <w:sz w:val="16"/>
          <w:szCs w:val="16"/>
          <w:color w:val="auto"/>
        </w:rPr>
      </w:pPr>
      <w:r>
        <w:rPr>
          <w:rFonts w:ascii="Arial" w:cs="Arial" w:eastAsia="Arial" w:hAnsi="Arial"/>
          <w:sz w:val="16"/>
          <w:szCs w:val="16"/>
          <w:color w:val="auto"/>
        </w:rPr>
        <w:t>Includes $0.35 per unit, or $10,500,000 in the aggregate (or $12,075,000 in the aggregate if the underwriter’s over-allotment option is exercised in full), payable to the underwriter for deferred underwriting commissions to be placed in a trust account located in the United States as described herein and released to the underwriter only upon the consummation of an initial business combination. See also “Underwriting” for a description of compensation and other items of value payable to the underwriter.</w:t>
      </w:r>
    </w:p>
    <w:p>
      <w:pPr>
        <w:spacing w:after="0" w:line="41" w:lineRule="exact"/>
        <w:rPr>
          <w:sz w:val="20"/>
          <w:szCs w:val="20"/>
          <w:color w:val="auto"/>
        </w:rPr>
      </w:pPr>
    </w:p>
    <w:p>
      <w:pPr>
        <w:ind w:left="460" w:right="539" w:firstLine="432"/>
        <w:spacing w:after="0" w:line="305" w:lineRule="auto"/>
        <w:rPr>
          <w:sz w:val="20"/>
          <w:szCs w:val="20"/>
          <w:color w:val="auto"/>
        </w:rPr>
      </w:pPr>
      <w:r>
        <w:rPr>
          <w:rFonts w:ascii="Arial" w:cs="Arial" w:eastAsia="Arial" w:hAnsi="Arial"/>
          <w:sz w:val="15"/>
          <w:szCs w:val="15"/>
          <w:color w:val="auto"/>
        </w:rPr>
        <w:t>Of the proceeds we receive from this offering and the sale of the private placement warrants described in this prospectus, $300,000,000, or $345,000,000 if the underwriter’s over-allotment option is exercised in full ($10.00 per unit in either case), will be deposited into a trust account with Continental Stock Transfer &amp; Trust Company acting as trustee.</w:t>
      </w:r>
    </w:p>
    <w:p>
      <w:pPr>
        <w:spacing w:after="0" w:line="31" w:lineRule="exact"/>
        <w:rPr>
          <w:sz w:val="20"/>
          <w:szCs w:val="20"/>
          <w:color w:val="auto"/>
        </w:rPr>
      </w:pPr>
    </w:p>
    <w:p>
      <w:pPr>
        <w:ind w:left="880"/>
        <w:spacing w:after="0"/>
        <w:rPr>
          <w:sz w:val="20"/>
          <w:szCs w:val="20"/>
          <w:color w:val="auto"/>
        </w:rPr>
      </w:pPr>
      <w:r>
        <w:rPr>
          <w:rFonts w:ascii="Arial" w:cs="Arial" w:eastAsia="Arial" w:hAnsi="Arial"/>
          <w:sz w:val="14"/>
          <w:szCs w:val="14"/>
          <w:color w:val="auto"/>
        </w:rPr>
        <w:t>The underwriter is offering the units for sale on a firm commitment basis. The underwriter expects to deliver the units</w:t>
      </w:r>
    </w:p>
    <w:p>
      <w:pPr>
        <w:spacing w:after="0" w:line="45" w:lineRule="exact"/>
        <w:rPr>
          <w:sz w:val="20"/>
          <w:szCs w:val="20"/>
          <w:color w:val="auto"/>
        </w:rPr>
      </w:pPr>
    </w:p>
    <w:p>
      <w:pPr>
        <w:ind w:left="460"/>
        <w:spacing w:after="0"/>
        <w:tabs>
          <w:tab w:leader="none" w:pos="2760" w:val="left"/>
        </w:tabs>
        <w:rPr>
          <w:sz w:val="20"/>
          <w:szCs w:val="20"/>
          <w:color w:val="auto"/>
        </w:rPr>
      </w:pPr>
      <w:r>
        <w:rPr>
          <w:rFonts w:ascii="Arial" w:cs="Arial" w:eastAsia="Arial" w:hAnsi="Arial"/>
          <w:sz w:val="16"/>
          <w:szCs w:val="16"/>
          <w:color w:val="auto"/>
        </w:rPr>
        <w:t>to the purchasers on or about</w:t>
      </w:r>
      <w:r>
        <w:rPr>
          <w:sz w:val="20"/>
          <w:szCs w:val="20"/>
          <w:color w:val="auto"/>
        </w:rPr>
        <w:tab/>
      </w:r>
      <w:r>
        <w:rPr>
          <w:rFonts w:ascii="Arial" w:cs="Arial" w:eastAsia="Arial" w:hAnsi="Arial"/>
          <w:sz w:val="14"/>
          <w:szCs w:val="14"/>
          <w:color w:val="auto"/>
        </w:rPr>
        <w:t>, 2020.</w:t>
      </w:r>
    </w:p>
    <w:p>
      <w:pPr>
        <w:spacing w:after="0" w:line="19"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______________</w:t>
      </w: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Sole Bookrunning Manager</w:t>
      </w:r>
    </w:p>
    <w:p>
      <w:pPr>
        <w:sectPr>
          <w:pgSz w:w="11900" w:h="16853" w:orient="portrait"/>
          <w:cols w:equalWidth="0" w:num="1">
            <w:col w:w="9019"/>
          </w:cols>
          <w:pgMar w:left="1440" w:top="278" w:right="1440" w:bottom="0" w:gutter="0" w:footer="0" w:header="0"/>
        </w:sectPr>
      </w:pPr>
    </w:p>
    <w:p>
      <w:pPr>
        <w:spacing w:after="0" w:line="18" w:lineRule="exact"/>
        <w:rPr>
          <w:sz w:val="20"/>
          <w:szCs w:val="20"/>
          <w:color w:val="auto"/>
        </w:rPr>
      </w:pPr>
    </w:p>
    <w:p>
      <w:pPr>
        <w:jc w:val="center"/>
        <w:spacing w:after="0"/>
        <w:rPr>
          <w:sz w:val="20"/>
          <w:szCs w:val="20"/>
          <w:color w:val="auto"/>
        </w:rPr>
      </w:pPr>
      <w:r>
        <w:rPr>
          <w:rFonts w:ascii="Arial" w:cs="Arial" w:eastAsia="Arial" w:hAnsi="Arial"/>
          <w:sz w:val="30"/>
          <w:szCs w:val="30"/>
          <w:b w:val="1"/>
          <w:bCs w:val="1"/>
          <w:color w:val="auto"/>
        </w:rPr>
        <w:t>Citigroup</w:t>
      </w:r>
    </w:p>
    <w:p>
      <w:pPr>
        <w:sectPr>
          <w:pgSz w:w="11900" w:h="16853" w:orient="portrait"/>
          <w:cols w:equalWidth="0" w:num="1">
            <w:col w:w="9019"/>
          </w:cols>
          <w:pgMar w:left="1440" w:top="278" w:right="1440" w:bottom="0" w:gutter="0" w:footer="0" w:header="0"/>
          <w:type w:val="continuous"/>
        </w:sectPr>
      </w:pPr>
    </w:p>
    <w:bookmarkStart w:id="3" w:name="page4"/>
    <w:bookmarkEnd w:id="3"/>
    <w:p>
      <w:pPr>
        <w:ind w:left="3880"/>
        <w:spacing w:after="0"/>
        <w:rPr>
          <w:sz w:val="20"/>
          <w:szCs w:val="20"/>
          <w:color w:val="auto"/>
        </w:rPr>
      </w:pPr>
      <w:r>
        <w:rPr>
          <w:rFonts w:ascii="Arial" w:cs="Arial" w:eastAsia="Arial" w:hAnsi="Arial"/>
          <w:sz w:val="16"/>
          <w:szCs w:val="16"/>
          <w:color w:val="auto"/>
        </w:rPr>
        <w:t>______________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278130</wp:posOffset>
            </wp:positionV>
            <wp:extent cx="51435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5" w:right="1440"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4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20" w:type="dxa"/>
            <w:vAlign w:val="bottom"/>
          </w:tcPr>
          <w:p>
            <w:pPr>
              <w:jc w:val="center"/>
              <w:spacing w:after="0"/>
              <w:rPr>
                <w:sz w:val="20"/>
                <w:szCs w:val="20"/>
                <w:color w:val="auto"/>
              </w:rPr>
            </w:pPr>
            <w:r>
              <w:rPr>
                <w:rFonts w:ascii="Arial" w:cs="Arial" w:eastAsia="Arial" w:hAnsi="Arial"/>
                <w:sz w:val="16"/>
                <w:szCs w:val="16"/>
                <w:b w:val="1"/>
                <w:bCs w:val="1"/>
                <w:color w:val="auto"/>
                <w:w w:val="88"/>
              </w:rPr>
              <w:t>Page</w:t>
            </w:r>
          </w:p>
        </w:tc>
      </w:tr>
      <w:tr>
        <w:trPr>
          <w:trHeight w:val="46"/>
        </w:trPr>
        <w:tc>
          <w:tcPr>
            <w:tcW w:w="180" w:type="dxa"/>
            <w:vAlign w:val="bottom"/>
            <w:tcBorders>
              <w:bottom w:val="single" w:sz="8" w:color="CCEEFF"/>
            </w:tcBorders>
          </w:tcPr>
          <w:p>
            <w:pPr>
              <w:spacing w:after="0"/>
              <w:rPr>
                <w:sz w:val="4"/>
                <w:szCs w:val="4"/>
                <w:color w:val="auto"/>
              </w:rPr>
            </w:pPr>
          </w:p>
        </w:tc>
        <w:tc>
          <w:tcPr>
            <w:tcW w:w="2180" w:type="dxa"/>
            <w:vAlign w:val="bottom"/>
            <w:tcBorders>
              <w:bottom w:val="single" w:sz="8" w:color="CCEEFF"/>
            </w:tcBorders>
          </w:tcPr>
          <w:p>
            <w:pPr>
              <w:spacing w:after="0"/>
              <w:rPr>
                <w:sz w:val="4"/>
                <w:szCs w:val="4"/>
                <w:color w:val="auto"/>
              </w:rPr>
            </w:pPr>
          </w:p>
        </w:tc>
        <w:tc>
          <w:tcPr>
            <w:tcW w:w="4320" w:type="dxa"/>
            <w:vAlign w:val="bottom"/>
            <w:tcBorders>
              <w:bottom w:val="single" w:sz="8" w:color="CCEEFF"/>
            </w:tcBorders>
          </w:tcPr>
          <w:p>
            <w:pPr>
              <w:spacing w:after="0"/>
              <w:rPr>
                <w:sz w:val="4"/>
                <w:szCs w:val="4"/>
                <w:color w:val="auto"/>
              </w:rPr>
            </w:pPr>
          </w:p>
        </w:tc>
        <w:tc>
          <w:tcPr>
            <w:tcW w:w="700" w:type="dxa"/>
            <w:vAlign w:val="bottom"/>
            <w:tcBorders>
              <w:bottom w:val="single" w:sz="8" w:color="CCEEFF"/>
            </w:tcBorders>
          </w:tcPr>
          <w:p>
            <w:pPr>
              <w:spacing w:after="0"/>
              <w:rPr>
                <w:sz w:val="4"/>
                <w:szCs w:val="4"/>
                <w:color w:val="auto"/>
              </w:rPr>
            </w:pPr>
          </w:p>
        </w:tc>
        <w:tc>
          <w:tcPr>
            <w:tcW w:w="720" w:type="dxa"/>
            <w:vAlign w:val="bottom"/>
            <w:tcBorders>
              <w:bottom w:val="single" w:sz="8" w:color="auto"/>
            </w:tcBorders>
          </w:tcPr>
          <w:p>
            <w:pPr>
              <w:spacing w:after="0"/>
              <w:rPr>
                <w:sz w:val="4"/>
                <w:szCs w:val="4"/>
                <w:color w:val="auto"/>
              </w:rPr>
            </w:pPr>
          </w:p>
        </w:tc>
      </w:tr>
      <w:tr>
        <w:trPr>
          <w:trHeight w:val="244"/>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6">
              <w:r>
                <w:rPr>
                  <w:rFonts w:ascii="Arial" w:cs="Arial" w:eastAsia="Arial" w:hAnsi="Arial"/>
                  <w:sz w:val="18"/>
                  <w:szCs w:val="18"/>
                  <w:u w:val="single" w:color="auto"/>
                  <w:color w:val="0000EE"/>
                </w:rPr>
                <w:t>SUMMARY</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1</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31">
              <w:r>
                <w:rPr>
                  <w:rFonts w:ascii="Arial" w:cs="Arial" w:eastAsia="Arial" w:hAnsi="Arial"/>
                  <w:sz w:val="18"/>
                  <w:szCs w:val="18"/>
                  <w:u w:val="single" w:color="auto"/>
                  <w:color w:val="0000EE"/>
                </w:rPr>
                <w:t>SUMMARY FINANCIAL DATA</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9"/>
              </w:rPr>
              <w:t>26</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3"/>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32">
              <w:r>
                <w:rPr>
                  <w:rFonts w:ascii="Arial" w:cs="Arial" w:eastAsia="Arial" w:hAnsi="Arial"/>
                  <w:sz w:val="18"/>
                  <w:szCs w:val="18"/>
                  <w:u w:val="single" w:color="auto"/>
                  <w:color w:val="0000EE"/>
                </w:rPr>
                <w:t>RISK FACTORS</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27</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64">
              <w:r>
                <w:rPr>
                  <w:rFonts w:ascii="Arial" w:cs="Arial" w:eastAsia="Arial" w:hAnsi="Arial"/>
                  <w:sz w:val="18"/>
                  <w:szCs w:val="18"/>
                  <w:u w:val="single" w:color="auto"/>
                  <w:color w:val="0000EE"/>
                </w:rPr>
                <w:t>CAUTIONARY NOTE REGARDING FORWARD-LOOKING STATEMENTS</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9"/>
              </w:rPr>
              <w:t>59</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3"/>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65">
              <w:r>
                <w:rPr>
                  <w:rFonts w:ascii="Arial" w:cs="Arial" w:eastAsia="Arial" w:hAnsi="Arial"/>
                  <w:sz w:val="18"/>
                  <w:szCs w:val="18"/>
                  <w:u w:val="single" w:color="auto"/>
                  <w:color w:val="0000EE"/>
                </w:rPr>
                <w:t>USE OF PROCEEDS</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60</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68">
              <w:r>
                <w:rPr>
                  <w:rFonts w:ascii="Arial" w:cs="Arial" w:eastAsia="Arial" w:hAnsi="Arial"/>
                  <w:sz w:val="18"/>
                  <w:szCs w:val="18"/>
                  <w:u w:val="single" w:color="auto"/>
                  <w:color w:val="0000EE"/>
                </w:rPr>
                <w:t>DIVIDEND POLICY</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9"/>
              </w:rPr>
              <w:t>63</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4"/>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69">
              <w:r>
                <w:rPr>
                  <w:rFonts w:ascii="Arial" w:cs="Arial" w:eastAsia="Arial" w:hAnsi="Arial"/>
                  <w:sz w:val="18"/>
                  <w:szCs w:val="18"/>
                  <w:u w:val="single" w:color="auto"/>
                  <w:color w:val="0000EE"/>
                </w:rPr>
                <w:t>DILUTION</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64</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71">
              <w:r>
                <w:rPr>
                  <w:rFonts w:ascii="Arial" w:cs="Arial" w:eastAsia="Arial" w:hAnsi="Arial"/>
                  <w:sz w:val="18"/>
                  <w:szCs w:val="18"/>
                  <w:u w:val="single" w:color="auto"/>
                  <w:color w:val="0000EE"/>
                </w:rPr>
                <w:t>CAPITALIZATION</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9"/>
              </w:rPr>
              <w:t>66</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75"/>
        </w:trPr>
        <w:tc>
          <w:tcPr>
            <w:tcW w:w="6680" w:type="dxa"/>
            <w:vAlign w:val="bottom"/>
            <w:tcBorders>
              <w:bottom w:val="single" w:sz="8" w:color="0000EE"/>
            </w:tcBorders>
            <w:gridSpan w:val="3"/>
            <w:shd w:val="clear" w:color="auto" w:fill="CCEEFF"/>
          </w:tcPr>
          <w:p>
            <w:pPr>
              <w:spacing w:after="0" w:line="176" w:lineRule="exact"/>
              <w:rPr>
                <w:rFonts w:ascii="Arial" w:cs="Arial" w:eastAsia="Arial" w:hAnsi="Arial"/>
                <w:sz w:val="18"/>
                <w:szCs w:val="18"/>
                <w:color w:val="0000EE"/>
                <w:w w:val="98"/>
              </w:rPr>
            </w:pPr>
            <w:hyperlink w:anchor="page72">
              <w:r>
                <w:rPr>
                  <w:rFonts w:ascii="Arial" w:cs="Arial" w:eastAsia="Arial" w:hAnsi="Arial"/>
                  <w:sz w:val="18"/>
                  <w:szCs w:val="18"/>
                  <w:color w:val="0000EE"/>
                  <w:w w:val="98"/>
                </w:rPr>
                <w:t>MANAGEMENT’S DISCUSSION AND ANALYSIS OF FINANCIAL CONDITION AND</w:t>
              </w:r>
            </w:hyperlink>
          </w:p>
        </w:tc>
        <w:tc>
          <w:tcPr>
            <w:tcW w:w="70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shd w:val="clear" w:color="auto" w:fill="CCEEFF"/>
          </w:tcPr>
          <w:p>
            <w:pPr>
              <w:spacing w:after="0"/>
              <w:rPr>
                <w:sz w:val="15"/>
                <w:szCs w:val="15"/>
                <w:color w:val="auto"/>
              </w:rPr>
            </w:pPr>
          </w:p>
        </w:tc>
      </w:tr>
      <w:tr>
        <w:trPr>
          <w:trHeight w:val="196"/>
        </w:trPr>
        <w:tc>
          <w:tcPr>
            <w:tcW w:w="180" w:type="dxa"/>
            <w:vAlign w:val="bottom"/>
            <w:shd w:val="clear" w:color="auto" w:fill="CCEEFF"/>
          </w:tcPr>
          <w:p>
            <w:pPr>
              <w:spacing w:after="0"/>
              <w:rPr>
                <w:sz w:val="17"/>
                <w:szCs w:val="17"/>
                <w:color w:val="auto"/>
              </w:rPr>
            </w:pPr>
          </w:p>
        </w:tc>
        <w:tc>
          <w:tcPr>
            <w:tcW w:w="7200" w:type="dxa"/>
            <w:vAlign w:val="bottom"/>
            <w:gridSpan w:val="3"/>
            <w:shd w:val="clear" w:color="auto" w:fill="CCEEFF"/>
          </w:tcPr>
          <w:p>
            <w:pPr>
              <w:spacing w:after="0" w:line="196" w:lineRule="exact"/>
              <w:rPr>
                <w:rFonts w:ascii="Arial" w:cs="Arial" w:eastAsia="Arial" w:hAnsi="Arial"/>
                <w:sz w:val="18"/>
                <w:szCs w:val="18"/>
                <w:color w:val="0000EE"/>
              </w:rPr>
            </w:pPr>
            <w:hyperlink w:anchor="page72">
              <w:r>
                <w:rPr>
                  <w:rFonts w:ascii="Arial" w:cs="Arial" w:eastAsia="Arial" w:hAnsi="Arial"/>
                  <w:sz w:val="18"/>
                  <w:szCs w:val="18"/>
                  <w:color w:val="0000EE"/>
                </w:rPr>
                <w:t>RESULTS OF OPERATIONS</w:t>
              </w:r>
            </w:hyperlink>
          </w:p>
        </w:tc>
        <w:tc>
          <w:tcPr>
            <w:tcW w:w="72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w w:val="89"/>
              </w:rPr>
              <w:t>67</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2180" w:type="dxa"/>
            <w:vAlign w:val="bottom"/>
            <w:tcBorders>
              <w:top w:val="single" w:sz="8" w:color="0000EE"/>
            </w:tcBorders>
            <w:shd w:val="clear" w:color="auto" w:fill="CCEEFF"/>
          </w:tcPr>
          <w:p>
            <w:pPr>
              <w:spacing w:after="0"/>
              <w:rPr>
                <w:sz w:val="5"/>
                <w:szCs w:val="5"/>
                <w:color w:val="auto"/>
              </w:rPr>
            </w:pPr>
          </w:p>
        </w:tc>
        <w:tc>
          <w:tcPr>
            <w:tcW w:w="4320" w:type="dxa"/>
            <w:vAlign w:val="bottom"/>
            <w:tcBorders>
              <w:top w:val="single" w:sz="8" w:color="CCEEFF"/>
            </w:tcBorders>
            <w:shd w:val="clear" w:color="auto" w:fill="CCEEFF"/>
          </w:tcPr>
          <w:p>
            <w:pPr>
              <w:spacing w:after="0"/>
              <w:rPr>
                <w:sz w:val="5"/>
                <w:szCs w:val="5"/>
                <w:color w:val="auto"/>
              </w:rPr>
            </w:pPr>
          </w:p>
        </w:tc>
        <w:tc>
          <w:tcPr>
            <w:tcW w:w="700" w:type="dxa"/>
            <w:vAlign w:val="bottom"/>
            <w:tcBorders>
              <w:top w:val="single" w:sz="8" w:color="CCEEFF"/>
            </w:tcBorders>
            <w:shd w:val="clear" w:color="auto" w:fill="CCEEFF"/>
          </w:tcPr>
          <w:p>
            <w:pPr>
              <w:spacing w:after="0"/>
              <w:rPr>
                <w:sz w:val="5"/>
                <w:szCs w:val="5"/>
                <w:color w:val="auto"/>
              </w:rPr>
            </w:pPr>
          </w:p>
        </w:tc>
        <w:tc>
          <w:tcPr>
            <w:tcW w:w="720" w:type="dxa"/>
            <w:vAlign w:val="bottom"/>
            <w:tcBorders>
              <w:top w:val="single" w:sz="8" w:color="CCEEFF"/>
            </w:tcBorders>
            <w:shd w:val="clear" w:color="auto" w:fill="CCEEFF"/>
          </w:tcPr>
          <w:p>
            <w:pPr>
              <w:spacing w:after="0"/>
              <w:rPr>
                <w:sz w:val="5"/>
                <w:szCs w:val="5"/>
                <w:color w:val="auto"/>
              </w:rPr>
            </w:pP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77">
              <w:r>
                <w:rPr>
                  <w:rFonts w:ascii="Arial" w:cs="Arial" w:eastAsia="Arial" w:hAnsi="Arial"/>
                  <w:sz w:val="18"/>
                  <w:szCs w:val="18"/>
                  <w:u w:val="single" w:color="auto"/>
                  <w:color w:val="0000EE"/>
                </w:rPr>
                <w:t>PROPOSED BUSINESS</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9"/>
              </w:rPr>
              <w:t>72</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3"/>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03">
              <w:r>
                <w:rPr>
                  <w:rFonts w:ascii="Arial" w:cs="Arial" w:eastAsia="Arial" w:hAnsi="Arial"/>
                  <w:sz w:val="18"/>
                  <w:szCs w:val="18"/>
                  <w:u w:val="single" w:color="auto"/>
                  <w:color w:val="0000EE"/>
                </w:rPr>
                <w:t>MANAGEMENT</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9"/>
              </w:rPr>
              <w:t>98</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111">
              <w:r>
                <w:rPr>
                  <w:rFonts w:ascii="Arial" w:cs="Arial" w:eastAsia="Arial" w:hAnsi="Arial"/>
                  <w:sz w:val="18"/>
                  <w:szCs w:val="18"/>
                  <w:u w:val="single" w:color="auto"/>
                  <w:color w:val="0000EE"/>
                </w:rPr>
                <w:t>PRINCIPAL SHAREHOLDERS</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3"/>
              </w:rPr>
              <w:t>106</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3"/>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13">
              <w:r>
                <w:rPr>
                  <w:rFonts w:ascii="Arial" w:cs="Arial" w:eastAsia="Arial" w:hAnsi="Arial"/>
                  <w:sz w:val="18"/>
                  <w:szCs w:val="18"/>
                  <w:u w:val="single" w:color="auto"/>
                  <w:color w:val="0000EE"/>
                </w:rPr>
                <w:t>CERTAIN RELATIONSHIPS AND RELATED PARTY TRANSACTIONS</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108</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115">
              <w:r>
                <w:rPr>
                  <w:rFonts w:ascii="Arial" w:cs="Arial" w:eastAsia="Arial" w:hAnsi="Arial"/>
                  <w:sz w:val="18"/>
                  <w:szCs w:val="18"/>
                  <w:u w:val="single" w:color="auto"/>
                  <w:color w:val="0000EE"/>
                </w:rPr>
                <w:t>DESCRIPTION OF SECURITIES</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6"/>
              </w:rPr>
              <w:t>110</w:t>
            </w:r>
          </w:p>
        </w:tc>
      </w:tr>
      <w:tr>
        <w:trPr>
          <w:trHeight w:val="41"/>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3"/>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34">
              <w:r>
                <w:rPr>
                  <w:rFonts w:ascii="Arial" w:cs="Arial" w:eastAsia="Arial" w:hAnsi="Arial"/>
                  <w:sz w:val="18"/>
                  <w:szCs w:val="18"/>
                  <w:u w:val="single" w:color="auto"/>
                  <w:color w:val="0000EE"/>
                </w:rPr>
                <w:t>TAXATION</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129</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144">
              <w:r>
                <w:rPr>
                  <w:rFonts w:ascii="Arial" w:cs="Arial" w:eastAsia="Arial" w:hAnsi="Arial"/>
                  <w:sz w:val="18"/>
                  <w:szCs w:val="18"/>
                  <w:u w:val="single" w:color="auto"/>
                  <w:color w:val="0000EE"/>
                </w:rPr>
                <w:t>UNDERWRITING</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3"/>
              </w:rPr>
              <w:t>139</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3"/>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LEGAL MATTERS</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145</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EXPERTS</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93"/>
              </w:rPr>
              <w:t>145</w:t>
            </w:r>
          </w:p>
        </w:tc>
      </w:tr>
      <w:tr>
        <w:trPr>
          <w:trHeight w:val="40"/>
        </w:trPr>
        <w:tc>
          <w:tcPr>
            <w:tcW w:w="180" w:type="dxa"/>
            <w:vAlign w:val="bottom"/>
          </w:tcPr>
          <w:p>
            <w:pPr>
              <w:spacing w:after="0"/>
              <w:rPr>
                <w:sz w:val="3"/>
                <w:szCs w:val="3"/>
                <w:color w:val="auto"/>
              </w:rPr>
            </w:pPr>
          </w:p>
        </w:tc>
        <w:tc>
          <w:tcPr>
            <w:tcW w:w="2180" w:type="dxa"/>
            <w:vAlign w:val="bottom"/>
          </w:tcPr>
          <w:p>
            <w:pPr>
              <w:spacing w:after="0"/>
              <w:rPr>
                <w:sz w:val="3"/>
                <w:szCs w:val="3"/>
                <w:color w:val="auto"/>
              </w:rPr>
            </w:pPr>
          </w:p>
        </w:tc>
        <w:tc>
          <w:tcPr>
            <w:tcW w:w="43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263"/>
        </w:trPr>
        <w:tc>
          <w:tcPr>
            <w:tcW w:w="7380" w:type="dxa"/>
            <w:vAlign w:val="bottom"/>
            <w:tcBorders>
              <w:bottom w:val="single" w:sz="8" w:color="CCEEFF"/>
            </w:tcBorders>
            <w:gridSpan w:val="4"/>
            <w:shd w:val="clear" w:color="auto" w:fill="CCEEFF"/>
          </w:tcPr>
          <w:p>
            <w:pPr>
              <w:spacing w:after="0"/>
              <w:rPr>
                <w:rFonts w:ascii="Arial" w:cs="Arial" w:eastAsia="Arial" w:hAnsi="Arial"/>
                <w:sz w:val="18"/>
                <w:szCs w:val="18"/>
                <w:u w:val="single" w:color="auto"/>
                <w:color w:val="0000EE"/>
              </w:rPr>
            </w:pPr>
            <w:hyperlink w:anchor="page150">
              <w:r>
                <w:rPr>
                  <w:rFonts w:ascii="Arial" w:cs="Arial" w:eastAsia="Arial" w:hAnsi="Arial"/>
                  <w:sz w:val="18"/>
                  <w:szCs w:val="18"/>
                  <w:u w:val="single" w:color="auto"/>
                  <w:color w:val="0000EE"/>
                </w:rPr>
                <w:t>WHERE YOU CAN FIND ADDITIONAL INFORMATION</w:t>
              </w:r>
            </w:hyperlink>
          </w:p>
        </w:tc>
        <w:tc>
          <w:tcPr>
            <w:tcW w:w="72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3"/>
              </w:rPr>
              <w:t>145</w:t>
            </w:r>
          </w:p>
        </w:tc>
      </w:tr>
      <w:tr>
        <w:trPr>
          <w:trHeight w:val="243"/>
        </w:trPr>
        <w:tc>
          <w:tcPr>
            <w:tcW w:w="7380" w:type="dxa"/>
            <w:vAlign w:val="bottom"/>
            <w:gridSpan w:val="4"/>
          </w:tcPr>
          <w:p>
            <w:pPr>
              <w:spacing w:after="0"/>
              <w:rPr>
                <w:rFonts w:ascii="Arial" w:cs="Arial" w:eastAsia="Arial" w:hAnsi="Arial"/>
                <w:sz w:val="18"/>
                <w:szCs w:val="18"/>
                <w:u w:val="single" w:color="auto"/>
                <w:color w:val="0000EE"/>
              </w:rPr>
            </w:pPr>
            <w:hyperlink w:anchor="page151">
              <w:r>
                <w:rPr>
                  <w:rFonts w:ascii="Arial" w:cs="Arial" w:eastAsia="Arial" w:hAnsi="Arial"/>
                  <w:sz w:val="18"/>
                  <w:szCs w:val="18"/>
                  <w:u w:val="single" w:color="auto"/>
                  <w:color w:val="0000EE"/>
                </w:rPr>
                <w:t>INDEX TO FINANCIAL STATEMENTS</w:t>
              </w:r>
            </w:hyperlink>
          </w:p>
        </w:tc>
        <w:tc>
          <w:tcPr>
            <w:tcW w:w="720" w:type="dxa"/>
            <w:vAlign w:val="bottom"/>
          </w:tcPr>
          <w:p>
            <w:pPr>
              <w:jc w:val="center"/>
              <w:spacing w:after="0"/>
              <w:rPr>
                <w:sz w:val="20"/>
                <w:szCs w:val="20"/>
                <w:color w:val="auto"/>
              </w:rPr>
            </w:pPr>
            <w:r>
              <w:rPr>
                <w:rFonts w:ascii="Arial" w:cs="Arial" w:eastAsia="Arial" w:hAnsi="Arial"/>
                <w:sz w:val="18"/>
                <w:szCs w:val="18"/>
                <w:color w:val="auto"/>
                <w:w w:val="88"/>
              </w:rPr>
              <w:t>F-1</w:t>
            </w:r>
          </w:p>
        </w:tc>
      </w:tr>
    </w:tbl>
    <w:p>
      <w:pPr>
        <w:spacing w:after="0" w:line="211" w:lineRule="exact"/>
        <w:rPr>
          <w:sz w:val="20"/>
          <w:szCs w:val="20"/>
          <w:color w:val="auto"/>
        </w:rPr>
      </w:pPr>
    </w:p>
    <w:p>
      <w:pPr>
        <w:ind w:left="460" w:right="519" w:firstLine="432"/>
        <w:spacing w:after="0" w:line="256" w:lineRule="auto"/>
        <w:rPr>
          <w:sz w:val="20"/>
          <w:szCs w:val="20"/>
          <w:color w:val="auto"/>
        </w:rPr>
      </w:pPr>
      <w:r>
        <w:rPr>
          <w:rFonts w:ascii="Arial" w:cs="Arial" w:eastAsia="Arial" w:hAnsi="Arial"/>
          <w:sz w:val="18"/>
          <w:szCs w:val="18"/>
          <w:b w:val="1"/>
          <w:bCs w:val="1"/>
          <w:color w:val="auto"/>
        </w:rPr>
        <w:t>We are responsible for the information contained in this prospectus. We have not authorized anyone to provide you with different information, and we take no responsibility for any other information others may give to you. We are not, and the underwriter is not, making an offer to sell securities in any jurisdiction where the offer or sale is not permitted. You should not assume that the information contained in this prospectus is accurate as of any date other than the date on the front of this prospectus.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121" w:right="1440" w:bottom="1440" w:gutter="0" w:footer="0" w:header="0"/>
        </w:sectPr>
      </w:pPr>
    </w:p>
    <w:bookmarkStart w:id="5" w:name="page6"/>
    <w:bookmarkEnd w:id="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6013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5147310" cy="8660130"/>
                    </a:xfrm>
                    <a:prstGeom prst="rect">
                      <a:avLst/>
                    </a:prstGeom>
                    <a:noFill/>
                  </pic:spPr>
                </pic:pic>
              </a:graphicData>
            </a:graphic>
          </wp:anchor>
        </w:drawing>
        <w:t>SUMMARY</w:t>
      </w:r>
    </w:p>
    <w:p>
      <w:pPr>
        <w:spacing w:after="0" w:line="148" w:lineRule="exact"/>
        <w:rPr>
          <w:sz w:val="20"/>
          <w:szCs w:val="20"/>
          <w:color w:val="auto"/>
        </w:rPr>
      </w:pPr>
    </w:p>
    <w:p>
      <w:pPr>
        <w:ind w:left="540" w:right="819" w:firstLine="432"/>
        <w:spacing w:after="0" w:line="311" w:lineRule="auto"/>
        <w:rPr>
          <w:sz w:val="20"/>
          <w:szCs w:val="20"/>
          <w:color w:val="auto"/>
        </w:rPr>
      </w:pPr>
      <w:r>
        <w:rPr>
          <w:rFonts w:ascii="Arial" w:cs="Arial" w:eastAsia="Arial" w:hAnsi="Arial"/>
          <w:sz w:val="16"/>
          <w:szCs w:val="16"/>
          <w:color w:val="auto"/>
        </w:rPr>
        <w:t>This summary only highlights the more detailed information appearing elsewhere in this prospectus. You should read this entire prospectus carefully, including the information under “Risk Factors” and our financial statements and the related notes included elsewhere in this prospectus, before investing.</w:t>
      </w:r>
    </w:p>
    <w:p>
      <w:pPr>
        <w:spacing w:after="0" w:line="8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Unless otherwise stated in this prospectus or the context otherwise requires, references to:</w:t>
      </w:r>
    </w:p>
    <w:p>
      <w:pPr>
        <w:spacing w:after="0" w:line="158" w:lineRule="exact"/>
        <w:rPr>
          <w:sz w:val="20"/>
          <w:szCs w:val="20"/>
          <w:color w:val="auto"/>
        </w:rPr>
      </w:pPr>
    </w:p>
    <w:p>
      <w:pPr>
        <w:jc w:val="both"/>
        <w:ind w:left="1400" w:right="699" w:hanging="424"/>
        <w:spacing w:after="0" w:line="263"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“amended and restated memorandum and article of association” are to the amended and restated memorandum and articles of association that the company will adopt prior to the consummation of this offering;</w:t>
      </w:r>
    </w:p>
    <w:p>
      <w:pPr>
        <w:spacing w:after="0" w:line="102" w:lineRule="exact"/>
        <w:rPr>
          <w:rFonts w:ascii="Arial" w:cs="Arial" w:eastAsia="Arial" w:hAnsi="Arial"/>
          <w:sz w:val="18"/>
          <w:szCs w:val="18"/>
          <w:color w:val="auto"/>
        </w:rPr>
      </w:pPr>
    </w:p>
    <w:p>
      <w:pPr>
        <w:ind w:left="1400" w:right="619" w:hanging="424"/>
        <w:spacing w:after="0" w:line="277"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“Companies Law” are to the Companies Law (2020 Revision) of the Cayman Islands as the same may be amended from time to time;</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“Founders” are to Scott Leonard and Scott Honour;</w:t>
      </w:r>
    </w:p>
    <w:p>
      <w:pPr>
        <w:spacing w:after="0" w:line="157" w:lineRule="exact"/>
        <w:rPr>
          <w:rFonts w:ascii="Arial" w:cs="Arial" w:eastAsia="Arial" w:hAnsi="Arial"/>
          <w:sz w:val="18"/>
          <w:szCs w:val="18"/>
          <w:color w:val="auto"/>
        </w:rPr>
      </w:pPr>
    </w:p>
    <w:p>
      <w:pPr>
        <w:ind w:left="1400" w:right="899" w:hanging="424"/>
        <w:spacing w:after="0" w:line="257"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“founder shares” are to our Class B ordinary shares initially issued to our sponsor in a private placement prior to this offering and the Class A ordinary shares that will be issued upon the automatic conversion of the Class B ordinary shares at the time of our initial business combination (for the avoidance of doubt, such Class A ordinary shares will not be “public shares”);</w:t>
      </w:r>
    </w:p>
    <w:p>
      <w:pPr>
        <w:spacing w:after="0" w:line="106" w:lineRule="exact"/>
        <w:rPr>
          <w:rFonts w:ascii="Arial" w:cs="Arial" w:eastAsia="Arial" w:hAnsi="Arial"/>
          <w:sz w:val="18"/>
          <w:szCs w:val="18"/>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“management” or our “management team” are to our executive officers and directors;</w:t>
      </w:r>
    </w:p>
    <w:p>
      <w:pPr>
        <w:spacing w:after="0" w:line="157" w:lineRule="exact"/>
        <w:rPr>
          <w:rFonts w:ascii="Arial" w:cs="Arial" w:eastAsia="Arial" w:hAnsi="Arial"/>
          <w:sz w:val="18"/>
          <w:szCs w:val="18"/>
          <w:color w:val="auto"/>
        </w:rPr>
      </w:pPr>
    </w:p>
    <w:p>
      <w:pPr>
        <w:ind w:left="1400" w:hanging="424"/>
        <w:spacing w:after="0"/>
        <w:tabs>
          <w:tab w:leader="none" w:pos="14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“ordinary shares” are to our Class A ordinary shares and our Class B ordinary shares;</w:t>
      </w:r>
    </w:p>
    <w:p>
      <w:pPr>
        <w:spacing w:after="0" w:line="157" w:lineRule="exact"/>
        <w:rPr>
          <w:rFonts w:ascii="Arial" w:cs="Arial" w:eastAsia="Arial" w:hAnsi="Arial"/>
          <w:sz w:val="18"/>
          <w:szCs w:val="18"/>
          <w:color w:val="auto"/>
        </w:rPr>
      </w:pPr>
    </w:p>
    <w:p>
      <w:pPr>
        <w:ind w:left="1400" w:right="1039" w:hanging="424"/>
        <w:spacing w:after="0" w:line="263"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“private placement warrants” are to the warrants to be issued to our sponsor in a private placement simultaneously with the closing of this offering and upon conversion of working capital loans, if any;</w:t>
      </w:r>
    </w:p>
    <w:p>
      <w:pPr>
        <w:spacing w:after="0" w:line="102" w:lineRule="exact"/>
        <w:rPr>
          <w:rFonts w:ascii="Arial" w:cs="Arial" w:eastAsia="Arial" w:hAnsi="Arial"/>
          <w:sz w:val="18"/>
          <w:szCs w:val="18"/>
          <w:color w:val="auto"/>
        </w:rPr>
      </w:pPr>
    </w:p>
    <w:p>
      <w:pPr>
        <w:ind w:left="1400" w:right="1199" w:hanging="424"/>
        <w:spacing w:after="0" w:line="308" w:lineRule="auto"/>
        <w:tabs>
          <w:tab w:leader="none" w:pos="1391" w:val="left"/>
        </w:tabs>
        <w:numPr>
          <w:ilvl w:val="0"/>
          <w:numId w:val="3"/>
        </w:numPr>
        <w:rPr>
          <w:rFonts w:ascii="Arial" w:cs="Arial" w:eastAsia="Arial" w:hAnsi="Arial"/>
          <w:sz w:val="17"/>
          <w:szCs w:val="17"/>
          <w:color w:val="auto"/>
        </w:rPr>
      </w:pPr>
      <w:r>
        <w:rPr>
          <w:rFonts w:ascii="Arial" w:cs="Arial" w:eastAsia="Arial" w:hAnsi="Arial"/>
          <w:sz w:val="17"/>
          <w:szCs w:val="17"/>
          <w:color w:val="auto"/>
        </w:rPr>
        <w:t>“public shares” are to our Class A ordinary shares sold as part of the units in this offering (whether they are purchased in this offering or thereafter in the open market);</w:t>
      </w:r>
    </w:p>
    <w:p>
      <w:pPr>
        <w:spacing w:after="0" w:line="78" w:lineRule="exact"/>
        <w:rPr>
          <w:rFonts w:ascii="Arial" w:cs="Arial" w:eastAsia="Arial" w:hAnsi="Arial"/>
          <w:sz w:val="17"/>
          <w:szCs w:val="17"/>
          <w:color w:val="auto"/>
        </w:rPr>
      </w:pPr>
    </w:p>
    <w:p>
      <w:pPr>
        <w:ind w:left="1400" w:right="559" w:hanging="424"/>
        <w:spacing w:after="0" w:line="279" w:lineRule="auto"/>
        <w:tabs>
          <w:tab w:leader="none" w:pos="1391" w:val="left"/>
        </w:tabs>
        <w:numPr>
          <w:ilvl w:val="0"/>
          <w:numId w:val="3"/>
        </w:numPr>
        <w:rPr>
          <w:rFonts w:ascii="Arial" w:cs="Arial" w:eastAsia="Arial" w:hAnsi="Arial"/>
          <w:sz w:val="17"/>
          <w:szCs w:val="17"/>
          <w:color w:val="auto"/>
        </w:rPr>
      </w:pPr>
      <w:r>
        <w:rPr>
          <w:rFonts w:ascii="Arial" w:cs="Arial" w:eastAsia="Arial" w:hAnsi="Arial"/>
          <w:sz w:val="17"/>
          <w:szCs w:val="17"/>
          <w:color w:val="auto"/>
        </w:rPr>
        <w:t>“public shareholders” are to the holders of our public shares, including our sponsor and management team to the extent our sponsor and/or members of our management team purchase public shares, provided that our sponsor’s and each member of our management team’s status as a “public shareholder” will only exist with respect to such public shares;</w:t>
      </w:r>
    </w:p>
    <w:p>
      <w:pPr>
        <w:spacing w:after="0" w:line="103" w:lineRule="exact"/>
        <w:rPr>
          <w:rFonts w:ascii="Arial" w:cs="Arial" w:eastAsia="Arial" w:hAnsi="Arial"/>
          <w:sz w:val="17"/>
          <w:szCs w:val="17"/>
          <w:color w:val="auto"/>
        </w:rPr>
      </w:pPr>
    </w:p>
    <w:p>
      <w:pPr>
        <w:ind w:left="1400" w:right="639" w:hanging="424"/>
        <w:spacing w:after="0" w:line="277"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“sponsor” are to Sustainable Opportunities Holdings LLC, a Delaware limited liability company; and</w:t>
      </w:r>
    </w:p>
    <w:p>
      <w:pPr>
        <w:spacing w:after="0" w:line="89" w:lineRule="exact"/>
        <w:rPr>
          <w:rFonts w:ascii="Arial" w:cs="Arial" w:eastAsia="Arial" w:hAnsi="Arial"/>
          <w:sz w:val="18"/>
          <w:szCs w:val="18"/>
          <w:color w:val="auto"/>
        </w:rPr>
      </w:pPr>
    </w:p>
    <w:p>
      <w:pPr>
        <w:ind w:left="1400" w:right="859" w:hanging="424"/>
        <w:spacing w:after="0" w:line="277" w:lineRule="auto"/>
        <w:tabs>
          <w:tab w:leader="none" w:pos="1391" w:val="left"/>
        </w:tabs>
        <w:numPr>
          <w:ilvl w:val="0"/>
          <w:numId w:val="3"/>
        </w:numPr>
        <w:rPr>
          <w:rFonts w:ascii="Arial" w:cs="Arial" w:eastAsia="Arial" w:hAnsi="Arial"/>
          <w:sz w:val="18"/>
          <w:szCs w:val="18"/>
          <w:color w:val="auto"/>
        </w:rPr>
      </w:pPr>
      <w:r>
        <w:rPr>
          <w:rFonts w:ascii="Arial" w:cs="Arial" w:eastAsia="Arial" w:hAnsi="Arial"/>
          <w:sz w:val="18"/>
          <w:szCs w:val="18"/>
          <w:color w:val="auto"/>
        </w:rPr>
        <w:t>“we,” “us,” “our,” “company” or “our company” are to Sustainable Opportunities Acquisition Corp., a Cayman Islands exempted company.</w:t>
      </w:r>
    </w:p>
    <w:p>
      <w:pPr>
        <w:spacing w:after="0" w:line="103" w:lineRule="exact"/>
        <w:rPr>
          <w:sz w:val="20"/>
          <w:szCs w:val="20"/>
          <w:color w:val="auto"/>
        </w:rPr>
      </w:pPr>
    </w:p>
    <w:p>
      <w:pPr>
        <w:ind w:left="540" w:right="579" w:firstLine="432"/>
        <w:spacing w:after="0" w:line="296" w:lineRule="auto"/>
        <w:rPr>
          <w:sz w:val="20"/>
          <w:szCs w:val="20"/>
          <w:color w:val="auto"/>
        </w:rPr>
      </w:pPr>
      <w:r>
        <w:rPr>
          <w:rFonts w:ascii="Arial" w:cs="Arial" w:eastAsia="Arial" w:hAnsi="Arial"/>
          <w:sz w:val="16"/>
          <w:szCs w:val="16"/>
          <w:color w:val="auto"/>
        </w:rPr>
        <w:t>Any forfeiture of shares described in this prospectus will take effect as a surrender of shares for no consideration of such shares as a matter of Cayman Islands law. Any conversion of the Class B ordinary shares described in this prospectus will take effect as a compulsory redemption of Class B ordinary shares and an issuance of Class A ordinary shares as a matter of Cayman Islands law. Any share dividends described in this prospectus will take effect as share capitalizations as a matter of Cayman Islands law.</w:t>
      </w:r>
    </w:p>
    <w:p>
      <w:pPr>
        <w:spacing w:after="0" w:line="94" w:lineRule="exact"/>
        <w:rPr>
          <w:sz w:val="20"/>
          <w:szCs w:val="20"/>
          <w:color w:val="auto"/>
        </w:rPr>
      </w:pPr>
    </w:p>
    <w:p>
      <w:pPr>
        <w:ind w:left="540" w:right="739" w:firstLine="432"/>
        <w:spacing w:after="0" w:line="277" w:lineRule="auto"/>
        <w:rPr>
          <w:sz w:val="20"/>
          <w:szCs w:val="20"/>
          <w:color w:val="auto"/>
        </w:rPr>
      </w:pPr>
      <w:r>
        <w:rPr>
          <w:rFonts w:ascii="Arial" w:cs="Arial" w:eastAsia="Arial" w:hAnsi="Arial"/>
          <w:sz w:val="18"/>
          <w:szCs w:val="18"/>
          <w:color w:val="auto"/>
        </w:rPr>
        <w:t>Unless we tell you otherwise, the information in this prospectus assumes that the underwriter will not exercise its over-allotment option.</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Company</w:t>
      </w:r>
    </w:p>
    <w:p>
      <w:pPr>
        <w:spacing w:after="0" w:line="148" w:lineRule="exact"/>
        <w:rPr>
          <w:sz w:val="20"/>
          <w:szCs w:val="20"/>
          <w:color w:val="auto"/>
        </w:rPr>
      </w:pPr>
    </w:p>
    <w:p>
      <w:pPr>
        <w:ind w:left="540" w:right="579" w:firstLine="432"/>
        <w:spacing w:after="0" w:line="255" w:lineRule="auto"/>
        <w:rPr>
          <w:sz w:val="20"/>
          <w:szCs w:val="20"/>
          <w:color w:val="auto"/>
        </w:rPr>
      </w:pPr>
      <w:r>
        <w:rPr>
          <w:rFonts w:ascii="Arial" w:cs="Arial" w:eastAsia="Arial" w:hAnsi="Arial"/>
          <w:sz w:val="18"/>
          <w:szCs w:val="18"/>
          <w:color w:val="auto"/>
        </w:rPr>
        <w:t>We are a blank check company newly incorporated as a Cayman Islands exempted company for the purpose of effecting a merger, share exchange, asset acquisition, share purchase, reorganization or similar business combination with one or more businesses or entities, which we refer to throughout this prospectus as our initial business combination. We have not selected any business combination target and we have not, nor has anyone on our behalf, initiated any substantive discussions, directly or indirectly, with any business combination target.</w:t>
      </w:r>
    </w:p>
    <w:p>
      <w:pPr>
        <w:spacing w:after="0" w:line="125" w:lineRule="exact"/>
        <w:rPr>
          <w:sz w:val="20"/>
          <w:szCs w:val="20"/>
          <w:color w:val="auto"/>
        </w:rPr>
      </w:pPr>
    </w:p>
    <w:p>
      <w:pPr>
        <w:jc w:val="both"/>
        <w:ind w:left="540" w:right="599" w:firstLine="432"/>
        <w:spacing w:after="0" w:line="263" w:lineRule="auto"/>
        <w:rPr>
          <w:sz w:val="20"/>
          <w:szCs w:val="20"/>
          <w:color w:val="auto"/>
        </w:rPr>
      </w:pPr>
      <w:r>
        <w:rPr>
          <w:rFonts w:ascii="Arial" w:cs="Arial" w:eastAsia="Arial" w:hAnsi="Arial"/>
          <w:sz w:val="18"/>
          <w:szCs w:val="18"/>
          <w:color w:val="auto"/>
        </w:rPr>
        <w:t>We believe that there are significant, attractive investment opportunities that exist within industries that benefit from strong Environmental, Social and Governance (“ESG”) profiles. While investing in ESG covers a broad range</w:t>
      </w:r>
    </w:p>
    <w:p>
      <w:pPr>
        <w:sectPr>
          <w:pgSz w:w="11900" w:h="16838" w:orient="portrait"/>
          <w:cols w:equalWidth="0" w:num="1">
            <w:col w:w="9019"/>
          </w:cols>
          <w:pgMar w:left="1440" w:top="540" w:right="1440"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6" w:name="page7"/>
    <w:bookmarkEnd w:id="6"/>
    <w:p>
      <w:pPr>
        <w:ind w:left="540" w:right="559"/>
        <w:spacing w:after="0" w:line="287"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71156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147310" cy="8711565"/>
                    </a:xfrm>
                    <a:prstGeom prst="rect">
                      <a:avLst/>
                    </a:prstGeom>
                    <a:noFill/>
                  </pic:spPr>
                </pic:pic>
              </a:graphicData>
            </a:graphic>
          </wp:anchor>
        </w:drawing>
        <w:t>of themes, we are focused on evaluating suitable targets that have existing environmental sustainability practices or that may benefit, both operationally and economically, from our management team’s commitment and expertise in executing such practices. We believe our management team’s experience allows us to evaluate targets in industries such as manufacturing (including auto, building materials), chemicals, services (including waste, environmental, construction), logistics (including transportation, distribution), technology (hardware, software, devices), agriculture (including biofuels) and energy (with focus on renewable generation, utility services, energy efficiency/management), among others. Furthermore, our target universe could include companies undergoing a transition to increase their environmental sustainability profiles, reflecting an opportunity to bring environmentally sustainable practices to companies that may not have historically been focused on environmental sustainability. We believe there is a wide array of companies poised to undergo this “brown-to-green” transition in our target universe. Companies in our target universe tend to have stable growth rates and would greatly benefit from access to public market capital.</w:t>
      </w:r>
    </w:p>
    <w:p>
      <w:pPr>
        <w:spacing w:after="0" w:line="100" w:lineRule="exact"/>
        <w:rPr>
          <w:sz w:val="20"/>
          <w:szCs w:val="20"/>
          <w:color w:val="auto"/>
        </w:rPr>
      </w:pPr>
    </w:p>
    <w:p>
      <w:pPr>
        <w:ind w:left="540" w:right="599" w:firstLine="432"/>
        <w:spacing w:after="0" w:line="287" w:lineRule="auto"/>
        <w:rPr>
          <w:sz w:val="20"/>
          <w:szCs w:val="20"/>
          <w:color w:val="auto"/>
        </w:rPr>
      </w:pPr>
      <w:r>
        <w:rPr>
          <w:rFonts w:ascii="Arial" w:cs="Arial" w:eastAsia="Arial" w:hAnsi="Arial"/>
          <w:sz w:val="16"/>
          <w:szCs w:val="16"/>
          <w:color w:val="auto"/>
        </w:rPr>
        <w:t>We believe in the ability of our management team to add significant value to a target company from a commercial, operating, strategic and sustainability perspective. In particular, we intend to identify and acquire a business that could benefit from a hands-on owner with extensive operational experience and the public company expertise our management team possesses, or that relies on the target’s executive and operational expertise but presents potential for an attractive risk-adjusted return profile under our stewardship. Even fundamentally sound companies can often underperform their potential due to underinvestment, a temporary period of dislocation in the markets in which they operate, over-levered capital structures, excessive cost structures, incomplete management teams and/or inappropriate business strategies. Our management team has extensive experience in identifying and executing such strategies. In addition, our team has significant hands-on experience working with private companies in preparing for and executing an initial public offering and serving as active owners and directors by working closely with these companies to continue their transformations and help create value in the public markets.</w:t>
      </w:r>
    </w:p>
    <w:p>
      <w:pPr>
        <w:spacing w:after="0" w:line="16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Founders, Our Board of Directors and Management</w:t>
      </w:r>
    </w:p>
    <w:p>
      <w:pPr>
        <w:spacing w:after="0" w:line="162" w:lineRule="exact"/>
        <w:rPr>
          <w:sz w:val="20"/>
          <w:szCs w:val="20"/>
          <w:color w:val="auto"/>
        </w:rPr>
      </w:pPr>
    </w:p>
    <w:p>
      <w:pPr>
        <w:ind w:left="540" w:right="659" w:firstLine="432"/>
        <w:spacing w:after="0" w:line="283" w:lineRule="auto"/>
        <w:rPr>
          <w:sz w:val="20"/>
          <w:szCs w:val="20"/>
          <w:color w:val="auto"/>
        </w:rPr>
      </w:pPr>
      <w:r>
        <w:rPr>
          <w:rFonts w:ascii="Arial" w:cs="Arial" w:eastAsia="Arial" w:hAnsi="Arial"/>
          <w:sz w:val="16"/>
          <w:szCs w:val="16"/>
          <w:color w:val="auto"/>
        </w:rPr>
        <w:t>Scott Leonard serves as our Chief Executive Officer and on our board of directors. Mr. Leonard has over 15 years of experience leading highly successful business transformations and transitions. Mr. Leonard also has deep expertise over the past 8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w:t>
      </w:r>
    </w:p>
    <w:p>
      <w:pPr>
        <w:spacing w:after="0" w:line="5" w:lineRule="exact"/>
        <w:rPr>
          <w:sz w:val="20"/>
          <w:szCs w:val="20"/>
          <w:color w:val="auto"/>
        </w:rPr>
      </w:pPr>
    </w:p>
    <w:p>
      <w:pPr>
        <w:ind w:left="540" w:right="559" w:firstLine="4"/>
        <w:spacing w:after="0" w:line="288" w:lineRule="auto"/>
        <w:tabs>
          <w:tab w:leader="none" w:pos="725" w:val="left"/>
        </w:tabs>
        <w:numPr>
          <w:ilvl w:val="0"/>
          <w:numId w:val="4"/>
        </w:numPr>
        <w:rPr>
          <w:rFonts w:ascii="Arial" w:cs="Arial" w:eastAsia="Arial" w:hAnsi="Arial"/>
          <w:sz w:val="16"/>
          <w:szCs w:val="16"/>
          <w:color w:val="auto"/>
        </w:rPr>
      </w:pPr>
      <w:r>
        <w:rPr>
          <w:rFonts w:ascii="Arial" w:cs="Arial" w:eastAsia="Arial" w:hAnsi="Arial"/>
          <w:sz w:val="16"/>
          <w:szCs w:val="16"/>
          <w:color w:val="auto"/>
        </w:rPr>
        <w:t>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Mr. Leonard earned a B.S. with Highest Honors from Georgia Tech, and an M.B.A. with Distinction from The Kellogg Graduate School of Management at Northwestern.</w:t>
      </w:r>
    </w:p>
    <w:p>
      <w:pPr>
        <w:spacing w:after="0" w:line="87" w:lineRule="exact"/>
        <w:rPr>
          <w:sz w:val="20"/>
          <w:szCs w:val="20"/>
          <w:color w:val="auto"/>
        </w:rPr>
      </w:pPr>
    </w:p>
    <w:p>
      <w:pPr>
        <w:ind w:left="540" w:right="559" w:firstLine="432"/>
        <w:spacing w:after="0" w:line="265" w:lineRule="auto"/>
        <w:rPr>
          <w:sz w:val="20"/>
          <w:szCs w:val="20"/>
          <w:color w:val="auto"/>
        </w:rPr>
      </w:pPr>
      <w:r>
        <w:rPr>
          <w:rFonts w:ascii="Arial" w:cs="Arial" w:eastAsia="Arial" w:hAnsi="Arial"/>
          <w:sz w:val="17"/>
          <w:szCs w:val="17"/>
          <w:color w:val="auto"/>
        </w:rPr>
        <w:t>Scott Honour serves as the Chairman of our board of directors. Mr. Honour has over 30 years of private equity investment experience and has been involved in over 100 transactions totaling over $20 billion in transaction value. Mr. Honour is Managing Partner of Northern Pacific Group (“NPG”), a private equity firm, which he co-founded in 2012. Prior to that, Mr. Honour was at The Gores Group, a Los Angeles based private equity firm, for 10 years, serving as Senior Managing Director and one of the firm’s top executives. During his time at The Gores Group, the firm raised four funds, totaling $4 billion in aggregate, and made over 35 investments. Mr. Honour also served on the investment committee for The Gores Group. Prior to joining The Gores Group, Mr. Honour was a Managing Director at UBS Investment Bank from 2000 to 2002 and was an investment banker at Donaldson, Lufkin &amp; Jenrette from 1991 to 2000. Mr. Honour began his career at Trammell Crow Company in 1988. Mr. Honour has served on the board of directors of numerous public and private companies including Solar Spectrum Holdings LLC, Anthem Sports &amp; Entertainment Inc., 1</w:t>
      </w:r>
      <w:r>
        <w:rPr>
          <w:rFonts w:ascii="Arial" w:cs="Arial" w:eastAsia="Arial" w:hAnsi="Arial"/>
          <w:sz w:val="19"/>
          <w:szCs w:val="19"/>
          <w:color w:val="auto"/>
          <w:vertAlign w:val="superscript"/>
        </w:rPr>
        <w:t>st</w:t>
      </w:r>
      <w:r>
        <w:rPr>
          <w:rFonts w:ascii="Arial" w:cs="Arial" w:eastAsia="Arial" w:hAnsi="Arial"/>
          <w:sz w:val="17"/>
          <w:szCs w:val="17"/>
          <w:color w:val="auto"/>
        </w:rPr>
        <w:t xml:space="preserve"> Choice Delivery, LLC, United Language Group, Inc., Renters Warehouse LLC, Real Dolmen (REM:BB) and Westwood One, Inc. (formerly Nasdaq: WWON), and is a co-founder of Titan CNG LLC and YapStone Inc. Mr. Honour earned a B.S. and B.A., </w:t>
      </w:r>
      <w:r>
        <w:rPr>
          <w:rFonts w:ascii="Arial" w:cs="Arial" w:eastAsia="Arial" w:hAnsi="Arial"/>
          <w:sz w:val="17"/>
          <w:szCs w:val="17"/>
          <w:i w:val="1"/>
          <w:iCs w:val="1"/>
          <w:color w:val="auto"/>
        </w:rPr>
        <w:t>cum laude</w:t>
      </w:r>
      <w:r>
        <w:rPr>
          <w:rFonts w:ascii="Arial" w:cs="Arial" w:eastAsia="Arial" w:hAnsi="Arial"/>
          <w:sz w:val="17"/>
          <w:szCs w:val="17"/>
          <w:color w:val="auto"/>
        </w:rPr>
        <w:t>, in Business Administration and Economics from Pepperdine University and an M.B.A. in Finance and Marketing from the Wharton School of the University of Pennsylvania.</w:t>
      </w:r>
    </w:p>
    <w:p>
      <w:pPr>
        <w:sectPr>
          <w:pgSz w:w="11900" w:h="16838" w:orient="portrait"/>
          <w:cols w:equalWidth="0" w:num="1">
            <w:col w:w="9019"/>
          </w:cols>
          <w:pgMar w:left="1440" w:top="463" w:right="1440" w:bottom="1440" w:gutter="0" w:footer="0" w:header="0"/>
        </w:sectPr>
      </w:pP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7" w:name="page8"/>
    <w:bookmarkEnd w:id="7"/>
    <w:p>
      <w:pPr>
        <w:ind w:left="540" w:right="559" w:firstLine="432"/>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91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147310" cy="8891905"/>
                    </a:xfrm>
                    <a:prstGeom prst="rect">
                      <a:avLst/>
                    </a:prstGeom>
                    <a:noFill/>
                  </pic:spPr>
                </pic:pic>
              </a:graphicData>
            </a:graphic>
          </wp:anchor>
        </w:drawing>
        <w:t>David Quiram serves as our Chief Financial Officer. Dr. Quiram has over 20 years of leadership experience in technology, strategy and finance organizations with a deep understanding of the chemicals, emerging technology, bioscience and energy sectors. Previously, Dr. Quiram served as Head of Financial Planning and Analysis and Tax at GenOn Energy (“GenOn”) from 2017 until 2019 where he was responsible for standing up the financial and administrative functions of GenOn as a stand-alone entity from NRG Energy Inc. (NYSE: NRG). Prior to that, Dr. Quiram served as Head of Investments for Enterprise Services of Hewlett Packard Enterprise (NYSE: HPE) from 2014 until 2017 where he directed investments into products and services. From 2010 to 2014, Dr. Quiram was with Accenture (NYSE: ACN) as a Senior Manager in their Strategy practice focused on transforming utilities, independent power producers, and energy retailers. From 2006 to 2009, Dr. Quiram worked at multiple roles at TXU Energy starting in finance and later served as Vice President of Retail Pricing and Procurement where he led the pricing and hedging for TXU Energy’s retail portfolio. Dr. Quiram began his career at McKinsey &amp; Co where he worked as an Engagement Manager from 2001 until 2005, and as a Research Scientist at DuPont (NYSE: DD) from 1998 to 2001. Dr. Quiram earned a B.S. in Chemical Engineering with Highest Distinction from the University of Virginia, and an M.S. and Ph.D. in Chemical Engineering from the Massachusetts Institute of Technology.</w:t>
      </w:r>
    </w:p>
    <w:p>
      <w:pPr>
        <w:spacing w:after="0" w:line="100" w:lineRule="exact"/>
        <w:rPr>
          <w:sz w:val="20"/>
          <w:szCs w:val="20"/>
          <w:color w:val="auto"/>
        </w:rPr>
      </w:pPr>
    </w:p>
    <w:p>
      <w:pPr>
        <w:ind w:left="540" w:right="559" w:firstLine="432"/>
        <w:spacing w:after="0" w:line="287" w:lineRule="auto"/>
        <w:rPr>
          <w:sz w:val="20"/>
          <w:szCs w:val="20"/>
          <w:color w:val="auto"/>
        </w:rPr>
      </w:pPr>
      <w:r>
        <w:rPr>
          <w:rFonts w:ascii="Arial" w:cs="Arial" w:eastAsia="Arial" w:hAnsi="Arial"/>
          <w:sz w:val="16"/>
          <w:szCs w:val="16"/>
          <w:color w:val="auto"/>
        </w:rPr>
        <w:t>Rick Gaenzle has agreed to serve on our board of directors. Mr. Gaenzle has over 30 years of private equity investment and corporate finance experience; he is the founder and currently serves as a Managing Director of Gilbert Global Equity Capital, L.L.C., the principal investment advisor to Gilbert Global Equity Partners, L.P. and related entities, a $1.2 billion leveraged buyout and private equity fund. Mr. Gaenzle has spent the last twenty-eight years at Gilbert Global and its predecessor entity, completing over 110 direct equity investments, co-investments and add-on acquisitions for portfolio companies. Previously, Mr. Gaenzle was a Principal of Soros Capital L.P., the principal venture capital and leveraged equity entity of the Quantum Group of Funds and a principal advisor to Quantum Industrial Holdings Ltd. Prior to joining Soros Capital, Mr. Gaenzle held various positions at PaineWebber Inc. Mr. Gaenzle currently serves as a Senior Advisor to Impact Delta, an impact-investing and impact-measurement advisory firm; an Operating Partner of NPG; and Chairman of Lake Street Homes, a single-family rental investment vehicle. Mr. Gaenzle holds a B.A. from Hartwick College and an M.B.A. from Fordham University.</w:t>
      </w:r>
    </w:p>
    <w:p>
      <w:pPr>
        <w:spacing w:after="0" w:line="100" w:lineRule="exact"/>
        <w:rPr>
          <w:sz w:val="20"/>
          <w:szCs w:val="20"/>
          <w:color w:val="auto"/>
        </w:rPr>
      </w:pPr>
    </w:p>
    <w:p>
      <w:pPr>
        <w:ind w:left="540" w:right="599" w:firstLine="432"/>
        <w:spacing w:after="0" w:line="286" w:lineRule="auto"/>
        <w:rPr>
          <w:sz w:val="20"/>
          <w:szCs w:val="20"/>
          <w:color w:val="auto"/>
        </w:rPr>
      </w:pPr>
      <w:r>
        <w:rPr>
          <w:rFonts w:ascii="Arial" w:cs="Arial" w:eastAsia="Arial" w:hAnsi="Arial"/>
          <w:sz w:val="16"/>
          <w:szCs w:val="16"/>
          <w:color w:val="auto"/>
        </w:rPr>
        <w:t>Isaac Barchas has agreed to serve on our board of directors. Mr. Barchas is the President and Chief Executive Officer of Research Bridge Partners (“RBP”), a socially-driven investment company, which he founded in 2016. RBP uses both concessionary and nonconcessionary investment to create startup companies based on university research and advance those companies into the venture capital markets. Prior to founding RBP, Mr. Barchas led the Austin Technology Incubator (“ATI”) at The University of Texas at Austin from 2006 to 2016. ATI’s Clean Energy Incubator was the first university clean tech incubation program in the United States. During Mr. Barchas’ leadership, ATI companies raised over $1 billion in the capital markets. Mr. Barchas joined the university from McKinsey &amp; Co., where he worked in the Chicago, Sydney, Auckland, and Dallas offices, from 1996 to 2006 and served on the leadership teams of McKinsey’s North American Healthcare Practice and Global Organization Practice. Mr. Barchas has served on multiple private company boards and on philanthropic boards including Pecan Street Inc., the largest analytically-focused clean energy and climate data consortium in the United States, where he was a founding board member. Mr. Barchas earned a J.D. (honors) and M.A. (Century Fellowship) from The University of Chicago. He received an A.B. from Stanford University (honors and Phi Beta Kappa).</w:t>
      </w:r>
    </w:p>
    <w:p>
      <w:pPr>
        <w:spacing w:after="0" w:line="90" w:lineRule="exact"/>
        <w:rPr>
          <w:sz w:val="20"/>
          <w:szCs w:val="20"/>
          <w:color w:val="auto"/>
        </w:rPr>
      </w:pPr>
    </w:p>
    <w:p>
      <w:pPr>
        <w:ind w:left="540" w:right="579" w:firstLine="432"/>
        <w:spacing w:after="0" w:line="270" w:lineRule="auto"/>
        <w:rPr>
          <w:sz w:val="20"/>
          <w:szCs w:val="20"/>
          <w:color w:val="auto"/>
        </w:rPr>
      </w:pPr>
      <w:r>
        <w:rPr>
          <w:rFonts w:ascii="Arial" w:cs="Arial" w:eastAsia="Arial" w:hAnsi="Arial"/>
          <w:sz w:val="17"/>
          <w:szCs w:val="17"/>
          <w:color w:val="auto"/>
        </w:rPr>
        <w:t>Justin Kelly has agreed to serve on our board of directors. Mr. Kelly is currently the Chief Executive Officer and Chief Investment Officer of Winslow Capital Management, LLC (“Winslow Capital”), Nuveen’s center of excellence for growth investing. Mr. Kelly also serves as lead portfolio manager on the firm’s flagship U.S. Large Cap Growth Strategy. Mr. Kelly has been with Winslow Capital for over two decades and has transformed the firm from a single strategy, niche investment firm to a thought leader globally in growth equity investing with four strategies. Prior to joining Winslow Capital in 1999, Mr. Kelly was an equity analyst at Investment Advisors in Minneapolis. Prior to that, Mr. Kelly worked at Prudential Bache, from 1993 to 1996 as Investment Banker, and Salomon Brothers, from 1996 to 1997 as Investment Banker. Mr. Kelly earned a B.S. in Finance/Investments from Babson College.</w:t>
      </w:r>
    </w:p>
    <w:p>
      <w:pPr>
        <w:spacing w:after="0" w:line="113" w:lineRule="exact"/>
        <w:rPr>
          <w:sz w:val="20"/>
          <w:szCs w:val="20"/>
          <w:color w:val="auto"/>
        </w:rPr>
      </w:pPr>
    </w:p>
    <w:p>
      <w:pPr>
        <w:ind w:left="540" w:right="679" w:firstLine="432"/>
        <w:spacing w:after="0" w:line="257" w:lineRule="auto"/>
        <w:rPr>
          <w:sz w:val="20"/>
          <w:szCs w:val="20"/>
          <w:color w:val="auto"/>
        </w:rPr>
      </w:pPr>
      <w:r>
        <w:rPr>
          <w:rFonts w:ascii="Arial" w:cs="Arial" w:eastAsia="Arial" w:hAnsi="Arial"/>
          <w:sz w:val="18"/>
          <w:szCs w:val="18"/>
          <w:color w:val="auto"/>
        </w:rPr>
        <w:t>We will further be supported by our team of advisors comprised of former senior executives from leading global companies with experience in a wide range of sub-sectors and functional areas, who have previously worked together over the last decade or more. They will provide us with access to their expertise and extensive industry networks from which we intend to source and evaluate targets as well as devise plans to optimize any business that we acquire.</w:t>
      </w:r>
    </w:p>
    <w:p>
      <w:pPr>
        <w:spacing w:after="0" w:line="120" w:lineRule="exact"/>
        <w:rPr>
          <w:sz w:val="20"/>
          <w:szCs w:val="20"/>
          <w:color w:val="auto"/>
        </w:rPr>
      </w:pPr>
    </w:p>
    <w:p>
      <w:pPr>
        <w:ind w:left="540" w:right="719" w:firstLine="432"/>
        <w:spacing w:after="0" w:line="259" w:lineRule="auto"/>
        <w:rPr>
          <w:sz w:val="20"/>
          <w:szCs w:val="20"/>
          <w:color w:val="auto"/>
        </w:rPr>
      </w:pPr>
      <w:r>
        <w:rPr>
          <w:rFonts w:ascii="Arial" w:cs="Arial" w:eastAsia="Arial" w:hAnsi="Arial"/>
          <w:sz w:val="18"/>
          <w:szCs w:val="18"/>
          <w:color w:val="auto"/>
        </w:rPr>
        <w:t>Our management team will be supported by NPG, a technology and business services focused private equity firm based in Wayzata, Minnesota. NPG has considerable experience investing in ESG related portfolio companies with community impact, workplace diversity and integrity, and environmental resource management acting as</w:t>
      </w:r>
    </w:p>
    <w:p>
      <w:pPr>
        <w:sectPr>
          <w:pgSz w:w="11900" w:h="16838" w:orient="portrait"/>
          <w:cols w:equalWidth="0" w:num="1">
            <w:col w:w="9019"/>
          </w:cols>
          <w:pgMar w:left="1440" w:top="463" w:right="1440" w:bottom="1440" w:gutter="0" w:footer="0" w:header="0"/>
        </w:sectPr>
      </w:pPr>
    </w:p>
    <w:p>
      <w:pPr>
        <w:spacing w:after="0" w:line="34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8" w:name="page9"/>
    <w:bookmarkEnd w:id="8"/>
    <w:p>
      <w:pPr>
        <w:ind w:left="540" w:right="619"/>
        <w:spacing w:after="0" w:line="267" w:lineRule="auto"/>
        <w:rPr>
          <w:sz w:val="20"/>
          <w:szCs w:val="20"/>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7547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147310" cy="8754745"/>
                    </a:xfrm>
                    <a:prstGeom prst="rect">
                      <a:avLst/>
                    </a:prstGeom>
                    <a:noFill/>
                  </pic:spPr>
                </pic:pic>
              </a:graphicData>
            </a:graphic>
          </wp:anchor>
        </w:drawing>
        <w:t>cornerstones to key investment decisions. NPG has offset its carbon footprint to net zero, achieving CarbonNeutral</w:t>
      </w:r>
      <w:r>
        <w:rPr>
          <w:rFonts w:ascii="Arial" w:cs="Arial" w:eastAsia="Arial" w:hAnsi="Arial"/>
          <w:sz w:val="19"/>
          <w:szCs w:val="19"/>
          <w:color w:val="auto"/>
          <w:vertAlign w:val="superscript"/>
        </w:rPr>
        <w:t>®</w:t>
      </w:r>
      <w:r>
        <w:rPr>
          <w:rFonts w:ascii="Arial" w:cs="Arial" w:eastAsia="Arial" w:hAnsi="Arial"/>
          <w:sz w:val="17"/>
          <w:szCs w:val="17"/>
          <w:color w:val="auto"/>
        </w:rPr>
        <w:t xml:space="preserve"> status. The partners of NPG have been involved in acquisitions, financings and advisory transactions totaling over $20 billion in transaction value and have significant experience investing across a variety of economic cycles and a track record of identifying high-quality assets, businesses and management teams with significant resources, capital and optimization potential. NPG is strategically focused on sponsoring and supporting blank check companies either as a direct sponsor or under its portfolio companies. We believe that we will benefit from NPG’s prior experience.</w:t>
      </w:r>
    </w:p>
    <w:p>
      <w:pPr>
        <w:spacing w:after="0" w:line="113" w:lineRule="exact"/>
        <w:rPr>
          <w:sz w:val="20"/>
          <w:szCs w:val="20"/>
          <w:color w:val="auto"/>
        </w:rPr>
      </w:pPr>
    </w:p>
    <w:p>
      <w:pPr>
        <w:ind w:left="540" w:right="619" w:firstLine="432"/>
        <w:spacing w:after="0" w:line="270" w:lineRule="auto"/>
        <w:rPr>
          <w:sz w:val="20"/>
          <w:szCs w:val="20"/>
          <w:color w:val="auto"/>
        </w:rPr>
      </w:pPr>
      <w:r>
        <w:rPr>
          <w:rFonts w:ascii="Arial" w:cs="Arial" w:eastAsia="Arial" w:hAnsi="Arial"/>
          <w:sz w:val="17"/>
          <w:szCs w:val="17"/>
          <w:color w:val="auto"/>
        </w:rPr>
        <w:t>With respect to the above, past performance of our management team is not a guarantee of either (i) success with respect to a business combination that may be consummated or (ii) the ability to successfully identify and execute a transaction. You should not rely on the historical record of management or their respective affiliates as indicative of future performance. See “Risk Factors — 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 For a list of our executive officers and entities for which a conflict of interest may or does exist between such officers and the company, please refer to “Management — Conflicts of Interest.”</w:t>
      </w:r>
    </w:p>
    <w:p>
      <w:pPr>
        <w:spacing w:after="0" w:line="17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Business Strategy</w:t>
      </w:r>
    </w:p>
    <w:p>
      <w:pPr>
        <w:spacing w:after="0" w:line="162" w:lineRule="exact"/>
        <w:rPr>
          <w:sz w:val="20"/>
          <w:szCs w:val="20"/>
          <w:color w:val="auto"/>
        </w:rPr>
      </w:pPr>
    </w:p>
    <w:p>
      <w:pPr>
        <w:jc w:val="both"/>
        <w:ind w:left="540" w:right="579" w:firstLine="432"/>
        <w:spacing w:after="0" w:line="311" w:lineRule="auto"/>
        <w:rPr>
          <w:sz w:val="20"/>
          <w:szCs w:val="20"/>
          <w:color w:val="auto"/>
        </w:rPr>
      </w:pPr>
      <w:r>
        <w:rPr>
          <w:rFonts w:ascii="Arial" w:cs="Arial" w:eastAsia="Arial" w:hAnsi="Arial"/>
          <w:sz w:val="16"/>
          <w:szCs w:val="16"/>
          <w:color w:val="auto"/>
        </w:rPr>
        <w:t>Our acquisition and value creation strategy is to identify and complete our initial business combination with a company in an industry that complements the experience and expertise of our management team and is focused on, or could benefit from, environmentally sustainable business practices. We will seek to:</w:t>
      </w:r>
    </w:p>
    <w:p>
      <w:pPr>
        <w:spacing w:after="0" w:line="68" w:lineRule="exact"/>
        <w:rPr>
          <w:sz w:val="20"/>
          <w:szCs w:val="20"/>
          <w:color w:val="auto"/>
        </w:rPr>
      </w:pPr>
    </w:p>
    <w:p>
      <w:pPr>
        <w:ind w:left="1400" w:right="57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Leverage the strategic and transactional experience of our management team and sponsor to bring advice and attention to potential targets;</w:t>
      </w:r>
    </w:p>
    <w:p>
      <w:pPr>
        <w:spacing w:after="0" w:line="102" w:lineRule="exact"/>
        <w:rPr>
          <w:rFonts w:ascii="Arial" w:cs="Arial" w:eastAsia="Arial" w:hAnsi="Arial"/>
          <w:sz w:val="18"/>
          <w:szCs w:val="18"/>
          <w:color w:val="auto"/>
        </w:rPr>
      </w:pPr>
    </w:p>
    <w:p>
      <w:pPr>
        <w:ind w:left="1400" w:right="57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Drive value creation through support of a strong environmental sustainability profile or a “brown-to-green” transition;</w:t>
      </w:r>
    </w:p>
    <w:p>
      <w:pPr>
        <w:spacing w:after="0" w:line="102" w:lineRule="exact"/>
        <w:rPr>
          <w:rFonts w:ascii="Arial" w:cs="Arial" w:eastAsia="Arial" w:hAnsi="Arial"/>
          <w:sz w:val="18"/>
          <w:szCs w:val="18"/>
          <w:color w:val="auto"/>
        </w:rPr>
      </w:pPr>
    </w:p>
    <w:p>
      <w:pPr>
        <w:ind w:left="1400" w:hanging="424"/>
        <w:spacing w:after="0"/>
        <w:tabs>
          <w:tab w:leader="none" w:pos="1400" w:val="left"/>
        </w:tabs>
        <w:numPr>
          <w:ilvl w:val="0"/>
          <w:numId w:val="5"/>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w:t>
      </w:r>
    </w:p>
    <w:p>
      <w:pPr>
        <w:spacing w:after="0" w:line="144" w:lineRule="exact"/>
        <w:rPr>
          <w:rFonts w:ascii="Arial" w:cs="Arial" w:eastAsia="Arial" w:hAnsi="Arial"/>
          <w:sz w:val="18"/>
          <w:szCs w:val="18"/>
          <w:color w:val="auto"/>
        </w:rPr>
      </w:pPr>
    </w:p>
    <w:p>
      <w:pPr>
        <w:ind w:left="1400" w:right="71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 including assistance with public company readiness; and</w:t>
      </w:r>
    </w:p>
    <w:p>
      <w:pPr>
        <w:spacing w:after="0" w:line="102" w:lineRule="exact"/>
        <w:rPr>
          <w:rFonts w:ascii="Arial" w:cs="Arial" w:eastAsia="Arial" w:hAnsi="Arial"/>
          <w:sz w:val="18"/>
          <w:szCs w:val="18"/>
          <w:color w:val="auto"/>
        </w:rPr>
      </w:pPr>
    </w:p>
    <w:p>
      <w:pPr>
        <w:ind w:left="1400" w:right="819" w:hanging="424"/>
        <w:spacing w:after="0" w:line="277" w:lineRule="auto"/>
        <w:tabs>
          <w:tab w:leader="none" w:pos="1391" w:val="left"/>
        </w:tabs>
        <w:numPr>
          <w:ilvl w:val="0"/>
          <w:numId w:val="5"/>
        </w:numPr>
        <w:rPr>
          <w:rFonts w:ascii="Arial" w:cs="Arial" w:eastAsia="Arial" w:hAnsi="Arial"/>
          <w:sz w:val="18"/>
          <w:szCs w:val="18"/>
          <w:color w:val="auto"/>
        </w:rPr>
      </w:pPr>
      <w:r>
        <w:rPr>
          <w:rFonts w:ascii="Arial" w:cs="Arial" w:eastAsia="Arial" w:hAnsi="Arial"/>
          <w:sz w:val="18"/>
          <w:szCs w:val="18"/>
          <w:color w:val="auto"/>
        </w:rPr>
        <w:t>Remove economic or environmental waste through environmentally sustainable operational or commercial improvements.</w:t>
      </w:r>
    </w:p>
    <w:p>
      <w:pPr>
        <w:spacing w:after="0" w:line="103" w:lineRule="exact"/>
        <w:rPr>
          <w:sz w:val="20"/>
          <w:szCs w:val="20"/>
          <w:color w:val="auto"/>
        </w:rPr>
      </w:pPr>
    </w:p>
    <w:p>
      <w:pPr>
        <w:ind w:left="540" w:right="639" w:firstLine="432"/>
        <w:spacing w:after="0" w:line="287" w:lineRule="auto"/>
        <w:rPr>
          <w:sz w:val="20"/>
          <w:szCs w:val="20"/>
          <w:color w:val="auto"/>
        </w:rPr>
      </w:pPr>
      <w:r>
        <w:rPr>
          <w:rFonts w:ascii="Arial" w:cs="Arial" w:eastAsia="Arial" w:hAnsi="Arial"/>
          <w:sz w:val="16"/>
          <w:szCs w:val="16"/>
          <w:color w:val="auto"/>
        </w:rPr>
        <w:t>Our selection process in choosing an attractive investment opportunity will leverage our management team’s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 believe the combination of our operating experience, relationships, capital and capital markets expertise can be a catalyst to transform a target company and can help accelerate the target’s growth, performance and sustainability profile. Upon completion of this offering, members of our management team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91" w:lineRule="exact"/>
        <w:rPr>
          <w:sz w:val="20"/>
          <w:szCs w:val="20"/>
          <w:color w:val="auto"/>
        </w:rPr>
      </w:pPr>
    </w:p>
    <w:p>
      <w:pPr>
        <w:ind w:left="980"/>
        <w:spacing w:after="0"/>
        <w:rPr>
          <w:sz w:val="20"/>
          <w:szCs w:val="20"/>
          <w:color w:val="auto"/>
        </w:rPr>
      </w:pPr>
      <w:r>
        <w:rPr>
          <w:rFonts w:ascii="Arial" w:cs="Arial" w:eastAsia="Arial" w:hAnsi="Arial"/>
          <w:sz w:val="18"/>
          <w:szCs w:val="18"/>
          <w:color w:val="auto"/>
        </w:rPr>
        <w:t>The members of our management team have experience in:</w:t>
      </w:r>
    </w:p>
    <w:p>
      <w:pPr>
        <w:spacing w:after="0" w:line="158" w:lineRule="exact"/>
        <w:rPr>
          <w:sz w:val="20"/>
          <w:szCs w:val="20"/>
          <w:color w:val="auto"/>
        </w:rPr>
      </w:pPr>
    </w:p>
    <w:p>
      <w:pPr>
        <w:ind w:left="1400" w:right="101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and investing in companies with a focus on decarbonization and environmentally sustainable business practices;</w:t>
      </w:r>
    </w:p>
    <w:p>
      <w:pPr>
        <w:spacing w:after="0" w:line="102" w:lineRule="exact"/>
        <w:rPr>
          <w:rFonts w:ascii="Arial" w:cs="Arial" w:eastAsia="Arial" w:hAnsi="Arial"/>
          <w:sz w:val="18"/>
          <w:szCs w:val="18"/>
          <w:color w:val="auto"/>
        </w:rPr>
      </w:pPr>
    </w:p>
    <w:p>
      <w:pPr>
        <w:ind w:left="1400" w:right="71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Operating companies, setting and enacting strategies, and identifying, monitoring and recruiting world-class talent;</w:t>
      </w:r>
    </w:p>
    <w:p>
      <w:pPr>
        <w:spacing w:after="0" w:line="89" w:lineRule="exact"/>
        <w:rPr>
          <w:rFonts w:ascii="Arial" w:cs="Arial" w:eastAsia="Arial" w:hAnsi="Arial"/>
          <w:sz w:val="18"/>
          <w:szCs w:val="18"/>
          <w:color w:val="auto"/>
        </w:rPr>
      </w:pPr>
    </w:p>
    <w:p>
      <w:pPr>
        <w:jc w:val="both"/>
        <w:ind w:left="1400" w:right="959" w:hanging="424"/>
        <w:spacing w:after="0" w:line="263"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16" w:lineRule="exact"/>
        <w:rPr>
          <w:rFonts w:ascii="Arial" w:cs="Arial" w:eastAsia="Arial" w:hAnsi="Arial"/>
          <w:sz w:val="18"/>
          <w:szCs w:val="18"/>
          <w:color w:val="auto"/>
        </w:rPr>
      </w:pPr>
    </w:p>
    <w:p>
      <w:pPr>
        <w:ind w:left="1400" w:hanging="424"/>
        <w:spacing w:after="0"/>
        <w:tabs>
          <w:tab w:leader="none" w:pos="1400" w:val="left"/>
        </w:tabs>
        <w:numPr>
          <w:ilvl w:val="0"/>
          <w:numId w:val="6"/>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57" w:lineRule="exact"/>
        <w:rPr>
          <w:rFonts w:ascii="Arial" w:cs="Arial" w:eastAsia="Arial" w:hAnsi="Arial"/>
          <w:sz w:val="18"/>
          <w:szCs w:val="18"/>
          <w:color w:val="auto"/>
        </w:rPr>
      </w:pPr>
    </w:p>
    <w:p>
      <w:pPr>
        <w:ind w:left="1400" w:right="559" w:hanging="424"/>
        <w:spacing w:after="0" w:line="277" w:lineRule="auto"/>
        <w:tabs>
          <w:tab w:leader="none" w:pos="1391" w:val="left"/>
        </w:tabs>
        <w:numPr>
          <w:ilvl w:val="0"/>
          <w:numId w:val="6"/>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ectPr>
          <w:pgSz w:w="11900" w:h="16838" w:orient="portrait"/>
          <w:cols w:equalWidth="0" w:num="1">
            <w:col w:w="9019"/>
          </w:cols>
          <w:pgMar w:left="1440" w:top="463" w:right="1440" w:bottom="1440" w:gutter="0" w:footer="0" w:header="0"/>
        </w:sectPr>
      </w:pPr>
    </w:p>
    <w:p>
      <w:pPr>
        <w:spacing w:after="0" w:line="31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9" w:name="page10"/>
    <w:bookmarkEnd w:id="9"/>
    <w:p>
      <w:pPr>
        <w:ind w:left="1400" w:hanging="424"/>
        <w:spacing w:after="0"/>
        <w:tabs>
          <w:tab w:leader="none" w:pos="1400" w:val="left"/>
        </w:tabs>
        <w:numPr>
          <w:ilvl w:val="0"/>
          <w:numId w:val="7"/>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830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147310" cy="8883015"/>
                    </a:xfrm>
                    <a:prstGeom prst="rect">
                      <a:avLst/>
                    </a:prstGeom>
                    <a:noFill/>
                  </pic:spPr>
                </pic:pic>
              </a:graphicData>
            </a:graphic>
          </wp:anchor>
        </w:drawing>
        <w:t>Fostering relationships with sellers, capital providers and target management teams; and</w:t>
      </w:r>
    </w:p>
    <w:p>
      <w:pPr>
        <w:spacing w:after="0" w:line="169" w:lineRule="exact"/>
        <w:rPr>
          <w:rFonts w:ascii="Arial" w:cs="Arial" w:eastAsia="Arial" w:hAnsi="Arial"/>
          <w:sz w:val="17"/>
          <w:szCs w:val="17"/>
          <w:color w:val="auto"/>
        </w:rPr>
      </w:pPr>
    </w:p>
    <w:p>
      <w:pPr>
        <w:ind w:left="1400" w:right="1299" w:hanging="424"/>
        <w:spacing w:after="0" w:line="277" w:lineRule="auto"/>
        <w:tabs>
          <w:tab w:leader="none" w:pos="1391" w:val="left"/>
        </w:tabs>
        <w:numPr>
          <w:ilvl w:val="0"/>
          <w:numId w:val="7"/>
        </w:numPr>
        <w:rPr>
          <w:rFonts w:ascii="Arial" w:cs="Arial" w:eastAsia="Arial" w:hAnsi="Arial"/>
          <w:sz w:val="18"/>
          <w:szCs w:val="18"/>
          <w:color w:val="auto"/>
        </w:rPr>
      </w:pPr>
      <w:r>
        <w:rPr>
          <w:rFonts w:ascii="Arial" w:cs="Arial" w:eastAsia="Arial" w:hAnsi="Arial"/>
          <w:sz w:val="18"/>
          <w:szCs w:val="18"/>
          <w:color w:val="auto"/>
        </w:rPr>
        <w:t>Executing transactions and business plans under various economic and financial market conditions.</w:t>
      </w:r>
    </w:p>
    <w:p>
      <w:pPr>
        <w:spacing w:after="0" w:line="166"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ind w:left="540" w:right="579" w:firstLine="432"/>
        <w:spacing w:after="0" w:line="263" w:lineRule="auto"/>
        <w:rPr>
          <w:sz w:val="20"/>
          <w:szCs w:val="20"/>
          <w:color w:val="auto"/>
        </w:rPr>
      </w:pPr>
      <w:r>
        <w:rPr>
          <w:rFonts w:ascii="Arial" w:cs="Arial" w:eastAsia="Arial" w:hAnsi="Arial"/>
          <w:sz w:val="18"/>
          <w:szCs w:val="18"/>
          <w:color w:val="auto"/>
        </w:rPr>
        <w:t>The sourcing, valuation, diligence and execution capabilities of our management team will provide us with a significant pipeline of opportunities from which to evaluate and select a business that will benefit from our expertise. Our competitive strengths include the following:</w:t>
      </w:r>
    </w:p>
    <w:p>
      <w:pPr>
        <w:spacing w:after="0" w:line="89" w:lineRule="exact"/>
        <w:rPr>
          <w:sz w:val="20"/>
          <w:szCs w:val="20"/>
          <w:color w:val="auto"/>
        </w:rPr>
      </w:pPr>
    </w:p>
    <w:p>
      <w:pPr>
        <w:ind w:left="1400" w:right="679" w:hanging="424"/>
        <w:spacing w:after="0" w:line="273" w:lineRule="auto"/>
        <w:tabs>
          <w:tab w:leader="none" w:pos="1391"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Management Team and Sponsorship. </w:t>
      </w:r>
      <w:r>
        <w:rPr>
          <w:rFonts w:ascii="Arial" w:cs="Arial" w:eastAsia="Arial" w:hAnsi="Arial"/>
          <w:sz w:val="17"/>
          <w:szCs w:val="17"/>
          <w:color w:val="auto"/>
        </w:rPr>
        <w:t>We believe that our sponsor and management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team, with its decade long proven ability to execute and simultaneously improve both financial metrics and sustainability, the strong track record of our management team focused on environmental sustainability will be viewed favorably by target businesses in need of professionalized management, ESG guidance, improved operating processes and controls, better access to industry relationships and strategic planning.</w:t>
      </w:r>
    </w:p>
    <w:p>
      <w:pPr>
        <w:spacing w:after="0" w:line="83" w:lineRule="exact"/>
        <w:rPr>
          <w:rFonts w:ascii="Arial" w:cs="Arial" w:eastAsia="Arial" w:hAnsi="Arial"/>
          <w:sz w:val="17"/>
          <w:szCs w:val="17"/>
          <w:color w:val="auto"/>
        </w:rPr>
      </w:pPr>
    </w:p>
    <w:p>
      <w:pPr>
        <w:ind w:left="1400" w:right="899" w:hanging="424"/>
        <w:spacing w:after="0" w:line="257" w:lineRule="auto"/>
        <w:tabs>
          <w:tab w:leader="none" w:pos="1391" w:val="left"/>
        </w:tabs>
        <w:numPr>
          <w:ilvl w:val="0"/>
          <w:numId w:val="8"/>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Leading Experience in Decarbonization and Environmentally Sustainable Practices.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significant experience in decarbonization through the retirement and management of carbon intensive facilities as well as investment into new technologies. Our sponsor has an extensive track record of investment in companies with an environmental sustainability focus.</w:t>
      </w:r>
    </w:p>
    <w:p>
      <w:pPr>
        <w:spacing w:after="0" w:line="106" w:lineRule="exact"/>
        <w:rPr>
          <w:rFonts w:ascii="Arial" w:cs="Arial" w:eastAsia="Arial" w:hAnsi="Arial"/>
          <w:sz w:val="18"/>
          <w:szCs w:val="18"/>
          <w:color w:val="auto"/>
        </w:rPr>
      </w:pPr>
    </w:p>
    <w:p>
      <w:pPr>
        <w:ind w:left="1400" w:right="599" w:hanging="424"/>
        <w:spacing w:after="0" w:line="275" w:lineRule="auto"/>
        <w:tabs>
          <w:tab w:leader="none" w:pos="1391"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Proprietary Sourcing Channels and Leading Industry Relationships. </w:t>
      </w:r>
      <w:r>
        <w:rPr>
          <w:rFonts w:ascii="Arial" w:cs="Arial" w:eastAsia="Arial" w:hAnsi="Arial"/>
          <w:sz w:val="17"/>
          <w:szCs w:val="17"/>
          <w:color w:val="auto"/>
        </w:rPr>
        <w:t>We believe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capabilities and connections associated with our management team and sponsor will provide us with a differentiated pipeline of merger opportunities that would be difficult for other participants in the market to replicate. We expect these sourcing capabilities will be further bolstered by our management team’s reputation and deep industry relationships.</w:t>
      </w:r>
    </w:p>
    <w:p>
      <w:pPr>
        <w:spacing w:after="0" w:line="81" w:lineRule="exact"/>
        <w:rPr>
          <w:rFonts w:ascii="Arial" w:cs="Arial" w:eastAsia="Arial" w:hAnsi="Arial"/>
          <w:sz w:val="17"/>
          <w:szCs w:val="17"/>
          <w:color w:val="auto"/>
        </w:rPr>
      </w:pPr>
    </w:p>
    <w:p>
      <w:pPr>
        <w:ind w:left="1400" w:right="839" w:hanging="424"/>
        <w:spacing w:after="0" w:line="311" w:lineRule="auto"/>
        <w:tabs>
          <w:tab w:leader="none" w:pos="1391" w:val="left"/>
        </w:tabs>
        <w:numPr>
          <w:ilvl w:val="0"/>
          <w:numId w:val="8"/>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Investing Experience. </w:t>
      </w:r>
      <w:r>
        <w:rPr>
          <w:rFonts w:ascii="Arial" w:cs="Arial" w:eastAsia="Arial" w:hAnsi="Arial"/>
          <w:sz w:val="16"/>
          <w:szCs w:val="16"/>
          <w:color w:val="auto"/>
        </w:rPr>
        <w:t>We believe that our management and sponsor’s track record of</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identifying and sourcing transactions positions us well to evaluate potential investment targets and select one that will be well received by the public markets and our shareholders.</w:t>
      </w:r>
    </w:p>
    <w:p>
      <w:pPr>
        <w:spacing w:after="0" w:line="54" w:lineRule="exact"/>
        <w:rPr>
          <w:rFonts w:ascii="Arial" w:cs="Arial" w:eastAsia="Arial" w:hAnsi="Arial"/>
          <w:sz w:val="16"/>
          <w:szCs w:val="16"/>
          <w:color w:val="auto"/>
        </w:rPr>
      </w:pPr>
    </w:p>
    <w:p>
      <w:pPr>
        <w:ind w:left="1400" w:right="699" w:hanging="424"/>
        <w:spacing w:after="0" w:line="271" w:lineRule="auto"/>
        <w:tabs>
          <w:tab w:leader="none" w:pos="1391" w:val="left"/>
        </w:tabs>
        <w:numPr>
          <w:ilvl w:val="0"/>
          <w:numId w:val="8"/>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Execution and Structuring Capability. </w:t>
      </w:r>
      <w:r>
        <w:rPr>
          <w:rFonts w:ascii="Arial" w:cs="Arial" w:eastAsia="Arial" w:hAnsi="Arial"/>
          <w:sz w:val="17"/>
          <w:szCs w:val="17"/>
          <w:color w:val="auto"/>
        </w:rPr>
        <w:t>We believe that our management team’s and sponsor’s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combined industry expertise and reputation will allow them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pacing w:after="0" w:line="17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Investment Criteria</w:t>
      </w:r>
    </w:p>
    <w:p>
      <w:pPr>
        <w:spacing w:after="0" w:line="162" w:lineRule="exact"/>
        <w:rPr>
          <w:sz w:val="20"/>
          <w:szCs w:val="20"/>
          <w:color w:val="auto"/>
        </w:rPr>
      </w:pPr>
    </w:p>
    <w:p>
      <w:pPr>
        <w:jc w:val="both"/>
        <w:ind w:left="540" w:right="639" w:firstLine="432"/>
        <w:spacing w:after="0" w:line="257" w:lineRule="auto"/>
        <w:rPr>
          <w:sz w:val="20"/>
          <w:szCs w:val="20"/>
          <w:color w:val="auto"/>
        </w:rPr>
      </w:pPr>
      <w:r>
        <w:rPr>
          <w:rFonts w:ascii="Arial" w:cs="Arial" w:eastAsia="Arial" w:hAnsi="Arial"/>
          <w:sz w:val="18"/>
          <w:szCs w:val="18"/>
          <w:color w:val="auto"/>
        </w:rPr>
        <w:t>Consistent with our strategy, we have identified the following general criteria and guidelines which we believe are important in evaluating prospective target businesses. We will use these criteria and guidelines in evaluating acquisition opportunities, but we may decide to enter into our initial business combination with a target business that does not meet these criteria and guidelines. We intend to acquire one or more businesses or entities that we believe:</w:t>
      </w:r>
    </w:p>
    <w:p>
      <w:pPr>
        <w:spacing w:after="0" w:line="93" w:lineRule="exact"/>
        <w:rPr>
          <w:sz w:val="20"/>
          <w:szCs w:val="20"/>
          <w:color w:val="auto"/>
        </w:rPr>
      </w:pPr>
    </w:p>
    <w:p>
      <w:pPr>
        <w:ind w:left="1400" w:right="759" w:hanging="424"/>
        <w:spacing w:after="0" w:line="301" w:lineRule="auto"/>
        <w:tabs>
          <w:tab w:leader="none" w:pos="1391" w:val="left"/>
        </w:tabs>
        <w:numPr>
          <w:ilvl w:val="0"/>
          <w:numId w:val="9"/>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Benefits from Environmentally Sustainable Business Practices. </w:t>
      </w:r>
      <w:r>
        <w:rPr>
          <w:rFonts w:ascii="Arial" w:cs="Arial" w:eastAsia="Arial" w:hAnsi="Arial"/>
          <w:sz w:val="16"/>
          <w:szCs w:val="16"/>
          <w:color w:val="auto"/>
        </w:rPr>
        <w:t>We will seek to acquire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business that (i) has existing operating practices that promote and profit from environmental sustainability or (ii) would benefit from implementing environmentally sustainable commercial and operating practices leveraging the expertise of our management team and sponsor.</w:t>
      </w:r>
    </w:p>
    <w:p>
      <w:pPr>
        <w:spacing w:after="0" w:line="76" w:lineRule="exact"/>
        <w:rPr>
          <w:rFonts w:ascii="Arial" w:cs="Arial" w:eastAsia="Arial" w:hAnsi="Arial"/>
          <w:sz w:val="16"/>
          <w:szCs w:val="16"/>
          <w:color w:val="auto"/>
        </w:rPr>
      </w:pPr>
    </w:p>
    <w:p>
      <w:pPr>
        <w:ind w:left="1400" w:right="639" w:hanging="424"/>
        <w:spacing w:after="0" w:line="263" w:lineRule="auto"/>
        <w:tabs>
          <w:tab w:leader="none" w:pos="139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Defensible Market Position. </w:t>
      </w:r>
      <w:r>
        <w:rPr>
          <w:rFonts w:ascii="Arial" w:cs="Arial" w:eastAsia="Arial" w:hAnsi="Arial"/>
          <w:sz w:val="18"/>
          <w:szCs w:val="18"/>
          <w:color w:val="auto"/>
        </w:rPr>
        <w:t>We will seek to acquire a business that has a defensible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within a target market as a result of a differentiated technology, distribution capabilities, customer service or other competitive advantages.</w:t>
      </w:r>
    </w:p>
    <w:p>
      <w:pPr>
        <w:spacing w:after="0" w:line="89" w:lineRule="exact"/>
        <w:rPr>
          <w:rFonts w:ascii="Arial" w:cs="Arial" w:eastAsia="Arial" w:hAnsi="Arial"/>
          <w:sz w:val="18"/>
          <w:szCs w:val="18"/>
          <w:color w:val="auto"/>
        </w:rPr>
      </w:pPr>
    </w:p>
    <w:p>
      <w:pPr>
        <w:ind w:left="1400" w:right="1199" w:hanging="424"/>
        <w:spacing w:after="0" w:line="263" w:lineRule="auto"/>
        <w:tabs>
          <w:tab w:leader="none" w:pos="1391" w:val="left"/>
        </w:tabs>
        <w:numPr>
          <w:ilvl w:val="0"/>
          <w:numId w:val="9"/>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an Attractive Financial Profile. </w:t>
      </w:r>
      <w:r>
        <w:rPr>
          <w:rFonts w:ascii="Arial" w:cs="Arial" w:eastAsia="Arial" w:hAnsi="Arial"/>
          <w:sz w:val="18"/>
          <w:szCs w:val="18"/>
          <w:color w:val="auto"/>
        </w:rPr>
        <w:t>We will seek to acquire a business that has highly</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recurring, stable cash flows and operating leverage and may benefit from optimizing or delevering the capital structure.</w:t>
      </w:r>
    </w:p>
    <w:p>
      <w:pPr>
        <w:spacing w:after="0" w:line="89" w:lineRule="exact"/>
        <w:rPr>
          <w:rFonts w:ascii="Arial" w:cs="Arial" w:eastAsia="Arial" w:hAnsi="Arial"/>
          <w:sz w:val="18"/>
          <w:szCs w:val="18"/>
          <w:color w:val="auto"/>
        </w:rPr>
      </w:pPr>
    </w:p>
    <w:p>
      <w:pPr>
        <w:jc w:val="both"/>
        <w:ind w:left="1400" w:right="719" w:hanging="424"/>
        <w:spacing w:after="0" w:line="263" w:lineRule="auto"/>
        <w:tabs>
          <w:tab w:leader="none" w:pos="1391" w:val="left"/>
        </w:tabs>
        <w:numPr>
          <w:ilvl w:val="0"/>
          <w:numId w:val="9"/>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will seek to acquire a business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 capabilities of our management and sponsor can be leveraged to tangibly improve the operations and market position of the target.</w:t>
      </w:r>
    </w:p>
    <w:p>
      <w:pPr>
        <w:sectPr>
          <w:pgSz w:w="11900" w:h="16838" w:orient="portrait"/>
          <w:cols w:equalWidth="0" w:num="1">
            <w:col w:w="9019"/>
          </w:cols>
          <w:pgMar w:left="1440" w:top="463" w:right="1440" w:bottom="1440" w:gutter="0" w:footer="0" w:header="0"/>
        </w:sectPr>
      </w:pPr>
    </w:p>
    <w:p>
      <w:pPr>
        <w:spacing w:after="0" w:line="346"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63" w:right="1440" w:bottom="1440" w:gutter="0" w:footer="0" w:header="0"/>
          <w:type w:val="continuous"/>
        </w:sectPr>
      </w:pPr>
    </w:p>
    <w:bookmarkStart w:id="10" w:name="page11"/>
    <w:bookmarkEnd w:id="10"/>
    <w:p>
      <w:pPr>
        <w:ind w:left="1400" w:right="579" w:hanging="424"/>
        <w:spacing w:after="0" w:line="263" w:lineRule="auto"/>
        <w:tabs>
          <w:tab w:leader="none" w:pos="1391" w:val="left"/>
        </w:tabs>
        <w:numPr>
          <w:ilvl w:val="0"/>
          <w:numId w:val="10"/>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2332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147310" cy="8823325"/>
                    </a:xfrm>
                    <a:prstGeom prst="rect">
                      <a:avLst/>
                    </a:prstGeom>
                    <a:noFill/>
                  </pic:spPr>
                </pic:pic>
              </a:graphicData>
            </a:graphic>
          </wp:anchor>
        </w:drawing>
        <w:t xml:space="preserve">Is Sourced Through our Proprietary Channels. </w:t>
      </w:r>
      <w:r>
        <w:rPr>
          <w:rFonts w:ascii="Arial" w:cs="Arial" w:eastAsia="Arial" w:hAnsi="Arial"/>
          <w:sz w:val="18"/>
          <w:szCs w:val="18"/>
          <w:color w:val="auto"/>
        </w:rPr>
        <w:t>We will aim to leverage our extensive network</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source our business combination and do not expect to rely on broadly marketed processes to find a business combination target.</w:t>
      </w:r>
    </w:p>
    <w:p>
      <w:pPr>
        <w:spacing w:after="0" w:line="116" w:lineRule="exact"/>
        <w:rPr>
          <w:rFonts w:ascii="Arial" w:cs="Arial" w:eastAsia="Arial" w:hAnsi="Arial"/>
          <w:sz w:val="18"/>
          <w:szCs w:val="18"/>
          <w:b w:val="1"/>
          <w:bCs w:val="1"/>
          <w:i w:val="1"/>
          <w:iCs w:val="1"/>
          <w:color w:val="auto"/>
        </w:rPr>
      </w:pPr>
    </w:p>
    <w:p>
      <w:pPr>
        <w:ind w:left="1400" w:right="699" w:hanging="424"/>
        <w:spacing w:after="0" w:line="296" w:lineRule="auto"/>
        <w:tabs>
          <w:tab w:leader="none" w:pos="1391" w:val="left"/>
        </w:tabs>
        <w:numPr>
          <w:ilvl w:val="0"/>
          <w:numId w:val="10"/>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Has a Committed and Capable Management Team. </w:t>
      </w:r>
      <w:r>
        <w:rPr>
          <w:rFonts w:ascii="Arial" w:cs="Arial" w:eastAsia="Arial" w:hAnsi="Arial"/>
          <w:sz w:val="16"/>
          <w:szCs w:val="16"/>
          <w:color w:val="auto"/>
        </w:rPr>
        <w:t>We will seek to acquire a business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 management team whose interests are aligned with those of our investors and complement the expertise of our management team and sponsor. Where necessary, we may also look to complement and enhance the capabilities of the target business’s management team by recruiting additional talent through our network of contacts.</w:t>
      </w:r>
    </w:p>
    <w:p>
      <w:pPr>
        <w:spacing w:after="0" w:line="80" w:lineRule="exact"/>
        <w:rPr>
          <w:rFonts w:ascii="Arial" w:cs="Arial" w:eastAsia="Arial" w:hAnsi="Arial"/>
          <w:sz w:val="16"/>
          <w:szCs w:val="16"/>
          <w:color w:val="auto"/>
        </w:rPr>
      </w:pPr>
    </w:p>
    <w:p>
      <w:pPr>
        <w:ind w:left="1400" w:right="739" w:hanging="424"/>
        <w:spacing w:after="0" w:line="263" w:lineRule="auto"/>
        <w:tabs>
          <w:tab w:leader="none" w:pos="1391" w:val="left"/>
        </w:tabs>
        <w:numPr>
          <w:ilvl w:val="0"/>
          <w:numId w:val="10"/>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the Potential to Grow Organically or Through Additional Acquisitions. </w:t>
      </w:r>
      <w:r>
        <w:rPr>
          <w:rFonts w:ascii="Arial" w:cs="Arial" w:eastAsia="Arial" w:hAnsi="Arial"/>
          <w:sz w:val="18"/>
          <w:szCs w:val="18"/>
          <w:color w:val="auto"/>
        </w:rPr>
        <w:t>We will seek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 a business that has the potential to grow both organically through market expansion or increased market share as well as through external acquisitions.</w:t>
      </w:r>
    </w:p>
    <w:p>
      <w:pPr>
        <w:spacing w:after="0" w:line="116" w:lineRule="exact"/>
        <w:rPr>
          <w:sz w:val="20"/>
          <w:szCs w:val="20"/>
          <w:color w:val="auto"/>
        </w:rPr>
      </w:pPr>
    </w:p>
    <w:p>
      <w:pPr>
        <w:ind w:left="540" w:right="619" w:firstLine="432"/>
        <w:spacing w:after="0" w:line="291"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tender offer documents or proxy solicitation materials that we would file with the SEC.</w:t>
      </w:r>
    </w:p>
    <w:p>
      <w:pPr>
        <w:spacing w:after="0" w:line="16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Our Acquisition Process</w:t>
      </w:r>
    </w:p>
    <w:p>
      <w:pPr>
        <w:spacing w:after="0" w:line="135" w:lineRule="exact"/>
        <w:rPr>
          <w:sz w:val="20"/>
          <w:szCs w:val="20"/>
          <w:color w:val="auto"/>
        </w:rPr>
      </w:pPr>
    </w:p>
    <w:p>
      <w:pPr>
        <w:ind w:left="540" w:right="599" w:firstLine="432"/>
        <w:spacing w:after="0" w:line="301" w:lineRule="auto"/>
        <w:rPr>
          <w:sz w:val="20"/>
          <w:szCs w:val="20"/>
          <w:color w:val="auto"/>
        </w:rPr>
      </w:pPr>
      <w:r>
        <w:rPr>
          <w:rFonts w:ascii="Arial" w:cs="Arial" w:eastAsia="Arial" w:hAnsi="Arial"/>
          <w:sz w:val="16"/>
          <w:szCs w:val="16"/>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 We will also utilize our operational and capital planning experience.</w:t>
      </w:r>
    </w:p>
    <w:p>
      <w:pPr>
        <w:spacing w:after="0" w:line="76" w:lineRule="exact"/>
        <w:rPr>
          <w:sz w:val="20"/>
          <w:szCs w:val="20"/>
          <w:color w:val="auto"/>
        </w:rPr>
      </w:pPr>
    </w:p>
    <w:p>
      <w:pPr>
        <w:ind w:left="540" w:right="599" w:firstLine="432"/>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that our initial business combination is fair to our company from a financial point of view from an independent investment banking firm or another independent entity that commonly renders valuation opinions.</w:t>
      </w:r>
    </w:p>
    <w:p>
      <w:pPr>
        <w:spacing w:after="0" w:line="98" w:lineRule="exact"/>
        <w:rPr>
          <w:sz w:val="20"/>
          <w:szCs w:val="20"/>
          <w:color w:val="auto"/>
        </w:rPr>
      </w:pPr>
    </w:p>
    <w:p>
      <w:pPr>
        <w:ind w:left="540" w:right="679" w:firstLine="432"/>
        <w:spacing w:after="0" w:line="254" w:lineRule="auto"/>
        <w:rPr>
          <w:sz w:val="20"/>
          <w:szCs w:val="20"/>
          <w:color w:val="auto"/>
        </w:rPr>
      </w:pPr>
      <w:r>
        <w:rPr>
          <w:rFonts w:ascii="Arial" w:cs="Arial" w:eastAsia="Arial" w:hAnsi="Arial"/>
          <w:sz w:val="18"/>
          <w:szCs w:val="18"/>
          <w:color w:val="auto"/>
        </w:rPr>
        <w:t>Members of our management team may directly or indirectly own our ordinary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w:t>
      </w:r>
    </w:p>
    <w:p>
      <w:pPr>
        <w:spacing w:after="0" w:line="191"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Initial Business Combination</w:t>
      </w:r>
    </w:p>
    <w:p>
      <w:pPr>
        <w:spacing w:after="0" w:line="135" w:lineRule="exact"/>
        <w:rPr>
          <w:sz w:val="20"/>
          <w:szCs w:val="20"/>
          <w:color w:val="auto"/>
        </w:rPr>
      </w:pPr>
    </w:p>
    <w:p>
      <w:pPr>
        <w:ind w:left="540" w:right="559" w:firstLine="432"/>
        <w:spacing w:after="0" w:line="269"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with respect to the satisfaction of such criteria from an independent investment banking firm or another independent entity that commonly renders valuation opinions. We do not intend to purchase multiple businesses in unrelated industries in conjunction with our initial business combination. Subject to this requirement, our management will have virtually unrestricted flexibility in identifying and selecting one or more prospective businesses, although we will not be permitted to effectuate our initial business combination with another blank check company or a similar company with nominal operations.</w:t>
      </w:r>
    </w:p>
    <w:p>
      <w:pPr>
        <w:spacing w:after="0" w:line="98" w:lineRule="exact"/>
        <w:rPr>
          <w:sz w:val="20"/>
          <w:szCs w:val="20"/>
          <w:color w:val="auto"/>
        </w:rPr>
      </w:pPr>
    </w:p>
    <w:p>
      <w:pPr>
        <w:ind w:left="540" w:right="619" w:firstLine="432"/>
        <w:spacing w:after="0" w:line="273" w:lineRule="auto"/>
        <w:rPr>
          <w:sz w:val="20"/>
          <w:szCs w:val="20"/>
          <w:color w:val="auto"/>
        </w:rPr>
      </w:pPr>
      <w:r>
        <w:rPr>
          <w:rFonts w:ascii="Arial" w:cs="Arial" w:eastAsia="Arial" w:hAnsi="Arial"/>
          <w:sz w:val="17"/>
          <w:szCs w:val="17"/>
          <w:color w:val="auto"/>
        </w:rPr>
        <w:t>We anticipate structuring our initial business combination so that the post-transaction company in which our public shareholders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shareholders or for other reasons, but we</w:t>
      </w:r>
    </w:p>
    <w:p>
      <w:pPr>
        <w:sectPr>
          <w:pgSz w:w="11900" w:h="16838" w:orient="portrait"/>
          <w:cols w:equalWidth="0" w:num="1">
            <w:col w:w="9019"/>
          </w:cols>
          <w:pgMar w:left="1440" w:top="449" w:right="1440" w:bottom="1440" w:gutter="0" w:footer="0" w:header="0"/>
        </w:sectPr>
      </w:pP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11" w:name="page12"/>
    <w:bookmarkEnd w:id="11"/>
    <w:p>
      <w:pPr>
        <w:ind w:left="540" w:right="559"/>
        <w:spacing w:after="0" w:line="285"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82332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147310" cy="8823325"/>
                    </a:xfrm>
                    <a:prstGeom prst="rect">
                      <a:avLst/>
                    </a:prstGeom>
                    <a:noFill/>
                  </pic:spPr>
                </pic:pic>
              </a:graphicData>
            </a:graphic>
          </wp:anchor>
        </w:drawing>
        <w:t>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spacing w:after="0" w:line="320" w:lineRule="exact"/>
        <w:rPr>
          <w:sz w:val="20"/>
          <w:szCs w:val="20"/>
          <w:color w:val="auto"/>
        </w:rPr>
      </w:pPr>
    </w:p>
    <w:p>
      <w:pPr>
        <w:ind w:left="540" w:right="619" w:firstLine="432"/>
        <w:spacing w:after="0" w:line="257"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07" w:lineRule="exact"/>
        <w:rPr>
          <w:sz w:val="20"/>
          <w:szCs w:val="20"/>
          <w:color w:val="auto"/>
        </w:rPr>
      </w:pPr>
    </w:p>
    <w:p>
      <w:pPr>
        <w:ind w:left="540" w:right="599" w:firstLine="432"/>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119" w:lineRule="exact"/>
        <w:rPr>
          <w:sz w:val="20"/>
          <w:szCs w:val="20"/>
          <w:color w:val="auto"/>
        </w:rPr>
      </w:pPr>
    </w:p>
    <w:p>
      <w:pPr>
        <w:ind w:left="540" w:right="579" w:firstLine="432"/>
        <w:spacing w:after="0" w:line="296" w:lineRule="auto"/>
        <w:rPr>
          <w:sz w:val="20"/>
          <w:szCs w:val="20"/>
          <w:color w:val="auto"/>
        </w:rPr>
      </w:pPr>
      <w:r>
        <w:rPr>
          <w:rFonts w:ascii="Arial" w:cs="Arial" w:eastAsia="Arial" w:hAnsi="Arial"/>
          <w:sz w:val="16"/>
          <w:szCs w:val="16"/>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Other Considerations</w:t>
      </w:r>
    </w:p>
    <w:p>
      <w:pPr>
        <w:spacing w:after="0" w:line="162" w:lineRule="exact"/>
        <w:rPr>
          <w:sz w:val="20"/>
          <w:szCs w:val="20"/>
          <w:color w:val="auto"/>
        </w:rPr>
      </w:pPr>
    </w:p>
    <w:p>
      <w:pPr>
        <w:ind w:left="540" w:right="679" w:firstLine="432"/>
        <w:spacing w:after="0" w:line="272"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our sponsor, Founders, officers or directors. In the event we seek to complete our initial business combination or, subject to certain exceptions, subsequent material transactions with a company that is affiliated with our sponsor or any of our Founders, officers or directors, we, or a committee of independent directors, will obtain an opinion from an independent investment banking firm or another independent entity that commonly renders valuation opinions that such initial business combination or transaction is fair to our company from a financial point of view.</w:t>
      </w:r>
    </w:p>
    <w:p>
      <w:pPr>
        <w:spacing w:after="0" w:line="96" w:lineRule="exact"/>
        <w:rPr>
          <w:sz w:val="20"/>
          <w:szCs w:val="20"/>
          <w:color w:val="auto"/>
        </w:rPr>
      </w:pPr>
    </w:p>
    <w:p>
      <w:pPr>
        <w:ind w:left="540" w:right="619" w:firstLine="432"/>
        <w:spacing w:after="0" w:line="272" w:lineRule="auto"/>
        <w:rPr>
          <w:sz w:val="20"/>
          <w:szCs w:val="20"/>
          <w:color w:val="auto"/>
        </w:rPr>
      </w:pPr>
      <w:r>
        <w:rPr>
          <w:rFonts w:ascii="Arial" w:cs="Arial" w:eastAsia="Arial" w:hAnsi="Arial"/>
          <w:sz w:val="17"/>
          <w:szCs w:val="17"/>
          <w:color w:val="auto"/>
        </w:rPr>
        <w:t>We currently do not have any specific business combination under consideration. Our officers and directors have neither individually identified nor considered a target business nor have they had any substantive discussions regarding possible target businesses among themselves or with our underwriter or other advisors. Our management team is continuously made aware of potential business opportunities, one or more of which we may desire to pursue for a business combination, but we have not selected any business combination target and we have not, nor has anyone on our behalf, initiated any substantive discussions, directly or indirectly, with any business combination target.</w:t>
      </w:r>
    </w:p>
    <w:p>
      <w:pPr>
        <w:spacing w:after="0" w:line="96" w:lineRule="exact"/>
        <w:rPr>
          <w:sz w:val="20"/>
          <w:szCs w:val="20"/>
          <w:color w:val="auto"/>
        </w:rPr>
      </w:pPr>
    </w:p>
    <w:p>
      <w:pPr>
        <w:ind w:left="540" w:right="579" w:firstLine="432"/>
        <w:spacing w:after="0" w:line="270" w:lineRule="auto"/>
        <w:rPr>
          <w:sz w:val="20"/>
          <w:szCs w:val="20"/>
          <w:color w:val="auto"/>
        </w:rPr>
      </w:pPr>
      <w:r>
        <w:rPr>
          <w:rFonts w:ascii="Arial" w:cs="Arial" w:eastAsia="Arial" w:hAnsi="Arial"/>
          <w:sz w:val="17"/>
          <w:szCs w:val="17"/>
          <w:color w:val="auto"/>
        </w:rPr>
        <w:t>In addition, certain of our Founders, officers and directors presently have, and any of them in the future may have additional, fiduciary and contractual duties to other entities. As a result, if any of our Founders,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Our amended and restated memorandum and articles</w:t>
      </w:r>
    </w:p>
    <w:p>
      <w:pPr>
        <w:sectPr>
          <w:pgSz w:w="11900" w:h="16838" w:orient="portrait"/>
          <w:cols w:equalWidth="0" w:num="1">
            <w:col w:w="9019"/>
          </w:cols>
          <w:pgMar w:left="1440" w:top="449" w:right="1440" w:bottom="1440" w:gutter="0" w:footer="0" w:header="0"/>
        </w:sectPr>
      </w:pPr>
    </w:p>
    <w:p>
      <w:pPr>
        <w:spacing w:after="0" w:line="34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12" w:name="page13"/>
    <w:bookmarkEnd w:id="12"/>
    <w:p>
      <w:pPr>
        <w:ind w:left="540" w:right="559"/>
        <w:spacing w:after="0" w:line="31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744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147310" cy="8574405"/>
                    </a:xfrm>
                    <a:prstGeom prst="rect">
                      <a:avLst/>
                    </a:prstGeom>
                    <a:noFill/>
                  </pic:spPr>
                </pic:pic>
              </a:graphicData>
            </a:graphic>
          </wp:anchor>
        </w:drawing>
        <w:t>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54" w:lineRule="exact"/>
        <w:rPr>
          <w:sz w:val="20"/>
          <w:szCs w:val="20"/>
          <w:color w:val="auto"/>
        </w:rPr>
      </w:pPr>
    </w:p>
    <w:p>
      <w:pPr>
        <w:ind w:left="540" w:right="699" w:firstLine="432"/>
        <w:spacing w:after="0" w:line="253" w:lineRule="auto"/>
        <w:rPr>
          <w:sz w:val="20"/>
          <w:szCs w:val="20"/>
          <w:color w:val="auto"/>
        </w:rPr>
      </w:pPr>
      <w:r>
        <w:rPr>
          <w:rFonts w:ascii="Arial" w:cs="Arial" w:eastAsia="Arial" w:hAnsi="Arial"/>
          <w:sz w:val="18"/>
          <w:szCs w:val="18"/>
          <w:color w:val="auto"/>
        </w:rPr>
        <w:t>Our sponsor, directors and officers may sponsor, form or participate in other blank check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 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192"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Corporate Information</w:t>
      </w:r>
    </w:p>
    <w:p>
      <w:pPr>
        <w:spacing w:after="0" w:line="148" w:lineRule="exact"/>
        <w:rPr>
          <w:sz w:val="20"/>
          <w:szCs w:val="20"/>
          <w:color w:val="auto"/>
        </w:rPr>
      </w:pPr>
    </w:p>
    <w:p>
      <w:pPr>
        <w:ind w:left="980"/>
        <w:spacing w:after="0"/>
        <w:rPr>
          <w:sz w:val="20"/>
          <w:szCs w:val="20"/>
          <w:color w:val="auto"/>
        </w:rPr>
      </w:pPr>
      <w:r>
        <w:rPr>
          <w:rFonts w:ascii="Arial" w:cs="Arial" w:eastAsia="Arial" w:hAnsi="Arial"/>
          <w:sz w:val="18"/>
          <w:szCs w:val="18"/>
          <w:color w:val="auto"/>
        </w:rPr>
        <w:t>Our executive offices are located at 1601 Bryan Street, Suite 4141, Dallas, Texas 75201.</w:t>
      </w:r>
    </w:p>
    <w:p>
      <w:pPr>
        <w:spacing w:after="0" w:line="131" w:lineRule="exact"/>
        <w:rPr>
          <w:sz w:val="20"/>
          <w:szCs w:val="20"/>
          <w:color w:val="auto"/>
        </w:rPr>
      </w:pPr>
    </w:p>
    <w:p>
      <w:pPr>
        <w:ind w:left="540" w:right="579" w:firstLine="432"/>
        <w:spacing w:after="0" w:line="287" w:lineRule="auto"/>
        <w:rPr>
          <w:sz w:val="20"/>
          <w:szCs w:val="20"/>
          <w:color w:val="auto"/>
        </w:rPr>
      </w:pPr>
      <w:r>
        <w:rPr>
          <w:rFonts w:ascii="Arial" w:cs="Arial" w:eastAsia="Arial" w:hAnsi="Arial"/>
          <w:sz w:val="16"/>
          <w:szCs w:val="16"/>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expect to receive, after the effectiveness of the registration statement of which this prospectus forms a part, a tax exemption undertaking from the Cayman Islands government that, in accordance with Section 6 of the Tax Concessions Law (2020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73" w:lineRule="exact"/>
        <w:rPr>
          <w:sz w:val="20"/>
          <w:szCs w:val="20"/>
          <w:color w:val="auto"/>
        </w:rPr>
      </w:pPr>
    </w:p>
    <w:p>
      <w:pPr>
        <w:ind w:left="540" w:right="579" w:firstLine="432"/>
        <w:spacing w:after="0" w:line="288" w:lineRule="auto"/>
        <w:rPr>
          <w:sz w:val="20"/>
          <w:szCs w:val="20"/>
          <w:color w:val="auto"/>
        </w:rPr>
      </w:pPr>
      <w:r>
        <w:rPr>
          <w:rFonts w:ascii="Arial" w:cs="Arial" w:eastAsia="Arial" w:hAnsi="Arial"/>
          <w:sz w:val="16"/>
          <w:szCs w:val="16"/>
          <w:color w:val="auto"/>
        </w:rPr>
        <w:t>We are an “emerging growth company,” as defined in Section 2(a) of the Securities Act of 1933, as amended, or the Securities Act, as modified by the Jumpstart Our Business Startups Act of 2012, or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87" w:lineRule="exact"/>
        <w:rPr>
          <w:sz w:val="20"/>
          <w:szCs w:val="20"/>
          <w:color w:val="auto"/>
        </w:rPr>
      </w:pPr>
    </w:p>
    <w:p>
      <w:pPr>
        <w:ind w:left="540" w:right="779" w:firstLine="432"/>
        <w:spacing w:after="0" w:line="296" w:lineRule="auto"/>
        <w:rPr>
          <w:sz w:val="20"/>
          <w:szCs w:val="20"/>
          <w:color w:val="auto"/>
        </w:rPr>
      </w:pPr>
      <w:r>
        <w:rPr>
          <w:rFonts w:ascii="Arial" w:cs="Arial" w:eastAsia="Arial" w:hAnsi="Arial"/>
          <w:sz w:val="16"/>
          <w:szCs w:val="16"/>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67" w:lineRule="exact"/>
        <w:rPr>
          <w:sz w:val="20"/>
          <w:szCs w:val="20"/>
          <w:color w:val="auto"/>
        </w:rPr>
      </w:pPr>
    </w:p>
    <w:p>
      <w:pPr>
        <w:ind w:left="540" w:right="579" w:firstLine="432"/>
        <w:spacing w:after="0" w:line="254"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 and (2) the date on which we have issued more than $1.0 billion in non-convertible debt during the prior three-year period. References herein to “emerging growth company” have the meaning associated with it in the JOBS Act.</w:t>
      </w:r>
    </w:p>
    <w:p>
      <w:pPr>
        <w:spacing w:after="0" w:line="100" w:lineRule="exact"/>
        <w:rPr>
          <w:sz w:val="20"/>
          <w:szCs w:val="20"/>
          <w:color w:val="auto"/>
        </w:rPr>
      </w:pPr>
    </w:p>
    <w:p>
      <w:pPr>
        <w:ind w:left="540" w:right="619" w:firstLine="432"/>
        <w:spacing w:after="0" w:line="27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w:t>
      </w:r>
    </w:p>
    <w:p>
      <w:pPr>
        <w:sectPr>
          <w:pgSz w:w="11900" w:h="16838" w:orient="portrait"/>
          <w:cols w:equalWidth="0" w:num="1">
            <w:col w:w="9019"/>
          </w:cols>
          <w:pgMar w:left="1440" w:top="449" w:right="1440" w:bottom="1440" w:gutter="0" w:footer="0" w:header="0"/>
        </w:sectPr>
      </w:pPr>
    </w:p>
    <w:p>
      <w:pPr>
        <w:spacing w:after="0" w:line="339"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449" w:right="1440" w:bottom="1440" w:gutter="0" w:footer="0" w:header="0"/>
          <w:type w:val="continuous"/>
        </w:sectPr>
      </w:pPr>
    </w:p>
    <w:bookmarkStart w:id="13" w:name="page14"/>
    <w:bookmarkEnd w:id="1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7727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147310" cy="8677275"/>
                    </a:xfrm>
                    <a:prstGeom prst="rect">
                      <a:avLst/>
                    </a:prstGeom>
                    <a:noFill/>
                  </pic:spPr>
                </pic:pic>
              </a:graphicData>
            </a:graphic>
          </wp:anchor>
        </w:drawing>
        <w:t>The Offering</w:t>
      </w:r>
    </w:p>
    <w:p>
      <w:pPr>
        <w:spacing w:after="0" w:line="148" w:lineRule="exact"/>
        <w:rPr>
          <w:sz w:val="20"/>
          <w:szCs w:val="20"/>
          <w:color w:val="auto"/>
        </w:rPr>
      </w:pPr>
    </w:p>
    <w:p>
      <w:pPr>
        <w:ind w:left="540" w:right="559" w:firstLine="432"/>
        <w:spacing w:after="0" w:line="255" w:lineRule="auto"/>
        <w:rPr>
          <w:sz w:val="20"/>
          <w:szCs w:val="20"/>
          <w:color w:val="auto"/>
        </w:rPr>
      </w:pPr>
      <w:r>
        <w:rPr>
          <w:rFonts w:ascii="Arial" w:cs="Arial" w:eastAsia="Arial" w:hAnsi="Arial"/>
          <w:sz w:val="18"/>
          <w:szCs w:val="18"/>
          <w:color w:val="auto"/>
        </w:rPr>
        <w:t>In deciding whether to invest in our securities, you should take into account not only the backgrounds of the members of our management team, but also the special risks we face as a blank check company and the fact that this offering is not being conducted in compliance with Rule 419 promulgated under the Securities Act. You will not be entitled to protections normally afforded to investors in Rule 419 blank check offerings. You should carefully consider these and the other risks set forth in the section below entitled “Risk Factors” of this prospectus.</w:t>
      </w:r>
    </w:p>
    <w:p>
      <w:pPr>
        <w:sectPr>
          <w:pgSz w:w="11900" w:h="16838" w:orient="portrait"/>
          <w:cols w:equalWidth="0" w:num="1">
            <w:col w:w="9019"/>
          </w:cols>
          <w:pgMar w:left="1440" w:top="540" w:right="1440" w:bottom="1440" w:gutter="0" w:footer="0" w:header="0"/>
        </w:sectPr>
      </w:pPr>
    </w:p>
    <w:p>
      <w:pPr>
        <w:spacing w:after="0" w:line="165" w:lineRule="exact"/>
        <w:rPr>
          <w:sz w:val="20"/>
          <w:szCs w:val="20"/>
          <w:color w:val="auto"/>
        </w:rPr>
      </w:pPr>
    </w:p>
    <w:p>
      <w:pPr>
        <w:ind w:left="540"/>
        <w:spacing w:after="0"/>
        <w:rPr>
          <w:sz w:val="20"/>
          <w:szCs w:val="20"/>
          <w:color w:val="auto"/>
        </w:rPr>
      </w:pPr>
      <w:r>
        <w:rPr>
          <w:rFonts w:ascii="Arial" w:cs="Arial" w:eastAsia="Arial" w:hAnsi="Arial"/>
          <w:sz w:val="18"/>
          <w:szCs w:val="18"/>
          <w:color w:val="auto"/>
        </w:rPr>
        <w:t>Securities offered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ind w:left="540"/>
        <w:spacing w:after="0"/>
        <w:rPr>
          <w:sz w:val="20"/>
          <w:szCs w:val="20"/>
          <w:color w:val="auto"/>
        </w:rPr>
      </w:pPr>
      <w:r>
        <w:rPr>
          <w:rFonts w:ascii="Arial" w:cs="Arial" w:eastAsia="Arial" w:hAnsi="Arial"/>
          <w:sz w:val="18"/>
          <w:szCs w:val="18"/>
          <w:color w:val="auto"/>
        </w:rPr>
        <w:t>Proposed NYSE symbols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ind w:left="720" w:right="40" w:hanging="179"/>
        <w:spacing w:after="0" w:line="263" w:lineRule="auto"/>
        <w:rPr>
          <w:sz w:val="20"/>
          <w:szCs w:val="20"/>
          <w:color w:val="auto"/>
        </w:rPr>
      </w:pPr>
      <w:r>
        <w:rPr>
          <w:rFonts w:ascii="Arial" w:cs="Arial" w:eastAsia="Arial" w:hAnsi="Arial"/>
          <w:sz w:val="18"/>
          <w:szCs w:val="18"/>
          <w:color w:val="auto"/>
        </w:rPr>
        <w:t>Trading commencement and separation of Class A ordinary shares and warrants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720" w:hanging="179"/>
        <w:spacing w:after="0" w:line="259" w:lineRule="auto"/>
        <w:rPr>
          <w:sz w:val="20"/>
          <w:szCs w:val="20"/>
          <w:color w:val="auto"/>
        </w:rPr>
      </w:pPr>
      <w:r>
        <w:rPr>
          <w:rFonts w:ascii="Arial" w:cs="Arial" w:eastAsia="Arial" w:hAnsi="Arial"/>
          <w:sz w:val="18"/>
          <w:szCs w:val="18"/>
          <w:color w:val="auto"/>
        </w:rPr>
        <w:t>Separate trading of the Class A ordinary shares and warrants is prohibited until we have filed a Current Report on Form 8-K</w:t>
      </w:r>
    </w:p>
    <w:p>
      <w:pPr>
        <w:spacing w:after="0" w:line="20" w:lineRule="exact"/>
        <w:rPr>
          <w:sz w:val="20"/>
          <w:szCs w:val="20"/>
          <w:color w:val="auto"/>
        </w:rPr>
      </w:pPr>
      <w:r>
        <w:rPr>
          <w:sz w:val="20"/>
          <w:szCs w:val="20"/>
          <w:color w:val="auto"/>
        </w:rPr>
        <w:br w:type="column"/>
      </w:r>
    </w:p>
    <w:p>
      <w:pPr>
        <w:spacing w:after="0" w:line="145" w:lineRule="exact"/>
        <w:rPr>
          <w:sz w:val="20"/>
          <w:szCs w:val="20"/>
          <w:color w:val="auto"/>
        </w:rPr>
      </w:pPr>
    </w:p>
    <w:p>
      <w:pPr>
        <w:ind w:right="579"/>
        <w:spacing w:after="0" w:line="263" w:lineRule="auto"/>
        <w:rPr>
          <w:sz w:val="20"/>
          <w:szCs w:val="20"/>
          <w:color w:val="auto"/>
        </w:rPr>
      </w:pPr>
      <w:r>
        <w:rPr>
          <w:rFonts w:ascii="Arial" w:cs="Arial" w:eastAsia="Arial" w:hAnsi="Arial"/>
          <w:sz w:val="18"/>
          <w:szCs w:val="18"/>
          <w:color w:val="auto"/>
        </w:rPr>
        <w:t>30,000,000 units (or 34,500,000 units if the underwriter’s over-allotment option is exercised in full), at $10.00 per unit, each unit consisting of:</w:t>
      </w:r>
    </w:p>
    <w:p>
      <w:pPr>
        <w:spacing w:after="0" w:line="103" w:lineRule="exact"/>
        <w:rPr>
          <w:sz w:val="20"/>
          <w:szCs w:val="20"/>
          <w:color w:val="auto"/>
        </w:rPr>
      </w:pPr>
    </w:p>
    <w:p>
      <w:pPr>
        <w:ind w:left="420" w:hanging="194"/>
        <w:spacing w:after="0"/>
        <w:tabs>
          <w:tab w:leader="none" w:pos="4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 Class A ordinary share; and</w:t>
      </w:r>
    </w:p>
    <w:p>
      <w:pPr>
        <w:spacing w:after="0" w:line="157" w:lineRule="exact"/>
        <w:rPr>
          <w:rFonts w:ascii="Arial" w:cs="Arial" w:eastAsia="Arial" w:hAnsi="Arial"/>
          <w:sz w:val="18"/>
          <w:szCs w:val="18"/>
          <w:color w:val="auto"/>
        </w:rPr>
      </w:pPr>
    </w:p>
    <w:p>
      <w:pPr>
        <w:ind w:right="2259" w:firstLine="226"/>
        <w:spacing w:after="0" w:line="438" w:lineRule="auto"/>
        <w:tabs>
          <w:tab w:leader="none" w:pos="414" w:val="left"/>
        </w:tabs>
        <w:numPr>
          <w:ilvl w:val="0"/>
          <w:numId w:val="11"/>
        </w:numPr>
        <w:rPr>
          <w:rFonts w:ascii="Arial" w:cs="Arial" w:eastAsia="Arial" w:hAnsi="Arial"/>
          <w:sz w:val="18"/>
          <w:szCs w:val="18"/>
          <w:color w:val="auto"/>
        </w:rPr>
      </w:pPr>
      <w:r>
        <w:rPr>
          <w:rFonts w:ascii="Arial" w:cs="Arial" w:eastAsia="Arial" w:hAnsi="Arial"/>
          <w:sz w:val="18"/>
          <w:szCs w:val="18"/>
          <w:color w:val="auto"/>
        </w:rPr>
        <w:t>one-half of one redeemable warrant. Units: “SOAC.U”</w:t>
      </w:r>
    </w:p>
    <w:p>
      <w:pPr>
        <w:spacing w:after="0"/>
        <w:rPr>
          <w:rFonts w:ascii="Arial" w:cs="Arial" w:eastAsia="Arial" w:hAnsi="Arial"/>
          <w:sz w:val="18"/>
          <w:szCs w:val="18"/>
          <w:color w:val="auto"/>
        </w:rPr>
      </w:pPr>
      <w:r>
        <w:rPr>
          <w:rFonts w:ascii="Arial" w:cs="Arial" w:eastAsia="Arial" w:hAnsi="Arial"/>
          <w:sz w:val="18"/>
          <w:szCs w:val="18"/>
          <w:color w:val="auto"/>
        </w:rPr>
        <w:t>Class A ordinary shares: “SOAC”</w:t>
      </w:r>
    </w:p>
    <w:p>
      <w:pPr>
        <w:spacing w:after="0" w:line="15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Warrants: “SOAC WS”</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right="579"/>
        <w:spacing w:after="0" w:line="283" w:lineRule="auto"/>
        <w:rPr>
          <w:sz w:val="20"/>
          <w:szCs w:val="20"/>
          <w:color w:val="auto"/>
        </w:rPr>
      </w:pPr>
      <w:r>
        <w:rPr>
          <w:rFonts w:ascii="Arial" w:cs="Arial" w:eastAsia="Arial" w:hAnsi="Arial"/>
          <w:sz w:val="16"/>
          <w:szCs w:val="16"/>
          <w:color w:val="auto"/>
        </w:rPr>
        <w:t>The units are expected to begin trading on or promptly after the date of this prospectus. The Class A ordinary shares and warrants comprising the units will begin separate trading on the 52</w:t>
      </w:r>
      <w:r>
        <w:rPr>
          <w:rFonts w:ascii="Arial" w:cs="Arial" w:eastAsia="Arial" w:hAnsi="Arial"/>
          <w:sz w:val="18"/>
          <w:szCs w:val="18"/>
          <w:color w:val="auto"/>
          <w:vertAlign w:val="superscript"/>
        </w:rPr>
        <w:t>nd</w:t>
      </w:r>
      <w:r>
        <w:rPr>
          <w:rFonts w:ascii="Arial" w:cs="Arial" w:eastAsia="Arial" w:hAnsi="Arial"/>
          <w:sz w:val="16"/>
          <w:szCs w:val="16"/>
          <w:color w:val="auto"/>
        </w:rPr>
        <w:t xml:space="preserve"> day following the date of this prospectus (or if such day is not a business day, the immediately succeeding business day) unless Citigroup Global Markets Inc.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 No fractional warrants will be issued upon separation of the units and only whole warrants will trade. Accordingly, unless you purchase at least two units, you will not be able to receive or trade a whole warrant.</w:t>
      </w:r>
    </w:p>
    <w:p>
      <w:pPr>
        <w:spacing w:after="0" w:line="104" w:lineRule="exact"/>
        <w:rPr>
          <w:sz w:val="20"/>
          <w:szCs w:val="20"/>
          <w:color w:val="auto"/>
        </w:rPr>
      </w:pPr>
    </w:p>
    <w:p>
      <w:pPr>
        <w:ind w:right="779"/>
        <w:spacing w:after="0" w:line="263"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ind w:right="699"/>
        <w:spacing w:after="0" w:line="269" w:lineRule="auto"/>
        <w:rPr>
          <w:sz w:val="20"/>
          <w:szCs w:val="20"/>
          <w:color w:val="auto"/>
        </w:rPr>
      </w:pPr>
      <w:r>
        <w:rPr>
          <w:rFonts w:ascii="Arial" w:cs="Arial" w:eastAsia="Arial" w:hAnsi="Arial"/>
          <w:sz w:val="17"/>
          <w:szCs w:val="17"/>
          <w:color w:val="auto"/>
        </w:rPr>
        <w:t>In no event will the Class A ordinary shares and warrants be traded separately until we have filed with the SEC a Current Report on Form 8-K which includes an audited balance sheet reflecting our receipt of the gross proceeds at the closing of this offering. We will file the Current Report on Form 8-K promptly after the closing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200" w:lineRule="exact"/>
        <w:rPr>
          <w:sz w:val="20"/>
          <w:szCs w:val="20"/>
          <w:color w:val="auto"/>
        </w:rPr>
      </w:pPr>
    </w:p>
    <w:p>
      <w:pPr>
        <w:sectPr>
          <w:pgSz w:w="11900" w:h="16838" w:orient="portrait"/>
          <w:cols w:equalWidth="0" w:num="2">
            <w:col w:w="3460" w:space="260"/>
            <w:col w:w="5299"/>
          </w:cols>
          <w:pgMar w:left="1440" w:top="540" w:right="1440" w:bottom="1440" w:gutter="0" w:footer="0" w:header="0"/>
          <w:type w:val="continuous"/>
        </w:sectPr>
      </w:pPr>
    </w:p>
    <w:p>
      <w:pPr>
        <w:spacing w:after="0" w:line="373" w:lineRule="exact"/>
        <w:rPr>
          <w:sz w:val="20"/>
          <w:szCs w:val="20"/>
          <w:color w:val="auto"/>
        </w:rPr>
      </w:pPr>
    </w:p>
    <w:p>
      <w:pPr>
        <w:jc w:val="center"/>
        <w:ind w:right="19"/>
        <w:spacing w:after="0"/>
        <w:rPr>
          <w:sz w:val="20"/>
          <w:szCs w:val="20"/>
          <w:color w:val="auto"/>
        </w:rPr>
      </w:pPr>
      <w:r>
        <w:rPr>
          <w:rFonts w:ascii="Arial" w:cs="Arial" w:eastAsia="Arial" w:hAnsi="Arial"/>
          <w:sz w:val="13"/>
          <w:szCs w:val="13"/>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51435</wp:posOffset>
            </wp:positionV>
            <wp:extent cx="51435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type w:val="continuous"/>
        </w:sectPr>
      </w:pPr>
    </w:p>
    <w:bookmarkStart w:id="14" w:name="page15"/>
    <w:bookmarkEnd w:id="14"/>
    <w:tbl>
      <w:tblPr>
        <w:tblLayout w:type="fixed"/>
        <w:tblInd w:w="54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r>
              <w:rPr>
                <w:rFonts w:ascii="Arial" w:cs="Arial" w:eastAsia="Arial" w:hAnsi="Arial"/>
                <w:sz w:val="18"/>
                <w:szCs w:val="18"/>
                <w:b w:val="1"/>
                <w:bCs w:val="1"/>
                <w:color w:val="auto"/>
              </w:rPr>
              <w:t>Units:</w:t>
            </w:r>
          </w:p>
        </w:tc>
        <w:tc>
          <w:tcPr>
            <w:tcW w:w="1080" w:type="dxa"/>
            <w:vAlign w:val="bottom"/>
          </w:tcPr>
          <w:p>
            <w:pPr>
              <w:spacing w:after="0"/>
              <w:rPr>
                <w:sz w:val="20"/>
                <w:szCs w:val="20"/>
                <w:color w:val="auto"/>
              </w:rPr>
            </w:pPr>
          </w:p>
        </w:tc>
      </w:tr>
      <w:tr>
        <w:trPr>
          <w:trHeight w:val="432"/>
        </w:trPr>
        <w:tc>
          <w:tcPr>
            <w:tcW w:w="3040" w:type="dxa"/>
            <w:vAlign w:val="bottom"/>
          </w:tcPr>
          <w:p>
            <w:pPr>
              <w:spacing w:after="0"/>
              <w:rPr>
                <w:sz w:val="20"/>
                <w:szCs w:val="20"/>
                <w:color w:val="auto"/>
              </w:rPr>
            </w:pPr>
            <w:r>
              <w:rPr>
                <w:rFonts w:ascii="Arial" w:cs="Arial" w:eastAsia="Arial" w:hAnsi="Arial"/>
                <w:sz w:val="18"/>
                <w:szCs w:val="18"/>
                <w:color w:val="auto"/>
                <w:w w:val="95"/>
              </w:rPr>
              <w:t>Number outstanding before this offering</w:t>
            </w:r>
          </w:p>
        </w:tc>
        <w:tc>
          <w:tcPr>
            <w:tcW w:w="1080" w:type="dxa"/>
            <w:vAlign w:val="bottom"/>
          </w:tcPr>
          <w:p>
            <w:pPr>
              <w:ind w:left="140"/>
              <w:spacing w:after="0"/>
              <w:rPr>
                <w:sz w:val="20"/>
                <w:szCs w:val="20"/>
                <w:color w:val="auto"/>
              </w:rPr>
            </w:pPr>
            <w:r>
              <w:rPr>
                <w:rFonts w:ascii="Arial" w:cs="Arial" w:eastAsia="Arial" w:hAnsi="Arial"/>
                <w:sz w:val="18"/>
                <w:szCs w:val="18"/>
                <w:color w:val="auto"/>
              </w:rPr>
              <w:t>0</w:t>
            </w:r>
          </w:p>
        </w:tc>
      </w:tr>
      <w:tr>
        <w:trPr>
          <w:trHeight w:val="453"/>
        </w:trPr>
        <w:tc>
          <w:tcPr>
            <w:tcW w:w="3040" w:type="dxa"/>
            <w:vAlign w:val="bottom"/>
          </w:tcPr>
          <w:p>
            <w:pPr>
              <w:spacing w:after="0"/>
              <w:rPr>
                <w:sz w:val="20"/>
                <w:szCs w:val="20"/>
                <w:color w:val="auto"/>
              </w:rPr>
            </w:pPr>
            <w:r>
              <w:rPr>
                <w:rFonts w:ascii="Arial" w:cs="Arial" w:eastAsia="Arial" w:hAnsi="Arial"/>
                <w:sz w:val="18"/>
                <w:szCs w:val="18"/>
                <w:color w:val="auto"/>
              </w:rPr>
              <w:t>Number outstanding after this offering</w:t>
            </w:r>
          </w:p>
        </w:tc>
        <w:tc>
          <w:tcPr>
            <w:tcW w:w="1080" w:type="dxa"/>
            <w:vAlign w:val="bottom"/>
          </w:tcPr>
          <w:p>
            <w:pPr>
              <w:ind w:left="140"/>
              <w:spacing w:after="0"/>
              <w:rPr>
                <w:sz w:val="20"/>
                <w:szCs w:val="20"/>
                <w:color w:val="auto"/>
              </w:rPr>
            </w:pPr>
            <w:r>
              <w:rPr>
                <w:rFonts w:ascii="Arial" w:cs="Arial" w:eastAsia="Arial" w:hAnsi="Arial"/>
                <w:sz w:val="18"/>
                <w:szCs w:val="18"/>
                <w:color w:val="auto"/>
                <w:w w:val="86"/>
              </w:rPr>
              <w:t>30,000,000</w:t>
            </w:r>
            <w:r>
              <w:rPr>
                <w:rFonts w:ascii="Arial" w:cs="Arial" w:eastAsia="Arial" w:hAnsi="Arial"/>
                <w:sz w:val="20"/>
                <w:szCs w:val="20"/>
                <w:color w:val="auto"/>
                <w:w w:val="86"/>
                <w:vertAlign w:val="superscript"/>
              </w:rPr>
              <w:t>(1)</w:t>
            </w:r>
          </w:p>
        </w:tc>
      </w:tr>
      <w:tr>
        <w:trPr>
          <w:trHeight w:val="357"/>
        </w:trPr>
        <w:tc>
          <w:tcPr>
            <w:tcW w:w="3040" w:type="dxa"/>
            <w:vAlign w:val="bottom"/>
          </w:tcPr>
          <w:p>
            <w:pPr>
              <w:spacing w:after="0"/>
              <w:rPr>
                <w:sz w:val="20"/>
                <w:szCs w:val="20"/>
                <w:color w:val="auto"/>
              </w:rPr>
            </w:pPr>
            <w:r>
              <w:rPr>
                <w:rFonts w:ascii="Arial" w:cs="Arial" w:eastAsia="Arial" w:hAnsi="Arial"/>
                <w:sz w:val="18"/>
                <w:szCs w:val="18"/>
                <w:b w:val="1"/>
                <w:bCs w:val="1"/>
                <w:color w:val="auto"/>
              </w:rPr>
              <w:t>Ordinary shares:</w:t>
            </w:r>
          </w:p>
        </w:tc>
        <w:tc>
          <w:tcPr>
            <w:tcW w:w="1080" w:type="dxa"/>
            <w:vAlign w:val="bottom"/>
          </w:tcPr>
          <w:p>
            <w:pPr>
              <w:spacing w:after="0"/>
              <w:rPr>
                <w:sz w:val="24"/>
                <w:szCs w:val="24"/>
                <w:color w:val="auto"/>
              </w:rPr>
            </w:pPr>
          </w:p>
        </w:tc>
      </w:tr>
    </w:tbl>
    <w:p>
      <w:pPr>
        <w:spacing w:after="0"/>
        <w:rPr>
          <w:sz w:val="20"/>
          <w:szCs w:val="20"/>
          <w:color w:val="auto"/>
        </w:rPr>
        <w:sectPr>
          <w:pgSz w:w="11900" w:h="16838" w:orient="portrait"/>
          <w:cols w:equalWidth="0" w:num="1">
            <w:col w:w="9019"/>
          </w:cols>
          <w:pgMar w:left="1440" w:top="499" w:right="1440" w:bottom="1440" w:gutter="0" w:footer="0" w:header="0"/>
        </w:sect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62001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147310" cy="6200140"/>
                    </a:xfrm>
                    <a:prstGeom prst="rect">
                      <a:avLst/>
                    </a:prstGeom>
                    <a:noFill/>
                  </pic:spPr>
                </pic:pic>
              </a:graphicData>
            </a:graphic>
          </wp:anchor>
        </w:drawing>
      </w:r>
    </w:p>
    <w:p>
      <w:pPr>
        <w:spacing w:after="0" w:line="175" w:lineRule="exact"/>
        <w:rPr>
          <w:sz w:val="20"/>
          <w:szCs w:val="20"/>
          <w:color w:val="auto"/>
        </w:rPr>
      </w:pPr>
    </w:p>
    <w:p>
      <w:pPr>
        <w:ind w:left="540"/>
        <w:spacing w:after="0"/>
        <w:rPr>
          <w:sz w:val="20"/>
          <w:szCs w:val="20"/>
          <w:color w:val="auto"/>
        </w:rPr>
      </w:pPr>
      <w:r>
        <w:rPr>
          <w:rFonts w:ascii="Arial" w:cs="Arial" w:eastAsia="Arial" w:hAnsi="Arial"/>
          <w:sz w:val="17"/>
          <w:szCs w:val="17"/>
          <w:color w:val="auto"/>
        </w:rPr>
        <w:t>Number outstanding before this offering</w:t>
      </w:r>
    </w:p>
    <w:p>
      <w:pPr>
        <w:spacing w:after="0" w:line="210" w:lineRule="exact"/>
        <w:rPr>
          <w:sz w:val="20"/>
          <w:szCs w:val="20"/>
          <w:color w:val="auto"/>
        </w:rPr>
      </w:pPr>
    </w:p>
    <w:p>
      <w:pPr>
        <w:ind w:left="540"/>
        <w:spacing w:after="0"/>
        <w:rPr>
          <w:sz w:val="20"/>
          <w:szCs w:val="20"/>
          <w:color w:val="auto"/>
        </w:rPr>
      </w:pPr>
      <w:r>
        <w:rPr>
          <w:rFonts w:ascii="Arial" w:cs="Arial" w:eastAsia="Arial" w:hAnsi="Arial"/>
          <w:sz w:val="18"/>
          <w:szCs w:val="18"/>
          <w:color w:val="auto"/>
        </w:rPr>
        <w:t>Number outstanding after this offering</w:t>
      </w:r>
    </w:p>
    <w:p>
      <w:pPr>
        <w:spacing w:after="0" w:line="194" w:lineRule="exact"/>
        <w:rPr>
          <w:sz w:val="20"/>
          <w:szCs w:val="20"/>
          <w:color w:val="auto"/>
        </w:rPr>
      </w:pPr>
    </w:p>
    <w:p>
      <w:pPr>
        <w:ind w:left="540"/>
        <w:spacing w:after="0"/>
        <w:rPr>
          <w:sz w:val="20"/>
          <w:szCs w:val="20"/>
          <w:color w:val="auto"/>
        </w:rPr>
      </w:pPr>
      <w:r>
        <w:rPr>
          <w:rFonts w:ascii="Arial" w:cs="Arial" w:eastAsia="Arial" w:hAnsi="Arial"/>
          <w:sz w:val="18"/>
          <w:szCs w:val="18"/>
          <w:b w:val="1"/>
          <w:bCs w:val="1"/>
          <w:color w:val="auto"/>
        </w:rPr>
        <w:t>Warrants:</w:t>
      </w:r>
    </w:p>
    <w:p>
      <w:pPr>
        <w:spacing w:after="0" w:line="202" w:lineRule="exact"/>
        <w:rPr>
          <w:sz w:val="20"/>
          <w:szCs w:val="20"/>
          <w:color w:val="auto"/>
        </w:rPr>
      </w:pPr>
    </w:p>
    <w:p>
      <w:pPr>
        <w:ind w:left="720" w:right="120" w:hanging="179"/>
        <w:spacing w:after="0" w:line="286" w:lineRule="auto"/>
        <w:rPr>
          <w:sz w:val="20"/>
          <w:szCs w:val="20"/>
          <w:color w:val="auto"/>
        </w:rPr>
      </w:pPr>
      <w:r>
        <w:rPr>
          <w:rFonts w:ascii="Arial" w:cs="Arial" w:eastAsia="Arial" w:hAnsi="Arial"/>
          <w:sz w:val="17"/>
          <w:szCs w:val="17"/>
          <w:color w:val="auto"/>
        </w:rPr>
        <w:t>Number of private placement warrants to be sold in a private placement simultaneously with this offering</w:t>
      </w:r>
    </w:p>
    <w:p>
      <w:pPr>
        <w:spacing w:after="0" w:line="138" w:lineRule="exact"/>
        <w:rPr>
          <w:sz w:val="20"/>
          <w:szCs w:val="20"/>
          <w:color w:val="auto"/>
        </w:rPr>
      </w:pPr>
    </w:p>
    <w:p>
      <w:pPr>
        <w:ind w:left="720" w:hanging="179"/>
        <w:spacing w:after="0" w:line="263" w:lineRule="auto"/>
        <w:rPr>
          <w:sz w:val="20"/>
          <w:szCs w:val="20"/>
          <w:color w:val="auto"/>
        </w:rPr>
      </w:pPr>
      <w:r>
        <w:rPr>
          <w:rFonts w:ascii="Arial" w:cs="Arial" w:eastAsia="Arial" w:hAnsi="Arial"/>
          <w:sz w:val="18"/>
          <w:szCs w:val="18"/>
          <w:color w:val="auto"/>
        </w:rPr>
        <w:t>Number of warrants to be outstanding after this offering and the sale of private placement warrants</w:t>
      </w:r>
    </w:p>
    <w:p>
      <w:pPr>
        <w:spacing w:after="0" w:line="157" w:lineRule="exact"/>
        <w:rPr>
          <w:sz w:val="20"/>
          <w:szCs w:val="20"/>
          <w:color w:val="auto"/>
        </w:rPr>
      </w:pPr>
    </w:p>
    <w:p>
      <w:pPr>
        <w:ind w:left="540"/>
        <w:spacing w:after="0"/>
        <w:rPr>
          <w:sz w:val="20"/>
          <w:szCs w:val="20"/>
          <w:color w:val="auto"/>
        </w:rPr>
      </w:pPr>
      <w:r>
        <w:rPr>
          <w:rFonts w:ascii="Arial" w:cs="Arial" w:eastAsia="Arial" w:hAnsi="Arial"/>
          <w:sz w:val="18"/>
          <w:szCs w:val="18"/>
          <w:color w:val="auto"/>
        </w:rPr>
        <w:t>Exercisability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40"/>
        <w:spacing w:after="0"/>
        <w:rPr>
          <w:sz w:val="20"/>
          <w:szCs w:val="20"/>
          <w:color w:val="auto"/>
        </w:rPr>
      </w:pPr>
      <w:r>
        <w:rPr>
          <w:rFonts w:ascii="Arial" w:cs="Arial" w:eastAsia="Arial" w:hAnsi="Arial"/>
          <w:sz w:val="16"/>
          <w:szCs w:val="16"/>
          <w:color w:val="auto"/>
        </w:rPr>
        <w:t>____________</w:t>
      </w:r>
    </w:p>
    <w:p>
      <w:pPr>
        <w:spacing w:after="0" w:line="20" w:lineRule="exact"/>
        <w:rPr>
          <w:sz w:val="20"/>
          <w:szCs w:val="20"/>
          <w:color w:val="auto"/>
        </w:rPr>
      </w:pPr>
      <w:r>
        <w:rPr>
          <w:sz w:val="20"/>
          <w:szCs w:val="20"/>
          <w:color w:val="auto"/>
        </w:rPr>
        <w:br w:type="column"/>
      </w:r>
    </w:p>
    <w:p>
      <w:pPr>
        <w:spacing w:after="0" w:line="155" w:lineRule="exact"/>
        <w:rPr>
          <w:sz w:val="20"/>
          <w:szCs w:val="20"/>
          <w:color w:val="auto"/>
        </w:rPr>
      </w:pPr>
    </w:p>
    <w:p>
      <w:pPr>
        <w:spacing w:after="0"/>
        <w:rPr>
          <w:sz w:val="20"/>
          <w:szCs w:val="20"/>
          <w:color w:val="auto"/>
        </w:rPr>
      </w:pPr>
      <w:r>
        <w:rPr>
          <w:rFonts w:ascii="Arial" w:cs="Arial" w:eastAsia="Arial" w:hAnsi="Arial"/>
          <w:sz w:val="18"/>
          <w:szCs w:val="18"/>
          <w:color w:val="auto"/>
        </w:rPr>
        <w:t>8,625,000</w:t>
      </w:r>
      <w:r>
        <w:rPr>
          <w:rFonts w:ascii="Arial" w:cs="Arial" w:eastAsia="Arial" w:hAnsi="Arial"/>
          <w:sz w:val="20"/>
          <w:szCs w:val="20"/>
          <w:color w:val="auto"/>
          <w:vertAlign w:val="superscript"/>
        </w:rPr>
        <w:t>(2)(3)</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37,500,000</w:t>
      </w:r>
      <w:r>
        <w:rPr>
          <w:rFonts w:ascii="Arial" w:cs="Arial" w:eastAsia="Arial" w:hAnsi="Arial"/>
          <w:sz w:val="20"/>
          <w:szCs w:val="20"/>
          <w:color w:val="auto"/>
          <w:vertAlign w:val="superscript"/>
        </w:rPr>
        <w:t>(1)(2)(4)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9,500,000</w:t>
      </w:r>
      <w:r>
        <w:rPr>
          <w:rFonts w:ascii="Arial" w:cs="Arial" w:eastAsia="Arial" w:hAnsi="Arial"/>
          <w:sz w:val="20"/>
          <w:szCs w:val="20"/>
          <w:color w:val="auto"/>
          <w:vertAlign w:val="superscript"/>
        </w:rPr>
        <w:t>(1)</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24,500,000</w:t>
      </w:r>
      <w:r>
        <w:rPr>
          <w:rFonts w:ascii="Arial" w:cs="Arial" w:eastAsia="Arial" w:hAnsi="Arial"/>
          <w:sz w:val="20"/>
          <w:szCs w:val="20"/>
          <w:color w:val="auto"/>
          <w:vertAlign w:val="superscript"/>
        </w:rPr>
        <w:t>(1)</w:t>
      </w:r>
    </w:p>
    <w:p>
      <w:pPr>
        <w:spacing w:after="0" w:line="175" w:lineRule="exact"/>
        <w:rPr>
          <w:sz w:val="20"/>
          <w:szCs w:val="20"/>
          <w:color w:val="auto"/>
        </w:rPr>
      </w:pPr>
    </w:p>
    <w:p>
      <w:pPr>
        <w:ind w:right="839"/>
        <w:spacing w:after="0" w:line="311" w:lineRule="auto"/>
        <w:rPr>
          <w:sz w:val="20"/>
          <w:szCs w:val="20"/>
          <w:color w:val="auto"/>
        </w:rPr>
      </w:pPr>
      <w:r>
        <w:rPr>
          <w:rFonts w:ascii="Arial" w:cs="Arial" w:eastAsia="Arial" w:hAnsi="Arial"/>
          <w:sz w:val="16"/>
          <w:szCs w:val="16"/>
          <w:color w:val="auto"/>
        </w:rPr>
        <w:t>Each whole warrant sold in this offering is exercisable to purchase one Class A ordinary share, subject to adjustment as described herein. Only whole warrants are exercisable.</w:t>
      </w:r>
    </w:p>
    <w:p>
      <w:pPr>
        <w:spacing w:after="0" w:line="68" w:lineRule="exact"/>
        <w:rPr>
          <w:sz w:val="20"/>
          <w:szCs w:val="20"/>
          <w:color w:val="auto"/>
        </w:rPr>
      </w:pPr>
    </w:p>
    <w:p>
      <w:pPr>
        <w:ind w:right="619"/>
        <w:spacing w:after="0" w:line="289" w:lineRule="auto"/>
        <w:rPr>
          <w:sz w:val="20"/>
          <w:szCs w:val="20"/>
          <w:color w:val="auto"/>
        </w:rPr>
      </w:pPr>
      <w:r>
        <w:rPr>
          <w:rFonts w:ascii="Arial" w:cs="Arial" w:eastAsia="Arial" w:hAnsi="Arial"/>
          <w:sz w:val="16"/>
          <w:szCs w:val="16"/>
          <w:color w:val="auto"/>
        </w:rPr>
        <w:t>We structured each unit to contain one-half of one warrant, with each whole warrant exercisable for one Class A ordinary share, as compared to units issued by some other similar blank check companies which contain whole warrants exercisable for one whole share, in order to reduce the dilutive effect of the warrants upon completion of a business combination as compared to units that each contain a warrant to purchase one whole share, thus making us, we believe, a more attractive business combination partner for target businesses.</w:t>
      </w:r>
    </w:p>
    <w:p>
      <w:pPr>
        <w:spacing w:after="0" w:line="255" w:lineRule="exact"/>
        <w:rPr>
          <w:sz w:val="20"/>
          <w:szCs w:val="20"/>
          <w:color w:val="auto"/>
        </w:rPr>
      </w:pPr>
    </w:p>
    <w:p>
      <w:pPr>
        <w:sectPr>
          <w:pgSz w:w="11900" w:h="16838" w:orient="portrait"/>
          <w:cols w:equalWidth="0" w:num="2">
            <w:col w:w="3620" w:space="100"/>
            <w:col w:w="5299"/>
          </w:cols>
          <w:pgMar w:left="1440" w:top="499" w:right="1440" w:bottom="1440" w:gutter="0" w:footer="0" w:header="0"/>
          <w:type w:val="continuous"/>
        </w:sectPr>
      </w:pPr>
    </w:p>
    <w:p>
      <w:pPr>
        <w:ind w:left="960" w:hanging="416"/>
        <w:spacing w:after="0"/>
        <w:tabs>
          <w:tab w:leader="none" w:pos="9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w:t>
      </w:r>
    </w:p>
    <w:p>
      <w:pPr>
        <w:spacing w:after="0" w:line="18" w:lineRule="exact"/>
        <w:rPr>
          <w:rFonts w:ascii="Arial" w:cs="Arial" w:eastAsia="Arial" w:hAnsi="Arial"/>
          <w:sz w:val="16"/>
          <w:szCs w:val="16"/>
          <w:color w:val="auto"/>
        </w:rPr>
      </w:pPr>
    </w:p>
    <w:p>
      <w:pPr>
        <w:ind w:left="980" w:right="599" w:hanging="436"/>
        <w:spacing w:after="0" w:line="264"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Founder shares are currently classified as Class B ordinary shares, which shares will automatically convert into Class A ordinary shares at the time of our initial business combination as described below adjacent to the caption “Founder shares conversion and anti-dilution rights” and in our amended and restated memorandum and articles of association.</w:t>
      </w:r>
    </w:p>
    <w:p>
      <w:pPr>
        <w:ind w:left="980" w:hanging="436"/>
        <w:spacing w:after="0"/>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1,125,000 founder shares that are subject to forfeiture.</w:t>
      </w:r>
    </w:p>
    <w:p>
      <w:pPr>
        <w:spacing w:after="0" w:line="18" w:lineRule="exact"/>
        <w:rPr>
          <w:rFonts w:ascii="Arial" w:cs="Arial" w:eastAsia="Arial" w:hAnsi="Arial"/>
          <w:sz w:val="16"/>
          <w:szCs w:val="16"/>
          <w:color w:val="auto"/>
        </w:rPr>
      </w:pPr>
    </w:p>
    <w:p>
      <w:pPr>
        <w:ind w:left="980" w:right="819" w:hanging="436"/>
        <w:spacing w:after="0" w:line="288" w:lineRule="auto"/>
        <w:tabs>
          <w:tab w:leader="none" w:pos="9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Includes 30,000,000 public shares and 7,500,000 founder shares, assuming 1,125,000 founder shares have been forfeited.</w:t>
      </w:r>
    </w:p>
    <w:p>
      <w:pPr>
        <w:spacing w:after="0" w:line="3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499" w:right="1440" w:bottom="1440" w:gutter="0" w:footer="0" w:header="0"/>
          <w:type w:val="continuous"/>
        </w:sectPr>
      </w:pPr>
    </w:p>
    <w:bookmarkStart w:id="15" w:name="page16"/>
    <w:bookmarkEnd w:id="15"/>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669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147310" cy="8669020"/>
                    </a:xfrm>
                    <a:prstGeom prst="rect">
                      <a:avLst/>
                    </a:prstGeom>
                    <a:noFill/>
                  </pic:spPr>
                </pic:pic>
              </a:graphicData>
            </a:graphic>
          </wp:anchor>
        </w:drawing>
        <w:t>Exercise price</w:t>
      </w:r>
      <w:r>
        <w:rPr>
          <w:sz w:val="20"/>
          <w:szCs w:val="20"/>
          <w:color w:val="auto"/>
        </w:rPr>
        <w:tab/>
      </w:r>
      <w:r>
        <w:rPr>
          <w:rFonts w:ascii="Arial" w:cs="Arial" w:eastAsia="Arial" w:hAnsi="Arial"/>
          <w:sz w:val="15"/>
          <w:szCs w:val="15"/>
          <w:color w:val="auto"/>
        </w:rPr>
        <w:t>$11.50 per whole share, subject to adjustments as described</w:t>
      </w:r>
    </w:p>
    <w:p>
      <w:pPr>
        <w:spacing w:after="0" w:line="23" w:lineRule="exact"/>
        <w:rPr>
          <w:sz w:val="20"/>
          <w:szCs w:val="20"/>
          <w:color w:val="auto"/>
        </w:rPr>
      </w:pPr>
    </w:p>
    <w:p>
      <w:pPr>
        <w:ind w:left="3720" w:right="579"/>
        <w:spacing w:after="0" w:line="283" w:lineRule="auto"/>
        <w:rPr>
          <w:sz w:val="20"/>
          <w:szCs w:val="20"/>
          <w:color w:val="auto"/>
        </w:rPr>
      </w:pPr>
      <w:r>
        <w:rPr>
          <w:rFonts w:ascii="Arial" w:cs="Arial" w:eastAsia="Arial" w:hAnsi="Arial"/>
          <w:sz w:val="16"/>
          <w:szCs w:val="16"/>
          <w:color w:val="auto"/>
        </w:rPr>
        <w:t>herein. 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us and, (i) in the case of any such issuance to our sponsor or its affiliates, without taking into account any founder shares held by our sponsor or such affiliates, as applicable, prior to such issuance, and (ii) without taking into account the transfer of founder shares or private placement warrants (including if such transfer is effectuated as a surrender to us and subsequent reissuance by us) by our sponsor in connection with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adjacent to “Redemption of warrants” will be adjusted (to the nearest cent) to be equal to 180% of the higher of the Market Value and the Newly Issued Price.</w:t>
      </w:r>
    </w:p>
    <w:p>
      <w:pPr>
        <w:spacing w:after="0" w:line="148"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Exercise period</w:t>
      </w:r>
      <w:r>
        <w:rPr>
          <w:sz w:val="20"/>
          <w:szCs w:val="20"/>
          <w:color w:val="auto"/>
        </w:rPr>
        <w:tab/>
      </w:r>
      <w:r>
        <w:rPr>
          <w:rFonts w:ascii="Arial" w:cs="Arial" w:eastAsia="Arial" w:hAnsi="Arial"/>
          <w:sz w:val="16"/>
          <w:szCs w:val="16"/>
          <w:color w:val="auto"/>
        </w:rPr>
        <w:t>The warrants will become exercisable on the later of:</w:t>
      </w:r>
    </w:p>
    <w:p>
      <w:pPr>
        <w:spacing w:after="0" w:line="144"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30 days after the completion of our initial business</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combination; and</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twelve months from the closing of this offering;</w:t>
      </w:r>
    </w:p>
    <w:p>
      <w:pPr>
        <w:spacing w:after="0" w:line="158" w:lineRule="exact"/>
        <w:rPr>
          <w:sz w:val="20"/>
          <w:szCs w:val="20"/>
          <w:color w:val="auto"/>
        </w:rPr>
      </w:pPr>
    </w:p>
    <w:p>
      <w:pPr>
        <w:ind w:left="3720" w:right="599"/>
        <w:spacing w:after="0" w:line="269" w:lineRule="auto"/>
        <w:rPr>
          <w:sz w:val="20"/>
          <w:szCs w:val="20"/>
          <w:color w:val="auto"/>
        </w:rPr>
      </w:pPr>
      <w:r>
        <w:rPr>
          <w:rFonts w:ascii="Arial" w:cs="Arial" w:eastAsia="Arial" w:hAnsi="Arial"/>
          <w:sz w:val="17"/>
          <w:szCs w:val="17"/>
          <w:i w:val="1"/>
          <w:iCs w:val="1"/>
          <w:color w:val="auto"/>
        </w:rPr>
        <w:t xml:space="preserve">provided </w:t>
      </w:r>
      <w:r>
        <w:rPr>
          <w:rFonts w:ascii="Arial" w:cs="Arial" w:eastAsia="Arial" w:hAnsi="Arial"/>
          <w:sz w:val="17"/>
          <w:szCs w:val="17"/>
          <w:color w:val="auto"/>
        </w:rPr>
        <w:t>in each case that we have an effective registration</w:t>
      </w:r>
      <w:r>
        <w:rPr>
          <w:rFonts w:ascii="Arial" w:cs="Arial" w:eastAsia="Arial" w:hAnsi="Arial"/>
          <w:sz w:val="17"/>
          <w:szCs w:val="17"/>
          <w:i w:val="1"/>
          <w:iCs w:val="1"/>
          <w:color w:val="auto"/>
        </w:rPr>
        <w:t xml:space="preserve"> </w:t>
      </w:r>
      <w:r>
        <w:rPr>
          <w:rFonts w:ascii="Arial" w:cs="Arial" w:eastAsia="Arial" w:hAnsi="Arial"/>
          <w:sz w:val="17"/>
          <w:szCs w:val="17"/>
          <w:color w:val="auto"/>
        </w:rPr>
        <w:t>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we permit holders to exercise their warrants on a cashless basis under the circumstances specified in the warrant agreement). If and when the warrants become redeemable by us, we may exercise our redemption right even if we are unable to register or qualify the underlying securities for sale under all applicable state securities laws.</w:t>
      </w:r>
    </w:p>
    <w:p>
      <w:pPr>
        <w:spacing w:after="0" w:line="98" w:lineRule="exact"/>
        <w:rPr>
          <w:sz w:val="20"/>
          <w:szCs w:val="20"/>
          <w:color w:val="auto"/>
        </w:rPr>
      </w:pPr>
    </w:p>
    <w:p>
      <w:pPr>
        <w:ind w:left="3720" w:right="619"/>
        <w:spacing w:after="0" w:line="287" w:lineRule="auto"/>
        <w:rPr>
          <w:sz w:val="20"/>
          <w:szCs w:val="20"/>
          <w:color w:val="auto"/>
        </w:rPr>
      </w:pPr>
      <w:r>
        <w:rPr>
          <w:rFonts w:ascii="Arial" w:cs="Arial" w:eastAsia="Arial" w:hAnsi="Arial"/>
          <w:sz w:val="16"/>
          <w:szCs w:val="16"/>
          <w:color w:val="auto"/>
        </w:rPr>
        <w:t>We are not registering the Class A ordinary shares issuable upon exercise of the warrants at this time. However, we have agreed that as soon as practicable, but in no event later than 20 business days after the closing of our initial business combination, we will use our commercially reasonable efforts to file with the SEC and have an effective registration statement covering the Class A ordinary shares issuable upon exercise of the warrants and to maintain a current prospectus relating to those Class A ordinary shares until the warrants expire or are redeemed, as specified in the warrant agreement. If a registration statement covering the Class A ordinary</w:t>
      </w: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35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16" w:name="page17"/>
    <w:bookmarkEnd w:id="16"/>
    <w:tbl>
      <w:tblPr>
        <w:tblLayout w:type="fixed"/>
        <w:tblInd w:w="470" w:type="dxa"/>
        <w:tblCellMar>
          <w:top w:w="0" w:type="dxa"/>
          <w:left w:w="0" w:type="dxa"/>
          <w:bottom w:w="0" w:type="dxa"/>
          <w:right w:w="0" w:type="dxa"/>
        </w:tblCellMar>
      </w:tblPr>
      <w:tr>
        <w:trPr>
          <w:trHeight w:val="688"/>
        </w:trPr>
        <w:tc>
          <w:tcPr>
            <w:tcW w:w="2540" w:type="dxa"/>
            <w:vAlign w:val="bottom"/>
            <w:tcBorders>
              <w:top w:val="single" w:sz="8" w:color="auto"/>
              <w:left w:val="single" w:sz="8" w:color="auto"/>
            </w:tcBorders>
          </w:tcPr>
          <w:p>
            <w:pPr>
              <w:spacing w:after="0"/>
              <w:rPr>
                <w:sz w:val="24"/>
                <w:szCs w:val="24"/>
                <w:color w:val="auto"/>
              </w:rPr>
            </w:pPr>
          </w:p>
        </w:tc>
        <w:tc>
          <w:tcPr>
            <w:tcW w:w="5560" w:type="dxa"/>
            <w:vAlign w:val="bottom"/>
            <w:tcBorders>
              <w:top w:val="single" w:sz="8" w:color="auto"/>
              <w:right w:val="single" w:sz="8" w:color="auto"/>
            </w:tcBorders>
          </w:tcPr>
          <w:p>
            <w:pPr>
              <w:ind w:left="720"/>
              <w:spacing w:after="0"/>
              <w:rPr>
                <w:sz w:val="20"/>
                <w:szCs w:val="20"/>
                <w:color w:val="auto"/>
              </w:rPr>
            </w:pPr>
            <w:r>
              <w:rPr>
                <w:rFonts w:ascii="Arial" w:cs="Arial" w:eastAsia="Arial" w:hAnsi="Arial"/>
                <w:sz w:val="18"/>
                <w:szCs w:val="18"/>
                <w:color w:val="auto"/>
                <w:w w:val="94"/>
              </w:rPr>
              <w:t>shares issuable upon exercise of the warrants is not effective by</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line="216" w:lineRule="exact"/>
              <w:rPr>
                <w:sz w:val="20"/>
                <w:szCs w:val="20"/>
                <w:color w:val="auto"/>
              </w:rPr>
            </w:pPr>
            <w:r>
              <w:rPr>
                <w:rFonts w:ascii="Arial" w:cs="Arial" w:eastAsia="Arial" w:hAnsi="Arial"/>
                <w:sz w:val="18"/>
                <w:szCs w:val="18"/>
                <w:color w:val="auto"/>
                <w:w w:val="94"/>
              </w:rPr>
              <w:t>the 60</w:t>
            </w:r>
            <w:r>
              <w:rPr>
                <w:rFonts w:ascii="Arial" w:cs="Arial" w:eastAsia="Arial" w:hAnsi="Arial"/>
                <w:sz w:val="20"/>
                <w:szCs w:val="20"/>
                <w:color w:val="auto"/>
                <w:w w:val="94"/>
                <w:vertAlign w:val="superscript"/>
              </w:rPr>
              <w:t>th</w:t>
            </w:r>
            <w:r>
              <w:rPr>
                <w:rFonts w:ascii="Arial" w:cs="Arial" w:eastAsia="Arial" w:hAnsi="Arial"/>
                <w:sz w:val="18"/>
                <w:szCs w:val="18"/>
                <w:color w:val="auto"/>
                <w:w w:val="94"/>
              </w:rPr>
              <w:t xml:space="preserve"> day after the closing of the initial business combination,</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warrant holders may, until such time as there is an effective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registration statement and during any period when we will have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failed to maintain an effective registration statement, exercise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warrants on a “cashless basis” in accordance with Section 3(a)(9)</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of the Securities Act or another exemption.</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7"/>
              </w:rPr>
              <w:t>The warrants will expire at 5:00 p.m., New York City time, five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years after the completion of our initial business combination or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earlier upon redemption or liquidation. On the exercise of any</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warrant, the warrant exercise price will be paid directly to us and</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not placed in the trust account.</w:t>
            </w:r>
          </w:p>
        </w:tc>
      </w:tr>
      <w:tr>
        <w:trPr>
          <w:trHeight w:val="350"/>
        </w:trPr>
        <w:tc>
          <w:tcPr>
            <w:tcW w:w="25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Redemption of warrants</w:t>
            </w: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Once the warrants become exercisable, we may redeem the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outstanding warrants (except as described herein with respect to</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the private placement warrants):</w:t>
            </w:r>
          </w:p>
        </w:tc>
      </w:tr>
      <w:tr>
        <w:trPr>
          <w:trHeight w:val="324"/>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in whole and not in part;</w:t>
            </w:r>
          </w:p>
        </w:tc>
      </w:tr>
      <w:tr>
        <w:trPr>
          <w:trHeight w:val="324"/>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at a price of $0.01 per warrant;</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upon a minimum of 30 days’ prior written notice of</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redemption, which we refer to as the “30-day redemption</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period”; and</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940"/>
              <w:spacing w:after="0"/>
              <w:rPr>
                <w:sz w:val="20"/>
                <w:szCs w:val="20"/>
                <w:color w:val="auto"/>
              </w:rPr>
            </w:pPr>
            <w:r>
              <w:rPr>
                <w:rFonts w:ascii="Arial" w:cs="Arial" w:eastAsia="Arial" w:hAnsi="Arial"/>
                <w:sz w:val="18"/>
                <w:szCs w:val="18"/>
                <w:color w:val="auto"/>
              </w:rPr>
              <w:t>•  if, and only if, the closing price of our ordinary shares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3"/>
              </w:rPr>
              <w:t>equals or exceeds $18.00 per share (as adjusted for share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subdivisions, share capitalizations, reorganizations,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recapitalizations and the like) for any 20 trading days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w w:val="96"/>
              </w:rPr>
              <w:t>within a 30-trading day period ending on the third trading</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day prior to the date on which we send the notice of</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1160"/>
              <w:spacing w:after="0"/>
              <w:rPr>
                <w:sz w:val="20"/>
                <w:szCs w:val="20"/>
                <w:color w:val="auto"/>
              </w:rPr>
            </w:pPr>
            <w:r>
              <w:rPr>
                <w:rFonts w:ascii="Arial" w:cs="Arial" w:eastAsia="Arial" w:hAnsi="Arial"/>
                <w:sz w:val="18"/>
                <w:szCs w:val="18"/>
                <w:color w:val="auto"/>
              </w:rPr>
              <w:t>redemption to the warrant holders.</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We will not redeem the warrants as described above unless an</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effective registration statement under the Securities Act covering</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the Class A ordinary shares issuable upon exercise of the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warrants is effective and a current prospectus relating to those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Class A ordinary shares is available throughout the 30-day</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redemption period, except if the warrants may be exercised on a</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cashless basis and such cashless exercise is exempt from</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registration under the Securities Act.</w:t>
            </w:r>
          </w:p>
        </w:tc>
      </w:tr>
      <w:tr>
        <w:trPr>
          <w:trHeight w:val="310"/>
        </w:trPr>
        <w:tc>
          <w:tcPr>
            <w:tcW w:w="2540" w:type="dxa"/>
            <w:vAlign w:val="bottom"/>
            <w:tcBorders>
              <w:left w:val="single" w:sz="8" w:color="auto"/>
            </w:tcBorders>
          </w:tcPr>
          <w:p>
            <w:pPr>
              <w:spacing w:after="0"/>
              <w:rPr>
                <w:sz w:val="24"/>
                <w:szCs w:val="24"/>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7"/>
              </w:rPr>
              <w:t>If we call the warrants for redemption as described above, our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management will have the option to require all holders that wish</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to exercise warrants to do so on a “cashless basis.” In</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determining whether to require all holders to exercise their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6"/>
              </w:rPr>
              <w:t>warrants on a “cashless basis,” our management will consider,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5"/>
              </w:rPr>
              <w:t>among other factors, our cash position, the number of warrants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that are outstanding and the dilutive effect on our shareholders of</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1"/>
              </w:rPr>
              <w:t>issuing the maximum number of Class A ordinary shares issuable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upon the exercise of our warrants. In such event, each holder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8"/>
              </w:rPr>
              <w:t>would pay the exercise price by surrendering the warrants for</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that number of Class A ordinary shares equal to the quotient</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obtained by dividing (x) the product of the number of Class A</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ordinary shares underlying the warrants, multiplied by the excess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4"/>
              </w:rPr>
              <w:t>of the “fair market value” (defined below) over the exercise price</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of the warrants by (y) the fair market value. The “fair market</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2"/>
              </w:rPr>
              <w:t>value” shall mean the average reported closing price of the Class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A ordinary shares for the 10 trading days ending on the third</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3"/>
              </w:rPr>
              <w:t>trading day prior to the date on which the notice of redemption is</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sent to the holders of warrants. Please see “Description of</w:t>
            </w:r>
          </w:p>
        </w:tc>
      </w:tr>
      <w:tr>
        <w:trPr>
          <w:trHeight w:val="216"/>
        </w:trPr>
        <w:tc>
          <w:tcPr>
            <w:tcW w:w="2540" w:type="dxa"/>
            <w:vAlign w:val="bottom"/>
            <w:tcBorders>
              <w:left w:val="single" w:sz="8" w:color="auto"/>
            </w:tcBorders>
          </w:tcPr>
          <w:p>
            <w:pPr>
              <w:spacing w:after="0"/>
              <w:rPr>
                <w:sz w:val="18"/>
                <w:szCs w:val="18"/>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w w:val="99"/>
              </w:rPr>
              <w:t>Securities — Warrants — Public Shareholders’ Warrants” for</w:t>
            </w:r>
          </w:p>
        </w:tc>
      </w:tr>
      <w:tr>
        <w:trPr>
          <w:trHeight w:val="230"/>
        </w:trPr>
        <w:tc>
          <w:tcPr>
            <w:tcW w:w="2540" w:type="dxa"/>
            <w:vAlign w:val="bottom"/>
            <w:tcBorders>
              <w:left w:val="single" w:sz="8" w:color="auto"/>
            </w:tcBorders>
          </w:tcPr>
          <w:p>
            <w:pPr>
              <w:spacing w:after="0"/>
              <w:rPr>
                <w:sz w:val="20"/>
                <w:szCs w:val="20"/>
                <w:color w:val="auto"/>
              </w:rPr>
            </w:pPr>
          </w:p>
        </w:tc>
        <w:tc>
          <w:tcPr>
            <w:tcW w:w="5560" w:type="dxa"/>
            <w:vAlign w:val="bottom"/>
            <w:tcBorders>
              <w:right w:val="single" w:sz="8" w:color="auto"/>
            </w:tcBorders>
          </w:tcPr>
          <w:p>
            <w:pPr>
              <w:ind w:left="720"/>
              <w:spacing w:after="0"/>
              <w:rPr>
                <w:sz w:val="20"/>
                <w:szCs w:val="20"/>
                <w:color w:val="auto"/>
              </w:rPr>
            </w:pPr>
            <w:r>
              <w:rPr>
                <w:rFonts w:ascii="Arial" w:cs="Arial" w:eastAsia="Arial" w:hAnsi="Arial"/>
                <w:sz w:val="18"/>
                <w:szCs w:val="18"/>
                <w:color w:val="auto"/>
              </w:rPr>
              <w:t>additional information.</w:t>
            </w:r>
          </w:p>
        </w:tc>
      </w:tr>
      <w:tr>
        <w:trPr>
          <w:trHeight w:val="402"/>
        </w:trPr>
        <w:tc>
          <w:tcPr>
            <w:tcW w:w="2540" w:type="dxa"/>
            <w:vAlign w:val="bottom"/>
            <w:tcBorders>
              <w:left w:val="single" w:sz="8" w:color="auto"/>
              <w:bottom w:val="single" w:sz="8" w:color="auto"/>
            </w:tcBorders>
          </w:tcPr>
          <w:p>
            <w:pPr>
              <w:spacing w:after="0"/>
              <w:rPr>
                <w:sz w:val="24"/>
                <w:szCs w:val="24"/>
                <w:color w:val="auto"/>
              </w:rPr>
            </w:pPr>
          </w:p>
        </w:tc>
        <w:tc>
          <w:tcPr>
            <w:tcW w:w="5560" w:type="dxa"/>
            <w:vAlign w:val="bottom"/>
            <w:tcBorders>
              <w:bottom w:val="single" w:sz="8" w:color="auto"/>
              <w:right w:val="single" w:sz="8" w:color="auto"/>
            </w:tcBorders>
          </w:tcPr>
          <w:p>
            <w:pPr>
              <w:spacing w:after="0"/>
              <w:rPr>
                <w:sz w:val="24"/>
                <w:szCs w:val="24"/>
                <w:color w:val="auto"/>
              </w:rPr>
            </w:pPr>
          </w:p>
        </w:tc>
      </w:tr>
      <w:tr>
        <w:trPr>
          <w:trHeight w:val="388"/>
        </w:trPr>
        <w:tc>
          <w:tcPr>
            <w:tcW w:w="2540" w:type="dxa"/>
            <w:vAlign w:val="bottom"/>
            <w:tcBorders>
              <w:bottom w:val="single" w:sz="8" w:color="auto"/>
            </w:tcBorders>
          </w:tcPr>
          <w:p>
            <w:pPr>
              <w:spacing w:after="0"/>
              <w:rPr>
                <w:sz w:val="24"/>
                <w:szCs w:val="24"/>
                <w:color w:val="auto"/>
              </w:rPr>
            </w:pPr>
          </w:p>
        </w:tc>
        <w:tc>
          <w:tcPr>
            <w:tcW w:w="5560" w:type="dxa"/>
            <w:vAlign w:val="bottom"/>
            <w:tcBorders>
              <w:bottom w:val="single" w:sz="8" w:color="auto"/>
            </w:tcBorders>
          </w:tcPr>
          <w:p>
            <w:pPr>
              <w:ind w:left="1420"/>
              <w:spacing w:after="0"/>
              <w:rPr>
                <w:sz w:val="20"/>
                <w:szCs w:val="20"/>
                <w:color w:val="auto"/>
              </w:rPr>
            </w:pPr>
            <w:r>
              <w:rPr>
                <w:rFonts w:ascii="Arial" w:cs="Arial" w:eastAsia="Arial" w:hAnsi="Arial"/>
                <w:sz w:val="18"/>
                <w:szCs w:val="18"/>
                <w:color w:val="auto"/>
              </w:rPr>
              <w:t>12</w:t>
            </w:r>
          </w:p>
        </w:tc>
      </w:tr>
    </w:tbl>
    <w:p>
      <w:pPr>
        <w:sectPr>
          <w:pgSz w:w="11900" w:h="16838" w:orient="portrait"/>
          <w:cols w:equalWidth="0" w:num="1">
            <w:col w:w="9019"/>
          </w:cols>
          <w:pgMar w:left="1440" w:top="120" w:right="1440" w:bottom="1440" w:gutter="0" w:footer="0" w:header="0"/>
        </w:sectPr>
      </w:pPr>
    </w:p>
    <w:bookmarkStart w:id="17" w:name="page18"/>
    <w:bookmarkEnd w:id="1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02906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147310" cy="9029065"/>
                    </a:xfrm>
                    <a:prstGeom prst="rect">
                      <a:avLst/>
                    </a:prstGeom>
                    <a:noFill/>
                  </pic:spPr>
                </pic:pic>
              </a:graphicData>
            </a:graphic>
          </wp:anchor>
        </w:drawing>
      </w:r>
    </w:p>
    <w:tbl>
      <w:tblPr>
        <w:tblLayout w:type="fixed"/>
        <w:tblInd w:w="540" w:type="dxa"/>
        <w:tblCellMar>
          <w:top w:w="0" w:type="dxa"/>
          <w:left w:w="0" w:type="dxa"/>
          <w:bottom w:w="0" w:type="dxa"/>
          <w:right w:w="0" w:type="dxa"/>
        </w:tblCellMar>
      </w:tblP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0"/>
              </w:rPr>
              <w:t>None of the private placement warrants will be redeemable by us</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so long as they are held by our sponsor or its permitted</w:t>
            </w:r>
          </w:p>
        </w:tc>
      </w:tr>
      <w:tr>
        <w:trPr>
          <w:trHeight w:val="230"/>
        </w:trPr>
        <w:tc>
          <w:tcPr>
            <w:tcW w:w="2140" w:type="dxa"/>
            <w:vAlign w:val="bottom"/>
          </w:tcPr>
          <w:p>
            <w:pPr>
              <w:spacing w:after="0"/>
              <w:rPr>
                <w:sz w:val="20"/>
                <w:szCs w:val="20"/>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transferees.</w:t>
            </w:r>
          </w:p>
        </w:tc>
      </w:tr>
      <w:tr>
        <w:trPr>
          <w:trHeight w:val="364"/>
        </w:trPr>
        <w:tc>
          <w:tcPr>
            <w:tcW w:w="2140" w:type="dxa"/>
            <w:vAlign w:val="bottom"/>
          </w:tcPr>
          <w:p>
            <w:pPr>
              <w:spacing w:after="0"/>
              <w:rPr>
                <w:sz w:val="20"/>
                <w:szCs w:val="20"/>
                <w:color w:val="auto"/>
              </w:rPr>
            </w:pPr>
            <w:r>
              <w:rPr>
                <w:rFonts w:ascii="Arial" w:cs="Arial" w:eastAsia="Arial" w:hAnsi="Arial"/>
                <w:sz w:val="18"/>
                <w:szCs w:val="18"/>
                <w:color w:val="auto"/>
              </w:rPr>
              <w:t>Founder shares</w:t>
            </w:r>
          </w:p>
        </w:tc>
        <w:tc>
          <w:tcPr>
            <w:tcW w:w="5740" w:type="dxa"/>
            <w:vAlign w:val="bottom"/>
          </w:tcPr>
          <w:p>
            <w:pPr>
              <w:ind w:left="1040"/>
              <w:spacing w:after="0"/>
              <w:rPr>
                <w:sz w:val="20"/>
                <w:szCs w:val="20"/>
                <w:color w:val="auto"/>
              </w:rPr>
            </w:pPr>
            <w:r>
              <w:rPr>
                <w:rFonts w:ascii="Arial" w:cs="Arial" w:eastAsia="Arial" w:hAnsi="Arial"/>
                <w:sz w:val="18"/>
                <w:szCs w:val="18"/>
                <w:color w:val="auto"/>
              </w:rPr>
              <w:t>On December 31, 2019, the sponsor paid $25,000, or</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3"/>
              </w:rPr>
              <w:t>approximately $0.003 per share, to cover certain of our offering</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1"/>
              </w:rPr>
              <w:t>costs in consideration of 8,625,000 Class B ordinary shares, par</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4"/>
              </w:rPr>
              <w:t>value $0.0001. In March 2020, our sponsor transferred 30,000</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8"/>
              </w:rPr>
              <w:t>founder shares to each of our independent directors. These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4"/>
              </w:rPr>
              <w:t>90,000 shares shall not be subject to forfeiture in the event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2"/>
              </w:rPr>
              <w:t>underwriter’s over-allotment option is not exercised. Prior to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2"/>
              </w:rPr>
              <w:t>initial investment in the company of $25,000 by the sponsor,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5"/>
              </w:rPr>
              <w:t>company had no assets, tangible or intangible. The per share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price of the founder shares was determined by dividing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5"/>
              </w:rPr>
              <w:t>amount contributed to the company by the number of founder</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89"/>
              </w:rPr>
              <w:t>shares issued. If we increase or decrease the size of this offering,</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we will effect a share capitalization or a share surrender or</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2"/>
              </w:rPr>
              <w:t>redemption or other appropriate mechanism, as applicable, with</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3"/>
              </w:rPr>
              <w:t>respect to our Class B ordinary shares immediately prior to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1"/>
              </w:rPr>
              <w:t>consummation of this offering in such amount as to maintain the</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3"/>
              </w:rPr>
              <w:t>ownership of our sponsor (and its permitted transferees), on an</w:t>
            </w:r>
          </w:p>
        </w:tc>
      </w:tr>
      <w:tr>
        <w:trPr>
          <w:trHeight w:val="216"/>
        </w:trPr>
        <w:tc>
          <w:tcPr>
            <w:tcW w:w="2140" w:type="dxa"/>
            <w:vAlign w:val="bottom"/>
          </w:tcPr>
          <w:p>
            <w:pPr>
              <w:spacing w:after="0"/>
              <w:rPr>
                <w:sz w:val="18"/>
                <w:szCs w:val="18"/>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as-converted basis, at 20% of our issued and outstanding</w:t>
            </w:r>
          </w:p>
        </w:tc>
      </w:tr>
      <w:tr>
        <w:trPr>
          <w:trHeight w:val="230"/>
        </w:trPr>
        <w:tc>
          <w:tcPr>
            <w:tcW w:w="2140" w:type="dxa"/>
            <w:vAlign w:val="bottom"/>
          </w:tcPr>
          <w:p>
            <w:pPr>
              <w:spacing w:after="0"/>
              <w:rPr>
                <w:sz w:val="20"/>
                <w:szCs w:val="20"/>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ordinary shares upon the consummation of this offering.</w:t>
            </w:r>
          </w:p>
        </w:tc>
      </w:tr>
      <w:tr>
        <w:trPr>
          <w:trHeight w:val="337"/>
        </w:trPr>
        <w:tc>
          <w:tcPr>
            <w:tcW w:w="2140" w:type="dxa"/>
            <w:vAlign w:val="bottom"/>
          </w:tcPr>
          <w:p>
            <w:pPr>
              <w:spacing w:after="0"/>
              <w:rPr>
                <w:sz w:val="24"/>
                <w:szCs w:val="24"/>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w w:val="92"/>
              </w:rPr>
              <w:t>The founder shares are identical to the Class A ordinary shares</w:t>
            </w:r>
          </w:p>
        </w:tc>
      </w:tr>
      <w:tr>
        <w:trPr>
          <w:trHeight w:val="230"/>
        </w:trPr>
        <w:tc>
          <w:tcPr>
            <w:tcW w:w="2140" w:type="dxa"/>
            <w:vAlign w:val="bottom"/>
          </w:tcPr>
          <w:p>
            <w:pPr>
              <w:spacing w:after="0"/>
              <w:rPr>
                <w:sz w:val="20"/>
                <w:szCs w:val="20"/>
                <w:color w:val="auto"/>
              </w:rPr>
            </w:pPr>
          </w:p>
        </w:tc>
        <w:tc>
          <w:tcPr>
            <w:tcW w:w="5740" w:type="dxa"/>
            <w:vAlign w:val="bottom"/>
          </w:tcPr>
          <w:p>
            <w:pPr>
              <w:ind w:left="1040"/>
              <w:spacing w:after="0"/>
              <w:rPr>
                <w:sz w:val="20"/>
                <w:szCs w:val="20"/>
                <w:color w:val="auto"/>
              </w:rPr>
            </w:pPr>
            <w:r>
              <w:rPr>
                <w:rFonts w:ascii="Arial" w:cs="Arial" w:eastAsia="Arial" w:hAnsi="Arial"/>
                <w:sz w:val="18"/>
                <w:szCs w:val="18"/>
                <w:color w:val="auto"/>
              </w:rPr>
              <w:t>included in the units being sold in this offering, except that:</w:t>
            </w:r>
          </w:p>
        </w:tc>
      </w:tr>
      <w:tr>
        <w:trPr>
          <w:trHeight w:val="323"/>
        </w:trPr>
        <w:tc>
          <w:tcPr>
            <w:tcW w:w="2140" w:type="dxa"/>
            <w:vAlign w:val="bottom"/>
          </w:tcPr>
          <w:p>
            <w:pPr>
              <w:spacing w:after="0"/>
              <w:rPr>
                <w:sz w:val="24"/>
                <w:szCs w:val="24"/>
                <w:color w:val="auto"/>
              </w:rPr>
            </w:pPr>
          </w:p>
        </w:tc>
        <w:tc>
          <w:tcPr>
            <w:tcW w:w="5740" w:type="dxa"/>
            <w:vAlign w:val="bottom"/>
          </w:tcPr>
          <w:p>
            <w:pPr>
              <w:ind w:left="1260"/>
              <w:spacing w:after="0"/>
              <w:rPr>
                <w:sz w:val="20"/>
                <w:szCs w:val="20"/>
                <w:color w:val="auto"/>
              </w:rPr>
            </w:pPr>
            <w:r>
              <w:rPr>
                <w:rFonts w:ascii="Arial" w:cs="Arial" w:eastAsia="Arial" w:hAnsi="Arial"/>
                <w:sz w:val="18"/>
                <w:szCs w:val="18"/>
                <w:color w:val="auto"/>
                <w:w w:val="91"/>
              </w:rPr>
              <w:t>•  only holders of the founder shares have the right to vote on</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the election of directors prior to our initial business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combination and holders of a majority of our founder</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1"/>
              </w:rPr>
              <w:t>shares may remove a member of the board of directors for</w:t>
            </w:r>
          </w:p>
        </w:tc>
      </w:tr>
      <w:tr>
        <w:trPr>
          <w:trHeight w:val="230"/>
        </w:trPr>
        <w:tc>
          <w:tcPr>
            <w:tcW w:w="2140" w:type="dxa"/>
            <w:vAlign w:val="bottom"/>
          </w:tcPr>
          <w:p>
            <w:pPr>
              <w:spacing w:after="0"/>
              <w:rPr>
                <w:sz w:val="20"/>
                <w:szCs w:val="20"/>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any reason;</w:t>
            </w:r>
          </w:p>
        </w:tc>
      </w:tr>
      <w:tr>
        <w:trPr>
          <w:trHeight w:val="323"/>
        </w:trPr>
        <w:tc>
          <w:tcPr>
            <w:tcW w:w="2140" w:type="dxa"/>
            <w:vAlign w:val="bottom"/>
          </w:tcPr>
          <w:p>
            <w:pPr>
              <w:spacing w:after="0"/>
              <w:rPr>
                <w:sz w:val="24"/>
                <w:szCs w:val="24"/>
                <w:color w:val="auto"/>
              </w:rPr>
            </w:pPr>
          </w:p>
        </w:tc>
        <w:tc>
          <w:tcPr>
            <w:tcW w:w="5740" w:type="dxa"/>
            <w:vAlign w:val="bottom"/>
          </w:tcPr>
          <w:p>
            <w:pPr>
              <w:ind w:left="1260"/>
              <w:spacing w:after="0"/>
              <w:rPr>
                <w:sz w:val="20"/>
                <w:szCs w:val="20"/>
                <w:color w:val="auto"/>
              </w:rPr>
            </w:pPr>
            <w:r>
              <w:rPr>
                <w:rFonts w:ascii="Arial" w:cs="Arial" w:eastAsia="Arial" w:hAnsi="Arial"/>
                <w:sz w:val="18"/>
                <w:szCs w:val="18"/>
                <w:color w:val="auto"/>
              </w:rPr>
              <w:t>•  the founder shares are subject to certain transfer</w:t>
            </w:r>
          </w:p>
        </w:tc>
      </w:tr>
      <w:tr>
        <w:trPr>
          <w:trHeight w:val="230"/>
        </w:trPr>
        <w:tc>
          <w:tcPr>
            <w:tcW w:w="2140" w:type="dxa"/>
            <w:vAlign w:val="bottom"/>
          </w:tcPr>
          <w:p>
            <w:pPr>
              <w:spacing w:after="0"/>
              <w:rPr>
                <w:sz w:val="20"/>
                <w:szCs w:val="20"/>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restrictions, as described in more detail below;</w:t>
            </w:r>
          </w:p>
        </w:tc>
      </w:tr>
      <w:tr>
        <w:trPr>
          <w:trHeight w:val="337"/>
        </w:trPr>
        <w:tc>
          <w:tcPr>
            <w:tcW w:w="2140" w:type="dxa"/>
            <w:vAlign w:val="bottom"/>
          </w:tcPr>
          <w:p>
            <w:pPr>
              <w:spacing w:after="0"/>
              <w:rPr>
                <w:sz w:val="24"/>
                <w:szCs w:val="24"/>
                <w:color w:val="auto"/>
              </w:rPr>
            </w:pPr>
          </w:p>
        </w:tc>
        <w:tc>
          <w:tcPr>
            <w:tcW w:w="5740" w:type="dxa"/>
            <w:vAlign w:val="bottom"/>
          </w:tcPr>
          <w:p>
            <w:pPr>
              <w:ind w:left="1260"/>
              <w:spacing w:after="0"/>
              <w:rPr>
                <w:sz w:val="20"/>
                <w:szCs w:val="20"/>
                <w:color w:val="auto"/>
              </w:rPr>
            </w:pPr>
            <w:r>
              <w:rPr>
                <w:rFonts w:ascii="Arial" w:cs="Arial" w:eastAsia="Arial" w:hAnsi="Arial"/>
                <w:sz w:val="18"/>
                <w:szCs w:val="18"/>
                <w:color w:val="auto"/>
              </w:rPr>
              <w:t>•  our sponsor, our Founders and each member of our</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89"/>
              </w:rPr>
              <w:t>management team have entered into an agreement with us,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pursuant to which they have agreed to (i) waive their</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8"/>
              </w:rPr>
              <w:t>redemption rights with respect to their founder shares,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(ii) waive their redemption rights with respect to their</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8"/>
              </w:rPr>
              <w:t>founder shares and public shares in connection with a</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88"/>
              </w:rPr>
              <w:t>shareholder vote to approve an amendment to our amended</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1"/>
              </w:rPr>
              <w:t>and restated memorandum and articles of association that</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6"/>
              </w:rPr>
              <w:t>would affect the substance or timing of our obligation to</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2"/>
              </w:rPr>
              <w:t>provide holders of our Class A ordinary shares the right to</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4"/>
              </w:rPr>
              <w:t>have their shares redeemed in connection with our initial</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7"/>
              </w:rPr>
              <w:t>business combination or to redeem 100% of our public</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shares if we do not consummate an initial business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combination within 18 months from the closing of this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offering and (iii) waive their rights to liquidating</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7"/>
              </w:rPr>
              <w:t>distributions from the trust account with respect to their</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1"/>
              </w:rPr>
              <w:t>founder shares if we fail to consummate an initial business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combination within 18 months from the closing of this</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offering (although they will be entitled to liquidating</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8"/>
              </w:rPr>
              <w:t>distributions from the trust account with respect to any</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8"/>
              </w:rPr>
              <w:t>public shares they hold if we fail to complete our initial</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2"/>
              </w:rPr>
              <w:t>business combination within the prescribed time frame). If</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6"/>
              </w:rPr>
              <w:t>we submit our initial business combination to our public</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6"/>
              </w:rPr>
              <w:t>shareholders for a vote, our sponsor, our Founders and</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88"/>
              </w:rPr>
              <w:t>each member of our management team have agreed to vote</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8"/>
              </w:rPr>
              <w:t>their founder shares and any public shares purchased</w:t>
            </w:r>
          </w:p>
        </w:tc>
      </w:tr>
      <w:tr>
        <w:trPr>
          <w:trHeight w:val="216"/>
        </w:trPr>
        <w:tc>
          <w:tcPr>
            <w:tcW w:w="2140" w:type="dxa"/>
            <w:vAlign w:val="bottom"/>
          </w:tcPr>
          <w:p>
            <w:pPr>
              <w:spacing w:after="0"/>
              <w:rPr>
                <w:sz w:val="18"/>
                <w:szCs w:val="18"/>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w w:val="94"/>
              </w:rPr>
              <w:t>during or after this offering in favor of our initial business</w:t>
            </w:r>
          </w:p>
        </w:tc>
      </w:tr>
      <w:tr>
        <w:trPr>
          <w:trHeight w:val="230"/>
        </w:trPr>
        <w:tc>
          <w:tcPr>
            <w:tcW w:w="2140" w:type="dxa"/>
            <w:vAlign w:val="bottom"/>
          </w:tcPr>
          <w:p>
            <w:pPr>
              <w:spacing w:after="0"/>
              <w:rPr>
                <w:sz w:val="20"/>
                <w:szCs w:val="20"/>
                <w:color w:val="auto"/>
              </w:rPr>
            </w:pPr>
          </w:p>
        </w:tc>
        <w:tc>
          <w:tcPr>
            <w:tcW w:w="5740" w:type="dxa"/>
            <w:vAlign w:val="bottom"/>
          </w:tcPr>
          <w:p>
            <w:pPr>
              <w:ind w:left="1480"/>
              <w:spacing w:after="0"/>
              <w:rPr>
                <w:sz w:val="20"/>
                <w:szCs w:val="20"/>
                <w:color w:val="auto"/>
              </w:rPr>
            </w:pPr>
            <w:r>
              <w:rPr>
                <w:rFonts w:ascii="Arial" w:cs="Arial" w:eastAsia="Arial" w:hAnsi="Arial"/>
                <w:sz w:val="18"/>
                <w:szCs w:val="18"/>
                <w:color w:val="auto"/>
              </w:rPr>
              <w:t>combination.</w:t>
            </w:r>
          </w:p>
        </w:tc>
      </w:tr>
    </w:tbl>
    <w:p>
      <w:pPr>
        <w:spacing w:after="0" w:line="200" w:lineRule="exact"/>
        <w:rPr>
          <w:sz w:val="20"/>
          <w:szCs w:val="20"/>
          <w:color w:val="auto"/>
        </w:rPr>
      </w:pPr>
    </w:p>
    <w:p>
      <w:pPr>
        <w:sectPr>
          <w:pgSz w:w="11900" w:h="16838" w:orient="portrait"/>
          <w:cols w:equalWidth="0" w:num="1">
            <w:col w:w="9019"/>
          </w:cols>
          <w:pgMar w:left="1440" w:top="503" w:right="1440" w:bottom="1440" w:gutter="0" w:footer="0" w:header="0"/>
        </w:sectPr>
      </w:pPr>
    </w:p>
    <w:p>
      <w:pPr>
        <w:spacing w:after="0" w:line="38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18" w:name="page19"/>
    <w:bookmarkEnd w:id="18"/>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540"/>
        <w:spacing w:after="0"/>
        <w:rPr>
          <w:sz w:val="20"/>
          <w:szCs w:val="20"/>
          <w:color w:val="auto"/>
        </w:rPr>
      </w:pPr>
      <w:r>
        <w:rPr>
          <w:rFonts w:ascii="Arial" w:cs="Arial" w:eastAsia="Arial" w:hAnsi="Arial"/>
          <w:sz w:val="16"/>
          <w:szCs w:val="16"/>
          <w:color w:val="auto"/>
        </w:rPr>
        <w:t>Transfer restrictions on founder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ind w:left="720" w:right="160" w:hanging="179"/>
        <w:spacing w:after="0" w:line="277" w:lineRule="auto"/>
        <w:rPr>
          <w:sz w:val="20"/>
          <w:szCs w:val="20"/>
          <w:color w:val="auto"/>
        </w:rPr>
      </w:pPr>
      <w:r>
        <w:rPr>
          <w:rFonts w:ascii="Arial" w:cs="Arial" w:eastAsia="Arial" w:hAnsi="Arial"/>
          <w:sz w:val="18"/>
          <w:szCs w:val="18"/>
          <w:color w:val="auto"/>
        </w:rPr>
        <w:t>Founder shares conversion and anti-dilution rights</w:t>
      </w:r>
    </w:p>
    <w:p>
      <w:pPr>
        <w:spacing w:after="0" w:line="20" w:lineRule="exact"/>
        <w:rPr>
          <w:sz w:val="20"/>
          <w:szCs w:val="20"/>
          <w:color w:val="auto"/>
        </w:rPr>
      </w:pPr>
      <w:r>
        <w:rPr>
          <w:sz w:val="20"/>
          <w:szCs w:val="20"/>
          <w:color w:val="auto"/>
        </w:rPr>
        <w:br w:type="column"/>
      </w:r>
    </w:p>
    <w:p>
      <w:pPr>
        <w:ind w:left="440" w:right="619"/>
        <w:spacing w:after="0" w:line="269" w:lineRule="auto"/>
        <w:rPr>
          <w:sz w:val="20"/>
          <w:szCs w:val="20"/>
          <w:color w:val="auto"/>
        </w:rPr>
      </w:pPr>
      <w:r>
        <w:rPr>
          <w:rFonts w:ascii="Arial" w:cs="Arial" w:eastAsia="Arial" w:hAnsi="Arial"/>
          <w:sz w:val="17"/>
          <w:szCs w:val="17"/>
          <w:color w:val="auto"/>
        </w:rPr>
        <w:t>As a result, in addition to our initial shareholders’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-1715770</wp:posOffset>
            </wp:positionV>
            <wp:extent cx="5147310" cy="926909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147310" cy="9269095"/>
                    </a:xfrm>
                    <a:prstGeom prst="rect">
                      <a:avLst/>
                    </a:prstGeom>
                    <a:noFill/>
                  </pic:spPr>
                </pic:pic>
              </a:graphicData>
            </a:graphic>
          </wp:anchor>
        </w:drawing>
      </w:r>
    </w:p>
    <w:p>
      <w:pPr>
        <w:spacing w:after="0" w:line="84" w:lineRule="exact"/>
        <w:rPr>
          <w:sz w:val="20"/>
          <w:szCs w:val="20"/>
          <w:color w:val="auto"/>
        </w:rPr>
      </w:pPr>
    </w:p>
    <w:p>
      <w:pPr>
        <w:ind w:left="440" w:right="579" w:hanging="214"/>
        <w:spacing w:after="0" w:line="255" w:lineRule="auto"/>
        <w:tabs>
          <w:tab w:leader="none" w:pos="422"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founder shares will automatically convert into our Class A ordinary shares at the time of our initial business combination as described below adjacent to the caption “Founder shares conversion and anti-dilution rights” and in our amended and restated memorandum and articles of association; and</w:t>
      </w:r>
    </w:p>
    <w:p>
      <w:pPr>
        <w:spacing w:after="0" w:line="124" w:lineRule="exact"/>
        <w:rPr>
          <w:rFonts w:ascii="Arial" w:cs="Arial" w:eastAsia="Arial" w:hAnsi="Arial"/>
          <w:sz w:val="18"/>
          <w:szCs w:val="18"/>
          <w:color w:val="auto"/>
        </w:rPr>
      </w:pPr>
    </w:p>
    <w:p>
      <w:pPr>
        <w:ind w:left="420" w:hanging="194"/>
        <w:spacing w:after="0"/>
        <w:tabs>
          <w:tab w:leader="none" w:pos="42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founder shares are entitled to registration rights.</w:t>
      </w:r>
    </w:p>
    <w:p>
      <w:pPr>
        <w:spacing w:after="0" w:line="158" w:lineRule="exact"/>
        <w:rPr>
          <w:sz w:val="20"/>
          <w:szCs w:val="20"/>
          <w:color w:val="auto"/>
        </w:rPr>
      </w:pPr>
    </w:p>
    <w:p>
      <w:pPr>
        <w:ind w:right="619"/>
        <w:spacing w:after="0" w:line="283" w:lineRule="auto"/>
        <w:rPr>
          <w:sz w:val="20"/>
          <w:szCs w:val="20"/>
          <w:color w:val="auto"/>
        </w:rPr>
      </w:pPr>
      <w:r>
        <w:rPr>
          <w:rFonts w:ascii="Arial" w:cs="Arial" w:eastAsia="Arial" w:hAnsi="Arial"/>
          <w:sz w:val="16"/>
          <w:szCs w:val="16"/>
          <w:color w:val="auto"/>
        </w:rPr>
        <w:t>Except as described herein, our sponsor and our directors and executive officers have agreed not to transfer, assign or sell any of their founder shares until the earliest of (A) one year after the completion of our initial business combination or (B)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w:t>
      </w:r>
    </w:p>
    <w:p>
      <w:pPr>
        <w:spacing w:after="0" w:line="6" w:lineRule="exact"/>
        <w:rPr>
          <w:sz w:val="20"/>
          <w:szCs w:val="20"/>
          <w:color w:val="auto"/>
        </w:rPr>
      </w:pPr>
    </w:p>
    <w:p>
      <w:pPr>
        <w:ind w:right="599"/>
        <w:spacing w:after="0" w:line="253" w:lineRule="auto"/>
        <w:rPr>
          <w:sz w:val="20"/>
          <w:szCs w:val="20"/>
          <w:color w:val="auto"/>
        </w:rPr>
      </w:pPr>
      <w:r>
        <w:rPr>
          <w:rFonts w:ascii="Arial" w:cs="Arial" w:eastAsia="Arial" w:hAnsi="Arial"/>
          <w:sz w:val="18"/>
          <w:szCs w:val="18"/>
          <w:color w:val="auto"/>
        </w:rPr>
        <w:t>150 days after our initial business combination, or (y) the date on which we complete a liquidation, merger, share exchange or other similar transaction that results in all of our shareholders having the right to exchange their ordinary shares for cash, securities or other property.</w:t>
      </w:r>
    </w:p>
    <w:p>
      <w:pPr>
        <w:spacing w:after="0" w:line="339"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The founder shares are designated as Class B ordinary shares and will automatically convert into Class A ordinary shares on the day of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(as defined herein)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Any conversion of Class B ordinary shares described herein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286" w:lineRule="exact"/>
        <w:rPr>
          <w:sz w:val="20"/>
          <w:szCs w:val="20"/>
          <w:color w:val="auto"/>
        </w:rPr>
      </w:pPr>
    </w:p>
    <w:p>
      <w:pPr>
        <w:jc w:val="both"/>
        <w:ind w:right="699"/>
        <w:spacing w:after="0" w:line="296" w:lineRule="auto"/>
        <w:rPr>
          <w:sz w:val="20"/>
          <w:szCs w:val="20"/>
          <w:color w:val="auto"/>
        </w:rPr>
      </w:pPr>
      <w:r>
        <w:rPr>
          <w:rFonts w:ascii="Arial" w:cs="Arial" w:eastAsia="Arial" w:hAnsi="Arial"/>
          <w:sz w:val="16"/>
          <w:szCs w:val="16"/>
          <w:color w:val="auto"/>
        </w:rPr>
        <w:t>The term “equity-linked securities” refers to any debt or equity securities that are convertible, exercisable or exchangeable for our Class A ordinary shares issued in a financing transaction in connection with our initial business combination, including, but not limited to, a private placement of equity or debt.</w:t>
      </w:r>
    </w:p>
    <w:p>
      <w:pPr>
        <w:spacing w:after="0" w:line="200" w:lineRule="exact"/>
        <w:rPr>
          <w:sz w:val="20"/>
          <w:szCs w:val="20"/>
          <w:color w:val="auto"/>
        </w:rPr>
      </w:pPr>
    </w:p>
    <w:p>
      <w:pPr>
        <w:sectPr>
          <w:pgSz w:w="11900" w:h="16838" w:orient="portrait"/>
          <w:cols w:equalWidth="0" w:num="2">
            <w:col w:w="3320" w:space="400"/>
            <w:col w:w="5299"/>
          </w:cols>
          <w:pgMar w:left="1440" w:top="652" w:right="1440" w:bottom="1440" w:gutter="0" w:footer="0" w:header="0"/>
        </w:sectPr>
      </w:pPr>
    </w:p>
    <w:p>
      <w:pPr>
        <w:spacing w:after="0" w:line="3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19" w:name="page20"/>
    <w:bookmarkEnd w:id="19"/>
    <w:p>
      <w:pPr>
        <w:ind w:left="540"/>
        <w:spacing w:after="0"/>
        <w:tabs>
          <w:tab w:leader="none" w:pos="3700" w:val="left"/>
        </w:tabs>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13752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147310" cy="8137525"/>
                    </a:xfrm>
                    <a:prstGeom prst="rect">
                      <a:avLst/>
                    </a:prstGeom>
                    <a:noFill/>
                  </pic:spPr>
                </pic:pic>
              </a:graphicData>
            </a:graphic>
          </wp:anchor>
        </w:drawing>
        <w:t>Election of directors; voting rights</w:t>
      </w:r>
      <w:r>
        <w:rPr>
          <w:sz w:val="20"/>
          <w:szCs w:val="20"/>
          <w:color w:val="auto"/>
        </w:rPr>
        <w:tab/>
      </w:r>
      <w:r>
        <w:rPr>
          <w:rFonts w:ascii="Arial" w:cs="Arial" w:eastAsia="Arial" w:hAnsi="Arial"/>
          <w:sz w:val="16"/>
          <w:szCs w:val="16"/>
          <w:color w:val="auto"/>
        </w:rPr>
        <w:t>Prior to our initial business combination, only holders of our</w:t>
      </w:r>
    </w:p>
    <w:p>
      <w:pPr>
        <w:spacing w:after="0" w:line="23" w:lineRule="exact"/>
        <w:rPr>
          <w:sz w:val="20"/>
          <w:szCs w:val="20"/>
          <w:color w:val="auto"/>
        </w:rPr>
      </w:pPr>
    </w:p>
    <w:p>
      <w:pPr>
        <w:ind w:left="3720" w:right="599"/>
        <w:spacing w:after="0" w:line="284" w:lineRule="auto"/>
        <w:rPr>
          <w:sz w:val="20"/>
          <w:szCs w:val="20"/>
          <w:color w:val="auto"/>
        </w:rPr>
      </w:pPr>
      <w:r>
        <w:rPr>
          <w:rFonts w:ascii="Arial" w:cs="Arial" w:eastAsia="Arial" w:hAnsi="Arial"/>
          <w:sz w:val="16"/>
          <w:szCs w:val="16"/>
          <w:color w:val="auto"/>
        </w:rPr>
        <w:t>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not less than two-thirds of our ordinary shares who attend and vote at our shareholder meeting which shall include the affirmative vote of a simple majority of our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147"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Private placement warrants</w:t>
      </w:r>
      <w:r>
        <w:rPr>
          <w:sz w:val="20"/>
          <w:szCs w:val="20"/>
          <w:color w:val="auto"/>
        </w:rPr>
        <w:tab/>
      </w:r>
      <w:r>
        <w:rPr>
          <w:rFonts w:ascii="Arial" w:cs="Arial" w:eastAsia="Arial" w:hAnsi="Arial"/>
          <w:sz w:val="16"/>
          <w:szCs w:val="16"/>
          <w:color w:val="auto"/>
        </w:rPr>
        <w:t>Our sponsor has committed, pursuant to a written agreement, to</w:t>
      </w:r>
    </w:p>
    <w:p>
      <w:pPr>
        <w:spacing w:after="0" w:line="23" w:lineRule="exact"/>
        <w:rPr>
          <w:sz w:val="20"/>
          <w:szCs w:val="20"/>
          <w:color w:val="auto"/>
        </w:rPr>
      </w:pPr>
    </w:p>
    <w:p>
      <w:pPr>
        <w:ind w:left="3720" w:right="619"/>
        <w:spacing w:after="0" w:line="284" w:lineRule="auto"/>
        <w:rPr>
          <w:sz w:val="20"/>
          <w:szCs w:val="20"/>
          <w:color w:val="auto"/>
        </w:rPr>
      </w:pPr>
      <w:r>
        <w:rPr>
          <w:rFonts w:ascii="Arial" w:cs="Arial" w:eastAsia="Arial" w:hAnsi="Arial"/>
          <w:sz w:val="16"/>
          <w:szCs w:val="16"/>
          <w:color w:val="auto"/>
        </w:rPr>
        <w:t>purchase an aggregate of 9,500,000 private placement warrants, each exercisable to purchase one Class A ordinary share at $11.50 per share, at a price of $1.00 per warrant ($9,500,000 in the aggregate), in a private placement that will close simultaneously with the closing of this offering. If we do not consummate an initial business combination within 18 months from the closing of this offering, the private placement warrants will expire worthless. The private placement warrants will be non-redeemable and exercisable on a cashless basis so long as they are held by our sponsor or its permitted transferees (see “Description of Securities — Warrants — Private Placement Warrants”).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sectPr>
          <w:pgSz w:w="11900" w:h="16838" w:orient="portrait"/>
          <w:cols w:equalWidth="0" w:num="1">
            <w:col w:w="9019"/>
          </w:cols>
          <w:pgMar w:left="1440" w:top="503" w:right="1440" w:bottom="1440" w:gutter="0" w:footer="0" w:header="0"/>
        </w:sectPr>
      </w:pPr>
    </w:p>
    <w:p>
      <w:pPr>
        <w:spacing w:after="0" w:line="147" w:lineRule="exact"/>
        <w:rPr>
          <w:sz w:val="20"/>
          <w:szCs w:val="20"/>
          <w:color w:val="auto"/>
        </w:rPr>
      </w:pPr>
    </w:p>
    <w:p>
      <w:pPr>
        <w:ind w:left="720" w:hanging="179"/>
        <w:spacing w:after="0" w:line="277" w:lineRule="auto"/>
        <w:rPr>
          <w:sz w:val="20"/>
          <w:szCs w:val="20"/>
          <w:color w:val="auto"/>
        </w:rPr>
      </w:pPr>
      <w:r>
        <w:rPr>
          <w:rFonts w:ascii="Arial" w:cs="Arial" w:eastAsia="Arial" w:hAnsi="Arial"/>
          <w:sz w:val="18"/>
          <w:szCs w:val="18"/>
          <w:color w:val="auto"/>
        </w:rPr>
        <w:t>Transfer restrictions on private placement warrants</w:t>
      </w:r>
    </w:p>
    <w:p>
      <w:pPr>
        <w:spacing w:after="0" w:line="20" w:lineRule="exact"/>
        <w:rPr>
          <w:sz w:val="20"/>
          <w:szCs w:val="20"/>
          <w:color w:val="auto"/>
        </w:rPr>
      </w:pPr>
      <w:r>
        <w:rPr>
          <w:sz w:val="20"/>
          <w:szCs w:val="20"/>
          <w:color w:val="auto"/>
        </w:rPr>
        <w:br w:type="column"/>
      </w:r>
    </w:p>
    <w:p>
      <w:pPr>
        <w:spacing w:after="0" w:line="343" w:lineRule="exact"/>
        <w:rPr>
          <w:sz w:val="20"/>
          <w:szCs w:val="20"/>
          <w:color w:val="auto"/>
        </w:rPr>
      </w:pPr>
    </w:p>
    <w:p>
      <w:pPr>
        <w:ind w:right="659"/>
        <w:spacing w:after="0" w:line="293" w:lineRule="auto"/>
        <w:rPr>
          <w:sz w:val="20"/>
          <w:szCs w:val="20"/>
          <w:color w:val="auto"/>
        </w:rPr>
      </w:pPr>
      <w:r>
        <w:rPr>
          <w:rFonts w:ascii="Arial" w:cs="Arial" w:eastAsia="Arial" w:hAnsi="Arial"/>
          <w:sz w:val="16"/>
          <w:szCs w:val="16"/>
          <w:color w:val="auto"/>
        </w:rPr>
        <w:t>The private placement warrants (including the Class A ordinary shares issuable upon exercise of the private placement warrants) will not be transferable, assignable or salable until 30 days after the completion of our initial business combination, except as described herein under “Principal Shareholders — Transfers of Founder Shares and Private Placement Warrants.”</w:t>
      </w:r>
    </w:p>
    <w:p>
      <w:pPr>
        <w:spacing w:after="0" w:line="137" w:lineRule="exact"/>
        <w:rPr>
          <w:sz w:val="20"/>
          <w:szCs w:val="20"/>
          <w:color w:val="auto"/>
        </w:rPr>
      </w:pPr>
    </w:p>
    <w:p>
      <w:pPr>
        <w:sectPr>
          <w:pgSz w:w="11900" w:h="16838" w:orient="portrait"/>
          <w:cols w:equalWidth="0" w:num="2">
            <w:col w:w="3540" w:space="180"/>
            <w:col w:w="5299"/>
          </w:cols>
          <w:pgMar w:left="1440" w:top="503" w:right="1440" w:bottom="1440" w:gutter="0" w:footer="0" w:header="0"/>
          <w:type w:val="continuous"/>
        </w:sectPr>
      </w:pPr>
    </w:p>
    <w:tbl>
      <w:tblPr>
        <w:tblLayout w:type="fixed"/>
        <w:tblInd w:w="460" w:type="dxa"/>
        <w:tblCellMar>
          <w:top w:w="0" w:type="dxa"/>
          <w:left w:w="0" w:type="dxa"/>
          <w:bottom w:w="0" w:type="dxa"/>
          <w:right w:w="0" w:type="dxa"/>
        </w:tblCellMar>
      </w:tblPr>
      <w:tr>
        <w:trPr>
          <w:trHeight w:val="216"/>
        </w:trPr>
        <w:tc>
          <w:tcPr>
            <w:tcW w:w="2960" w:type="dxa"/>
            <w:vAlign w:val="bottom"/>
          </w:tcPr>
          <w:p>
            <w:pPr>
              <w:ind w:left="80"/>
              <w:spacing w:after="0"/>
              <w:rPr>
                <w:sz w:val="20"/>
                <w:szCs w:val="20"/>
                <w:color w:val="auto"/>
              </w:rPr>
            </w:pPr>
            <w:r>
              <w:rPr>
                <w:rFonts w:ascii="Arial" w:cs="Arial" w:eastAsia="Arial" w:hAnsi="Arial"/>
                <w:sz w:val="18"/>
                <w:szCs w:val="18"/>
                <w:color w:val="auto"/>
                <w:w w:val="99"/>
              </w:rPr>
              <w:t>Proceeds to be held in trust account</w:t>
            </w:r>
          </w:p>
        </w:tc>
        <w:tc>
          <w:tcPr>
            <w:tcW w:w="5140" w:type="dxa"/>
            <w:vAlign w:val="bottom"/>
          </w:tcPr>
          <w:p>
            <w:pPr>
              <w:ind w:left="300"/>
              <w:spacing w:after="0"/>
              <w:rPr>
                <w:sz w:val="20"/>
                <w:szCs w:val="20"/>
                <w:color w:val="auto"/>
              </w:rPr>
            </w:pPr>
            <w:r>
              <w:rPr>
                <w:rFonts w:ascii="Arial" w:cs="Arial" w:eastAsia="Arial" w:hAnsi="Arial"/>
                <w:sz w:val="18"/>
                <w:szCs w:val="18"/>
                <w:color w:val="auto"/>
                <w:w w:val="94"/>
              </w:rPr>
              <w:t>Of the proceeds we will receive from this offering and the sale of</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the private placement warrants described in this prospectus,</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$300,000,000, or $345,000,000 if the underwriter’s over-</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allotment option is exercised in full ($10.00 per unit in either</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2"/>
              </w:rPr>
              <w:t>case), will be deposited into a segregated trust account located in</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rPr>
              <w:t>the United States at J.P. Morgan Chase Bank, N.A. with</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7"/>
              </w:rPr>
              <w:t>Continental Stock Transfer &amp; Trust Company acting as trustee</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4"/>
              </w:rPr>
              <w:t>and $3,500,000 will be used to pay expenses in connection with</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6"/>
              </w:rPr>
              <w:t>the closing of this offering and for working capital following this</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5"/>
              </w:rPr>
              <w:t>offering. The proceeds to be placed in the trust account include</w:t>
            </w:r>
          </w:p>
        </w:tc>
      </w:tr>
      <w:tr>
        <w:trPr>
          <w:trHeight w:val="216"/>
        </w:trPr>
        <w:tc>
          <w:tcPr>
            <w:tcW w:w="2960" w:type="dxa"/>
            <w:vAlign w:val="bottom"/>
          </w:tcPr>
          <w:p>
            <w:pPr>
              <w:spacing w:after="0"/>
              <w:rPr>
                <w:sz w:val="18"/>
                <w:szCs w:val="18"/>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5"/>
              </w:rPr>
              <w:t>$10,500,000 (or $12,075,000 if the underwriter’s over-allotment</w:t>
            </w:r>
          </w:p>
        </w:tc>
      </w:tr>
      <w:tr>
        <w:trPr>
          <w:trHeight w:val="230"/>
        </w:trPr>
        <w:tc>
          <w:tcPr>
            <w:tcW w:w="2960" w:type="dxa"/>
            <w:vAlign w:val="bottom"/>
          </w:tcPr>
          <w:p>
            <w:pPr>
              <w:spacing w:after="0"/>
              <w:rPr>
                <w:sz w:val="20"/>
                <w:szCs w:val="20"/>
                <w:color w:val="auto"/>
              </w:rPr>
            </w:pPr>
          </w:p>
        </w:tc>
        <w:tc>
          <w:tcPr>
            <w:tcW w:w="5140" w:type="dxa"/>
            <w:vAlign w:val="bottom"/>
          </w:tcPr>
          <w:p>
            <w:pPr>
              <w:ind w:left="300"/>
              <w:spacing w:after="0"/>
              <w:rPr>
                <w:sz w:val="20"/>
                <w:szCs w:val="20"/>
                <w:color w:val="auto"/>
              </w:rPr>
            </w:pPr>
            <w:r>
              <w:rPr>
                <w:rFonts w:ascii="Arial" w:cs="Arial" w:eastAsia="Arial" w:hAnsi="Arial"/>
                <w:sz w:val="18"/>
                <w:szCs w:val="18"/>
                <w:color w:val="auto"/>
                <w:w w:val="94"/>
              </w:rPr>
              <w:t>option is exercised in full) in deferred underwriting commissions.</w:t>
            </w:r>
          </w:p>
        </w:tc>
      </w:tr>
      <w:tr>
        <w:trPr>
          <w:trHeight w:val="402"/>
        </w:trPr>
        <w:tc>
          <w:tcPr>
            <w:tcW w:w="29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spacing w:after="0"/>
              <w:rPr>
                <w:sz w:val="24"/>
                <w:szCs w:val="24"/>
                <w:color w:val="auto"/>
              </w:rPr>
            </w:pPr>
          </w:p>
        </w:tc>
      </w:tr>
      <w:tr>
        <w:trPr>
          <w:trHeight w:val="388"/>
        </w:trPr>
        <w:tc>
          <w:tcPr>
            <w:tcW w:w="2960" w:type="dxa"/>
            <w:vAlign w:val="bottom"/>
            <w:tcBorders>
              <w:bottom w:val="single" w:sz="8" w:color="auto"/>
            </w:tcBorders>
          </w:tcPr>
          <w:p>
            <w:pPr>
              <w:spacing w:after="0"/>
              <w:rPr>
                <w:sz w:val="24"/>
                <w:szCs w:val="24"/>
                <w:color w:val="auto"/>
              </w:rPr>
            </w:pPr>
          </w:p>
        </w:tc>
        <w:tc>
          <w:tcPr>
            <w:tcW w:w="514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15</w:t>
            </w:r>
          </w:p>
        </w:tc>
      </w:tr>
    </w:tbl>
    <w:p>
      <w:pPr>
        <w:sectPr>
          <w:pgSz w:w="11900" w:h="16838" w:orient="portrait"/>
          <w:cols w:equalWidth="0" w:num="1">
            <w:col w:w="9019"/>
          </w:cols>
          <w:pgMar w:left="1440" w:top="503" w:right="1440" w:bottom="1440" w:gutter="0" w:footer="0" w:header="0"/>
          <w:type w:val="continuous"/>
        </w:sectPr>
      </w:pPr>
    </w:p>
    <w:bookmarkStart w:id="20" w:name="page21"/>
    <w:bookmarkEnd w:id="20"/>
    <w:p>
      <w:pPr>
        <w:ind w:left="3720" w:right="579"/>
        <w:spacing w:after="0" w:line="283"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91744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147310" cy="9174480"/>
                    </a:xfrm>
                    <a:prstGeom prst="rect">
                      <a:avLst/>
                    </a:prstGeom>
                    <a:noFill/>
                  </pic:spPr>
                </pic:pic>
              </a:graphicData>
            </a:graphic>
          </wp:anchor>
        </w:drawing>
        <w:t>Except with respect to interest earned on the funds held in the trust account that may be released to us to pay our income taxes, if any, our amended and restated memorandum and articles of association, as discussed below and subject to the requirements of law and regulation, will provide that the proceeds from this offering and the sale of the private placement warrants will not be released from the trust account (1) to us, until the completion of our initial business combination, or (2) to our public shareholders, until the earliest of (a) the completion of our initial business combination, and then only in connection with those Class A ordinary shares that such shareholder properly elected to redeem, subject to the limitations described herein, (b) the redemption of any public shares properly tendered in connection with a shareholder vote to amend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and (c) the redemption of our public shares if we are unable to complete our business combination within 18 months from the closing of this offering, subject to applicable law. Public shareholders who redeem their Class A ordinary shares in connection with a shareholder vote described in clause (b) in the preceding sentence shall not be entitled to funds from the trust account upon the subsequent completion of an initial business combination or liquidation if we are unable to complete an initial business combination within 18 months from the closing of this offering, with respect to such Class A ordinary shares so redeemed. The proceeds deposited in the trust account could become subject to the claims of our creditors, if any, which could have priority over the claims of our public shareholders.</w:t>
      </w:r>
    </w:p>
    <w:p>
      <w:pPr>
        <w:spacing w:after="0" w:line="158" w:lineRule="exact"/>
        <w:rPr>
          <w:sz w:val="20"/>
          <w:szCs w:val="20"/>
          <w:color w:val="auto"/>
        </w:rPr>
      </w:pPr>
    </w:p>
    <w:p>
      <w:pPr>
        <w:ind w:left="3720" w:right="559" w:hanging="3185"/>
        <w:spacing w:after="0" w:line="286" w:lineRule="auto"/>
        <w:tabs>
          <w:tab w:leader="none" w:pos="3700" w:val="left"/>
        </w:tabs>
        <w:rPr>
          <w:sz w:val="20"/>
          <w:szCs w:val="20"/>
          <w:color w:val="auto"/>
        </w:rPr>
      </w:pPr>
      <w:r>
        <w:rPr>
          <w:rFonts w:ascii="Arial" w:cs="Arial" w:eastAsia="Arial" w:hAnsi="Arial"/>
          <w:sz w:val="18"/>
          <w:szCs w:val="18"/>
          <w:color w:val="auto"/>
        </w:rPr>
        <w:t>Anticipated expenses and funding sources</w:t>
      </w:r>
      <w:r>
        <w:rPr>
          <w:sz w:val="20"/>
          <w:szCs w:val="20"/>
          <w:color w:val="auto"/>
        </w:rPr>
        <w:tab/>
      </w:r>
      <w:r>
        <w:rPr>
          <w:rFonts w:ascii="Arial" w:cs="Arial" w:eastAsia="Arial" w:hAnsi="Arial"/>
          <w:sz w:val="16"/>
          <w:szCs w:val="16"/>
          <w:color w:val="auto"/>
        </w:rPr>
        <w:t>Except as described above with respect to the payment of taxes, unless and until we complete our initial business combination, no proceeds held in the trust account will be available for our use.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0.5% per year, we estimate the interest earned on the trust account will be approximately $1,500,000 per year; however, we can provide no assurances regarding this amount. The trust account’s earnings will be lower as interest rates on short-term U.S. government treasury obligations decline. Unless and until we complete our initial business combination, we may pay our expenses only from:</w:t>
      </w:r>
    </w:p>
    <w:p>
      <w:pPr>
        <w:spacing w:after="0" w:line="19" w:lineRule="exact"/>
        <w:rPr>
          <w:sz w:val="20"/>
          <w:szCs w:val="20"/>
          <w:color w:val="auto"/>
        </w:rPr>
      </w:pPr>
    </w:p>
    <w:p>
      <w:pPr>
        <w:ind w:left="4160" w:right="659" w:hanging="214"/>
        <w:spacing w:after="0" w:line="293" w:lineRule="auto"/>
        <w:tabs>
          <w:tab w:leader="none" w:pos="4142"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net proceeds of this offering and the sale of the private placement warrants not held in the trust account, which will be approximately $2,500,000 (or $1,600,000 if the underwriter’s over-allotment option is exercised in full) in working capital after the payment of approximately $1,000,000 in expenses relating to this offering; and</w:t>
      </w:r>
    </w:p>
    <w:p>
      <w:pPr>
        <w:spacing w:after="0" w:line="15" w:lineRule="exact"/>
        <w:rPr>
          <w:rFonts w:ascii="Arial" w:cs="Arial" w:eastAsia="Arial" w:hAnsi="Arial"/>
          <w:sz w:val="16"/>
          <w:szCs w:val="16"/>
          <w:color w:val="auto"/>
        </w:rPr>
      </w:pPr>
    </w:p>
    <w:p>
      <w:pPr>
        <w:ind w:left="4160" w:right="599" w:hanging="214"/>
        <w:spacing w:after="0" w:line="272" w:lineRule="auto"/>
        <w:tabs>
          <w:tab w:leader="none" w:pos="4142" w:val="left"/>
        </w:tabs>
        <w:numPr>
          <w:ilvl w:val="0"/>
          <w:numId w:val="14"/>
        </w:numPr>
        <w:rPr>
          <w:rFonts w:ascii="Arial" w:cs="Arial" w:eastAsia="Arial" w:hAnsi="Arial"/>
          <w:sz w:val="17"/>
          <w:szCs w:val="17"/>
          <w:color w:val="auto"/>
        </w:rPr>
      </w:pPr>
      <w:r>
        <w:rPr>
          <w:rFonts w:ascii="Arial" w:cs="Arial" w:eastAsia="Arial" w:hAnsi="Arial"/>
          <w:sz w:val="17"/>
          <w:szCs w:val="17"/>
          <w:color w:val="auto"/>
        </w:rPr>
        <w:t>any loans or additional investments from our sponsor or an affiliate of our sponsor or certain of our officers and directors, although they are under no obligation to advance funds or invest in us, and provided any such loans will not have any claim on the proceeds held in the trust account unless such proceeds are released to us upon completion of our initial business combination.</w:t>
      </w: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21" w:name="page22"/>
    <w:bookmarkEnd w:id="21"/>
    <w:p>
      <w:pPr>
        <w:ind w:left="720" w:right="360" w:hanging="179"/>
        <w:spacing w:after="0" w:line="277" w:lineRule="auto"/>
        <w:rPr>
          <w:sz w:val="20"/>
          <w:szCs w:val="20"/>
          <w:color w:val="auto"/>
        </w:rPr>
      </w:pPr>
      <w:r>
        <w:rPr>
          <w:rFonts w:ascii="Arial" w:cs="Arial" w:eastAsia="Arial" w:hAnsi="Arial"/>
          <w:sz w:val="18"/>
          <w:szCs w:val="18"/>
          <w:color w:val="auto"/>
        </w:rPr>
        <w:t>Conditions to completing our initial business combination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720" w:hanging="179"/>
        <w:spacing w:after="0" w:line="308" w:lineRule="auto"/>
        <w:rPr>
          <w:sz w:val="20"/>
          <w:szCs w:val="20"/>
          <w:color w:val="auto"/>
        </w:rPr>
      </w:pPr>
      <w:r>
        <w:rPr>
          <w:rFonts w:ascii="Arial" w:cs="Arial" w:eastAsia="Arial" w:hAnsi="Arial"/>
          <w:sz w:val="17"/>
          <w:szCs w:val="17"/>
          <w:color w:val="auto"/>
        </w:rPr>
        <w:t>Permitted purchases of public shares and public warrants by our affiliates</w:t>
      </w:r>
    </w:p>
    <w:p>
      <w:pPr>
        <w:spacing w:after="0" w:line="20" w:lineRule="exact"/>
        <w:rPr>
          <w:sz w:val="20"/>
          <w:szCs w:val="20"/>
          <w:color w:val="auto"/>
        </w:rPr>
      </w:pPr>
      <w:r>
        <w:rPr>
          <w:sz w:val="20"/>
          <w:szCs w:val="20"/>
          <w:color w:val="auto"/>
        </w:rPr>
        <w:br w:type="column"/>
      </w:r>
    </w:p>
    <w:p>
      <w:pPr>
        <w:spacing w:after="0" w:line="196" w:lineRule="exact"/>
        <w:rPr>
          <w:sz w:val="20"/>
          <w:szCs w:val="20"/>
          <w:color w:val="auto"/>
        </w:rPr>
      </w:pPr>
    </w:p>
    <w:p>
      <w:pPr>
        <w:ind w:right="559"/>
        <w:spacing w:after="0" w:line="286" w:lineRule="auto"/>
        <w:rPr>
          <w:sz w:val="20"/>
          <w:szCs w:val="20"/>
          <w:color w:val="auto"/>
        </w:rPr>
      </w:pPr>
      <w:r>
        <w:rPr>
          <w:rFonts w:ascii="Arial" w:cs="Arial" w:eastAsia="Arial" w:hAnsi="Arial"/>
          <w:sz w:val="16"/>
          <w:szCs w:val="16"/>
          <w:color w:val="auto"/>
        </w:rPr>
        <w:t>NYSE rules require that 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income earned on the trust account) at the time of our signing a definitive agreement in connection with our initial business combination. If our board of directors is not able to independently determine the fair market value of the target business or businesses, we will obtain an opinion from an independent investment banking firm or another independent entity that commonly renders valuation opinions. Our shareholders may not be provided with a copy of such opinion nor will they be able to rely on such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-2271395</wp:posOffset>
            </wp:positionV>
            <wp:extent cx="5147310" cy="9311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147310" cy="9311640"/>
                    </a:xfrm>
                    <a:prstGeom prst="rect">
                      <a:avLst/>
                    </a:prstGeom>
                    <a:noFill/>
                  </pic:spPr>
                </pic:pic>
              </a:graphicData>
            </a:graphic>
          </wp:anchor>
        </w:drawing>
      </w:r>
    </w:p>
    <w:p>
      <w:pPr>
        <w:spacing w:after="0" w:line="73" w:lineRule="exact"/>
        <w:rPr>
          <w:sz w:val="20"/>
          <w:szCs w:val="20"/>
          <w:color w:val="auto"/>
        </w:rPr>
      </w:pPr>
    </w:p>
    <w:p>
      <w:pPr>
        <w:ind w:right="599"/>
        <w:spacing w:after="0" w:line="284" w:lineRule="auto"/>
        <w:rPr>
          <w:sz w:val="20"/>
          <w:szCs w:val="20"/>
          <w:color w:val="auto"/>
        </w:rPr>
      </w:pPr>
      <w:r>
        <w:rPr>
          <w:rFonts w:ascii="Arial" w:cs="Arial" w:eastAsia="Arial" w:hAnsi="Arial"/>
          <w:sz w:val="16"/>
          <w:szCs w:val="16"/>
          <w:color w:val="auto"/>
        </w:rPr>
        <w:t xml:space="preserve">We will complete our initial business combination only if the post-transaction company in which our public shareholders own shares will own or acquire 50% or more of the outstanding voting securities of the target or is otherwise not required to register as an investment company under the Investment Company Act. Even if the post-transaction company owns or acquires 50% or more of the voting securities of the target, our shareholders prior to our initial business combination may collectively own a minority interest in the post-business combination company, depending on valuations ascribed to the target and us in the business combination transaction. If less than 100% of the equity interests or assets of a target business or businesses are owned or acquired by the post-transaction company, the portion of such business or businesses that is owned or acquired is what will be valued for purposes of the 80% of net assets test,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in the event that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w:t>
      </w:r>
    </w:p>
    <w:p>
      <w:pPr>
        <w:spacing w:after="0" w:line="369"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However, they have no current commitments, plans or intentions to engage in such transactions and have not formulated any terms or conditions for any such transactions. None of the funds held in the trust account will be used to purchase public shares or warrants in such transactions. If they engage in such transactions, they will not make any such purchases when they are in possession of any material nonpublic information not disclosed to the seller or if such purchases are prohibited by Regulation M under the Securities Exchange Act of 1934, as amended, or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 Any such purchases will be reported pursuant to Section 13 and Section 16 of the Exchange Act to the extent such purchasers are subject to such reporting requirements.</w:t>
      </w:r>
    </w:p>
    <w:p>
      <w:pPr>
        <w:spacing w:after="0" w:line="200" w:lineRule="exact"/>
        <w:rPr>
          <w:sz w:val="20"/>
          <w:szCs w:val="20"/>
          <w:color w:val="auto"/>
        </w:rPr>
      </w:pPr>
    </w:p>
    <w:p>
      <w:pPr>
        <w:sectPr>
          <w:pgSz w:w="11900" w:h="16838" w:orient="portrait"/>
          <w:cols w:equalWidth="0" w:num="2">
            <w:col w:w="3480" w:space="240"/>
            <w:col w:w="5299"/>
          </w:cols>
          <w:pgMar w:left="1440" w:top="652" w:right="1440" w:bottom="1128" w:gutter="0" w:footer="0" w:header="0"/>
        </w:sectPr>
      </w:pPr>
    </w:p>
    <w:p>
      <w:pPr>
        <w:spacing w:after="0" w:line="200" w:lineRule="exact"/>
        <w:rPr>
          <w:sz w:val="20"/>
          <w:szCs w:val="20"/>
          <w:color w:val="auto"/>
        </w:rPr>
      </w:pPr>
    </w:p>
    <w:p>
      <w:pPr>
        <w:spacing w:after="0" w:line="36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652" w:right="1440" w:bottom="1128" w:gutter="0" w:footer="0" w:header="0"/>
          <w:type w:val="continuous"/>
        </w:sectPr>
      </w:pPr>
    </w:p>
    <w:bookmarkStart w:id="22" w:name="page23"/>
    <w:bookmarkEnd w:id="22"/>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left="720" w:hanging="179"/>
        <w:spacing w:after="0" w:line="263" w:lineRule="auto"/>
        <w:rPr>
          <w:sz w:val="20"/>
          <w:szCs w:val="20"/>
          <w:color w:val="auto"/>
        </w:rPr>
      </w:pPr>
      <w:r>
        <w:rPr>
          <w:rFonts w:ascii="Arial" w:cs="Arial" w:eastAsia="Arial" w:hAnsi="Arial"/>
          <w:sz w:val="18"/>
          <w:szCs w:val="18"/>
          <w:color w:val="auto"/>
        </w:rPr>
        <w:t>Redemption rights for public shareholders upon completion of our initial business combination</w:t>
      </w:r>
    </w:p>
    <w:p>
      <w:pPr>
        <w:spacing w:after="0" w:line="20" w:lineRule="exact"/>
        <w:rPr>
          <w:sz w:val="20"/>
          <w:szCs w:val="20"/>
          <w:color w:val="auto"/>
        </w:rPr>
      </w:pPr>
      <w:r>
        <w:rPr>
          <w:sz w:val="20"/>
          <w:szCs w:val="20"/>
          <w:color w:val="auto"/>
        </w:rPr>
        <w:br w:type="column"/>
      </w:r>
    </w:p>
    <w:p>
      <w:pPr>
        <w:ind w:right="799"/>
        <w:spacing w:after="0" w:line="257" w:lineRule="auto"/>
        <w:rPr>
          <w:sz w:val="20"/>
          <w:szCs w:val="20"/>
          <w:color w:val="auto"/>
        </w:rPr>
      </w:pPr>
      <w:r>
        <w:rPr>
          <w:rFonts w:ascii="Arial" w:cs="Arial" w:eastAsia="Arial" w:hAnsi="Arial"/>
          <w:sz w:val="18"/>
          <w:szCs w:val="18"/>
          <w:color w:val="auto"/>
        </w:rPr>
        <w:t>See “Proposed Business — Permitted Purchases of Our Securities” for a description of how our sponsor, directors, executive officers, advisors or any of their affiliates will select which shareholders to purchase securities from in any private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-1028065</wp:posOffset>
            </wp:positionV>
            <wp:extent cx="5147310" cy="76657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147310" cy="7665720"/>
                    </a:xfrm>
                    <a:prstGeom prst="rect">
                      <a:avLst/>
                    </a:prstGeom>
                    <a:noFill/>
                  </pic:spPr>
                </pic:pic>
              </a:graphicData>
            </a:graphic>
          </wp:anchor>
        </w:drawing>
      </w:r>
    </w:p>
    <w:p>
      <w:pPr>
        <w:spacing w:after="0" w:line="87" w:lineRule="exact"/>
        <w:rPr>
          <w:sz w:val="20"/>
          <w:szCs w:val="20"/>
          <w:color w:val="auto"/>
        </w:rPr>
      </w:pPr>
    </w:p>
    <w:p>
      <w:pPr>
        <w:ind w:right="639"/>
        <w:spacing w:after="0" w:line="267" w:lineRule="auto"/>
        <w:rPr>
          <w:sz w:val="20"/>
          <w:szCs w:val="20"/>
          <w:color w:val="auto"/>
        </w:rPr>
      </w:pPr>
      <w:r>
        <w:rPr>
          <w:rFonts w:ascii="Arial" w:cs="Arial" w:eastAsia="Arial" w:hAnsi="Arial"/>
          <w:sz w:val="17"/>
          <w:szCs w:val="17"/>
          <w:color w:val="auto"/>
        </w:rPr>
        <w:t>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In addition, if such purchases are made, the public “float” of our Class A ordinary shares or warrants may be reduced and the number of beneficial holders of our securities may be reduced, which may make it difficult to maintain or obtain the quotation, listing or trading of our securities on a national securities exchange.</w:t>
      </w:r>
    </w:p>
    <w:p>
      <w:pPr>
        <w:spacing w:after="0" w:line="200" w:lineRule="exact"/>
        <w:rPr>
          <w:sz w:val="20"/>
          <w:szCs w:val="20"/>
          <w:color w:val="auto"/>
        </w:rPr>
      </w:pPr>
    </w:p>
    <w:p>
      <w:pPr>
        <w:spacing w:after="0" w:line="392"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approximately $10.00 per public share. The per share amount we will distribute to investors who properly redeem their shares will not be reduced by the deferred underwriting commissions we will pay to the underwriter. The redemption rights will include the requirement that a beneficial holder must identify itself in order to validly redeem its shares. There will be no redemption rights upon the completion of our initial business combination with respect to our warrants. Our sponsor and each member of our management team have entered into agreements with us, pursuant to which they have agreed to waive their redemption rights with respect to any founder shares and any public shares in connection with the completion of our initial business combination.</w:t>
      </w:r>
    </w:p>
    <w:p>
      <w:pPr>
        <w:spacing w:after="0" w:line="200" w:lineRule="exact"/>
        <w:rPr>
          <w:sz w:val="20"/>
          <w:szCs w:val="20"/>
          <w:color w:val="auto"/>
        </w:rPr>
      </w:pPr>
    </w:p>
    <w:p>
      <w:pPr>
        <w:sectPr>
          <w:pgSz w:w="11900" w:h="16838" w:orient="portrait"/>
          <w:cols w:equalWidth="0" w:num="2">
            <w:col w:w="3580" w:space="140"/>
            <w:col w:w="5299"/>
          </w:cols>
          <w:pgMar w:left="1440" w:top="652" w:right="1440" w:bottom="1440" w:gutter="0" w:footer="0" w:header="0"/>
        </w:sect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23" w:name="page24"/>
    <w:bookmarkEnd w:id="23"/>
    <w:tbl>
      <w:tblPr>
        <w:tblLayout w:type="fixed"/>
        <w:tblInd w:w="470" w:type="dxa"/>
        <w:tblCellMar>
          <w:top w:w="0" w:type="dxa"/>
          <w:left w:w="0" w:type="dxa"/>
          <w:bottom w:w="0" w:type="dxa"/>
          <w:right w:w="0" w:type="dxa"/>
        </w:tblCellMar>
      </w:tblPr>
      <w:tr>
        <w:trPr>
          <w:trHeight w:val="580"/>
        </w:trPr>
        <w:tc>
          <w:tcPr>
            <w:tcW w:w="294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Limitations on redemptions</w:t>
            </w:r>
          </w:p>
        </w:tc>
        <w:tc>
          <w:tcPr>
            <w:tcW w:w="5160" w:type="dxa"/>
            <w:vAlign w:val="bottom"/>
            <w:tcBorders>
              <w:top w:val="single" w:sz="8" w:color="auto"/>
              <w:right w:val="single" w:sz="8" w:color="auto"/>
            </w:tcBorders>
          </w:tcPr>
          <w:p>
            <w:pPr>
              <w:ind w:left="320"/>
              <w:spacing w:after="0"/>
              <w:rPr>
                <w:sz w:val="20"/>
                <w:szCs w:val="20"/>
                <w:color w:val="auto"/>
              </w:rPr>
            </w:pPr>
            <w:r>
              <w:rPr>
                <w:rFonts w:ascii="Arial" w:cs="Arial" w:eastAsia="Arial" w:hAnsi="Arial"/>
                <w:sz w:val="18"/>
                <w:szCs w:val="18"/>
                <w:color w:val="auto"/>
              </w:rPr>
              <w:t>Our amended and restated memorandum and articles of</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association will provide that in no event will we redeem our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public shares in an amount that would cause our net tangible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89"/>
              </w:rPr>
              <w:t>assets to be less than $5,000,001 (so that we are not subject to the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SEC’s “penny stock” rules). However, a greater net tangible asset</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or cash requirement may be contained in the agreement relating</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to our initial business combination. For example, the proposed</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6"/>
              </w:rPr>
              <w:t>business combination may require: (i) cash consideration to be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paid to the target or its owners, (ii) cash to be transferred to the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target for working capital or other general corporate purposes or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(iii) the retention of cash to satisfy other conditions in</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accordance with the terms of the proposed business combination.</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Furthermore, although we will not redeem shares in an amount</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that would cause our net tangible assets to fall below $5,000,001,</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we do not have a maximum redemption threshold based on the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percentage of shares sold in this offering, as many blank check</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companies do. In the event the aggregate cash consideration we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would be required to pay for all Class A ordinary shares that are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validly submitted for redemption plus any amount required to</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satisfy cash conditions pursuant to the terms of the proposed</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business combination exceed the aggregate amount of cash</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available to us, we will not complete the business combination or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1"/>
              </w:rPr>
              <w:t>redeem any shares, and all Class A ordinary shares submitted for</w:t>
            </w:r>
          </w:p>
        </w:tc>
      </w:tr>
      <w:tr>
        <w:trPr>
          <w:trHeight w:val="230"/>
        </w:trPr>
        <w:tc>
          <w:tcPr>
            <w:tcW w:w="294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redemption will be returned to the holders thereof.</w:t>
            </w:r>
          </w:p>
        </w:tc>
      </w:tr>
      <w:tr>
        <w:trPr>
          <w:trHeight w:val="391"/>
        </w:trPr>
        <w:tc>
          <w:tcPr>
            <w:tcW w:w="2940" w:type="dxa"/>
            <w:vAlign w:val="bottom"/>
            <w:tcBorders>
              <w:left w:val="single" w:sz="8" w:color="auto"/>
            </w:tcBorders>
          </w:tcPr>
          <w:p>
            <w:pPr>
              <w:ind w:left="80"/>
              <w:spacing w:after="0"/>
              <w:rPr>
                <w:sz w:val="20"/>
                <w:szCs w:val="20"/>
                <w:color w:val="auto"/>
              </w:rPr>
            </w:pPr>
            <w:r>
              <w:rPr>
                <w:rFonts w:ascii="Arial" w:cs="Arial" w:eastAsia="Arial" w:hAnsi="Arial"/>
                <w:sz w:val="18"/>
                <w:szCs w:val="18"/>
                <w:color w:val="auto"/>
              </w:rPr>
              <w:t>Manner of conducting redemptions</w:t>
            </w: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We will provide our public shareholders with the opportunity to</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redeem all or a portion of their public shares upon the completion</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of our initial business combination either (i) in connection with a</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shareholder meeting called to approve the business combination</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or (ii) by means of a tender offer. The decision as to whether we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will seek shareholder approval of a proposed business</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4"/>
              </w:rPr>
              <w:t>combination or conduct a tender offer will be made by us, solely</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2"/>
              </w:rPr>
              <w:t>in our discretion, and will be based on a variety of factors such as</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the timing of the transaction and whether the terms of the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3"/>
              </w:rPr>
              <w:t>transaction would require us to seek shareholder approval under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applicable law or stock exchange listing requirement. Asset</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acquisitions and share purchases would not typically require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shareholder approval, while direct mergers with our company</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where we do not survive and any transactions where we issue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more than 20% of our outstanding ordinary shares or seek to</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amend our amended and restated memorandum and articles of</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8"/>
              </w:rPr>
              <w:t>association would require shareholder approval. We currently</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5"/>
              </w:rPr>
              <w:t>intend to conduct redemptions in connection with a shareholder</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7"/>
              </w:rPr>
              <w:t>vote unless shareholder approval is not required by applicable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law or stock exchange listing requirement and we choose to</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w w:val="99"/>
              </w:rPr>
              <w:t>conduct redemptions pursuant to the tender offer rules of the</w:t>
            </w:r>
          </w:p>
        </w:tc>
      </w:tr>
      <w:tr>
        <w:trPr>
          <w:trHeight w:val="230"/>
        </w:trPr>
        <w:tc>
          <w:tcPr>
            <w:tcW w:w="294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SEC for business or other legal reasons.</w:t>
            </w:r>
          </w:p>
        </w:tc>
      </w:tr>
      <w:tr>
        <w:trPr>
          <w:trHeight w:val="337"/>
        </w:trPr>
        <w:tc>
          <w:tcPr>
            <w:tcW w:w="2940" w:type="dxa"/>
            <w:vAlign w:val="bottom"/>
            <w:tcBorders>
              <w:left w:val="single" w:sz="8" w:color="auto"/>
            </w:tcBorders>
          </w:tcPr>
          <w:p>
            <w:pPr>
              <w:spacing w:after="0"/>
              <w:rPr>
                <w:sz w:val="24"/>
                <w:szCs w:val="24"/>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If we hold a shareholder vote to approve our initial business</w:t>
            </w:r>
          </w:p>
        </w:tc>
      </w:tr>
      <w:tr>
        <w:trPr>
          <w:trHeight w:val="230"/>
        </w:trPr>
        <w:tc>
          <w:tcPr>
            <w:tcW w:w="294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ind w:left="320"/>
              <w:spacing w:after="0"/>
              <w:rPr>
                <w:sz w:val="20"/>
                <w:szCs w:val="20"/>
                <w:color w:val="auto"/>
              </w:rPr>
            </w:pPr>
            <w:r>
              <w:rPr>
                <w:rFonts w:ascii="Arial" w:cs="Arial" w:eastAsia="Arial" w:hAnsi="Arial"/>
                <w:sz w:val="18"/>
                <w:szCs w:val="18"/>
                <w:color w:val="auto"/>
              </w:rPr>
              <w:t>combination, we will:</w:t>
            </w:r>
          </w:p>
        </w:tc>
      </w:tr>
      <w:tr>
        <w:trPr>
          <w:trHeight w:val="350"/>
        </w:trPr>
        <w:tc>
          <w:tcPr>
            <w:tcW w:w="2940" w:type="dxa"/>
            <w:vAlign w:val="bottom"/>
            <w:tcBorders>
              <w:left w:val="single" w:sz="8" w:color="auto"/>
            </w:tcBorders>
          </w:tcPr>
          <w:p>
            <w:pPr>
              <w:spacing w:after="0"/>
              <w:rPr>
                <w:sz w:val="24"/>
                <w:szCs w:val="24"/>
                <w:color w:val="auto"/>
              </w:rPr>
            </w:pPr>
          </w:p>
        </w:tc>
        <w:tc>
          <w:tcPr>
            <w:tcW w:w="5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  conduct the redemptions in conjunction with a proxy</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w w:val="98"/>
              </w:rPr>
              <w:t>solicitation pursuant to Regulation 14A of the Exchange</w:t>
            </w:r>
          </w:p>
        </w:tc>
      </w:tr>
      <w:tr>
        <w:trPr>
          <w:trHeight w:val="216"/>
        </w:trPr>
        <w:tc>
          <w:tcPr>
            <w:tcW w:w="2940" w:type="dxa"/>
            <w:vAlign w:val="bottom"/>
            <w:tcBorders>
              <w:left w:val="single" w:sz="8" w:color="auto"/>
            </w:tcBorders>
          </w:tcPr>
          <w:p>
            <w:pPr>
              <w:spacing w:after="0"/>
              <w:rPr>
                <w:sz w:val="18"/>
                <w:szCs w:val="18"/>
                <w:color w:val="auto"/>
              </w:rPr>
            </w:pPr>
          </w:p>
        </w:tc>
        <w:tc>
          <w:tcPr>
            <w:tcW w:w="51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Act, which regulates the solicitation of proxies, and not</w:t>
            </w:r>
          </w:p>
        </w:tc>
      </w:tr>
      <w:tr>
        <w:trPr>
          <w:trHeight w:val="230"/>
        </w:trPr>
        <w:tc>
          <w:tcPr>
            <w:tcW w:w="2940" w:type="dxa"/>
            <w:vAlign w:val="bottom"/>
            <w:tcBorders>
              <w:left w:val="single" w:sz="8" w:color="auto"/>
            </w:tcBorders>
          </w:tcPr>
          <w:p>
            <w:pPr>
              <w:spacing w:after="0"/>
              <w:rPr>
                <w:sz w:val="20"/>
                <w:szCs w:val="20"/>
                <w:color w:val="auto"/>
              </w:rPr>
            </w:pPr>
          </w:p>
        </w:tc>
        <w:tc>
          <w:tcPr>
            <w:tcW w:w="5160" w:type="dxa"/>
            <w:vAlign w:val="bottom"/>
            <w:tcBorders>
              <w:right w:val="single" w:sz="8" w:color="auto"/>
            </w:tcBorders>
          </w:tcPr>
          <w:p>
            <w:pPr>
              <w:ind w:left="760"/>
              <w:spacing w:after="0"/>
              <w:rPr>
                <w:sz w:val="20"/>
                <w:szCs w:val="20"/>
                <w:color w:val="auto"/>
              </w:rPr>
            </w:pPr>
            <w:r>
              <w:rPr>
                <w:rFonts w:ascii="Arial" w:cs="Arial" w:eastAsia="Arial" w:hAnsi="Arial"/>
                <w:sz w:val="18"/>
                <w:szCs w:val="18"/>
                <w:color w:val="auto"/>
              </w:rPr>
              <w:t>pursuant to the tender offer rules; and</w:t>
            </w:r>
          </w:p>
        </w:tc>
      </w:tr>
      <w:tr>
        <w:trPr>
          <w:trHeight w:val="364"/>
        </w:trPr>
        <w:tc>
          <w:tcPr>
            <w:tcW w:w="2940" w:type="dxa"/>
            <w:vAlign w:val="bottom"/>
            <w:tcBorders>
              <w:left w:val="single" w:sz="8" w:color="auto"/>
            </w:tcBorders>
          </w:tcPr>
          <w:p>
            <w:pPr>
              <w:spacing w:after="0"/>
              <w:rPr>
                <w:sz w:val="24"/>
                <w:szCs w:val="24"/>
                <w:color w:val="auto"/>
              </w:rPr>
            </w:pPr>
          </w:p>
        </w:tc>
        <w:tc>
          <w:tcPr>
            <w:tcW w:w="5160" w:type="dxa"/>
            <w:vAlign w:val="bottom"/>
            <w:tcBorders>
              <w:right w:val="single" w:sz="8" w:color="auto"/>
            </w:tcBorders>
          </w:tcPr>
          <w:p>
            <w:pPr>
              <w:ind w:left="540"/>
              <w:spacing w:after="0"/>
              <w:rPr>
                <w:sz w:val="20"/>
                <w:szCs w:val="20"/>
                <w:color w:val="auto"/>
              </w:rPr>
            </w:pPr>
            <w:r>
              <w:rPr>
                <w:rFonts w:ascii="Arial" w:cs="Arial" w:eastAsia="Arial" w:hAnsi="Arial"/>
                <w:sz w:val="18"/>
                <w:szCs w:val="18"/>
                <w:color w:val="auto"/>
              </w:rPr>
              <w:t>•  file proxy materials with the SEC.</w:t>
            </w:r>
          </w:p>
        </w:tc>
      </w:tr>
      <w:tr>
        <w:trPr>
          <w:trHeight w:val="402"/>
        </w:trPr>
        <w:tc>
          <w:tcPr>
            <w:tcW w:w="2940" w:type="dxa"/>
            <w:vAlign w:val="bottom"/>
            <w:tcBorders>
              <w:left w:val="single" w:sz="8" w:color="auto"/>
              <w:bottom w:val="single" w:sz="8" w:color="auto"/>
            </w:tcBorders>
          </w:tcPr>
          <w:p>
            <w:pPr>
              <w:spacing w:after="0"/>
              <w:rPr>
                <w:sz w:val="24"/>
                <w:szCs w:val="24"/>
                <w:color w:val="auto"/>
              </w:rPr>
            </w:pPr>
          </w:p>
        </w:tc>
        <w:tc>
          <w:tcPr>
            <w:tcW w:w="5160" w:type="dxa"/>
            <w:vAlign w:val="bottom"/>
            <w:tcBorders>
              <w:bottom w:val="single" w:sz="8" w:color="auto"/>
              <w:right w:val="single" w:sz="8" w:color="auto"/>
            </w:tcBorders>
          </w:tcPr>
          <w:p>
            <w:pPr>
              <w:spacing w:after="0"/>
              <w:rPr>
                <w:sz w:val="24"/>
                <w:szCs w:val="24"/>
                <w:color w:val="auto"/>
              </w:rPr>
            </w:pPr>
          </w:p>
        </w:tc>
      </w:tr>
      <w:tr>
        <w:trPr>
          <w:trHeight w:val="388"/>
        </w:trPr>
        <w:tc>
          <w:tcPr>
            <w:tcW w:w="2940" w:type="dxa"/>
            <w:vAlign w:val="bottom"/>
            <w:tcBorders>
              <w:bottom w:val="single" w:sz="8" w:color="auto"/>
            </w:tcBorders>
          </w:tcPr>
          <w:p>
            <w:pPr>
              <w:spacing w:after="0"/>
              <w:rPr>
                <w:sz w:val="24"/>
                <w:szCs w:val="24"/>
                <w:color w:val="auto"/>
              </w:rPr>
            </w:pPr>
          </w:p>
        </w:tc>
        <w:tc>
          <w:tcPr>
            <w:tcW w:w="5160" w:type="dxa"/>
            <w:vAlign w:val="bottom"/>
            <w:tcBorders>
              <w:bottom w:val="single" w:sz="8" w:color="auto"/>
            </w:tcBorders>
          </w:tcPr>
          <w:p>
            <w:pPr>
              <w:ind w:left="1020"/>
              <w:spacing w:after="0"/>
              <w:rPr>
                <w:sz w:val="20"/>
                <w:szCs w:val="20"/>
                <w:color w:val="auto"/>
              </w:rPr>
            </w:pPr>
            <w:r>
              <w:rPr>
                <w:rFonts w:ascii="Arial" w:cs="Arial" w:eastAsia="Arial" w:hAnsi="Arial"/>
                <w:sz w:val="18"/>
                <w:szCs w:val="18"/>
                <w:color w:val="auto"/>
              </w:rPr>
              <w:t>19</w:t>
            </w:r>
          </w:p>
        </w:tc>
      </w:tr>
    </w:tbl>
    <w:p>
      <w:pPr>
        <w:sectPr>
          <w:pgSz w:w="11900" w:h="16838" w:orient="portrait"/>
          <w:cols w:equalWidth="0" w:num="1">
            <w:col w:w="9019"/>
          </w:cols>
          <w:pgMar w:left="1440" w:top="120" w:right="1440" w:bottom="1440" w:gutter="0" w:footer="0" w:header="0"/>
        </w:sectPr>
      </w:pPr>
    </w:p>
    <w:bookmarkStart w:id="24" w:name="page25"/>
    <w:bookmarkEnd w:id="24"/>
    <w:p>
      <w:pPr>
        <w:ind w:left="3720" w:right="599"/>
        <w:spacing w:after="0" w:line="28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7914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147310" cy="7914640"/>
                    </a:xfrm>
                    <a:prstGeom prst="rect">
                      <a:avLst/>
                    </a:prstGeom>
                    <a:noFill/>
                  </pic:spPr>
                </pic:pic>
              </a:graphicData>
            </a:graphic>
          </wp:anchor>
        </w:drawing>
        <w:t>If we seek shareholder approval, we will complete our initial business combination only if a majority of the ordinary shares, represented in person or by proxy and entitled to vote thereon, voted at a shareholder meeting vote in favor of the business combination. In such case, our sponsor and each member of our management team have agreed to vote their founder shares and any public shares purchased during or after this offering in favor of our initial business combination. As a result, in addition to our initial shareholders’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 Each public shareholder may elect to redeem their public shares irrespective of whether they vote for or against the proposed transaction or vote at all. Our amended and restated memorandum and articles of association will require that at least five days’ notice will be given of any such shareholder meeting.</w:t>
      </w:r>
    </w:p>
    <w:p>
      <w:pPr>
        <w:spacing w:after="0" w:line="99" w:lineRule="exact"/>
        <w:rPr>
          <w:sz w:val="20"/>
          <w:szCs w:val="20"/>
          <w:color w:val="auto"/>
        </w:rPr>
      </w:pPr>
    </w:p>
    <w:p>
      <w:pPr>
        <w:ind w:left="3720" w:right="779"/>
        <w:spacing w:after="0" w:line="263"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116" w:lineRule="exact"/>
        <w:rPr>
          <w:sz w:val="20"/>
          <w:szCs w:val="20"/>
          <w:color w:val="auto"/>
        </w:rPr>
      </w:pPr>
    </w:p>
    <w:p>
      <w:pPr>
        <w:ind w:left="4160" w:right="599" w:hanging="214"/>
        <w:spacing w:after="0" w:line="263" w:lineRule="auto"/>
        <w:tabs>
          <w:tab w:leader="none" w:pos="4142" w:val="left"/>
        </w:tabs>
        <w:numPr>
          <w:ilvl w:val="0"/>
          <w:numId w:val="15"/>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16" w:lineRule="exact"/>
        <w:rPr>
          <w:rFonts w:ascii="Arial" w:cs="Arial" w:eastAsia="Arial" w:hAnsi="Arial"/>
          <w:sz w:val="18"/>
          <w:szCs w:val="18"/>
          <w:color w:val="auto"/>
        </w:rPr>
      </w:pPr>
    </w:p>
    <w:p>
      <w:pPr>
        <w:ind w:left="4160" w:right="579" w:hanging="214"/>
        <w:spacing w:after="0" w:line="293" w:lineRule="auto"/>
        <w:tabs>
          <w:tab w:leader="none" w:pos="4142" w:val="left"/>
        </w:tabs>
        <w:numPr>
          <w:ilvl w:val="0"/>
          <w:numId w:val="15"/>
        </w:numPr>
        <w:rPr>
          <w:rFonts w:ascii="Arial" w:cs="Arial" w:eastAsia="Arial" w:hAnsi="Arial"/>
          <w:sz w:val="16"/>
          <w:szCs w:val="16"/>
          <w:color w:val="auto"/>
        </w:rPr>
      </w:pPr>
      <w:r>
        <w:rPr>
          <w:rFonts w:ascii="Arial" w:cs="Arial" w:eastAsia="Arial" w:hAnsi="Arial"/>
          <w:sz w:val="16"/>
          <w:szCs w:val="16"/>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83" w:lineRule="exact"/>
        <w:rPr>
          <w:sz w:val="20"/>
          <w:szCs w:val="20"/>
          <w:color w:val="auto"/>
        </w:rPr>
      </w:pPr>
    </w:p>
    <w:p>
      <w:pPr>
        <w:ind w:left="3720" w:right="699"/>
        <w:spacing w:after="0" w:line="273" w:lineRule="auto"/>
        <w:rPr>
          <w:sz w:val="20"/>
          <w:szCs w:val="20"/>
          <w:color w:val="auto"/>
        </w:rPr>
      </w:pPr>
      <w:r>
        <w:rPr>
          <w:rFonts w:ascii="Arial" w:cs="Arial" w:eastAsia="Arial" w:hAnsi="Arial"/>
          <w:sz w:val="17"/>
          <w:szCs w:val="17"/>
          <w:color w:val="auto"/>
        </w:rPr>
        <w:t>Upon the public announcement of our initial business combination, if we elect to conduct redemptions pursuant to the tender offer rules, we or our sponsor will terminate any plan established in accordance with Rule 10b5-1 to purchase our Class A ordinary shares in the open market, in order to comply with Rule 14e-5 under the Exchange Act.</w:t>
      </w:r>
    </w:p>
    <w:p>
      <w:pPr>
        <w:spacing w:after="0" w:line="110" w:lineRule="exact"/>
        <w:rPr>
          <w:sz w:val="20"/>
          <w:szCs w:val="20"/>
          <w:color w:val="auto"/>
        </w:rPr>
      </w:pPr>
    </w:p>
    <w:p>
      <w:pPr>
        <w:ind w:left="3720" w:right="559"/>
        <w:spacing w:after="0" w:line="269" w:lineRule="auto"/>
        <w:rPr>
          <w:sz w:val="20"/>
          <w:szCs w:val="20"/>
          <w:color w:val="auto"/>
        </w:rPr>
      </w:pPr>
      <w:r>
        <w:rPr>
          <w:rFonts w:ascii="Arial" w:cs="Arial" w:eastAsia="Arial" w:hAnsi="Arial"/>
          <w:sz w:val="17"/>
          <w:szCs w:val="17"/>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such initial business combination.</w:t>
      </w:r>
    </w:p>
    <w:p>
      <w:pPr>
        <w:spacing w:after="0" w:line="200" w:lineRule="exact"/>
        <w:rPr>
          <w:sz w:val="20"/>
          <w:szCs w:val="20"/>
          <w:color w:val="auto"/>
        </w:rPr>
      </w:pPr>
    </w:p>
    <w:p>
      <w:pPr>
        <w:spacing w:after="0" w:line="36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sectPr>
      </w:pPr>
    </w:p>
    <w:bookmarkStart w:id="25" w:name="page26"/>
    <w:bookmarkEnd w:id="25"/>
    <w:p>
      <w:pPr>
        <w:ind w:left="720" w:right="20" w:hanging="179"/>
        <w:spacing w:after="0" w:line="259" w:lineRule="auto"/>
        <w:rPr>
          <w:sz w:val="20"/>
          <w:szCs w:val="20"/>
          <w:color w:val="auto"/>
        </w:rPr>
      </w:pPr>
      <w:r>
        <w:rPr>
          <w:rFonts w:ascii="Arial" w:cs="Arial" w:eastAsia="Arial" w:hAnsi="Arial"/>
          <w:sz w:val="18"/>
          <w:szCs w:val="18"/>
          <w:color w:val="auto"/>
        </w:rPr>
        <w:t>Limitation on redemption rights of shareholders holding more than 15% of the shares sold in this offering if we hold shareholder vote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720" w:hanging="179"/>
        <w:spacing w:after="0" w:line="342" w:lineRule="auto"/>
        <w:rPr>
          <w:sz w:val="20"/>
          <w:szCs w:val="20"/>
          <w:color w:val="auto"/>
        </w:rPr>
      </w:pPr>
      <w:r>
        <w:rPr>
          <w:rFonts w:ascii="Arial" w:cs="Arial" w:eastAsia="Arial" w:hAnsi="Arial"/>
          <w:sz w:val="16"/>
          <w:szCs w:val="16"/>
          <w:color w:val="auto"/>
        </w:rPr>
        <w:t>Release of funds in trust account on closing of our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right="559"/>
        <w:spacing w:after="0" w:line="283" w:lineRule="auto"/>
        <w:rPr>
          <w:sz w:val="20"/>
          <w:szCs w:val="20"/>
          <w:color w:val="auto"/>
        </w:rPr>
      </w:pPr>
      <w:r>
        <w:rPr>
          <w:rFonts w:ascii="Arial" w:cs="Arial" w:eastAsia="Arial" w:hAnsi="Arial"/>
          <w:sz w:val="16"/>
          <w:szCs w:val="16"/>
          <w:color w:val="auto"/>
        </w:rPr>
        <w:t>Notwithstanding the foregoing redemption rights, 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more than an aggregate of 15% of the shares sold in this offering, without our prior consent. We believe the restriction described above will discourage shareholders from accumulating large blocks of shares, and subsequent attempts by such holders to use their ability to redeem their shares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against a business combination if such holder’s shares are not purchased by us, our sponsor or our management at a premium to the then-current market price or on other undesirable terms. By limiting our shareholders’ ability to redeem to no more than 15% of the shares sold in this offering,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 However, we would not be restricting our shareholders’ ability to vote all of their shares (including all shares held by those shareholders that hold more than 15% of the shares sold in this offering) for or against our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-2113280</wp:posOffset>
            </wp:positionH>
            <wp:positionV relativeFrom="paragraph">
              <wp:posOffset>-5050155</wp:posOffset>
            </wp:positionV>
            <wp:extent cx="5147310" cy="85832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5147310" cy="85832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right="599"/>
        <w:spacing w:after="0" w:line="284" w:lineRule="auto"/>
        <w:rPr>
          <w:sz w:val="20"/>
          <w:szCs w:val="20"/>
          <w:color w:val="auto"/>
        </w:rPr>
      </w:pPr>
      <w:r>
        <w:rPr>
          <w:rFonts w:ascii="Arial" w:cs="Arial" w:eastAsia="Arial" w:hAnsi="Arial"/>
          <w:sz w:val="16"/>
          <w:szCs w:val="16"/>
          <w:color w:val="auto"/>
        </w:rPr>
        <w:t>On the completion of our initial business combination, the funds held in the trust account will be disbursed directly by the trustee to pay amounts due to any public shareholders who exercise their redemption rights as described above adjacent to the caption “Redemption rights for public shareholders upon completion of our initial business combination,” to pay the underwriter its deferred underwriting commissions, to pay all or a portion of the consideration payable to the target or owners of the target of our initial business combination and to pay other expenses associated with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to us from the trust account for general corporate purposes, including for maintenance or expansion of operations of post-transaction businesses, the payment of principal or interest due on indebtedness incurred in completing our initial business combination, to fund the purchase of other companies or for working capital.</w:t>
      </w:r>
    </w:p>
    <w:p>
      <w:pPr>
        <w:spacing w:after="0" w:line="200" w:lineRule="exact"/>
        <w:rPr>
          <w:sz w:val="20"/>
          <w:szCs w:val="20"/>
          <w:color w:val="auto"/>
        </w:rPr>
      </w:pPr>
    </w:p>
    <w:p>
      <w:pPr>
        <w:sectPr>
          <w:pgSz w:w="11900" w:h="16838" w:orient="portrait"/>
          <w:cols w:equalWidth="0" w:num="2">
            <w:col w:w="3680" w:space="100"/>
            <w:col w:w="5239"/>
          </w:cols>
          <w:pgMar w:left="1440" w:top="503" w:right="1440" w:bottom="1440" w:gutter="0" w:footer="0" w:header="0"/>
        </w:sect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26" w:name="page27"/>
    <w:bookmarkEnd w:id="26"/>
    <w:p>
      <w:pPr>
        <w:ind w:left="720" w:hanging="179"/>
        <w:spacing w:after="0" w:line="263" w:lineRule="auto"/>
        <w:rPr>
          <w:sz w:val="20"/>
          <w:szCs w:val="20"/>
          <w:color w:val="auto"/>
        </w:rPr>
      </w:pPr>
      <w:r>
        <w:rPr>
          <w:rFonts w:ascii="Arial" w:cs="Arial" w:eastAsia="Arial" w:hAnsi="Arial"/>
          <w:sz w:val="18"/>
          <w:szCs w:val="18"/>
          <w:color w:val="auto"/>
        </w:rPr>
        <w:t>Redemption of public shares and distribution and liquidation if no initial business combination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12" w:lineRule="exact"/>
        <w:rPr>
          <w:sz w:val="20"/>
          <w:szCs w:val="20"/>
          <w:color w:val="auto"/>
        </w:rPr>
      </w:pPr>
    </w:p>
    <w:p>
      <w:pPr>
        <w:ind w:right="579"/>
        <w:spacing w:after="0" w:line="284" w:lineRule="auto"/>
        <w:rPr>
          <w:sz w:val="20"/>
          <w:szCs w:val="20"/>
          <w:color w:val="auto"/>
        </w:rPr>
      </w:pPr>
      <w:r>
        <w:rPr>
          <w:rFonts w:ascii="Arial" w:cs="Arial" w:eastAsia="Arial" w:hAnsi="Arial"/>
          <w:sz w:val="16"/>
          <w:szCs w:val="16"/>
          <w:color w:val="auto"/>
        </w:rPr>
        <w:t>Our amended and restated memorandum and articles of association will provide that we will have only 18 months from the closing of this offering to consummate our initial business combination. If we have not consummated an initial business combination within 18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consummate an initial business combination within 18 months from the closing of this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-2075180</wp:posOffset>
            </wp:positionH>
            <wp:positionV relativeFrom="paragraph">
              <wp:posOffset>-4193540</wp:posOffset>
            </wp:positionV>
            <wp:extent cx="5147310" cy="92430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5147310" cy="9243060"/>
                    </a:xfrm>
                    <a:prstGeom prst="rect">
                      <a:avLst/>
                    </a:prstGeom>
                    <a:noFill/>
                  </pic:spPr>
                </pic:pic>
              </a:graphicData>
            </a:graphic>
          </wp:anchor>
        </w:drawing>
      </w:r>
    </w:p>
    <w:p>
      <w:pPr>
        <w:spacing w:after="0" w:line="70" w:lineRule="exact"/>
        <w:rPr>
          <w:sz w:val="20"/>
          <w:szCs w:val="20"/>
          <w:color w:val="auto"/>
        </w:rPr>
      </w:pPr>
    </w:p>
    <w:p>
      <w:pPr>
        <w:ind w:right="579"/>
        <w:spacing w:after="0" w:line="269" w:lineRule="auto"/>
        <w:rPr>
          <w:sz w:val="20"/>
          <w:szCs w:val="20"/>
          <w:color w:val="auto"/>
        </w:rPr>
      </w:pPr>
      <w:r>
        <w:rPr>
          <w:rFonts w:ascii="Arial" w:cs="Arial" w:eastAsia="Arial" w:hAnsi="Arial"/>
          <w:sz w:val="17"/>
          <w:szCs w:val="17"/>
          <w:color w:val="auto"/>
        </w:rPr>
        <w:t>Our sponsor, directors and members of our management team have entered into agreements with us, pursuant to which they have waived their rights to liquidating distributions from the trust account with respect to their founder shares if we fail to consummate an initial business combination within 18 months from the closing of this offering. However, if our sponsor, directors or members of our management team acquire public shares in or after this offering, they will be entitled to liquidating distributions from the trust account with respect to such public shares if we fail to consummate an initial business combination within 18 months from the closing of this offering.</w:t>
      </w:r>
    </w:p>
    <w:p>
      <w:pPr>
        <w:spacing w:after="0" w:line="114" w:lineRule="exact"/>
        <w:rPr>
          <w:sz w:val="20"/>
          <w:szCs w:val="20"/>
          <w:color w:val="auto"/>
        </w:rPr>
      </w:pPr>
    </w:p>
    <w:p>
      <w:pPr>
        <w:ind w:right="579"/>
        <w:spacing w:after="0" w:line="293" w:lineRule="auto"/>
        <w:rPr>
          <w:sz w:val="20"/>
          <w:szCs w:val="20"/>
          <w:color w:val="auto"/>
        </w:rPr>
      </w:pPr>
      <w:r>
        <w:rPr>
          <w:rFonts w:ascii="Arial" w:cs="Arial" w:eastAsia="Arial" w:hAnsi="Arial"/>
          <w:sz w:val="16"/>
          <w:szCs w:val="16"/>
          <w:color w:val="auto"/>
        </w:rPr>
        <w:t>The underwriter has agreed to waive their rights to their deferred underwriting commission held in the trust account in the event we do not consummate an initial business combination within 18 months from the closing of this offering and, in such event, such amounts will be included with the funds held in the trust account that will be available to fund the redemption of our public shares.</w:t>
      </w:r>
    </w:p>
    <w:p>
      <w:pPr>
        <w:spacing w:after="0" w:line="97" w:lineRule="exact"/>
        <w:rPr>
          <w:sz w:val="20"/>
          <w:szCs w:val="20"/>
          <w:color w:val="auto"/>
        </w:rPr>
      </w:pPr>
    </w:p>
    <w:p>
      <w:pPr>
        <w:ind w:right="639"/>
        <w:spacing w:after="0" w:line="285" w:lineRule="auto"/>
        <w:rPr>
          <w:sz w:val="20"/>
          <w:szCs w:val="20"/>
          <w:color w:val="auto"/>
        </w:rPr>
      </w:pPr>
      <w:r>
        <w:rPr>
          <w:rFonts w:ascii="Arial" w:cs="Arial" w:eastAsia="Arial" w:hAnsi="Arial"/>
          <w:sz w:val="16"/>
          <w:szCs w:val="16"/>
          <w:color w:val="auto"/>
        </w:rPr>
        <w:t>Our sponsor, executive officers, directors and director nominees have agreed, pursuant to a written agreement with us, that they will not propose any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w:t>
      </w:r>
    </w:p>
    <w:p>
      <w:pPr>
        <w:spacing w:after="0" w:line="200" w:lineRule="exact"/>
        <w:rPr>
          <w:sz w:val="20"/>
          <w:szCs w:val="20"/>
          <w:color w:val="auto"/>
        </w:rPr>
      </w:pPr>
    </w:p>
    <w:p>
      <w:pPr>
        <w:sectPr>
          <w:pgSz w:w="11900" w:h="16838" w:orient="portrait"/>
          <w:cols w:equalWidth="0" w:num="2">
            <w:col w:w="3520" w:space="200"/>
            <w:col w:w="5299"/>
          </w:cols>
          <w:pgMar w:left="1440" w:top="652" w:right="1440" w:bottom="1440" w:gutter="0" w:footer="0" w:header="0"/>
        </w:sect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652" w:right="1440" w:bottom="1440" w:gutter="0" w:footer="0" w:header="0"/>
          <w:type w:val="continuous"/>
        </w:sectPr>
      </w:pPr>
    </w:p>
    <w:bookmarkStart w:id="27" w:name="page28"/>
    <w:bookmarkEnd w:id="27"/>
    <w:p>
      <w:pPr>
        <w:ind w:left="3720" w:right="639"/>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858329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5147310" cy="8583295"/>
                    </a:xfrm>
                    <a:prstGeom prst="rect">
                      <a:avLst/>
                    </a:prstGeom>
                    <a:noFill/>
                  </pic:spPr>
                </pic:pic>
              </a:graphicData>
            </a:graphic>
          </wp:anchor>
        </w:drawing>
        <w:t>by the number of the then-outstanding public shares, subject to the limitations described above adjacent to the caption “Limitations on redemptions.” For example, our board of directors may propose such an amendment if it determines that additional time is necessary to complete our initial business combination. In such event, we will conduct a proxy solicitation and distribute proxy materials pursuant to Regulation 14A of the Exchange Act seeking shareholder approval of such proposal and, in connection therewith, provide our public shareholders with the redemption rights described above upon shareholder approval of such amendment. This redemption right shall apply in the event of the approval of any such amendment, whether proposed by our sponsor, any executive officer, director or director nominee, or any other person.</w:t>
      </w:r>
    </w:p>
    <w:p>
      <w:pPr>
        <w:spacing w:after="0" w:line="103" w:lineRule="exact"/>
        <w:rPr>
          <w:sz w:val="20"/>
          <w:szCs w:val="20"/>
          <w:color w:val="auto"/>
        </w:rPr>
      </w:pPr>
    </w:p>
    <w:p>
      <w:pPr>
        <w:ind w:left="3720" w:right="579"/>
        <w:spacing w:after="0" w:line="254" w:lineRule="auto"/>
        <w:rPr>
          <w:sz w:val="20"/>
          <w:szCs w:val="20"/>
          <w:color w:val="auto"/>
        </w:rPr>
      </w:pPr>
      <w:r>
        <w:rPr>
          <w:rFonts w:ascii="Arial" w:cs="Arial" w:eastAsia="Arial" w:hAnsi="Arial"/>
          <w:sz w:val="18"/>
          <w:szCs w:val="18"/>
          <w:color w:val="auto"/>
        </w:rPr>
        <w:t>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68" w:lineRule="exact"/>
        <w:rPr>
          <w:sz w:val="20"/>
          <w:szCs w:val="20"/>
          <w:color w:val="auto"/>
        </w:rPr>
      </w:pPr>
    </w:p>
    <w:p>
      <w:pPr>
        <w:ind w:left="540"/>
        <w:spacing w:after="0"/>
        <w:tabs>
          <w:tab w:leader="none" w:pos="3700" w:val="left"/>
        </w:tabs>
        <w:rPr>
          <w:sz w:val="20"/>
          <w:szCs w:val="20"/>
          <w:color w:val="auto"/>
        </w:rPr>
      </w:pPr>
      <w:r>
        <w:rPr>
          <w:rFonts w:ascii="Arial" w:cs="Arial" w:eastAsia="Arial" w:hAnsi="Arial"/>
          <w:sz w:val="18"/>
          <w:szCs w:val="18"/>
          <w:color w:val="auto"/>
        </w:rPr>
        <w:t>Limited payments to insiders</w:t>
      </w:r>
      <w:r>
        <w:rPr>
          <w:sz w:val="20"/>
          <w:szCs w:val="20"/>
          <w:color w:val="auto"/>
        </w:rPr>
        <w:tab/>
      </w:r>
      <w:r>
        <w:rPr>
          <w:rFonts w:ascii="Arial" w:cs="Arial" w:eastAsia="Arial" w:hAnsi="Arial"/>
          <w:sz w:val="16"/>
          <w:szCs w:val="16"/>
          <w:color w:val="auto"/>
        </w:rPr>
        <w:t>There will be no finder’s fees, reimbursements or cash payments</w:t>
      </w:r>
    </w:p>
    <w:p>
      <w:pPr>
        <w:spacing w:after="0" w:line="23" w:lineRule="exact"/>
        <w:rPr>
          <w:sz w:val="20"/>
          <w:szCs w:val="20"/>
          <w:color w:val="auto"/>
        </w:rPr>
      </w:pPr>
    </w:p>
    <w:p>
      <w:pPr>
        <w:ind w:left="3720" w:right="599"/>
        <w:spacing w:after="0" w:line="252" w:lineRule="auto"/>
        <w:rPr>
          <w:sz w:val="20"/>
          <w:szCs w:val="20"/>
          <w:color w:val="auto"/>
        </w:rPr>
      </w:pPr>
      <w:r>
        <w:rPr>
          <w:rFonts w:ascii="Arial" w:cs="Arial" w:eastAsia="Arial" w:hAnsi="Arial"/>
          <w:sz w:val="18"/>
          <w:szCs w:val="18"/>
          <w:color w:val="auto"/>
        </w:rPr>
        <w:t>made by the company to our sponsor, officers or directors, or our or their affiliates, for services rendered to us prior to or in connection with the completion of our initial business combination, other than the following payments, none of which will be made from the proceeds of this offering held in the trust account prior to the completion of our initial business combination:</w:t>
      </w:r>
    </w:p>
    <w:p>
      <w:pPr>
        <w:spacing w:after="0" w:line="111"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  repayment of up to an aggregate of $300,000 in loans made</w:t>
      </w:r>
    </w:p>
    <w:p>
      <w:pPr>
        <w:spacing w:after="0" w:line="46"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to us by our sponsor to cover offering-related and</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organizational expenses;</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8"/>
          <w:szCs w:val="18"/>
          <w:color w:val="auto"/>
        </w:rPr>
        <w:t>•  reimbursement for office space, secretarial and</w:t>
      </w:r>
    </w:p>
    <w:p>
      <w:pPr>
        <w:spacing w:after="0" w:line="23"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administrative services provided to us by an affiliate of our</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sponsor, in the amount of $10,000 per month;</w:t>
      </w:r>
    </w:p>
    <w:p>
      <w:pPr>
        <w:spacing w:after="0" w:line="143" w:lineRule="exact"/>
        <w:rPr>
          <w:sz w:val="20"/>
          <w:szCs w:val="20"/>
          <w:color w:val="auto"/>
        </w:rPr>
      </w:pPr>
    </w:p>
    <w:p>
      <w:pPr>
        <w:ind w:left="3940"/>
        <w:spacing w:after="0"/>
        <w:rPr>
          <w:sz w:val="20"/>
          <w:szCs w:val="20"/>
          <w:color w:val="auto"/>
        </w:rPr>
      </w:pPr>
      <w:r>
        <w:rPr>
          <w:rFonts w:ascii="Arial" w:cs="Arial" w:eastAsia="Arial" w:hAnsi="Arial"/>
          <w:sz w:val="17"/>
          <w:szCs w:val="17"/>
          <w:color w:val="auto"/>
        </w:rPr>
        <w:t>•  reimbursement for any out-of-pocket expenses related to</w:t>
      </w:r>
    </w:p>
    <w:p>
      <w:pPr>
        <w:spacing w:after="0" w:line="35"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identifying, investigating, negotiating and completing an</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initial business combination; and</w:t>
      </w:r>
    </w:p>
    <w:p>
      <w:pPr>
        <w:spacing w:after="0" w:line="130" w:lineRule="exact"/>
        <w:rPr>
          <w:sz w:val="20"/>
          <w:szCs w:val="20"/>
          <w:color w:val="auto"/>
        </w:rPr>
      </w:pPr>
    </w:p>
    <w:p>
      <w:pPr>
        <w:ind w:left="3940"/>
        <w:spacing w:after="0"/>
        <w:rPr>
          <w:sz w:val="20"/>
          <w:szCs w:val="20"/>
          <w:color w:val="auto"/>
        </w:rPr>
      </w:pPr>
      <w:r>
        <w:rPr>
          <w:rFonts w:ascii="Arial" w:cs="Arial" w:eastAsia="Arial" w:hAnsi="Arial"/>
          <w:sz w:val="16"/>
          <w:szCs w:val="16"/>
          <w:color w:val="auto"/>
        </w:rPr>
        <w:t>•  repayment of loans which may be made by our sponsor or</w:t>
      </w:r>
    </w:p>
    <w:p>
      <w:pPr>
        <w:spacing w:after="0" w:line="46"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an affiliate of our sponsor or certain of our officers and</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directors to finance transaction costs in connection with an</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intended initial business combination. Up to $1,500,000 of</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such loans may be convertible into warrants of the post</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business combination entity at a price of $1.00 per warrant</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at the option of the lender. The warrants would be identical</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to the private placement warrants. Except for the</w:t>
      </w:r>
    </w:p>
    <w:p>
      <w:pPr>
        <w:spacing w:after="0" w:line="9" w:lineRule="exact"/>
        <w:rPr>
          <w:sz w:val="20"/>
          <w:szCs w:val="20"/>
          <w:color w:val="auto"/>
        </w:rPr>
      </w:pPr>
    </w:p>
    <w:p>
      <w:pPr>
        <w:ind w:left="4160"/>
        <w:spacing w:after="0"/>
        <w:rPr>
          <w:sz w:val="20"/>
          <w:szCs w:val="20"/>
          <w:color w:val="auto"/>
        </w:rPr>
      </w:pPr>
      <w:r>
        <w:rPr>
          <w:rFonts w:ascii="Arial" w:cs="Arial" w:eastAsia="Arial" w:hAnsi="Arial"/>
          <w:sz w:val="17"/>
          <w:szCs w:val="17"/>
          <w:color w:val="auto"/>
        </w:rPr>
        <w:t>foregoing, the terms of such loans, if any, have not been</w:t>
      </w:r>
    </w:p>
    <w:p>
      <w:pPr>
        <w:spacing w:after="0" w:line="21" w:lineRule="exact"/>
        <w:rPr>
          <w:sz w:val="20"/>
          <w:szCs w:val="20"/>
          <w:color w:val="auto"/>
        </w:rPr>
      </w:pPr>
    </w:p>
    <w:p>
      <w:pPr>
        <w:ind w:left="4160"/>
        <w:spacing w:after="0"/>
        <w:rPr>
          <w:sz w:val="20"/>
          <w:szCs w:val="20"/>
          <w:color w:val="auto"/>
        </w:rPr>
      </w:pPr>
      <w:r>
        <w:rPr>
          <w:rFonts w:ascii="Arial" w:cs="Arial" w:eastAsia="Arial" w:hAnsi="Arial"/>
          <w:sz w:val="16"/>
          <w:szCs w:val="16"/>
          <w:color w:val="auto"/>
        </w:rPr>
        <w:t>determined and no written agreements exist with respect to</w:t>
      </w:r>
    </w:p>
    <w:p>
      <w:pPr>
        <w:spacing w:after="0" w:line="32" w:lineRule="exact"/>
        <w:rPr>
          <w:sz w:val="20"/>
          <w:szCs w:val="20"/>
          <w:color w:val="auto"/>
        </w:rPr>
      </w:pPr>
    </w:p>
    <w:p>
      <w:pPr>
        <w:ind w:left="4160"/>
        <w:spacing w:after="0"/>
        <w:rPr>
          <w:sz w:val="20"/>
          <w:szCs w:val="20"/>
          <w:color w:val="auto"/>
        </w:rPr>
      </w:pPr>
      <w:r>
        <w:rPr>
          <w:rFonts w:ascii="Arial" w:cs="Arial" w:eastAsia="Arial" w:hAnsi="Arial"/>
          <w:sz w:val="18"/>
          <w:szCs w:val="18"/>
          <w:color w:val="auto"/>
        </w:rPr>
        <w:t>such loans.</w:t>
      </w:r>
    </w:p>
    <w:p>
      <w:pPr>
        <w:spacing w:after="0" w:line="143" w:lineRule="exact"/>
        <w:rPr>
          <w:sz w:val="20"/>
          <w:szCs w:val="20"/>
          <w:color w:val="auto"/>
        </w:rPr>
      </w:pPr>
    </w:p>
    <w:p>
      <w:pPr>
        <w:ind w:left="3720" w:right="579"/>
        <w:spacing w:after="0" w:line="257" w:lineRule="auto"/>
        <w:rPr>
          <w:sz w:val="20"/>
          <w:szCs w:val="20"/>
          <w:color w:val="auto"/>
        </w:rPr>
      </w:pPr>
      <w:r>
        <w:rPr>
          <w:rFonts w:ascii="Arial" w:cs="Arial" w:eastAsia="Arial" w:hAnsi="Arial"/>
          <w:sz w:val="18"/>
          <w:szCs w:val="18"/>
          <w:color w:val="auto"/>
        </w:rPr>
        <w:t>Any such payments will be made either (i) prior to our initial business combination using proceeds of this offering held outside the trust account or from loans made to us by our sponsor or (ii) in connection with or after the consummation of our initial business combination.</w:t>
      </w:r>
    </w:p>
    <w:p>
      <w:pPr>
        <w:sectPr>
          <w:pgSz w:w="11900" w:h="16838" w:orient="portrait"/>
          <w:cols w:equalWidth="0" w:num="1">
            <w:col w:w="9019"/>
          </w:cols>
          <w:pgMar w:left="1440" w:top="503" w:right="1440" w:bottom="1440" w:gutter="0" w:footer="0" w:header="0"/>
        </w:sectPr>
      </w:pPr>
    </w:p>
    <w:p>
      <w:pPr>
        <w:spacing w:after="0" w:line="200" w:lineRule="exact"/>
        <w:rPr>
          <w:sz w:val="20"/>
          <w:szCs w:val="20"/>
          <w:color w:val="auto"/>
        </w:r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03" w:right="1440" w:bottom="1440" w:gutter="0" w:footer="0" w:header="0"/>
          <w:type w:val="continuous"/>
        </w:sectPr>
      </w:pPr>
    </w:p>
    <w:bookmarkStart w:id="28" w:name="page29"/>
    <w:bookmarkEnd w:id="28"/>
    <w:tbl>
      <w:tblPr>
        <w:tblLayout w:type="fixed"/>
        <w:tblInd w:w="470" w:type="dxa"/>
        <w:tblCellMar>
          <w:top w:w="0" w:type="dxa"/>
          <w:left w:w="0" w:type="dxa"/>
          <w:bottom w:w="0" w:type="dxa"/>
          <w:right w:w="0" w:type="dxa"/>
        </w:tblCellMar>
      </w:tblPr>
      <w:tr>
        <w:trPr>
          <w:trHeight w:val="728"/>
        </w:trPr>
        <w:tc>
          <w:tcPr>
            <w:tcW w:w="2280" w:type="dxa"/>
            <w:vAlign w:val="bottom"/>
            <w:tcBorders>
              <w:top w:val="single" w:sz="8" w:color="auto"/>
              <w:left w:val="single" w:sz="8" w:color="auto"/>
            </w:tcBorders>
          </w:tcPr>
          <w:p>
            <w:pPr>
              <w:ind w:left="80"/>
              <w:spacing w:after="0"/>
              <w:rPr>
                <w:sz w:val="20"/>
                <w:szCs w:val="20"/>
                <w:color w:val="auto"/>
              </w:rPr>
            </w:pPr>
            <w:r>
              <w:rPr>
                <w:rFonts w:ascii="Arial" w:cs="Arial" w:eastAsia="Arial" w:hAnsi="Arial"/>
                <w:sz w:val="18"/>
                <w:szCs w:val="18"/>
                <w:color w:val="auto"/>
              </w:rPr>
              <w:t>Audit committee</w:t>
            </w:r>
          </w:p>
        </w:tc>
        <w:tc>
          <w:tcPr>
            <w:tcW w:w="5820" w:type="dxa"/>
            <w:vAlign w:val="bottom"/>
            <w:tcBorders>
              <w:top w:val="single" w:sz="8" w:color="auto"/>
              <w:right w:val="single" w:sz="8" w:color="auto"/>
            </w:tcBorders>
          </w:tcPr>
          <w:p>
            <w:pPr>
              <w:ind w:left="980"/>
              <w:spacing w:after="0"/>
              <w:rPr>
                <w:sz w:val="20"/>
                <w:szCs w:val="20"/>
                <w:color w:val="auto"/>
              </w:rPr>
            </w:pPr>
            <w:r>
              <w:rPr>
                <w:rFonts w:ascii="Arial" w:cs="Arial" w:eastAsia="Arial" w:hAnsi="Arial"/>
                <w:sz w:val="18"/>
                <w:szCs w:val="18"/>
                <w:color w:val="auto"/>
                <w:w w:val="94"/>
              </w:rPr>
              <w:t>We will establish and maintain an audit committee, which will be</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composed entirely of independent directors. Among its</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8"/>
              </w:rPr>
              <w:t>responsibilities, the audit committee will review on a quarterly</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8"/>
              </w:rPr>
              <w:t>basis all payments that were made to our sponsor, officers or</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7"/>
              </w:rPr>
              <w:t>directors, or our or their affiliates and monitor compliance with</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the other terms relating to this offering. If any noncompliance is</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identified, then the audit committee will be charged with the</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responsibility to promptly take all action necessary to rectify</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5"/>
              </w:rPr>
              <w:t>such noncompliance or otherwise to cause compliance with the</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terms of this offering. For more information, see the section</w:t>
            </w:r>
          </w:p>
        </w:tc>
      </w:tr>
      <w:tr>
        <w:trPr>
          <w:trHeight w:val="216"/>
        </w:trPr>
        <w:tc>
          <w:tcPr>
            <w:tcW w:w="2280" w:type="dxa"/>
            <w:vAlign w:val="bottom"/>
            <w:tcBorders>
              <w:left w:val="single" w:sz="8" w:color="auto"/>
            </w:tcBorders>
          </w:tcPr>
          <w:p>
            <w:pPr>
              <w:spacing w:after="0"/>
              <w:rPr>
                <w:sz w:val="18"/>
                <w:szCs w:val="18"/>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w w:val="96"/>
              </w:rPr>
              <w:t>entitled “Management — Committees of the Board of Directors</w:t>
            </w:r>
          </w:p>
        </w:tc>
      </w:tr>
      <w:tr>
        <w:trPr>
          <w:trHeight w:val="230"/>
        </w:trPr>
        <w:tc>
          <w:tcPr>
            <w:tcW w:w="2280" w:type="dxa"/>
            <w:vAlign w:val="bottom"/>
            <w:tcBorders>
              <w:left w:val="single" w:sz="8" w:color="auto"/>
            </w:tcBorders>
          </w:tcPr>
          <w:p>
            <w:pPr>
              <w:spacing w:after="0"/>
              <w:rPr>
                <w:sz w:val="20"/>
                <w:szCs w:val="20"/>
                <w:color w:val="auto"/>
              </w:rPr>
            </w:pPr>
          </w:p>
        </w:tc>
        <w:tc>
          <w:tcPr>
            <w:tcW w:w="5820" w:type="dxa"/>
            <w:vAlign w:val="bottom"/>
            <w:tcBorders>
              <w:right w:val="single" w:sz="8" w:color="auto"/>
            </w:tcBorders>
          </w:tcPr>
          <w:p>
            <w:pPr>
              <w:ind w:left="980"/>
              <w:spacing w:after="0"/>
              <w:rPr>
                <w:sz w:val="20"/>
                <w:szCs w:val="20"/>
                <w:color w:val="auto"/>
              </w:rPr>
            </w:pPr>
            <w:r>
              <w:rPr>
                <w:rFonts w:ascii="Arial" w:cs="Arial" w:eastAsia="Arial" w:hAnsi="Arial"/>
                <w:sz w:val="18"/>
                <w:szCs w:val="18"/>
                <w:color w:val="auto"/>
              </w:rPr>
              <w:t>— Audit Committee.”</w:t>
            </w:r>
          </w:p>
        </w:tc>
      </w:tr>
      <w:tr>
        <w:trPr>
          <w:trHeight w:val="402"/>
        </w:trPr>
        <w:tc>
          <w:tcPr>
            <w:tcW w:w="2280" w:type="dxa"/>
            <w:vAlign w:val="bottom"/>
            <w:tcBorders>
              <w:left w:val="single" w:sz="8" w:color="auto"/>
              <w:bottom w:val="single" w:sz="8" w:color="auto"/>
            </w:tcBorders>
          </w:tcPr>
          <w:p>
            <w:pPr>
              <w:spacing w:after="0"/>
              <w:rPr>
                <w:sz w:val="24"/>
                <w:szCs w:val="24"/>
                <w:color w:val="auto"/>
              </w:rPr>
            </w:pPr>
          </w:p>
        </w:tc>
        <w:tc>
          <w:tcPr>
            <w:tcW w:w="5820" w:type="dxa"/>
            <w:vAlign w:val="bottom"/>
            <w:tcBorders>
              <w:bottom w:val="single" w:sz="8" w:color="auto"/>
              <w:right w:val="single" w:sz="8" w:color="auto"/>
            </w:tcBorders>
          </w:tcPr>
          <w:p>
            <w:pPr>
              <w:spacing w:after="0"/>
              <w:rPr>
                <w:sz w:val="24"/>
                <w:szCs w:val="24"/>
                <w:color w:val="auto"/>
              </w:rPr>
            </w:pPr>
          </w:p>
        </w:tc>
      </w:tr>
      <w:tr>
        <w:trPr>
          <w:trHeight w:val="388"/>
        </w:trPr>
        <w:tc>
          <w:tcPr>
            <w:tcW w:w="2280" w:type="dxa"/>
            <w:vAlign w:val="bottom"/>
            <w:tcBorders>
              <w:bottom w:val="single" w:sz="8" w:color="auto"/>
            </w:tcBorders>
          </w:tcPr>
          <w:p>
            <w:pPr>
              <w:spacing w:after="0"/>
              <w:rPr>
                <w:sz w:val="24"/>
                <w:szCs w:val="24"/>
                <w:color w:val="auto"/>
              </w:rPr>
            </w:pPr>
          </w:p>
        </w:tc>
        <w:tc>
          <w:tcPr>
            <w:tcW w:w="5820" w:type="dxa"/>
            <w:vAlign w:val="bottom"/>
            <w:tcBorders>
              <w:bottom w:val="single" w:sz="8" w:color="auto"/>
            </w:tcBorders>
          </w:tcPr>
          <w:p>
            <w:pPr>
              <w:ind w:left="1680"/>
              <w:spacing w:after="0"/>
              <w:rPr>
                <w:sz w:val="20"/>
                <w:szCs w:val="20"/>
                <w:color w:val="auto"/>
              </w:rPr>
            </w:pPr>
            <w:r>
              <w:rPr>
                <w:rFonts w:ascii="Arial" w:cs="Arial" w:eastAsia="Arial" w:hAnsi="Arial"/>
                <w:sz w:val="18"/>
                <w:szCs w:val="18"/>
                <w:color w:val="auto"/>
              </w:rPr>
              <w:t>24</w:t>
            </w:r>
          </w:p>
        </w:tc>
      </w:tr>
    </w:tbl>
    <w:p>
      <w:pPr>
        <w:sectPr>
          <w:pgSz w:w="11900" w:h="16838" w:orient="portrait"/>
          <w:cols w:equalWidth="0" w:num="1">
            <w:col w:w="9019"/>
          </w:cols>
          <w:pgMar w:left="1440" w:top="120" w:right="1440" w:bottom="1440" w:gutter="0" w:footer="0" w:header="0"/>
        </w:sectPr>
      </w:pPr>
    </w:p>
    <w:bookmarkStart w:id="29" w:name="page30"/>
    <w:bookmarkEnd w:id="29"/>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199072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5147310" cy="1990725"/>
                    </a:xfrm>
                    <a:prstGeom prst="rect">
                      <a:avLst/>
                    </a:prstGeom>
                    <a:noFill/>
                  </pic:spPr>
                </pic:pic>
              </a:graphicData>
            </a:graphic>
          </wp:anchor>
        </w:drawing>
        <w:t>Risks</w:t>
      </w:r>
    </w:p>
    <w:p>
      <w:pPr>
        <w:spacing w:after="0" w:line="148" w:lineRule="exact"/>
        <w:rPr>
          <w:sz w:val="20"/>
          <w:szCs w:val="20"/>
          <w:color w:val="auto"/>
        </w:rPr>
      </w:pPr>
    </w:p>
    <w:p>
      <w:pPr>
        <w:ind w:left="540" w:right="579" w:firstLine="432"/>
        <w:spacing w:after="0" w:line="269" w:lineRule="auto"/>
        <w:rPr>
          <w:sz w:val="20"/>
          <w:szCs w:val="20"/>
          <w:color w:val="auto"/>
        </w:rPr>
      </w:pPr>
      <w:r>
        <w:rPr>
          <w:rFonts w:ascii="Arial" w:cs="Arial" w:eastAsia="Arial" w:hAnsi="Arial"/>
          <w:sz w:val="17"/>
          <w:szCs w:val="17"/>
          <w:color w:val="auto"/>
        </w:rPr>
        <w:t>We are a newly incorporated company that has conducted no operations and has generated no revenues. Until we complete our initial business combination, we will have no operations and will generate no operating revenues. In making your decision whether to invest in our securities, you should take into account not only the background of our management team, but also the special risks we face as a blank check company. This offering is not being conducted in compliance with Rule 419 promulgated under the Securities Act. Accordingly, you will not be entitled to protections normally afforded to investors in Rule 419 blank check offerings. For additional information concerning how Rule 419 blank check offerings differ from this offering, please see “Proposed Business — Comparison of This Offering to Those of Blank Check Companies Subject to Rule 419.” You should carefully consider these and the other risks set forth in the section entitled “Risk Factors” of this prospectus.</w:t>
      </w:r>
    </w:p>
    <w:p>
      <w:pPr>
        <w:spacing w:after="0" w:line="3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540" w:right="1440" w:bottom="1440" w:gutter="0" w:footer="0" w:header="0"/>
        </w:sectPr>
      </w:pPr>
    </w:p>
    <w:bookmarkStart w:id="30" w:name="page31"/>
    <w:bookmarkEnd w:id="3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1200785</wp:posOffset>
            </wp:positionH>
            <wp:positionV relativeFrom="page">
              <wp:posOffset>88900</wp:posOffset>
            </wp:positionV>
            <wp:extent cx="5147310" cy="263398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5147310" cy="2633980"/>
                    </a:xfrm>
                    <a:prstGeom prst="rect">
                      <a:avLst/>
                    </a:prstGeom>
                    <a:noFill/>
                  </pic:spPr>
                </pic:pic>
              </a:graphicData>
            </a:graphic>
          </wp:anchor>
        </w:drawing>
        <w:t>SUMMARY FINANCIAL DATA</w:t>
      </w:r>
    </w:p>
    <w:p>
      <w:pPr>
        <w:spacing w:after="0" w:line="148" w:lineRule="exact"/>
        <w:rPr>
          <w:sz w:val="20"/>
          <w:szCs w:val="20"/>
          <w:color w:val="auto"/>
        </w:rPr>
      </w:pPr>
    </w:p>
    <w:p>
      <w:pPr>
        <w:ind w:left="540" w:right="559" w:firstLine="432"/>
        <w:spacing w:after="0" w:line="263" w:lineRule="auto"/>
        <w:rPr>
          <w:sz w:val="20"/>
          <w:szCs w:val="20"/>
          <w:color w:val="auto"/>
        </w:rPr>
      </w:pPr>
      <w:r>
        <w:rPr>
          <w:rFonts w:ascii="Arial" w:cs="Arial" w:eastAsia="Arial" w:hAnsi="Arial"/>
          <w:sz w:val="18"/>
          <w:szCs w:val="18"/>
          <w:color w:val="auto"/>
        </w:rPr>
        <w:t>The following table summarizes the relevant financial data for our business and should be read with our financial statements, which are included in this prospectus. We have not had any significant operations to date, so only balance sheet data is presented.</w:t>
      </w:r>
    </w:p>
    <w:p>
      <w:pPr>
        <w:spacing w:after="0" w:line="15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80" w:type="dxa"/>
            <w:vAlign w:val="bottom"/>
          </w:tcPr>
          <w:p>
            <w:pPr>
              <w:spacing w:after="0"/>
              <w:rPr>
                <w:sz w:val="17"/>
                <w:szCs w:val="17"/>
                <w:color w:val="auto"/>
              </w:rPr>
            </w:pPr>
          </w:p>
        </w:tc>
        <w:tc>
          <w:tcPr>
            <w:tcW w:w="6700" w:type="dxa"/>
            <w:vAlign w:val="bottom"/>
          </w:tcPr>
          <w:p>
            <w:pPr>
              <w:spacing w:after="0"/>
              <w:rPr>
                <w:sz w:val="17"/>
                <w:szCs w:val="17"/>
                <w:color w:val="auto"/>
              </w:rPr>
            </w:pPr>
          </w:p>
        </w:tc>
        <w:tc>
          <w:tcPr>
            <w:tcW w:w="1320" w:type="dxa"/>
            <w:vAlign w:val="bottom"/>
            <w:gridSpan w:val="3"/>
          </w:tcPr>
          <w:p>
            <w:pPr>
              <w:ind w:left="120"/>
              <w:spacing w:after="0"/>
              <w:rPr>
                <w:sz w:val="20"/>
                <w:szCs w:val="20"/>
                <w:color w:val="auto"/>
              </w:rPr>
            </w:pPr>
            <w:r>
              <w:rPr>
                <w:rFonts w:ascii="Arial" w:cs="Arial" w:eastAsia="Arial" w:hAnsi="Arial"/>
                <w:sz w:val="16"/>
                <w:szCs w:val="16"/>
                <w:b w:val="1"/>
                <w:bCs w:val="1"/>
                <w:color w:val="auto"/>
              </w:rPr>
              <w:t>December 31,</w:t>
            </w:r>
          </w:p>
        </w:tc>
      </w:tr>
      <w:tr>
        <w:trPr>
          <w:trHeight w:val="210"/>
        </w:trPr>
        <w:tc>
          <w:tcPr>
            <w:tcW w:w="80" w:type="dxa"/>
            <w:vAlign w:val="bottom"/>
          </w:tcPr>
          <w:p>
            <w:pPr>
              <w:spacing w:after="0"/>
              <w:rPr>
                <w:sz w:val="18"/>
                <w:szCs w:val="18"/>
                <w:color w:val="auto"/>
              </w:rPr>
            </w:pPr>
          </w:p>
        </w:tc>
        <w:tc>
          <w:tcPr>
            <w:tcW w:w="67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2019</w:t>
            </w:r>
          </w:p>
        </w:tc>
        <w:tc>
          <w:tcPr>
            <w:tcW w:w="100" w:type="dxa"/>
            <w:vAlign w:val="bottom"/>
          </w:tcPr>
          <w:p>
            <w:pPr>
              <w:spacing w:after="0"/>
              <w:rPr>
                <w:sz w:val="18"/>
                <w:szCs w:val="18"/>
                <w:color w:val="auto"/>
              </w:rPr>
            </w:pPr>
          </w:p>
        </w:tc>
      </w:tr>
      <w:tr>
        <w:trPr>
          <w:trHeight w:val="46"/>
        </w:trPr>
        <w:tc>
          <w:tcPr>
            <w:tcW w:w="6780" w:type="dxa"/>
            <w:vAlign w:val="bottom"/>
            <w:gridSpan w:val="2"/>
          </w:tcPr>
          <w:p>
            <w:pPr>
              <w:spacing w:after="0"/>
              <w:rPr>
                <w:sz w:val="4"/>
                <w:szCs w:val="4"/>
                <w:color w:val="auto"/>
              </w:rPr>
            </w:pPr>
          </w:p>
        </w:tc>
        <w:tc>
          <w:tcPr>
            <w:tcW w:w="300" w:type="dxa"/>
            <w:vAlign w:val="bottom"/>
          </w:tcPr>
          <w:p>
            <w:pPr>
              <w:spacing w:after="0"/>
              <w:rPr>
                <w:sz w:val="4"/>
                <w:szCs w:val="4"/>
                <w:color w:val="auto"/>
              </w:rPr>
            </w:pPr>
          </w:p>
        </w:tc>
        <w:tc>
          <w:tcPr>
            <w:tcW w:w="920" w:type="dxa"/>
            <w:vAlign w:val="bottom"/>
          </w:tcPr>
          <w:p>
            <w:pPr>
              <w:spacing w:after="0"/>
              <w:rPr>
                <w:sz w:val="4"/>
                <w:szCs w:val="4"/>
                <w:color w:val="auto"/>
              </w:rPr>
            </w:pPr>
          </w:p>
        </w:tc>
        <w:tc>
          <w:tcPr>
            <w:tcW w:w="100" w:type="dxa"/>
            <w:vAlign w:val="bottom"/>
          </w:tcPr>
          <w:p>
            <w:pPr>
              <w:spacing w:after="0"/>
              <w:rPr>
                <w:sz w:val="4"/>
                <w:szCs w:val="4"/>
                <w:color w:val="auto"/>
              </w:rPr>
            </w:pPr>
          </w:p>
        </w:tc>
      </w:tr>
      <w:tr>
        <w:trPr>
          <w:trHeight w:val="257"/>
        </w:trPr>
        <w:tc>
          <w:tcPr>
            <w:tcW w:w="80" w:type="dxa"/>
            <w:vAlign w:val="bottom"/>
          </w:tcPr>
          <w:p>
            <w:pPr>
              <w:spacing w:after="0"/>
              <w:rPr>
                <w:sz w:val="22"/>
                <w:szCs w:val="22"/>
                <w:color w:val="auto"/>
              </w:rPr>
            </w:pPr>
          </w:p>
        </w:tc>
        <w:tc>
          <w:tcPr>
            <w:tcW w:w="670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Balance Sheet Data:</w:t>
            </w:r>
          </w:p>
        </w:tc>
        <w:tc>
          <w:tcPr>
            <w:tcW w:w="300" w:type="dxa"/>
            <w:vAlign w:val="bottom"/>
            <w:tcBorders>
              <w:top w:val="single" w:sz="8" w:color="auto"/>
              <w:bottom w:val="single" w:sz="8" w:color="CCEEFF"/>
            </w:tcBorders>
            <w:shd w:val="clear" w:color="auto" w:fill="CCEEFF"/>
          </w:tcPr>
          <w:p>
            <w:pPr>
              <w:spacing w:after="0"/>
              <w:rPr>
                <w:sz w:val="22"/>
                <w:szCs w:val="22"/>
                <w:color w:val="auto"/>
              </w:rPr>
            </w:pPr>
          </w:p>
        </w:tc>
        <w:tc>
          <w:tcPr>
            <w:tcW w:w="920" w:type="dxa"/>
            <w:vAlign w:val="bottom"/>
            <w:tcBorders>
              <w:top w:val="single" w:sz="8" w:color="auto"/>
              <w:bottom w:val="single" w:sz="8" w:color="CCEEFF"/>
            </w:tcBorders>
            <w:shd w:val="clear" w:color="auto" w:fill="CCEEFF"/>
          </w:tcPr>
          <w:p>
            <w:pPr>
              <w:spacing w:after="0"/>
              <w:rPr>
                <w:sz w:val="22"/>
                <w:szCs w:val="22"/>
                <w:color w:val="auto"/>
              </w:rPr>
            </w:pPr>
          </w:p>
        </w:tc>
        <w:tc>
          <w:tcPr>
            <w:tcW w:w="100" w:type="dxa"/>
            <w:vAlign w:val="bottom"/>
          </w:tcPr>
          <w:p>
            <w:pPr>
              <w:spacing w:after="0"/>
              <w:rPr>
                <w:sz w:val="22"/>
                <w:szCs w:val="22"/>
                <w:color w:val="auto"/>
              </w:rPr>
            </w:pPr>
          </w:p>
        </w:tc>
      </w:tr>
      <w:tr>
        <w:trPr>
          <w:trHeight w:val="243"/>
        </w:trPr>
        <w:tc>
          <w:tcPr>
            <w:tcW w:w="6780" w:type="dxa"/>
            <w:vAlign w:val="bottom"/>
            <w:gridSpan w:val="2"/>
          </w:tcPr>
          <w:p>
            <w:pPr>
              <w:ind w:left="80"/>
              <w:spacing w:after="0"/>
              <w:rPr>
                <w:sz w:val="20"/>
                <w:szCs w:val="20"/>
                <w:color w:val="auto"/>
              </w:rPr>
            </w:pPr>
            <w:r>
              <w:rPr>
                <w:rFonts w:ascii="Arial" w:cs="Arial" w:eastAsia="Arial" w:hAnsi="Arial"/>
                <w:sz w:val="18"/>
                <w:szCs w:val="18"/>
                <w:color w:val="auto"/>
              </w:rPr>
              <w:t>Working capital (deficiency)</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(87,699)</w:t>
            </w:r>
          </w:p>
        </w:tc>
        <w:tc>
          <w:tcPr>
            <w:tcW w:w="100" w:type="dxa"/>
            <w:vAlign w:val="bottom"/>
          </w:tcPr>
          <w:p>
            <w:pPr>
              <w:spacing w:after="0"/>
              <w:rPr>
                <w:sz w:val="21"/>
                <w:szCs w:val="21"/>
                <w:color w:val="auto"/>
              </w:rPr>
            </w:pPr>
          </w:p>
        </w:tc>
      </w:tr>
      <w:tr>
        <w:trPr>
          <w:trHeight w:val="41"/>
        </w:trPr>
        <w:tc>
          <w:tcPr>
            <w:tcW w:w="67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119,621</w:t>
            </w:r>
          </w:p>
        </w:tc>
        <w:tc>
          <w:tcPr>
            <w:tcW w:w="100" w:type="dxa"/>
            <w:vAlign w:val="bottom"/>
          </w:tcPr>
          <w:p>
            <w:pPr>
              <w:spacing w:after="0"/>
              <w:rPr>
                <w:sz w:val="22"/>
                <w:szCs w:val="22"/>
                <w:color w:val="auto"/>
              </w:rPr>
            </w:pPr>
          </w:p>
        </w:tc>
      </w:tr>
      <w:tr>
        <w:trPr>
          <w:trHeight w:val="243"/>
        </w:trPr>
        <w:tc>
          <w:tcPr>
            <w:tcW w:w="6780" w:type="dxa"/>
            <w:vAlign w:val="bottom"/>
            <w:gridSpan w:val="2"/>
          </w:tcPr>
          <w:p>
            <w:pPr>
              <w:ind w:left="80"/>
              <w:spacing w:after="0"/>
              <w:rPr>
                <w:sz w:val="20"/>
                <w:szCs w:val="20"/>
                <w:color w:val="auto"/>
              </w:rPr>
            </w:pPr>
            <w:r>
              <w:rPr>
                <w:rFonts w:ascii="Arial" w:cs="Arial" w:eastAsia="Arial" w:hAnsi="Arial"/>
                <w:sz w:val="18"/>
                <w:szCs w:val="18"/>
                <w:color w:val="auto"/>
              </w:rPr>
              <w:t>Total liabilities</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103,660</w:t>
            </w:r>
          </w:p>
        </w:tc>
        <w:tc>
          <w:tcPr>
            <w:tcW w:w="100" w:type="dxa"/>
            <w:vAlign w:val="bottom"/>
          </w:tcPr>
          <w:p>
            <w:pPr>
              <w:spacing w:after="0"/>
              <w:rPr>
                <w:sz w:val="21"/>
                <w:szCs w:val="21"/>
                <w:color w:val="auto"/>
              </w:rPr>
            </w:pPr>
          </w:p>
        </w:tc>
      </w:tr>
      <w:tr>
        <w:trPr>
          <w:trHeight w:val="40"/>
        </w:trPr>
        <w:tc>
          <w:tcPr>
            <w:tcW w:w="678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1020" w:type="dxa"/>
            <w:vAlign w:val="bottom"/>
            <w:gridSpan w:val="2"/>
          </w:tcPr>
          <w:p>
            <w:pPr>
              <w:spacing w:after="0"/>
              <w:rPr>
                <w:sz w:val="3"/>
                <w:szCs w:val="3"/>
                <w:color w:val="auto"/>
              </w:rPr>
            </w:pPr>
          </w:p>
        </w:tc>
      </w:tr>
      <w:tr>
        <w:trPr>
          <w:trHeight w:val="263"/>
        </w:trPr>
        <w:tc>
          <w:tcPr>
            <w:tcW w:w="80" w:type="dxa"/>
            <w:vAlign w:val="bottom"/>
          </w:tcPr>
          <w:p>
            <w:pPr>
              <w:spacing w:after="0"/>
              <w:rPr>
                <w:sz w:val="22"/>
                <w:szCs w:val="22"/>
                <w:color w:val="auto"/>
              </w:rPr>
            </w:pPr>
          </w:p>
        </w:tc>
        <w:tc>
          <w:tcPr>
            <w:tcW w:w="6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Value of Class A ordinary shares subject to possible redemption</w:t>
            </w:r>
          </w:p>
        </w:tc>
        <w:tc>
          <w:tcPr>
            <w:tcW w:w="30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2"/>
                <w:szCs w:val="22"/>
                <w:color w:val="auto"/>
              </w:rPr>
            </w:pPr>
          </w:p>
        </w:tc>
      </w:tr>
      <w:tr>
        <w:trPr>
          <w:trHeight w:val="243"/>
        </w:trPr>
        <w:tc>
          <w:tcPr>
            <w:tcW w:w="6780" w:type="dxa"/>
            <w:vAlign w:val="bottom"/>
            <w:gridSpan w:val="2"/>
          </w:tcPr>
          <w:p>
            <w:pPr>
              <w:ind w:left="80"/>
              <w:spacing w:after="0"/>
              <w:rPr>
                <w:sz w:val="20"/>
                <w:szCs w:val="20"/>
                <w:color w:val="auto"/>
              </w:rPr>
            </w:pPr>
            <w:r>
              <w:rPr>
                <w:rFonts w:ascii="Arial" w:cs="Arial" w:eastAsia="Arial" w:hAnsi="Arial"/>
                <w:sz w:val="18"/>
                <w:szCs w:val="18"/>
                <w:color w:val="auto"/>
              </w:rPr>
              <w:t>Shareholder’s equity</w:t>
            </w:r>
          </w:p>
        </w:tc>
        <w:tc>
          <w:tcPr>
            <w:tcW w:w="30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52"/>
              <w:spacing w:after="0"/>
              <w:rPr>
                <w:sz w:val="20"/>
                <w:szCs w:val="20"/>
                <w:color w:val="auto"/>
              </w:rPr>
            </w:pPr>
            <w:r>
              <w:rPr>
                <w:rFonts w:ascii="Arial" w:cs="Arial" w:eastAsia="Arial" w:hAnsi="Arial"/>
                <w:sz w:val="18"/>
                <w:szCs w:val="18"/>
                <w:color w:val="auto"/>
              </w:rPr>
              <w:t>15,961</w:t>
            </w:r>
          </w:p>
        </w:tc>
        <w:tc>
          <w:tcPr>
            <w:tcW w:w="100" w:type="dxa"/>
            <w:vAlign w:val="bottom"/>
          </w:tcPr>
          <w:p>
            <w:pPr>
              <w:spacing w:after="0"/>
              <w:rPr>
                <w:sz w:val="21"/>
                <w:szCs w:val="21"/>
                <w:color w:val="auto"/>
              </w:rPr>
            </w:pPr>
          </w:p>
        </w:tc>
      </w:tr>
      <w:tr>
        <w:trPr>
          <w:trHeight w:val="402"/>
        </w:trPr>
        <w:tc>
          <w:tcPr>
            <w:tcW w:w="80" w:type="dxa"/>
            <w:vAlign w:val="bottom"/>
            <w:tcBorders>
              <w:bottom w:val="single" w:sz="8" w:color="auto"/>
            </w:tcBorders>
          </w:tcPr>
          <w:p>
            <w:pPr>
              <w:spacing w:after="0"/>
              <w:rPr>
                <w:sz w:val="24"/>
                <w:szCs w:val="24"/>
                <w:color w:val="auto"/>
              </w:rPr>
            </w:pPr>
          </w:p>
        </w:tc>
        <w:tc>
          <w:tcPr>
            <w:tcW w:w="670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r>
        <w:trPr>
          <w:trHeight w:val="388"/>
        </w:trPr>
        <w:tc>
          <w:tcPr>
            <w:tcW w:w="6780" w:type="dxa"/>
            <w:vAlign w:val="bottom"/>
            <w:tcBorders>
              <w:bottom w:val="single" w:sz="8" w:color="auto"/>
            </w:tcBorders>
            <w:gridSpan w:val="2"/>
          </w:tcPr>
          <w:p>
            <w:pPr>
              <w:jc w:val="right"/>
              <w:ind w:right="2550"/>
              <w:spacing w:after="0"/>
              <w:rPr>
                <w:sz w:val="20"/>
                <w:szCs w:val="20"/>
                <w:color w:val="auto"/>
              </w:rPr>
            </w:pPr>
            <w:r>
              <w:rPr>
                <w:rFonts w:ascii="Arial" w:cs="Arial" w:eastAsia="Arial" w:hAnsi="Arial"/>
                <w:sz w:val="18"/>
                <w:szCs w:val="18"/>
                <w:color w:val="auto"/>
              </w:rPr>
              <w:t>26</w:t>
            </w:r>
          </w:p>
        </w:tc>
        <w:tc>
          <w:tcPr>
            <w:tcW w:w="30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540" w:right="1440" w:bottom="1440" w:gutter="0" w:footer="0" w:header="0"/>
        </w:sectPr>
      </w:pPr>
    </w:p>
    <w:bookmarkStart w:id="31" w:name="page32"/>
    <w:bookmarkEnd w:id="31"/>
    <w:p>
      <w:pPr>
        <w:jc w:val="center"/>
        <w:spacing w:after="0"/>
        <w:rPr>
          <w:sz w:val="20"/>
          <w:szCs w:val="20"/>
          <w:color w:val="auto"/>
        </w:rPr>
      </w:pPr>
      <w:r>
        <w:rPr>
          <w:rFonts w:ascii="Arial" w:cs="Arial" w:eastAsia="Arial" w:hAnsi="Arial"/>
          <w:sz w:val="18"/>
          <w:szCs w:val="18"/>
          <w:b w:val="1"/>
          <w:bCs w:val="1"/>
          <w:color w:val="auto"/>
        </w:rPr>
        <w:t>RISK FACTORS</w:t>
      </w:r>
    </w:p>
    <w:p>
      <w:pPr>
        <w:spacing w:after="0" w:line="162"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i w:val="1"/>
          <w:iCs w:val="1"/>
          <w:color w:val="auto"/>
        </w:rPr>
        <w:t>An investment in our securities involves a high degree of risk. You should consider carefully all of the risks described below, together with the other information contained in this prospectus, before making a decision to invest in our units. If any of the following events occur, our business, financial condition and operating results may be materially adversely affected. In that event, the trading price of our securities could decline, and you could lose all or part of your investment.</w:t>
      </w:r>
    </w:p>
    <w:p>
      <w:pPr>
        <w:spacing w:after="0" w:line="184" w:lineRule="exact"/>
        <w:rPr>
          <w:sz w:val="20"/>
          <w:szCs w:val="20"/>
          <w:color w:val="auto"/>
        </w:rPr>
      </w:pPr>
    </w:p>
    <w:p>
      <w:pPr>
        <w:ind w:left="460" w:right="819"/>
        <w:spacing w:after="0" w:line="282" w:lineRule="auto"/>
        <w:rPr>
          <w:sz w:val="20"/>
          <w:szCs w:val="20"/>
          <w:color w:val="auto"/>
        </w:rPr>
      </w:pPr>
      <w:r>
        <w:rPr>
          <w:rFonts w:ascii="Arial" w:cs="Arial" w:eastAsia="Arial" w:hAnsi="Arial"/>
          <w:sz w:val="18"/>
          <w:szCs w:val="18"/>
          <w:b w:val="1"/>
          <w:bCs w:val="1"/>
          <w:color w:val="auto"/>
        </w:rPr>
        <w:t>We are a recently incorporated company with no operating history and no revenues, and you have no basis on which to evaluate our ability to achieve our business objective.</w:t>
      </w:r>
    </w:p>
    <w:p>
      <w:pPr>
        <w:spacing w:after="0" w:line="85"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We are a recently incorporated company incorporated under the laws of the Cayman Islands with no operating results, and we will not commence operations until obtaining funding through this offering. Because we lack an operating history, you have no basis upon which to evaluate our ability to achieve our business objective of completing our initial business combination with one or more target businesses. We have no plans, arrangements or understandings with any prospective target business concerning a business combination and may be unable to complete our initial business combination. If we fail to complete our initial business combination, we will never generate any operating revenues.</w:t>
      </w:r>
    </w:p>
    <w:p>
      <w:pPr>
        <w:spacing w:after="0" w:line="173" w:lineRule="exact"/>
        <w:rPr>
          <w:sz w:val="20"/>
          <w:szCs w:val="20"/>
          <w:color w:val="auto"/>
        </w:rPr>
      </w:pPr>
    </w:p>
    <w:p>
      <w:pPr>
        <w:ind w:left="460" w:right="899"/>
        <w:spacing w:after="0" w:line="312" w:lineRule="auto"/>
        <w:rPr>
          <w:sz w:val="20"/>
          <w:szCs w:val="20"/>
          <w:color w:val="auto"/>
        </w:rPr>
      </w:pPr>
      <w:r>
        <w:rPr>
          <w:rFonts w:ascii="Arial" w:cs="Arial" w:eastAsia="Arial" w:hAnsi="Arial"/>
          <w:sz w:val="17"/>
          <w:szCs w:val="17"/>
          <w:b w:val="1"/>
          <w:bCs w:val="1"/>
          <w:color w:val="auto"/>
        </w:rPr>
        <w:t>Our independent registered public accounting firm’s report contains an explanatory paragraph that expresses substantial doubt about our ability to continue as a “going concern.”</w:t>
      </w:r>
    </w:p>
    <w:p>
      <w:pPr>
        <w:spacing w:after="0" w:line="76"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As of December 31, 2019, we had no cash and a working capital deficiency of approximately $88,000. Further, we have incurred and expect to continue to incur significant costs in pursuit of our financing and acquisition plans. Management’s plans to address this need for capital through this offering are discussed in the section of this prospectus entitled “Management’s Discussion and Analysis of Financial Condition and Results of Operations.” We cannot assure you that our plans to raise capital or to consummate an initial business combination will be successful. These factors, among others, raise substantial doubt about our ability to continue as a going concern. The financial statements contained elsewhere in this prospectus do not include any adjustments that might result from our inability to consummate this offering or our inability to continue as a going concern.</w:t>
      </w:r>
    </w:p>
    <w:p>
      <w:pPr>
        <w:spacing w:after="0" w:line="192" w:lineRule="exact"/>
        <w:rPr>
          <w:sz w:val="20"/>
          <w:szCs w:val="20"/>
          <w:color w:val="auto"/>
        </w:rPr>
      </w:pPr>
    </w:p>
    <w:p>
      <w:pPr>
        <w:ind w:left="460" w:right="619"/>
        <w:spacing w:after="0" w:line="314" w:lineRule="auto"/>
        <w:rPr>
          <w:sz w:val="20"/>
          <w:szCs w:val="20"/>
          <w:color w:val="auto"/>
        </w:rPr>
      </w:pPr>
      <w:r>
        <w:rPr>
          <w:rFonts w:ascii="Arial" w:cs="Arial" w:eastAsia="Arial" w:hAnsi="Arial"/>
          <w:sz w:val="16"/>
          <w:szCs w:val="16"/>
          <w:b w:val="1"/>
          <w:bCs w:val="1"/>
          <w:color w:val="auto"/>
        </w:rPr>
        <w:t>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w:t>
      </w:r>
    </w:p>
    <w:p>
      <w:pPr>
        <w:spacing w:after="0" w:line="78"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Information regarding performance is presented for informational purposes only. Any past experience and performance of our management team is not a guarantee either: (1) that we will be able to successfully identify a suitable candidate for our initial business combination; or (2) of any results with respect to any initial business combination we may consummate. You should not rely on the historical record of our management team’s performance as indicative of the future performance of an investment in us, including whether we can provide an attractive return to our shareholders, or as indicative of every prior investment by each of our founders and the members of our management team. The market price of our securities may be influenced by numerous factors, many of which are beyond our control, and our shareholders may experience losses on their investment in our securities.</w:t>
      </w:r>
    </w:p>
    <w:p>
      <w:pPr>
        <w:spacing w:after="0" w:line="177" w:lineRule="exact"/>
        <w:rPr>
          <w:sz w:val="20"/>
          <w:szCs w:val="20"/>
          <w:color w:val="auto"/>
        </w:rPr>
      </w:pPr>
    </w:p>
    <w:p>
      <w:pPr>
        <w:ind w:left="460" w:right="639"/>
        <w:spacing w:after="0" w:line="266" w:lineRule="auto"/>
        <w:rPr>
          <w:sz w:val="20"/>
          <w:szCs w:val="20"/>
          <w:color w:val="auto"/>
        </w:rPr>
      </w:pPr>
      <w:r>
        <w:rPr>
          <w:rFonts w:ascii="Arial" w:cs="Arial" w:eastAsia="Arial" w:hAnsi="Arial"/>
          <w:sz w:val="18"/>
          <w:szCs w:val="18"/>
          <w:b w:val="1"/>
          <w:bCs w:val="1"/>
          <w:color w:val="auto"/>
        </w:rPr>
        <w:t>Our shareholders may not be afforded an opportunity to vote on our proposed initial business combination, which means we may complete our initial business combination even though a majority of our shareholders do not support such a combination.</w:t>
      </w:r>
    </w:p>
    <w:p>
      <w:pPr>
        <w:spacing w:after="0" w:line="99"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We may choose not to hold a shareholder vote before we complete our initial business combination if the business combination would not require shareholder approval under applicable law or stock exchange listing requirement. For instance, if we were seeking to acquire a target business where the consideration we were paying in the transaction was all cash, we would not be required to seek shareholder approval to complete such a transaction. Except for as required by applicable law or stock exchange requirement, the decision as to whether we will seek shareholder approval of a proposed business combination or will allow shareholders to sell their shares to us in a tender offer will be made by us, solely in our discretion, and will be based on a variety of factors, such as the timing of the transaction and whether the terms of the transaction would otherwise require us to seek shareholder approval. Accordingly, we may complete our initial business combination even if holders of a majority of our ordinary shares do not approve of the business combination we complete.</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32" w:name="page33"/>
    <w:bookmarkEnd w:id="32"/>
    <w:p>
      <w:pPr>
        <w:ind w:left="460" w:right="519" w:firstLine="432"/>
        <w:spacing w:after="0" w:line="277" w:lineRule="auto"/>
        <w:rPr>
          <w:sz w:val="20"/>
          <w:szCs w:val="20"/>
          <w:color w:val="auto"/>
        </w:rPr>
      </w:pPr>
      <w:r>
        <w:rPr>
          <w:rFonts w:ascii="Arial" w:cs="Arial" w:eastAsia="Arial" w:hAnsi="Arial"/>
          <w:sz w:val="18"/>
          <w:szCs w:val="18"/>
          <w:color w:val="auto"/>
        </w:rPr>
        <w:t>Please see the section entitled “Proposed Business — Shareholders May Not Have the Ability to Approve Our Initial Business Combination” for additional information.</w:t>
      </w:r>
    </w:p>
    <w:p>
      <w:pPr>
        <w:spacing w:after="0" w:line="166" w:lineRule="exact"/>
        <w:rPr>
          <w:sz w:val="20"/>
          <w:szCs w:val="20"/>
          <w:color w:val="auto"/>
        </w:rPr>
      </w:pPr>
    </w:p>
    <w:p>
      <w:pPr>
        <w:ind w:left="460" w:right="619"/>
        <w:spacing w:after="0" w:line="312" w:lineRule="auto"/>
        <w:rPr>
          <w:sz w:val="20"/>
          <w:szCs w:val="20"/>
          <w:color w:val="auto"/>
        </w:rPr>
      </w:pPr>
      <w:r>
        <w:rPr>
          <w:rFonts w:ascii="Arial" w:cs="Arial" w:eastAsia="Arial" w:hAnsi="Arial"/>
          <w:sz w:val="17"/>
          <w:szCs w:val="17"/>
          <w:b w:val="1"/>
          <w:bCs w:val="1"/>
          <w:color w:val="auto"/>
        </w:rPr>
        <w:t>Your only opportunity to affect the investment decision regarding a potential business combination may be limited to the exercise of your right to redeem your shares from us for cash.</w:t>
      </w:r>
    </w:p>
    <w:p>
      <w:pPr>
        <w:spacing w:after="0" w:line="6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At the time of your investment in us, you will not be provided with an opportunity to evaluate the specific merits or risks of our initial business combination. Since our board of directors may complete a business combination without seeking shareholder approval, public shareholders may not have the right or opportunity to vote on the business combination, unless we seek such shareholder vote. Accordingly, your only opportunity to affect the investment decision regarding our initial business combination may be limited to exercising your redemption rights within the period of time (which will be at least 20 business days) set forth in our tender offer documents mailed to our public shareholders in which we describe our initial business combination.</w:t>
      </w:r>
    </w:p>
    <w:p>
      <w:pPr>
        <w:spacing w:after="0" w:line="162" w:lineRule="exact"/>
        <w:rPr>
          <w:sz w:val="20"/>
          <w:szCs w:val="20"/>
          <w:color w:val="auto"/>
        </w:rPr>
      </w:pPr>
    </w:p>
    <w:p>
      <w:pPr>
        <w:jc w:val="both"/>
        <w:ind w:left="460" w:right="759"/>
        <w:spacing w:after="0" w:line="266" w:lineRule="auto"/>
        <w:rPr>
          <w:sz w:val="20"/>
          <w:szCs w:val="20"/>
          <w:color w:val="auto"/>
        </w:rPr>
      </w:pPr>
      <w:r>
        <w:rPr>
          <w:rFonts w:ascii="Arial" w:cs="Arial" w:eastAsia="Arial" w:hAnsi="Arial"/>
          <w:sz w:val="18"/>
          <w:szCs w:val="18"/>
          <w:b w:val="1"/>
          <w:bCs w:val="1"/>
          <w:color w:val="auto"/>
        </w:rPr>
        <w:t>If we seek shareholder approval of our initial business combination, our sponsor and members of our management team have agreed to vote in favor of such initial business combination, regardless of how our public shareholders vote.</w:t>
      </w:r>
    </w:p>
    <w:p>
      <w:pPr>
        <w:spacing w:after="0" w:line="112"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Our sponsor will own, on an as-converted basis, 20% of our outstanding ordinary shares immediately following the completion of this offering. Our sponsor and members of our management team also may from time to time purchase Class A ordinary shares prior to our initial business combination. Our amended and restated memorandum and articles of association will provide that, if we seek shareholder approval, we will complete our initial business combination only if a majority of the ordinary shares, represented in person or by proxy and entitled to vote thereon, voted at a shareholder meeting vote in favor of the business combination, including the founder shares. As a result, in addition to our initial shareholders’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 Accordingly, if we seek shareholder approval of our initial business combination, the agreement by our sponsor and each member of our management team to vote in favor of our initial business combination will increase the likelihood that we will receive the requisite shareholder approval for such initial business combination.</w:t>
      </w:r>
    </w:p>
    <w:p>
      <w:pPr>
        <w:spacing w:after="0" w:line="167" w:lineRule="exact"/>
        <w:rPr>
          <w:sz w:val="20"/>
          <w:szCs w:val="20"/>
          <w:color w:val="auto"/>
        </w:rPr>
      </w:pPr>
    </w:p>
    <w:p>
      <w:pPr>
        <w:jc w:val="both"/>
        <w:ind w:left="460" w:right="619"/>
        <w:spacing w:after="0" w:line="266" w:lineRule="auto"/>
        <w:rPr>
          <w:sz w:val="20"/>
          <w:szCs w:val="20"/>
          <w:color w:val="auto"/>
        </w:rPr>
      </w:pPr>
      <w:r>
        <w:rPr>
          <w:rFonts w:ascii="Arial" w:cs="Arial" w:eastAsia="Arial" w:hAnsi="Arial"/>
          <w:sz w:val="18"/>
          <w:szCs w:val="18"/>
          <w:b w:val="1"/>
          <w:bCs w:val="1"/>
          <w:color w:val="auto"/>
        </w:rPr>
        <w:t>The ability of our public shareholders to redeem their shares for cash may make our financial condition unattractive to potential business combination targets, which may make it difficult for us to enter into a business combination with a target.</w:t>
      </w:r>
    </w:p>
    <w:p>
      <w:pPr>
        <w:spacing w:after="0" w:line="112"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We may seek to enter into a business combination transaction agreement with a prospective target that requires as a closing condition that we have a minimum net worth or a certain amount of cash. If too many public shareholders exercise their redemption rights, we would not be able to meet such closing condition and, as a result, would not be able to proceed with the business combination. Furthermore, in no event will we redeem our public shares in an amount that would cause our net tangible assets to be less than $5,000,001 (so that we are not subject to the SEC’s “penny stock” rules). Consequently, if accepting all properly submitted redemption requests would cause our net tangible assets to be less than $5,000,001 or such greater amount necessary to satisfy a closing condition as described above, we would not proceed with such redemption and the related business combination and may instead search for an alternate business combination. Prospective targets will be aware of these risks and, thus, may be reluctant to enter into a business combination transaction with us.</w:t>
      </w:r>
    </w:p>
    <w:p>
      <w:pPr>
        <w:spacing w:after="0" w:line="164" w:lineRule="exact"/>
        <w:rPr>
          <w:sz w:val="20"/>
          <w:szCs w:val="20"/>
          <w:color w:val="auto"/>
        </w:rPr>
      </w:pPr>
    </w:p>
    <w:p>
      <w:pPr>
        <w:ind w:left="460" w:right="479"/>
        <w:spacing w:after="0" w:line="266" w:lineRule="auto"/>
        <w:rPr>
          <w:sz w:val="20"/>
          <w:szCs w:val="20"/>
          <w:color w:val="auto"/>
        </w:rPr>
      </w:pPr>
      <w:r>
        <w:rPr>
          <w:rFonts w:ascii="Arial" w:cs="Arial" w:eastAsia="Arial" w:hAnsi="Arial"/>
          <w:sz w:val="18"/>
          <w:szCs w:val="18"/>
          <w:b w:val="1"/>
          <w:bCs w:val="1"/>
          <w:color w:val="auto"/>
        </w:rPr>
        <w:t>The ability of our public shareholders to exercise redemption rights with respect to a large number of our shares may not allow us to complete the most desirable business combination or optimize our capital structure.</w:t>
      </w:r>
    </w:p>
    <w:p>
      <w:pPr>
        <w:spacing w:after="0" w:line="85"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At the time we enter into an agreement for our initial business combination, we will not know how many shareholders may exercise their redemption rights, and therefore will need to structure the transaction based on our expectations as to the number of shares that will be submitted for redemption. If our initial business combination agreement requires us to use a portion of the cash in the trust account to pay the purchase price, or requires us to have a minimum amount of cash at closing, we will need to reserve a portion of the cash in the trust account to meet such requirements, or arrange for third-party financing. In addition, if a larger number of shares are submitted for redemption</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3" w:name="page34"/>
    <w:bookmarkEnd w:id="33"/>
    <w:p>
      <w:pPr>
        <w:ind w:left="460" w:right="499"/>
        <w:spacing w:after="0" w:line="289" w:lineRule="auto"/>
        <w:rPr>
          <w:sz w:val="20"/>
          <w:szCs w:val="20"/>
          <w:color w:val="auto"/>
        </w:rPr>
      </w:pPr>
      <w:r>
        <w:rPr>
          <w:rFonts w:ascii="Arial" w:cs="Arial" w:eastAsia="Arial" w:hAnsi="Arial"/>
          <w:sz w:val="16"/>
          <w:szCs w:val="16"/>
          <w:color w:val="auto"/>
        </w:rPr>
        <w:t>than we initially expected, we may need to restructure the transaction to reserve a greater portion of the cash in the trust account or arrange for additional third-party financing. Raising additional third-party financing may involve dilutive equity issuances or the incurrence of indebtedness at higher than desirable levels. The above considerations may limit our ability to complete the most desirable business combination available to us or optimize our capital structure. The amount of the deferred underwriting commissions payable to the underwriter will not be adjusted for any shares that are redeemed in connection with an initial business combination. The per-share amount we will distribute to shareholders who properly exercise their redemption rights will not be reduced by the deferred underwriting commission and after such redemptions, the amount held in trust will continue to reflect our obligation to pay the entire deferred underwriting commissions.</w:t>
      </w:r>
    </w:p>
    <w:p>
      <w:pPr>
        <w:spacing w:after="0" w:line="81" w:lineRule="exact"/>
        <w:rPr>
          <w:sz w:val="20"/>
          <w:szCs w:val="20"/>
          <w:color w:val="auto"/>
        </w:rPr>
      </w:pPr>
    </w:p>
    <w:p>
      <w:pPr>
        <w:jc w:val="both"/>
        <w:ind w:left="460" w:right="459"/>
        <w:spacing w:after="0" w:line="289" w:lineRule="auto"/>
        <w:rPr>
          <w:sz w:val="20"/>
          <w:szCs w:val="20"/>
          <w:color w:val="auto"/>
        </w:rPr>
      </w:pPr>
      <w:r>
        <w:rPr>
          <w:rFonts w:ascii="Arial" w:cs="Arial" w:eastAsia="Arial" w:hAnsi="Arial"/>
          <w:sz w:val="17"/>
          <w:szCs w:val="17"/>
          <w:b w:val="1"/>
          <w:bCs w:val="1"/>
          <w:color w:val="auto"/>
        </w:rPr>
        <w:t>The ability of our public shareholders to exercise redemption rights with respect to a large number of our shares could increase the probability that our initial business combination would be unsuccessful and that you would have to wait for liquidation in order to redeem your shares.</w:t>
      </w:r>
    </w:p>
    <w:p>
      <w:pPr>
        <w:spacing w:after="0" w:line="67"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If our initial business combination agreement requires us to use a portion of the cash in the trust account to pay the purchase price, or requires us to have a minimum amount of cash at closing, the probability that our initial business combination would be unsuccessful is increased. If our initial business combination is unsuccessful, you would not receive your pro rata portion of the trust account until we liquidate the trust account. If you are in need of immediate liquidity, you could attempt to sell your shares in the open market; however, at such time our shares may trade at a discount to the pro rata amount per share in the trust account. In either situation, you may suffer a material loss on your investment or lose the benefit of funds expected in connection with our redemption until we liquidate or you are able to sell your shares in the open market.</w:t>
      </w:r>
    </w:p>
    <w:p>
      <w:pPr>
        <w:spacing w:after="0" w:line="67" w:lineRule="exact"/>
        <w:rPr>
          <w:sz w:val="20"/>
          <w:szCs w:val="20"/>
          <w:color w:val="auto"/>
        </w:rPr>
      </w:pPr>
    </w:p>
    <w:p>
      <w:pPr>
        <w:ind w:left="460" w:right="579"/>
        <w:spacing w:after="0" w:line="298" w:lineRule="auto"/>
        <w:rPr>
          <w:sz w:val="20"/>
          <w:szCs w:val="20"/>
          <w:color w:val="auto"/>
        </w:rPr>
      </w:pPr>
      <w:r>
        <w:rPr>
          <w:rFonts w:ascii="Arial" w:cs="Arial" w:eastAsia="Arial" w:hAnsi="Arial"/>
          <w:sz w:val="16"/>
          <w:szCs w:val="16"/>
          <w:b w:val="1"/>
          <w:bCs w:val="1"/>
          <w:color w:val="auto"/>
        </w:rPr>
        <w:t>The requirement that we consummate an initial business combination within 18 months after the closing of this offering may give potential target businesses leverage over us in negotiating a business combination and may limit the time we have in which to conduct due diligence on potential business combination targets as we approach our dissolution deadline, which could undermine our ability to complete our initial business combination on terms that would produce value for our shareholders.</w:t>
      </w:r>
    </w:p>
    <w:p>
      <w:pPr>
        <w:spacing w:after="0" w:line="77"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Any potential target business with which we enter into negotiations concerning a business combination will be aware that we must consummate an initial business combination within 18 months from the closing of this offering. Consequently, such target business may obtain leverage over us in negotiating a business combination, knowing that if we do not consummate an initial business combination with that particular target business, we may be unable to complete our initial business combination with any target business. This risk will increase as we get closer to the time frame described above. In addition, we may have limited time to conduct due diligence and may enter into our initial business combination on terms that we would have rejected upon a more comprehensive investigation.</w:t>
      </w:r>
    </w:p>
    <w:p>
      <w:pPr>
        <w:spacing w:after="0" w:line="80" w:lineRule="exact"/>
        <w:rPr>
          <w:sz w:val="20"/>
          <w:szCs w:val="20"/>
          <w:color w:val="auto"/>
        </w:rPr>
      </w:pPr>
    </w:p>
    <w:p>
      <w:pPr>
        <w:ind w:left="460" w:right="579"/>
        <w:spacing w:after="0" w:line="266" w:lineRule="auto"/>
        <w:rPr>
          <w:sz w:val="20"/>
          <w:szCs w:val="20"/>
          <w:color w:val="auto"/>
        </w:rPr>
      </w:pPr>
      <w:r>
        <w:rPr>
          <w:rFonts w:ascii="Arial" w:cs="Arial" w:eastAsia="Arial" w:hAnsi="Arial"/>
          <w:sz w:val="18"/>
          <w:szCs w:val="18"/>
          <w:b w:val="1"/>
          <w:bCs w:val="1"/>
          <w:color w:val="auto"/>
        </w:rPr>
        <w:t>We may not be able to consummate an initial business combination within 18 months after the closing of this offering, in which case we would cease all operations except for the purpose of winding up and we would redeem our public shares and liquidate.</w:t>
      </w:r>
    </w:p>
    <w:p>
      <w:pPr>
        <w:spacing w:after="0" w:line="85"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We may not be able to find a suitable target business and consummate an initial business combination within 18 months after the closing of this offering. Our ability to complete our initial business combination may be negatively impacted by general market conditions, volatility in the capital and debt markets and the other risks described herein. For example, the outbreak of COVID-19 continues to grow both in the U.S. and globally and, while the extent of the impact of the outbreak on us will depend on future developments, it could limit our ability to complete our initial business combination, including as a result of increased market volatility, decreased market liquidity and third-party financing being unavailable on terms acceptable to us or at all. Additionally, the outbreak of COVID-19 may negatively impact businesses we may seek to acquire. If we have not consummated an initial business combination within such applicable time period,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14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sectPr>
      </w:pPr>
    </w:p>
    <w:bookmarkStart w:id="34" w:name="page35"/>
    <w:bookmarkEnd w:id="34"/>
    <w:p>
      <w:pPr>
        <w:ind w:left="460" w:right="639"/>
        <w:spacing w:after="0" w:line="279" w:lineRule="auto"/>
        <w:rPr>
          <w:sz w:val="20"/>
          <w:szCs w:val="20"/>
          <w:color w:val="auto"/>
        </w:rPr>
      </w:pPr>
      <w:r>
        <w:rPr>
          <w:rFonts w:ascii="Arial" w:cs="Arial" w:eastAsia="Arial" w:hAnsi="Arial"/>
          <w:sz w:val="17"/>
          <w:szCs w:val="17"/>
          <w:color w:val="auto"/>
        </w:rPr>
        <w:t>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167" w:lineRule="exact"/>
        <w:rPr>
          <w:sz w:val="20"/>
          <w:szCs w:val="20"/>
          <w:color w:val="auto"/>
        </w:rPr>
      </w:pPr>
    </w:p>
    <w:p>
      <w:pPr>
        <w:ind w:left="460" w:right="859"/>
        <w:spacing w:after="0" w:line="261" w:lineRule="auto"/>
        <w:rPr>
          <w:sz w:val="20"/>
          <w:szCs w:val="20"/>
          <w:color w:val="auto"/>
        </w:rPr>
      </w:pPr>
      <w:r>
        <w:rPr>
          <w:rFonts w:ascii="Arial" w:cs="Arial" w:eastAsia="Arial" w:hAnsi="Arial"/>
          <w:sz w:val="18"/>
          <w:szCs w:val="18"/>
          <w:b w:val="1"/>
          <w:bCs w:val="1"/>
          <w:color w:val="auto"/>
        </w:rPr>
        <w:t>If we seek shareholder approval of our initial business combination, our sponsor, directors, executive officers, advisors and their affiliates may elect to purchase public shares or warrants from public shareholders, which may influence a vote on a proposed business combination and reduce the public “float” of our Class A ordinary shares.</w:t>
      </w:r>
    </w:p>
    <w:p>
      <w:pPr>
        <w:spacing w:after="0" w:line="116"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although they are under no obligation to do so. However, other than as expressly stated herein, they have no current commitments, plans or intentions to engage in such transactions and have not formulated any terms or conditions for any such transactions. None of the funds in the trust account will be used to purchase public shares or warrants in such transactions.</w:t>
      </w:r>
    </w:p>
    <w:p>
      <w:pPr>
        <w:spacing w:after="0" w:line="111"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In the event that our sponsor, directors, executive officers, advisors or their affiliates purchase shares in privately negotiated transactions from public shareholders who have already elected to exercise their redemption rights, such selling shareholders would be required to revoke their prior elections to redeem their shares. The purpose of any such purchases of shares could be to vote such shares in favor of the business combination and thereby increase the likelihood of obtaining shareholder approval of the business combination or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 Any such purchases will be reported pursuant to Section 13 and Section 16 of the Exchange Act to the extent such purchasers are subject to such reporting requirements. See “Proposed Business — Permitted Purchases of Our Securities” for a description of how our sponsor, directors, executive officers, advisors or any of their affiliates will select which shareholders to purchase securities from in any private transaction.</w:t>
      </w:r>
    </w:p>
    <w:p>
      <w:pPr>
        <w:spacing w:after="0" w:line="86"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In addition, if such purchases are made, the public “float” of our Class A ordinary shares or public warrants and the number of beneficial holders of our securities may be reduced, possibly making it difficult to maintain or obtain the quotation, listing or trading of our securities on a national securities exchange.</w:t>
      </w:r>
    </w:p>
    <w:p>
      <w:pPr>
        <w:spacing w:after="0" w:line="145" w:lineRule="exact"/>
        <w:rPr>
          <w:sz w:val="20"/>
          <w:szCs w:val="20"/>
          <w:color w:val="auto"/>
        </w:rPr>
      </w:pPr>
    </w:p>
    <w:p>
      <w:pPr>
        <w:ind w:left="460" w:right="639"/>
        <w:spacing w:after="0" w:line="266" w:lineRule="auto"/>
        <w:rPr>
          <w:sz w:val="20"/>
          <w:szCs w:val="20"/>
          <w:color w:val="auto"/>
        </w:rPr>
      </w:pPr>
      <w:r>
        <w:rPr>
          <w:rFonts w:ascii="Arial" w:cs="Arial" w:eastAsia="Arial" w:hAnsi="Arial"/>
          <w:sz w:val="18"/>
          <w:szCs w:val="18"/>
          <w:b w:val="1"/>
          <w:bCs w:val="1"/>
          <w:color w:val="auto"/>
        </w:rPr>
        <w:t>If a shareholder fails to receive notice of our offer to redeem our public shares in connection with our initial business combination, or fails to comply with the procedures for tendering its shares, such shares may not be redeemed.</w:t>
      </w:r>
    </w:p>
    <w:p>
      <w:pPr>
        <w:spacing w:after="0" w:line="112"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will comply with the proxy rules or tender offer rules, as applicable, when conducting redemptions in connection with our initial business combination. Despite our compliance with these rules, if a shareholder fails to receive our proxy solicitation or tender offer materials, as applicable, such shareholder may not become aware of the opportunity to redeem its shares. In addition, the proxy solicitation or tender offer materials, as applicable, that we will furnish to holders of our public shares in connection with our initial business combination will describe the various procedures that must be complied with in order to validly redeem or tender public shares. In the event that a shareholder fails to comply with these procedures, its shares may not be redeemed. See “Proposed Business — Business Strategy — Tendering Share Certificates in Connection with a Tender Offer or Redemption Rights.”</w:t>
      </w:r>
    </w:p>
    <w:p>
      <w:pPr>
        <w:spacing w:after="0" w:line="177" w:lineRule="exact"/>
        <w:rPr>
          <w:sz w:val="20"/>
          <w:szCs w:val="20"/>
          <w:color w:val="auto"/>
        </w:rPr>
      </w:pPr>
    </w:p>
    <w:p>
      <w:pPr>
        <w:ind w:left="460" w:right="699"/>
        <w:spacing w:after="0" w:line="266" w:lineRule="auto"/>
        <w:rPr>
          <w:sz w:val="20"/>
          <w:szCs w:val="20"/>
          <w:color w:val="auto"/>
        </w:rPr>
      </w:pPr>
      <w:r>
        <w:rPr>
          <w:rFonts w:ascii="Arial" w:cs="Arial" w:eastAsia="Arial" w:hAnsi="Arial"/>
          <w:sz w:val="18"/>
          <w:szCs w:val="18"/>
          <w:b w:val="1"/>
          <w:bCs w:val="1"/>
          <w:color w:val="auto"/>
        </w:rPr>
        <w:t>You will not have any rights or interests in funds from the trust account, except under certain limited circumstances. Therefore, to liquidate your investment, you may be forced to sell your public shares or warrants, potentially at a loss.</w:t>
      </w:r>
    </w:p>
    <w:p>
      <w:pPr>
        <w:spacing w:after="0" w:line="112" w:lineRule="exact"/>
        <w:rPr>
          <w:sz w:val="20"/>
          <w:szCs w:val="20"/>
          <w:color w:val="auto"/>
        </w:rPr>
      </w:pPr>
    </w:p>
    <w:p>
      <w:pPr>
        <w:ind w:left="460" w:right="599" w:firstLine="432"/>
        <w:spacing w:after="0" w:line="287" w:lineRule="auto"/>
        <w:rPr>
          <w:sz w:val="20"/>
          <w:szCs w:val="20"/>
          <w:color w:val="auto"/>
        </w:rPr>
      </w:pPr>
      <w:r>
        <w:rPr>
          <w:rFonts w:ascii="Arial" w:cs="Arial" w:eastAsia="Arial" w:hAnsi="Arial"/>
          <w:sz w:val="16"/>
          <w:szCs w:val="16"/>
          <w:color w:val="auto"/>
        </w:rPr>
        <w:t>Our public shareholders will be entitled to receive funds from the trust account only upon the earlier to occur of: (i) our completion of an initial business combination, and then only in connection with those Class A ordinary shares that such shareholder properly elected to redeem, subject to the limitations described herein;</w:t>
      </w:r>
    </w:p>
    <w:p>
      <w:pPr>
        <w:spacing w:after="0" w:line="2" w:lineRule="exact"/>
        <w:rPr>
          <w:sz w:val="20"/>
          <w:szCs w:val="20"/>
          <w:color w:val="auto"/>
        </w:rPr>
      </w:pPr>
    </w:p>
    <w:p>
      <w:pPr>
        <w:ind w:left="460" w:right="599" w:hanging="6"/>
        <w:spacing w:after="0" w:line="255" w:lineRule="auto"/>
        <w:tabs>
          <w:tab w:leader="none" w:pos="725"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redemption of any public shares properly tendered in connection with a shareholder vote to amend our amended and restated memorandum and articles of association that would affect the substance or timing of our obligation</w:t>
      </w:r>
    </w:p>
    <w:p>
      <w:pPr>
        <w:sectPr>
          <w:pgSz w:w="11900" w:h="16838" w:orient="portrait"/>
          <w:cols w:equalWidth="0" w:num="1">
            <w:col w:w="9019"/>
          </w:cols>
          <w:pgMar w:left="1440" w:top="247" w:right="1440" w:bottom="1440" w:gutter="0" w:footer="0" w:header="0"/>
        </w:sectPr>
      </w:pP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47" w:right="1440" w:bottom="1440" w:gutter="0" w:footer="0" w:header="0"/>
          <w:type w:val="continuous"/>
        </w:sectPr>
      </w:pPr>
    </w:p>
    <w:bookmarkStart w:id="35" w:name="page36"/>
    <w:bookmarkEnd w:id="35"/>
    <w:p>
      <w:pPr>
        <w:ind w:left="460" w:right="499"/>
        <w:spacing w:after="0" w:line="287" w:lineRule="auto"/>
        <w:rPr>
          <w:sz w:val="20"/>
          <w:szCs w:val="20"/>
          <w:color w:val="auto"/>
        </w:rPr>
      </w:pPr>
      <w:r>
        <w:rPr>
          <w:rFonts w:ascii="Arial" w:cs="Arial" w:eastAsia="Arial" w:hAnsi="Arial"/>
          <w:sz w:val="16"/>
          <w:szCs w:val="16"/>
          <w:color w:val="auto"/>
        </w:rPr>
        <w:t>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and (iii) the redemption of our public shares if we have not consummated an initial business within 18 months from the closing of this offering, subject to applicable law and as further described herein.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are unable to complete an initial business combination within 18 months from the closing of this offering, with respect to such Class A ordinary shares so redeemed. In no other circumstances will a public shareholder have any right or interest of any kind in the trust account. Holders of warrants will not have any right to the proceeds held in the trust account with respect to the warrants. Accordingly, to liquidate your investment, you may be forced to sell your public shares or warrants, potentially at a loss.</w:t>
      </w:r>
    </w:p>
    <w:p>
      <w:pPr>
        <w:spacing w:after="0" w:line="164" w:lineRule="exact"/>
        <w:rPr>
          <w:sz w:val="20"/>
          <w:szCs w:val="20"/>
          <w:color w:val="auto"/>
        </w:rPr>
      </w:pPr>
    </w:p>
    <w:p>
      <w:pPr>
        <w:ind w:left="460" w:right="519"/>
        <w:spacing w:after="0" w:line="282" w:lineRule="auto"/>
        <w:rPr>
          <w:sz w:val="20"/>
          <w:szCs w:val="20"/>
          <w:color w:val="auto"/>
        </w:rPr>
      </w:pPr>
      <w:r>
        <w:rPr>
          <w:rFonts w:ascii="Arial" w:cs="Arial" w:eastAsia="Arial" w:hAnsi="Arial"/>
          <w:sz w:val="18"/>
          <w:szCs w:val="18"/>
          <w:b w:val="1"/>
          <w:bCs w:val="1"/>
          <w:color w:val="auto"/>
        </w:rPr>
        <w:t>NYSE may delist our securities from trading on its exchange, which could limit investors’ ability to make transactions in our securities and subject us to additional trading restrictions.</w:t>
      </w:r>
    </w:p>
    <w:p>
      <w:pPr>
        <w:spacing w:after="0" w:line="85" w:lineRule="exact"/>
        <w:rPr>
          <w:sz w:val="20"/>
          <w:szCs w:val="20"/>
          <w:color w:val="auto"/>
        </w:rPr>
      </w:pPr>
    </w:p>
    <w:p>
      <w:pPr>
        <w:ind w:left="460" w:right="499" w:firstLine="432"/>
        <w:spacing w:after="0" w:line="290" w:lineRule="auto"/>
        <w:rPr>
          <w:sz w:val="20"/>
          <w:szCs w:val="20"/>
          <w:color w:val="auto"/>
        </w:rPr>
      </w:pPr>
      <w:r>
        <w:rPr>
          <w:rFonts w:ascii="Arial" w:cs="Arial" w:eastAsia="Arial" w:hAnsi="Arial"/>
          <w:sz w:val="16"/>
          <w:szCs w:val="16"/>
          <w:color w:val="auto"/>
        </w:rPr>
        <w:t>Our units have been approved for listing on the NYSE on the date of this prospectus and we expect our Class A ordinary shares and warrants to be listed on the NYSE on or promptly after their date of separation. Although after giving effect to this offering we expect to meet, on a pro forma basis, the minimum initial listing standards set forth in the NYSE listing standards, we cannot assure you that our securities will be, or will continue to be, listed on the NYSE in the future or prior to our initial business combination. In order to continue listing our securities on the NYSE prior to our initial business combination, we must maintain certain financial, distribution and share price levels. Generally, we must maintain a minimum market capitalization (generally $50,000,000) and a minimum number of holders of our securities (generally 400 public holders).</w:t>
      </w:r>
    </w:p>
    <w:p>
      <w:pPr>
        <w:spacing w:after="0" w:line="98" w:lineRule="exact"/>
        <w:rPr>
          <w:sz w:val="20"/>
          <w:szCs w:val="20"/>
          <w:color w:val="auto"/>
        </w:rPr>
      </w:pPr>
    </w:p>
    <w:p>
      <w:pPr>
        <w:ind w:left="460" w:right="699" w:firstLine="432"/>
        <w:spacing w:after="0" w:line="279" w:lineRule="auto"/>
        <w:rPr>
          <w:sz w:val="20"/>
          <w:szCs w:val="20"/>
          <w:color w:val="auto"/>
        </w:rPr>
      </w:pPr>
      <w:r>
        <w:rPr>
          <w:rFonts w:ascii="Arial" w:cs="Arial" w:eastAsia="Arial" w:hAnsi="Arial"/>
          <w:sz w:val="17"/>
          <w:szCs w:val="17"/>
          <w:color w:val="auto"/>
        </w:rPr>
        <w:t>Additionally, our units will not be traded after completion of our initial business combination and, in connection with our initial business combination, we will be required to demonstrate compliance with the NYSE initial listing requirements, which are more rigorous than the NYSE continued listing requirements, in order to continue to maintain the listing of our securities on the NYSE.</w:t>
      </w:r>
    </w:p>
    <w:p>
      <w:pPr>
        <w:spacing w:after="0" w:line="104" w:lineRule="exact"/>
        <w:rPr>
          <w:sz w:val="20"/>
          <w:szCs w:val="20"/>
          <w:color w:val="auto"/>
        </w:rPr>
      </w:pPr>
    </w:p>
    <w:p>
      <w:pPr>
        <w:ind w:left="460" w:right="619" w:firstLine="432"/>
        <w:spacing w:after="0" w:line="296" w:lineRule="auto"/>
        <w:rPr>
          <w:sz w:val="20"/>
          <w:szCs w:val="20"/>
          <w:color w:val="auto"/>
        </w:rPr>
      </w:pPr>
      <w:r>
        <w:rPr>
          <w:rFonts w:ascii="Arial" w:cs="Arial" w:eastAsia="Arial" w:hAnsi="Arial"/>
          <w:sz w:val="16"/>
          <w:szCs w:val="16"/>
          <w:color w:val="auto"/>
        </w:rPr>
        <w:t>For instance, in order for our shares to be listed upon the consummation of our business combination, at such time our share price would generally be required to be at least $4.00 per share, our total market capitalization would be required to be at least $200.0 million, the greatest market value of publicly held shares would be required to be at least $100.0 million and we would be required to have at least 400 round lot shareholders. We cannot assure you that we will be able to meet those listing requirements at that time.</w:t>
      </w:r>
    </w:p>
    <w:p>
      <w:pPr>
        <w:spacing w:after="0" w:line="80" w:lineRule="exact"/>
        <w:rPr>
          <w:sz w:val="20"/>
          <w:szCs w:val="20"/>
          <w:color w:val="auto"/>
        </w:rPr>
      </w:pPr>
    </w:p>
    <w:p>
      <w:pPr>
        <w:jc w:val="both"/>
        <w:ind w:left="460" w:right="479" w:firstLine="432"/>
        <w:spacing w:after="0" w:line="311" w:lineRule="auto"/>
        <w:rPr>
          <w:sz w:val="20"/>
          <w:szCs w:val="20"/>
          <w:color w:val="auto"/>
        </w:rPr>
      </w:pPr>
      <w:r>
        <w:rPr>
          <w:rFonts w:ascii="Arial" w:cs="Arial" w:eastAsia="Arial" w:hAnsi="Arial"/>
          <w:sz w:val="16"/>
          <w:szCs w:val="16"/>
          <w:color w:val="auto"/>
        </w:rPr>
        <w:t>If the NYSE delists our securities from trading on its exchange and we are not able to list our securities on another national securities exchange, we expect our securities could be quoted on an over-the-counter market. If this were to occur, we could face significant material adverse consequences, including:</w:t>
      </w:r>
    </w:p>
    <w:p>
      <w:pPr>
        <w:spacing w:after="0" w:line="81" w:lineRule="exact"/>
        <w:rPr>
          <w:sz w:val="20"/>
          <w:szCs w:val="20"/>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availability of market quotations for our securities;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reduced liquidity for our securities;</w:t>
      </w:r>
    </w:p>
    <w:p>
      <w:pPr>
        <w:spacing w:after="0" w:line="144" w:lineRule="exact"/>
        <w:rPr>
          <w:rFonts w:ascii="Arial" w:cs="Arial" w:eastAsia="Arial" w:hAnsi="Arial"/>
          <w:sz w:val="18"/>
          <w:szCs w:val="18"/>
          <w:color w:val="auto"/>
        </w:rPr>
      </w:pPr>
    </w:p>
    <w:p>
      <w:pPr>
        <w:jc w:val="both"/>
        <w:ind w:left="1320" w:right="819" w:hanging="434"/>
        <w:spacing w:after="0" w:line="311" w:lineRule="auto"/>
        <w:tabs>
          <w:tab w:leader="none" w:pos="1311" w:val="left"/>
        </w:tabs>
        <w:numPr>
          <w:ilvl w:val="0"/>
          <w:numId w:val="17"/>
        </w:numPr>
        <w:rPr>
          <w:rFonts w:ascii="Arial" w:cs="Arial" w:eastAsia="Arial" w:hAnsi="Arial"/>
          <w:sz w:val="16"/>
          <w:szCs w:val="16"/>
          <w:color w:val="auto"/>
        </w:rPr>
      </w:pPr>
      <w:r>
        <w:rPr>
          <w:rFonts w:ascii="Arial" w:cs="Arial" w:eastAsia="Arial" w:hAnsi="Arial"/>
          <w:sz w:val="16"/>
          <w:szCs w:val="16"/>
          <w:color w:val="auto"/>
        </w:rPr>
        <w:t>a determination that our Class A ordinary shares are a “penny stock” which will require brokers trading in our Class A ordinary shares to adhere to more stringent rules and possibly result in a reduced level of trading activity in the secondary trading market for our securities;</w:t>
      </w:r>
    </w:p>
    <w:p>
      <w:pPr>
        <w:spacing w:after="0" w:line="81" w:lineRule="exact"/>
        <w:rPr>
          <w:rFonts w:ascii="Arial" w:cs="Arial" w:eastAsia="Arial" w:hAnsi="Arial"/>
          <w:sz w:val="16"/>
          <w:szCs w:val="16"/>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limited amount of news and analyst coverage;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 decreased ability to issue additional securities or obtain additional financing in the future.</w:t>
      </w:r>
    </w:p>
    <w:p>
      <w:pPr>
        <w:spacing w:after="0" w:line="144"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National Securities Markets Improvement Act of 1996, which is a federal statute, prevents or preempts the states from regulating the sale of certain securities, which are referred to as “covered securities.” Because we expect that our units and eventually our Class A ordinary shares and warrants will be listed on the NYSE, our units, Class A ordinary shares and warrants will qualify as covered securities under the statute. Although the states are preempted from regulating the sale of our securities, the federal statute does allow the states to investigate companies if there is a suspicion of fraud, and, if there is a finding of fraudulent activity, then the states can regulate or bar the sale of covered securities in a particular case. While we are not aware of a state having used these powers to prohibit or</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36" w:name="page37"/>
    <w:bookmarkEnd w:id="36"/>
    <w:p>
      <w:pPr>
        <w:ind w:left="460" w:right="459"/>
        <w:spacing w:after="0" w:line="275" w:lineRule="auto"/>
        <w:rPr>
          <w:sz w:val="20"/>
          <w:szCs w:val="20"/>
          <w:color w:val="auto"/>
        </w:rPr>
      </w:pPr>
      <w:r>
        <w:rPr>
          <w:rFonts w:ascii="Arial" w:cs="Arial" w:eastAsia="Arial" w:hAnsi="Arial"/>
          <w:sz w:val="17"/>
          <w:szCs w:val="17"/>
          <w:color w:val="auto"/>
        </w:rPr>
        <w:t>restrict the sale of securities issued by blank check companies, other than the State of Idaho, certain state securities regulators view blank check companies unfavorably and might use these powers, or threaten to use these powers, to hinder the sale of securities of blank check companies in their states. Further, if we were no longer listed on the NYSE, our securities would not qualify as covered securities under the statute and we would be subject to regulation in each state in which we offer our securities.</w:t>
      </w:r>
    </w:p>
    <w:p>
      <w:pPr>
        <w:spacing w:after="0" w:line="172" w:lineRule="exact"/>
        <w:rPr>
          <w:sz w:val="20"/>
          <w:szCs w:val="20"/>
          <w:color w:val="auto"/>
        </w:rPr>
      </w:pPr>
    </w:p>
    <w:p>
      <w:pPr>
        <w:ind w:left="460" w:right="1219"/>
        <w:spacing w:after="0" w:line="282" w:lineRule="auto"/>
        <w:rPr>
          <w:sz w:val="20"/>
          <w:szCs w:val="20"/>
          <w:color w:val="auto"/>
        </w:rPr>
      </w:pPr>
      <w:r>
        <w:rPr>
          <w:rFonts w:ascii="Arial" w:cs="Arial" w:eastAsia="Arial" w:hAnsi="Arial"/>
          <w:sz w:val="18"/>
          <w:szCs w:val="18"/>
          <w:b w:val="1"/>
          <w:bCs w:val="1"/>
          <w:color w:val="auto"/>
        </w:rPr>
        <w:t>You will not be entitled to protections normally afforded to investors of many other blank check companies.</w:t>
      </w:r>
    </w:p>
    <w:p>
      <w:pPr>
        <w:spacing w:after="0" w:line="85"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Since the net proceeds of this offering and the sale of the private placement warrants are intended to be used to complete an initial business combination with a target business that has not been selected, we may be deemed to be a “blank check” company under the United States securities laws. However, because we will have net tangible assets in excess of $5,000,000 upon the completion of this offering and the sale of the private placement warrants and will file a Current Report on Form 8-K, including an audited balance sheet demonstrating this fact, we are exempt from rules promulgated by the SEC to protect investors in blank check companies, such as Rule 419. Accordingly, investors will not be afforded the benefits or protections of those rules. Among other things, this means our units will be immediately tradable and we will have a longer period of time to complete our initial business combination than do companies subject to Rule 419. Moreover, if this offering were subject to Rule 419, that rule would prohibit the release of any interest earned on funds held in the trust account to us unless and until the funds in the trust account were released to us in connection with our completion of an initial business combination. For a more detailed comparison of our offering to offerings that comply with Rule 419, please see “Proposed Business — Comparison of This Offering to Those of Blank Check Companies Subject to Rule 419.”</w:t>
      </w:r>
    </w:p>
    <w:p>
      <w:pPr>
        <w:spacing w:after="0" w:line="180" w:lineRule="exact"/>
        <w:rPr>
          <w:sz w:val="20"/>
          <w:szCs w:val="20"/>
          <w:color w:val="auto"/>
        </w:rPr>
      </w:pPr>
    </w:p>
    <w:p>
      <w:pPr>
        <w:ind w:left="460" w:right="479"/>
        <w:spacing w:after="0" w:line="261" w:lineRule="auto"/>
        <w:rPr>
          <w:sz w:val="20"/>
          <w:szCs w:val="20"/>
          <w:color w:val="auto"/>
        </w:rPr>
      </w:pPr>
      <w:r>
        <w:rPr>
          <w:rFonts w:ascii="Arial" w:cs="Arial" w:eastAsia="Arial" w:hAnsi="Arial"/>
          <w:sz w:val="18"/>
          <w:szCs w:val="18"/>
          <w:b w:val="1"/>
          <w:bCs w:val="1"/>
          <w:color w:val="auto"/>
        </w:rPr>
        <w:t>If we seek shareholder approval of our initial business combination and we do not conduct redemptions pursuant to the tender offer rules, and if you or a “group” of shareholders are deemed to hold in excess of 15% of our Class A ordinary shares, you will lose the ability to redeem all such shares in excess of 15% of our Class A ordinary shares.</w:t>
      </w:r>
    </w:p>
    <w:p>
      <w:pPr>
        <w:spacing w:after="0" w:line="116"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without our prior consent, which we refer to as the “Excess Shares.” However, we would not be restricting our shareholders’ ability to vote all of their shares (including Excess Shares) for or against our initial business combination. Your inability to redeem the Excess Shares will reduce your influence over our ability to complete our initial business combination and you could suffer a material loss on your investment in us if you sell Excess Shares in open market transactions. Additionally, you will not receive redemption distributions with respect to the Excess Shares if we complete our initial business combination. And as a result, you will continue to hold that number of shares exceeding 15% and, in order to dispose of such shares, would be required to sell your shares in open market transactions, potentially at a loss.</w:t>
      </w:r>
    </w:p>
    <w:p>
      <w:pPr>
        <w:spacing w:after="0" w:line="180" w:lineRule="exact"/>
        <w:rPr>
          <w:sz w:val="20"/>
          <w:szCs w:val="20"/>
          <w:color w:val="auto"/>
        </w:rPr>
      </w:pPr>
    </w:p>
    <w:p>
      <w:pPr>
        <w:ind w:left="460" w:right="599"/>
        <w:spacing w:after="0" w:line="266" w:lineRule="auto"/>
        <w:rPr>
          <w:sz w:val="20"/>
          <w:szCs w:val="20"/>
          <w:color w:val="auto"/>
        </w:rPr>
      </w:pPr>
      <w:r>
        <w:rPr>
          <w:rFonts w:ascii="Arial" w:cs="Arial" w:eastAsia="Arial" w:hAnsi="Arial"/>
          <w:sz w:val="18"/>
          <w:szCs w:val="18"/>
          <w:b w:val="1"/>
          <w:bCs w:val="1"/>
          <w:color w:val="auto"/>
        </w:rPr>
        <w:t>Our search for a business combination, and any target business with which we ultimately consummate a business combination, may be materially adversely affected by the recent coronavirus (COVID-19) outbreak and the status of debt and equity markets.</w:t>
      </w:r>
    </w:p>
    <w:p>
      <w:pPr>
        <w:spacing w:after="0" w:line="112"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In December 2019, a novel strain of coronavirus was reported to have surfaced in Wuhan, China, which has and is continuing to spread throughout China and other parts of the world, including the United States. On January 30, 2020, the World Health Organization declared the outbreak of the coronavirus disease (COVID-19) a “Public Health Emergency of International Concern.” On January 31, 2020, U.S. Health and Human Services Secretary Alex M. Azar II declared a public health emergency for the United States to aid the U.S. healthcare community in responding to COVID-19, and on March 11, 2020 the World Health Organization characterized the outbreak as a “pandemic”. A significant outbreak of COVID-19 and other infectious diseases could result in a widespread health crisis that could adversely affect the economies and financial markets worldwide, and the business of any potential target business with which we consummate a business combination could be materially and adversely affected. Furthermore, we may be unable to complete a business combination if continued concerns relating to COVID-19 restrict travel, limit the ability to have meetings with potential investors or the target company’s personnel, vendors and services providers are unavailable to negotiate and consummate a transaction in a</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7" w:name="page38"/>
    <w:bookmarkEnd w:id="37"/>
    <w:p>
      <w:pPr>
        <w:ind w:left="460" w:right="479"/>
        <w:spacing w:after="0" w:line="293" w:lineRule="auto"/>
        <w:rPr>
          <w:sz w:val="20"/>
          <w:szCs w:val="20"/>
          <w:color w:val="auto"/>
        </w:rPr>
      </w:pPr>
      <w:r>
        <w:rPr>
          <w:rFonts w:ascii="Arial" w:cs="Arial" w:eastAsia="Arial" w:hAnsi="Arial"/>
          <w:sz w:val="16"/>
          <w:szCs w:val="16"/>
          <w:color w:val="auto"/>
        </w:rPr>
        <w:t>timely manner. The extent to which COVID-19 impacts our search for a business combination will depend on future developments, which are highly uncertain and cannot be predicted, including new information which may emerge concerning the severity of COVID-19 and the actions to contain COVID-19 or treat its impact, among others. If the disruptions posed by COVID-19 or other matters of global concern continue for an extensive period of time, our ability to consummate a business combination, or the operations of a target business with which we ultimately consummate a business combination, may be materially adversely affected.</w:t>
      </w:r>
    </w:p>
    <w:p>
      <w:pPr>
        <w:spacing w:after="0" w:line="83"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In addition, our ability to consummate a transaction may be dependent on the ability to raise equity and debt financing which may be impacted by COVID-19 and other events.</w:t>
      </w:r>
    </w:p>
    <w:p>
      <w:pPr>
        <w:spacing w:after="0" w:line="166" w:lineRule="exact"/>
        <w:rPr>
          <w:sz w:val="20"/>
          <w:szCs w:val="20"/>
          <w:color w:val="auto"/>
        </w:rPr>
      </w:pPr>
    </w:p>
    <w:p>
      <w:pPr>
        <w:ind w:left="460" w:right="479"/>
        <w:spacing w:after="0" w:line="258" w:lineRule="auto"/>
        <w:rPr>
          <w:sz w:val="20"/>
          <w:szCs w:val="20"/>
          <w:color w:val="auto"/>
        </w:rPr>
      </w:pPr>
      <w:r>
        <w:rPr>
          <w:rFonts w:ascii="Arial" w:cs="Arial" w:eastAsia="Arial" w:hAnsi="Arial"/>
          <w:sz w:val="18"/>
          <w:szCs w:val="18"/>
          <w:b w:val="1"/>
          <w:bCs w:val="1"/>
          <w:color w:val="auto"/>
        </w:rPr>
        <w:t>Because of our limited resources and the significant competition for business combination opportunities, it may be more difficult for us to complete our initial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120"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We expect to encounter intense competition from other entities having a business objective similar to ours, including private investors (which may be individuals or investment partnerships), other blank check companies and other entities, domestic and international, competing for the types of businesses we intend to acquire. Many of these individuals and entities are well-established and have extensive experience in identifying and effecting, directly or indirectly, acquisitions of companies operating in or providing services to various industries. Many of these competitors possess greater technical, human and other resources or more local industry knowledge than we do and our financial resources will be relatively limited when contrasted with those of many of these competitors. While we believe there are numerous target businesses we could potentially acquire with the net proceeds of this offering and the sale of the private placement warrants, our ability to compete with respect to the acquisition of certain target businesses that are sizable will be limited by our available financial resources. This inherent competitive limitation gives others an advantage in pursuing the acquisition of certain target businesses. Furthermore, we are obligated to offer holders of our public shares the right to redeem their shares for cash at the time of our initial business combination in conjunction with a shareholder vote or via a tender offer. Target companies will be aware that this may reduce the resources available to us for our initial business combination. Any of these obligations may place us at a competitive disadvantage in successfully negotiating a business combination. If we are unable to complete our initial business combination our public shareholders may receive only their pro rata portion of the funds in the trust account that are available for distribution to public shareholders, and our warrants will expire worthless.</w:t>
      </w:r>
    </w:p>
    <w:p>
      <w:pPr>
        <w:spacing w:after="0" w:line="167" w:lineRule="exact"/>
        <w:rPr>
          <w:sz w:val="20"/>
          <w:szCs w:val="20"/>
          <w:color w:val="auto"/>
        </w:rPr>
      </w:pPr>
    </w:p>
    <w:p>
      <w:pPr>
        <w:ind w:left="460" w:right="519"/>
        <w:spacing w:after="0" w:line="258" w:lineRule="auto"/>
        <w:rPr>
          <w:sz w:val="20"/>
          <w:szCs w:val="20"/>
          <w:color w:val="auto"/>
        </w:rPr>
      </w:pPr>
      <w:r>
        <w:rPr>
          <w:rFonts w:ascii="Arial" w:cs="Arial" w:eastAsia="Arial" w:hAnsi="Arial"/>
          <w:sz w:val="18"/>
          <w:szCs w:val="18"/>
          <w:b w:val="1"/>
          <w:bCs w:val="1"/>
          <w:color w:val="auto"/>
        </w:rPr>
        <w:t>If the net proceeds of this offering and the sale of the private placement warrants not being held in the trust account are insufficient to allow us to operate for at least the next 18 months, it could limit the amount available to fund our search for a target business or businesses and complete our initial business combination, and we will depend on loans from our sponsor or management team to fund our search and to complete our initial business combination.</w:t>
      </w:r>
    </w:p>
    <w:p>
      <w:pPr>
        <w:spacing w:after="0" w:line="120"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Of the net proceeds of this offering and the sale of the private placement warrants, only $2,500,000 (or $1,600,000 if the underwriter’s over-allotment option is exercised in full) will be available to us initially outside the trust account to fund our working capital requirements. We believe that, upon closing of this offering, the funds available to us outside of the trust account, together with funds available from loans from our sponsor, will be sufficient to allow us to operate for at least the next 18 months; however, we cannot assure you that our estimate is accurate. Of the funds available to us, we expect to use a portion of the funds available to us to pay fees to consultants to assist us with our search for a target business. We could also use a portion of the funds as a down payment or to fund a “no-shop” provision (a provision in letters of intent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 letter of intent where we paid for the right to receive exclusivity from a target business and were subsequently required to forfeit such funds (whether as a result of our breach or otherwise), we might not have sufficient funds to continue searching for, or conduct due diligence with respect to, a target business.</w:t>
      </w:r>
    </w:p>
    <w:p>
      <w:pPr>
        <w:spacing w:after="0" w:line="103"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In the event that our offering expenses exceed our estimate of $1,000,000, we may fund such excess with funds not to be held in the trust account. In such case, unless funded by the proceeds of loans available from our sponsor, the amount of funds we intend to be held outside the trust account would decrease by a corresponding amount. Conversely, in the event that the offering expenses are less than our estimate of $1,000,000, the amount of</w:t>
      </w:r>
    </w:p>
    <w:p>
      <w:pPr>
        <w:sectPr>
          <w:pgSz w:w="11900" w:h="16838" w:orient="portrait"/>
          <w:cols w:equalWidth="0" w:num="1">
            <w:col w:w="9019"/>
          </w:cols>
          <w:pgMar w:left="1440" w:top="274" w:right="1440" w:bottom="1440" w:gutter="0" w:footer="0" w:header="0"/>
        </w:sectPr>
      </w:pP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8" w:name="page39"/>
    <w:bookmarkEnd w:id="38"/>
    <w:p>
      <w:pPr>
        <w:ind w:left="460" w:right="499"/>
        <w:spacing w:after="0" w:line="286" w:lineRule="auto"/>
        <w:rPr>
          <w:sz w:val="20"/>
          <w:szCs w:val="20"/>
          <w:color w:val="auto"/>
        </w:rPr>
      </w:pPr>
      <w:r>
        <w:rPr>
          <w:rFonts w:ascii="Arial" w:cs="Arial" w:eastAsia="Arial" w:hAnsi="Arial"/>
          <w:sz w:val="16"/>
          <w:szCs w:val="16"/>
          <w:color w:val="auto"/>
        </w:rPr>
        <w:t>funds we intend to be held outside the trust account would increase by a corresponding amount. The amount held in the trust account will not be impacted as a result of such increase or decrease. If we are required to seek additional capital, we would need to borrow funds from our sponsor, management team or other third parties to operate or may be forced to liquidate. Neither our sponsor, members of our management team nor any of their affiliates is under any obligation to advance funds to us in such circumstances. Any such advances would be repaid only from funds held outside the trust account or from funds released to us upon completion of our initial business combination. Up to $1,500,000 of such loans may be convertible into warrants of the post-business combination entity at a price of $1.00 per warrant at the option of the lender. The warrants would be identical to the private placement warrants.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 If we are unable to complete our initial business combination because we do not have sufficient funds available to us, we will be forced to cease operations and liquidate the trust account. Consequently, our public shareholders may only receive an estimated $10.00 per share, or possibly less, on our redemption of our public shares, and our warrants will expire worthless.</w:t>
      </w:r>
    </w:p>
    <w:p>
      <w:pPr>
        <w:spacing w:after="0" w:line="163" w:lineRule="exact"/>
        <w:rPr>
          <w:sz w:val="20"/>
          <w:szCs w:val="20"/>
          <w:color w:val="auto"/>
        </w:rPr>
      </w:pPr>
    </w:p>
    <w:p>
      <w:pPr>
        <w:ind w:left="460" w:right="479"/>
        <w:spacing w:after="0" w:line="261" w:lineRule="auto"/>
        <w:rPr>
          <w:sz w:val="20"/>
          <w:szCs w:val="20"/>
          <w:color w:val="auto"/>
        </w:rPr>
      </w:pPr>
      <w:r>
        <w:rPr>
          <w:rFonts w:ascii="Arial" w:cs="Arial" w:eastAsia="Arial" w:hAnsi="Arial"/>
          <w:sz w:val="18"/>
          <w:szCs w:val="18"/>
          <w:b w:val="1"/>
          <w:bCs w:val="1"/>
          <w:color w:val="auto"/>
        </w:rPr>
        <w:t>Subsequent to our completion of our initial business combination, we may be required to take write-downs or write-offs, restructuring and impairment or other charges that could have a significant negative effect on our financial condition, results of operations and our share price, which could cause you to lose some or all of your investment.</w:t>
      </w:r>
    </w:p>
    <w:p>
      <w:pPr>
        <w:spacing w:after="0" w:line="103"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Even if we conduct due diligence on a target business with which we combine, we cannot assure you that this diligence will surface all material issues with a particular target business, that it would be possible to uncover all material issues through a customary amount of due diligence, or that factors outside of the target business and outside of our control will not later arise. As a result of these factors, we may be forced to later write-down or write-off assets, restructure our operations, or incur impairment or other charges that could result in our reporting losses. Even if our due diligence successfully identifies certain risks, unexpected risks may arise and previously known risks may materialize in a manner not consistent with our preliminary risk analysis. Even though these charges may be non-cash items and not have an immediate impact on our liquidity, the fact that we report charges of this nature could contribute to negative market perceptions about us or our securities. In addition, charges of this nature may cause us to violate net worth or other covenants to which we may be subject as a result of assuming pre-existing debt held by a target business or by virtue of our obtaining post-combination debt financing. Accordingly, any shareholders who choose to remain shareholders following the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386" w:lineRule="exact"/>
        <w:rPr>
          <w:sz w:val="20"/>
          <w:szCs w:val="20"/>
          <w:color w:val="auto"/>
        </w:rPr>
      </w:pPr>
    </w:p>
    <w:p>
      <w:pPr>
        <w:ind w:left="460" w:right="679"/>
        <w:spacing w:after="0" w:line="347" w:lineRule="auto"/>
        <w:rPr>
          <w:sz w:val="20"/>
          <w:szCs w:val="20"/>
          <w:color w:val="auto"/>
        </w:rPr>
      </w:pPr>
      <w:r>
        <w:rPr>
          <w:rFonts w:ascii="Arial" w:cs="Arial" w:eastAsia="Arial" w:hAnsi="Arial"/>
          <w:sz w:val="16"/>
          <w:szCs w:val="16"/>
          <w:b w:val="1"/>
          <w:bCs w:val="1"/>
          <w:color w:val="auto"/>
        </w:rPr>
        <w:t>If third parties bring claims against us, the proceeds held in the trust account could be reduced and the per-share redemption amount received by shareholders may be less than $10.00 per share.</w:t>
      </w:r>
    </w:p>
    <w:p>
      <w:pPr>
        <w:spacing w:after="0" w:line="52"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Our placing of funds in the trust account may not protect those funds from third-party claims against us. 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such parties may not execute such agreements, or even if they execute such agreements, they may not be prevented from bringing claims against the trust account, including, but not limited to, fraudulent inducement, breach of fiduciary responsibility or other similar claims, as well as claims challenging the enforceability of the waiver, in each case in order to gain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the company and will only enter into an agreement with such third party that has not executed a waiver if management believes that such third party’s engagement would be significantly more beneficial to us than any alternative. The underwriter will not execute an agreement with us waiving such claims to the monies held in the trust account.</w:t>
      </w:r>
    </w:p>
    <w:p>
      <w:pPr>
        <w:spacing w:after="0" w:line="117" w:lineRule="exact"/>
        <w:rPr>
          <w:sz w:val="20"/>
          <w:szCs w:val="20"/>
          <w:color w:val="auto"/>
        </w:rPr>
      </w:pPr>
    </w:p>
    <w:p>
      <w:pPr>
        <w:ind w:left="460" w:right="999" w:firstLine="432"/>
        <w:spacing w:after="0" w:line="263" w:lineRule="auto"/>
        <w:rPr>
          <w:sz w:val="20"/>
          <w:szCs w:val="20"/>
          <w:color w:val="auto"/>
        </w:rPr>
      </w:pPr>
      <w:r>
        <w:rPr>
          <w:rFonts w:ascii="Arial" w:cs="Arial" w:eastAsia="Arial" w:hAnsi="Arial"/>
          <w:sz w:val="18"/>
          <w:szCs w:val="18"/>
          <w:color w:val="auto"/>
        </w:rPr>
        <w:t>Examples of possible instances where we may engage a third party that refuses to execute a waiver include the engagement of a third-party consultant whose particular expertise or skills are believed by management to be</w:t>
      </w:r>
    </w:p>
    <w:p>
      <w:pPr>
        <w:sectPr>
          <w:pgSz w:w="11900" w:h="16838" w:orient="portrait"/>
          <w:cols w:equalWidth="0" w:num="1">
            <w:col w:w="9019"/>
          </w:cols>
          <w:pgMar w:left="1440" w:top="27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39" w:name="page40"/>
    <w:bookmarkEnd w:id="39"/>
    <w:p>
      <w:pPr>
        <w:ind w:left="460" w:right="479"/>
        <w:spacing w:after="0" w:line="284" w:lineRule="auto"/>
        <w:rPr>
          <w:sz w:val="20"/>
          <w:szCs w:val="20"/>
          <w:color w:val="auto"/>
        </w:rPr>
      </w:pPr>
      <w:r>
        <w:rPr>
          <w:rFonts w:ascii="Arial" w:cs="Arial" w:eastAsia="Arial" w:hAnsi="Arial"/>
          <w:sz w:val="16"/>
          <w:szCs w:val="16"/>
          <w:color w:val="auto"/>
        </w:rPr>
        <w:t xml:space="preserve">significantly superior to those of other consultants that would agree to execute a waiver or in cases where management is unable to find a service provider willing to execute a waiver. In addition, there is no guarantee that such entities will agree to waive any claims they may have in the future as a result of, or arising out of, any negotiations, contracts or agreements with us and will not seek recourse against the trust account for any reason. Upon redemption of our public shares, if we have not consummated an initial business combination within 18 months from the closing of this offering, or upon the exercise of a redemption right in connection with our initial business combination, we will be required to provide for payment of claims of creditors that were not waived that may be brought against us within the ten years following redemption. Accordingly, the per-share redemption amount received by public shareholders could be less than the $10.00 per public share initially held in the trust account, due to claims of such creditors. Pursuant to the letter agreement the form of which is filed as an exhibit to the registration statement of which this prospectus forms a part, our sponsor has agreed that it will be liable to us if and to the extent any claims by a third party (other than our independent auditors) for services rendered or products sold to us, or a prospective target business with which we have discussed entering into a transaction agreement, reduce the amounts in the trust account to below the lesser of (i) $10.00 per public share and (ii) the actual amount per share held in the trust account as of the date of the liquidation of the trust account if less than $10.00 per share due to reductions in the value of the trust assets, in each case net of the interest that may be withdrawn to pay our tax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liability will not apply to any claims by a third party or prospective target business that executed a waiver of any and all rights to seek access to the trust account (whether or not such waiver is enforceable) nor will it apply to any claims under our indemnity of the underwriter of this offering against certain liabilities, including liabilities under the Securities Act. Moreover, in the event that an executed waiver is deemed to be unenforceable against a third party, our sponsor will not be responsible to the extent of any liability for such third-party claims.</w:t>
      </w:r>
    </w:p>
    <w:p>
      <w:pPr>
        <w:spacing w:after="0" w:line="97"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72" w:lineRule="exact"/>
        <w:rPr>
          <w:sz w:val="20"/>
          <w:szCs w:val="20"/>
          <w:color w:val="auto"/>
        </w:rPr>
      </w:pPr>
    </w:p>
    <w:p>
      <w:pPr>
        <w:ind w:left="460" w:right="839"/>
        <w:spacing w:after="0" w:line="266" w:lineRule="auto"/>
        <w:rPr>
          <w:sz w:val="20"/>
          <w:szCs w:val="20"/>
          <w:color w:val="auto"/>
        </w:rPr>
      </w:pPr>
      <w:r>
        <w:rPr>
          <w:rFonts w:ascii="Arial" w:cs="Arial" w:eastAsia="Arial" w:hAnsi="Arial"/>
          <w:sz w:val="18"/>
          <w:szCs w:val="18"/>
          <w:b w:val="1"/>
          <w:bCs w:val="1"/>
          <w:color w:val="auto"/>
        </w:rPr>
        <w:t>Our directors may decide not to enforce the indemnification obligations of our sponsor, resulting in a reduction in the amount of funds in the trust account available for distribution to our public shareholders.</w:t>
      </w:r>
    </w:p>
    <w:p>
      <w:pPr>
        <w:spacing w:after="0" w:line="11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In the event that the proceeds in the trust account are reduced below the lesser of (i) $10.00 per share and</w:t>
      </w:r>
    </w:p>
    <w:p>
      <w:pPr>
        <w:spacing w:after="0" w:line="46" w:lineRule="exact"/>
        <w:rPr>
          <w:sz w:val="20"/>
          <w:szCs w:val="20"/>
          <w:color w:val="auto"/>
        </w:rPr>
      </w:pPr>
    </w:p>
    <w:p>
      <w:pPr>
        <w:ind w:left="460" w:right="479" w:hanging="6"/>
        <w:spacing w:after="0" w:line="286" w:lineRule="auto"/>
        <w:tabs>
          <w:tab w:leader="none" w:pos="725"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actual amount per share held in the trust account as of the date of the liquidation of the trust account if less than $10.00 per share due to reductions in the value of the trust assets, in each case net of the interest that may be withdrawn to pay our tax obligations, and our sponsor asserts that it is unable to satisfy its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and subject to their fiduciary duties may choose not to do so in any particular instance. If our independent directors choose not to enforce these indemnification obligations, the amount of funds in the trust account available for distribution to our public shareholders may be reduced below $10.00 per share.</w:t>
      </w:r>
    </w:p>
    <w:p>
      <w:pPr>
        <w:spacing w:after="0" w:line="16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We may not have sufficient funds to satisfy indemnification claims of our directors and executive officers.</w:t>
      </w:r>
    </w:p>
    <w:p>
      <w:pPr>
        <w:spacing w:after="0" w:line="185"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We have agreed to indemnify our officers and directors to the fullest extent permitted by law. However, our officers and directors have agreed to waive any right, title, interest or claim of any kind in or to any monies in the trust account and to not seek recourse against the trust account for any reason whatsoever (except to the extent they are entitled to funds from the trust account due to their ownership of public shares). Accordingly, any indemnification provided will be able to be satisfied by us only if (i) we have sufficient funds outside of the trust account or (ii) we consummate an initial business combination. Our obligation to indemnify our officers and directors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0" w:name="page41"/>
    <w:bookmarkEnd w:id="40"/>
    <w:p>
      <w:pPr>
        <w:ind w:left="460" w:right="659"/>
        <w:spacing w:after="0" w:line="277" w:lineRule="auto"/>
        <w:rPr>
          <w:sz w:val="20"/>
          <w:szCs w:val="20"/>
          <w:color w:val="auto"/>
        </w:rPr>
      </w:pPr>
      <w:r>
        <w:rPr>
          <w:rFonts w:ascii="Arial" w:cs="Arial" w:eastAsia="Arial" w:hAnsi="Arial"/>
          <w:sz w:val="17"/>
          <w:szCs w:val="17"/>
          <w:b w:val="1"/>
          <w:bCs w:val="1"/>
          <w:color w:val="auto"/>
        </w:rPr>
        <w:t>If, after we distribute the proceeds in the trust account to our public shareholders, we file a bankruptcy petition or an involuntary bankruptcy petition is filed against us that is not dismissed, a bankruptcy court may seek to recover such proceeds, and the members of our board of directors may be viewed as having breached their fiduciary duties to our creditors, thereby exposing the members of our board of directors and us to claims of punitive damages.</w:t>
      </w:r>
    </w:p>
    <w:p>
      <w:pPr>
        <w:spacing w:after="0" w:line="104"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If, after we distribute the proceeds in the trust account to our public shareholders,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In addition, our board of directors may be viewed as having breached its fiduciary duty to our creditors and/or having acted in bad faith, thereby exposing itself and us to claims of punitive damages, by paying public shareholders from the trust account prior to addressing the claims of creditors.</w:t>
      </w:r>
    </w:p>
    <w:p>
      <w:pPr>
        <w:spacing w:after="0" w:line="188" w:lineRule="exact"/>
        <w:rPr>
          <w:sz w:val="20"/>
          <w:szCs w:val="20"/>
          <w:color w:val="auto"/>
        </w:rPr>
      </w:pPr>
    </w:p>
    <w:p>
      <w:pPr>
        <w:ind w:left="460" w:right="579"/>
        <w:spacing w:after="0" w:line="258" w:lineRule="auto"/>
        <w:rPr>
          <w:sz w:val="20"/>
          <w:szCs w:val="20"/>
          <w:color w:val="auto"/>
        </w:rPr>
      </w:pPr>
      <w:r>
        <w:rPr>
          <w:rFonts w:ascii="Arial" w:cs="Arial" w:eastAsia="Arial" w:hAnsi="Arial"/>
          <w:sz w:val="18"/>
          <w:szCs w:val="18"/>
          <w:b w:val="1"/>
          <w:bCs w:val="1"/>
          <w:color w:val="auto"/>
        </w:rPr>
        <w:t>If, before distributing the proceeds in the trust account to our public shareholders, we file a bankruptcy petition or an involuntary bankruptcy petition is filed against us that is not dismissed, the claims of creditors in such proceeding may have priority over the claims of our shareholders and the per-share amount that would otherwise be received by our shareholders in connection with our liquidation may be reduced.</w:t>
      </w:r>
    </w:p>
    <w:p>
      <w:pPr>
        <w:spacing w:after="0" w:line="106" w:lineRule="exact"/>
        <w:rPr>
          <w:sz w:val="20"/>
          <w:szCs w:val="20"/>
          <w:color w:val="auto"/>
        </w:rPr>
      </w:pPr>
    </w:p>
    <w:p>
      <w:pPr>
        <w:ind w:left="460" w:right="639" w:firstLine="432"/>
        <w:spacing w:after="0" w:line="273" w:lineRule="auto"/>
        <w:rPr>
          <w:sz w:val="20"/>
          <w:szCs w:val="20"/>
          <w:color w:val="auto"/>
        </w:rPr>
      </w:pPr>
      <w:r>
        <w:rPr>
          <w:rFonts w:ascii="Arial" w:cs="Arial" w:eastAsia="Arial" w:hAnsi="Arial"/>
          <w:sz w:val="17"/>
          <w:szCs w:val="17"/>
          <w:color w:val="auto"/>
        </w:rPr>
        <w:t>If, before distributing the proceeds in the trust account to our public shareholders,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the per-share amount that would otherwise be received by our shareholders in connection with our liquidation may be reduced.</w:t>
      </w:r>
    </w:p>
    <w:p>
      <w:pPr>
        <w:spacing w:after="0" w:line="174" w:lineRule="exact"/>
        <w:rPr>
          <w:sz w:val="20"/>
          <w:szCs w:val="20"/>
          <w:color w:val="auto"/>
        </w:rPr>
      </w:pPr>
    </w:p>
    <w:p>
      <w:pPr>
        <w:jc w:val="both"/>
        <w:ind w:left="460" w:right="559"/>
        <w:spacing w:after="0" w:line="266" w:lineRule="auto"/>
        <w:rPr>
          <w:sz w:val="20"/>
          <w:szCs w:val="20"/>
          <w:color w:val="auto"/>
        </w:rPr>
      </w:pPr>
      <w:r>
        <w:rPr>
          <w:rFonts w:ascii="Arial" w:cs="Arial" w:eastAsia="Arial" w:hAnsi="Arial"/>
          <w:sz w:val="18"/>
          <w:szCs w:val="18"/>
          <w:b w:val="1"/>
          <w:bCs w:val="1"/>
          <w:color w:val="auto"/>
        </w:rPr>
        <w:t>If we are deemed to be an investment company under the Investment Company Act, we may be required to institute burdensome compliance requirements and our activities may be restricted, which may make it difficult for us to complete our initial business combination.</w:t>
      </w:r>
    </w:p>
    <w:p>
      <w:pPr>
        <w:spacing w:after="0" w:line="112" w:lineRule="exact"/>
        <w:rPr>
          <w:sz w:val="20"/>
          <w:szCs w:val="20"/>
          <w:color w:val="auto"/>
        </w:rPr>
      </w:pPr>
    </w:p>
    <w:p>
      <w:pPr>
        <w:ind w:left="460" w:right="519" w:firstLine="432"/>
        <w:spacing w:after="0" w:line="277" w:lineRule="auto"/>
        <w:rPr>
          <w:sz w:val="20"/>
          <w:szCs w:val="20"/>
          <w:color w:val="auto"/>
        </w:rPr>
      </w:pPr>
      <w:r>
        <w:rPr>
          <w:rFonts w:ascii="Arial" w:cs="Arial" w:eastAsia="Arial" w:hAnsi="Arial"/>
          <w:sz w:val="18"/>
          <w:szCs w:val="18"/>
          <w:color w:val="auto"/>
        </w:rPr>
        <w:t>If we are deemed to be an investment company under the Investment Company Act, our activities may be restricted, including:</w:t>
      </w:r>
    </w:p>
    <w:p>
      <w:pPr>
        <w:spacing w:after="0" w:line="103" w:lineRule="exact"/>
        <w:rPr>
          <w:sz w:val="20"/>
          <w:szCs w:val="20"/>
          <w:color w:val="auto"/>
        </w:rPr>
      </w:pPr>
    </w:p>
    <w:p>
      <w:pPr>
        <w:ind w:left="1300" w:hanging="414"/>
        <w:spacing w:after="0"/>
        <w:tabs>
          <w:tab w:leader="none" w:pos="13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nature of our investments; and</w:t>
      </w:r>
    </w:p>
    <w:p>
      <w:pPr>
        <w:spacing w:after="0" w:line="117" w:lineRule="exact"/>
        <w:rPr>
          <w:rFonts w:ascii="Arial" w:cs="Arial" w:eastAsia="Arial" w:hAnsi="Arial"/>
          <w:sz w:val="18"/>
          <w:szCs w:val="18"/>
          <w:color w:val="auto"/>
        </w:rPr>
      </w:pPr>
    </w:p>
    <w:p>
      <w:pPr>
        <w:ind w:left="1320" w:right="559" w:hanging="434"/>
        <w:spacing w:after="0" w:line="277" w:lineRule="auto"/>
        <w:tabs>
          <w:tab w:leader="none" w:pos="1311" w:val="left"/>
        </w:tabs>
        <w:numPr>
          <w:ilvl w:val="0"/>
          <w:numId w:val="19"/>
        </w:numPr>
        <w:rPr>
          <w:rFonts w:ascii="Arial" w:cs="Arial" w:eastAsia="Arial" w:hAnsi="Arial"/>
          <w:sz w:val="18"/>
          <w:szCs w:val="18"/>
          <w:color w:val="auto"/>
        </w:rPr>
      </w:pPr>
      <w:r>
        <w:rPr>
          <w:rFonts w:ascii="Arial" w:cs="Arial" w:eastAsia="Arial" w:hAnsi="Arial"/>
          <w:sz w:val="18"/>
          <w:szCs w:val="18"/>
          <w:color w:val="auto"/>
        </w:rPr>
        <w:t>restrictions on the issuance of securities, each of which may make it difficult for us to complete our initial business combination.</w:t>
      </w:r>
    </w:p>
    <w:p>
      <w:pPr>
        <w:spacing w:after="0" w:line="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In addition, we may have imposed upon us burdensome requirements, including:</w:t>
      </w:r>
    </w:p>
    <w:p>
      <w:pPr>
        <w:spacing w:after="0" w:line="117" w:lineRule="exact"/>
        <w:rPr>
          <w:sz w:val="20"/>
          <w:szCs w:val="20"/>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registration as an investment company;</w:t>
      </w:r>
    </w:p>
    <w:p>
      <w:pPr>
        <w:spacing w:after="0" w:line="117" w:lineRule="exact"/>
        <w:rPr>
          <w:rFonts w:ascii="Arial" w:cs="Arial" w:eastAsia="Arial" w:hAnsi="Arial"/>
          <w:sz w:val="18"/>
          <w:szCs w:val="18"/>
          <w:color w:val="auto"/>
        </w:rPr>
      </w:pPr>
    </w:p>
    <w:p>
      <w:pPr>
        <w:ind w:left="1300" w:hanging="414"/>
        <w:spacing w:after="0"/>
        <w:tabs>
          <w:tab w:leader="none" w:pos="1300" w:val="left"/>
        </w:tabs>
        <w:numPr>
          <w:ilvl w:val="0"/>
          <w:numId w:val="20"/>
        </w:numPr>
        <w:rPr>
          <w:rFonts w:ascii="Arial" w:cs="Arial" w:eastAsia="Arial" w:hAnsi="Arial"/>
          <w:sz w:val="18"/>
          <w:szCs w:val="18"/>
          <w:color w:val="auto"/>
        </w:rPr>
      </w:pPr>
      <w:r>
        <w:rPr>
          <w:rFonts w:ascii="Arial" w:cs="Arial" w:eastAsia="Arial" w:hAnsi="Arial"/>
          <w:sz w:val="18"/>
          <w:szCs w:val="18"/>
          <w:color w:val="auto"/>
        </w:rPr>
        <w:t>adoption of a specific form of corporate structure; and</w:t>
      </w:r>
    </w:p>
    <w:p>
      <w:pPr>
        <w:spacing w:after="0" w:line="117" w:lineRule="exact"/>
        <w:rPr>
          <w:rFonts w:ascii="Arial" w:cs="Arial" w:eastAsia="Arial" w:hAnsi="Arial"/>
          <w:sz w:val="18"/>
          <w:szCs w:val="18"/>
          <w:color w:val="auto"/>
        </w:rPr>
      </w:pPr>
    </w:p>
    <w:p>
      <w:pPr>
        <w:ind w:left="1320" w:right="1339" w:hanging="434"/>
        <w:spacing w:after="0" w:line="277" w:lineRule="auto"/>
        <w:tabs>
          <w:tab w:leader="none" w:pos="1311"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reporting, record keeping, voting, proxy and disclosure requirements and other rules and regulations.</w:t>
      </w:r>
    </w:p>
    <w:p>
      <w:pPr>
        <w:spacing w:after="0" w:line="89"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In order not to be regulated as an investment company under the Investment Company Act, unless we can qualify for an exclusion, we must ensure that we are engaged primarily in a business other than investing, reinvesting or trading of securities and that our activities do not include investing, reinvesting, owning, holding or trading “investment securities” constituting more than 40% of our assets (exclusive of U.S. government securities and cash items) on an unconsolidated basis. Our business will be to identify and complete a business combination and thereafter to operate the post-transaction business or assets for the long term. We do not plan to buy businesses or assets with a view to resale or profit from their resale. We do not plan to buy unrelated businesses or assets or to be a passive investor.</w:t>
      </w:r>
    </w:p>
    <w:p>
      <w:pPr>
        <w:spacing w:after="0" w:line="111"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We do not believe that our anticipated principal activities will subject us to the Investment Company Act. To this end, the proceeds held in the trust account may only be invested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Pursuant to the trust agreement, the trustee is not permitted to invest in other securities or assets. By restricting the investment of the proceeds to these instruments, and by having a business</w:t>
      </w:r>
    </w:p>
    <w:p>
      <w:pPr>
        <w:sectPr>
          <w:pgSz w:w="11900" w:h="16838" w:orient="portrait"/>
          <w:cols w:equalWidth="0" w:num="1">
            <w:col w:w="9019"/>
          </w:cols>
          <w:pgMar w:left="1440" w:top="337"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41" w:name="page42"/>
    <w:bookmarkEnd w:id="41"/>
    <w:p>
      <w:pPr>
        <w:ind w:left="460" w:right="479"/>
        <w:spacing w:after="0" w:line="285" w:lineRule="auto"/>
        <w:rPr>
          <w:sz w:val="20"/>
          <w:szCs w:val="20"/>
          <w:color w:val="auto"/>
        </w:rPr>
      </w:pPr>
      <w:r>
        <w:rPr>
          <w:rFonts w:ascii="Arial" w:cs="Arial" w:eastAsia="Arial" w:hAnsi="Arial"/>
          <w:sz w:val="16"/>
          <w:szCs w:val="16"/>
          <w:color w:val="auto"/>
        </w:rPr>
        <w:t>plan targeted at acquiring and growing businesses for the long term (rather than on buying and selling businesses in the manner of a merchant bank or private equity fund), we intend to avoid being deemed an “investment company” within the meaning of the Investment Company Act. This offering is not intended for persons who are seeking a return on investments in government securities or investment securities. The trust account is intended as a holding place for funds pending the earliest to occur of either: (i) the completion of our initial business combination; (ii) the redemption of any public shares properly tendered in connection with a shareholder vote to amend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or (iii) absent our completing an initial business combination within 18 months from the closing of this offering, our return of the funds held in the trust account to our public shareholders as part of our redemption of the public shares. If we do not invest the proceeds as discussed above, we may be deemed to be subject to the Investment Company Act. If we were deemed to be subject to the Investment Company Act, compliance with these additional regulatory burdens would require additional expenses for which we have not allotted funds and may hinder our ability to complete a business combination.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86" w:lineRule="exact"/>
        <w:rPr>
          <w:sz w:val="20"/>
          <w:szCs w:val="20"/>
          <w:color w:val="auto"/>
        </w:rPr>
      </w:pPr>
    </w:p>
    <w:p>
      <w:pPr>
        <w:ind w:left="460" w:right="579"/>
        <w:spacing w:after="0" w:line="266" w:lineRule="auto"/>
        <w:rPr>
          <w:sz w:val="20"/>
          <w:szCs w:val="20"/>
          <w:color w:val="auto"/>
        </w:rPr>
      </w:pPr>
      <w:r>
        <w:rPr>
          <w:rFonts w:ascii="Arial" w:cs="Arial" w:eastAsia="Arial" w:hAnsi="Arial"/>
          <w:sz w:val="18"/>
          <w:szCs w:val="18"/>
          <w:b w:val="1"/>
          <w:bCs w:val="1"/>
          <w:color w:val="auto"/>
        </w:rPr>
        <w:t>Changes in laws or regulations, or a failure to comply with any laws and regulations, may adversely affect our business, including our ability to negotiate and complete our initial business combination, and results of operations.</w:t>
      </w:r>
    </w:p>
    <w:p>
      <w:pPr>
        <w:spacing w:after="0" w:line="112"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We are subject to laws and regulations enacted by national, regional and local governments. In particular, we will be required to comply with certain SEC and other legal requirements. Compliance with, and monitoring of, applicable laws and regulations may be difficult, time consuming and costly. Those laws and regulations and their interpretation and application may also change from time to time and those changes could have a material adverse effect on our business, investments and results of operations. In addition, a failure to comply with applicable laws or regulations, as interpreted and applied, could have a material adverse effect on our business, including our ability to negotiate and complete our initial business combination, and results of operations.</w:t>
      </w:r>
    </w:p>
    <w:p>
      <w:pPr>
        <w:spacing w:after="0" w:line="95" w:lineRule="exact"/>
        <w:rPr>
          <w:sz w:val="20"/>
          <w:szCs w:val="20"/>
          <w:color w:val="auto"/>
        </w:rPr>
      </w:pPr>
    </w:p>
    <w:p>
      <w:pPr>
        <w:ind w:left="460" w:right="619"/>
        <w:spacing w:after="0" w:line="266" w:lineRule="auto"/>
        <w:rPr>
          <w:sz w:val="20"/>
          <w:szCs w:val="20"/>
          <w:color w:val="auto"/>
        </w:rPr>
      </w:pPr>
      <w:r>
        <w:rPr>
          <w:rFonts w:ascii="Arial" w:cs="Arial" w:eastAsia="Arial" w:hAnsi="Arial"/>
          <w:sz w:val="18"/>
          <w:szCs w:val="18"/>
          <w:b w:val="1"/>
          <w:bCs w:val="1"/>
          <w:color w:val="auto"/>
        </w:rPr>
        <w:t>If we have not consummated an initial business combination within 18 months from the closing of this offering, our public shareholders may be forced to wait beyond such 18 months before redemption from our trust account.</w:t>
      </w:r>
    </w:p>
    <w:p>
      <w:pPr>
        <w:spacing w:after="0" w:line="99"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If we have not consummated an initial business combination within 18 months from the closing of this offering, the proceeds then on deposit in the trust account, including interest earned on the funds held in the trust account and not previously released to us to pay our income taxes, if any, (less up to $100,000 of interest to pay dissolution expenses), will be used to fund the redemption of our public shares, as further described herein. Any redemption of public shareholders from the trust account will be effected automatically by function of our amended and restated memorandum and articles of association prior to any voluntary winding up. If we are required to wind-up, liquidate the trust account and distribute such amount therein, pro rata, to our public shareholders, as part of any liquidation process, such winding up, liquidation and distribution must comply with the applicable provisions of the Companies Law. In that case, investors may be forced to wait beyond 18 months from the closing of this offering before the redemption proceeds of our trust account become available to them, and they receive the return of their pro rata portion of the proceeds from our trust account. We have no obligation to return funds to investors prior to the date of our redemption or liquidation unless we consummate our initial business combination prior thereto and only then in cases where investors have sought to redeem their Class A ordinary shares. Only upon our redemption or any liquidation will public shareholders be entitled to distributions if we are unable to complete our initial business combination.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316" w:lineRule="exact"/>
        <w:rPr>
          <w:sz w:val="20"/>
          <w:szCs w:val="20"/>
          <w:color w:val="auto"/>
        </w:rPr>
      </w:pPr>
    </w:p>
    <w:p>
      <w:pPr>
        <w:ind w:left="460" w:right="699"/>
        <w:spacing w:after="0" w:line="282" w:lineRule="auto"/>
        <w:rPr>
          <w:sz w:val="20"/>
          <w:szCs w:val="20"/>
          <w:color w:val="auto"/>
        </w:rPr>
      </w:pPr>
      <w:r>
        <w:rPr>
          <w:rFonts w:ascii="Arial" w:cs="Arial" w:eastAsia="Arial" w:hAnsi="Arial"/>
          <w:sz w:val="18"/>
          <w:szCs w:val="18"/>
          <w:b w:val="1"/>
          <w:bCs w:val="1"/>
          <w:color w:val="auto"/>
        </w:rPr>
        <w:t>Our shareholders may be held liable for claims by third parties against us to the extent of distributions received by them upon redemption of their shares.</w:t>
      </w:r>
    </w:p>
    <w:p>
      <w:pPr>
        <w:spacing w:after="0" w:line="98" w:lineRule="exact"/>
        <w:rPr>
          <w:sz w:val="20"/>
          <w:szCs w:val="20"/>
          <w:color w:val="auto"/>
        </w:rPr>
      </w:pPr>
    </w:p>
    <w:p>
      <w:pPr>
        <w:ind w:left="460" w:right="539" w:firstLine="432"/>
        <w:spacing w:after="0" w:line="263" w:lineRule="auto"/>
        <w:rPr>
          <w:sz w:val="20"/>
          <w:szCs w:val="20"/>
          <w:color w:val="auto"/>
        </w:rPr>
      </w:pPr>
      <w:r>
        <w:rPr>
          <w:rFonts w:ascii="Arial" w:cs="Arial" w:eastAsia="Arial" w:hAnsi="Arial"/>
          <w:sz w:val="18"/>
          <w:szCs w:val="18"/>
          <w:color w:val="auto"/>
        </w:rPr>
        <w:t>If we are forced to enter into an insolvent liquidation, any distributions received by shareholders could be viewed as an unlawful payment if it was proved that immediately following the date on which the distribution was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2" w:name="page43"/>
    <w:bookmarkEnd w:id="42"/>
    <w:p>
      <w:pPr>
        <w:ind w:left="460" w:right="479"/>
        <w:spacing w:after="0" w:line="270" w:lineRule="auto"/>
        <w:rPr>
          <w:sz w:val="20"/>
          <w:szCs w:val="20"/>
          <w:color w:val="auto"/>
        </w:rPr>
      </w:pPr>
      <w:r>
        <w:rPr>
          <w:rFonts w:ascii="Arial" w:cs="Arial" w:eastAsia="Arial" w:hAnsi="Arial"/>
          <w:sz w:val="17"/>
          <w:szCs w:val="17"/>
          <w:color w:val="auto"/>
        </w:rPr>
        <w:t>made, we were unable to pay our debts as they fall due in the ordinary course of business. As a result, a liquidator could seek to recover some or all amounts received by our shareholders. Furthermore, our directors may be viewed as having breached their fiduciary duties to us or our creditors and/or may have acted in bad faith, thereby exposing themselves and our company to claims, by paying public shareholders from the trust account prior to addressing the claims of creditors. We cannot assure you that claims will not be brought against us for these reasons. We and our directors and officers who knowingly and willfully authorized or permitted any distribution to be paid out of our share premium account while we were unable to pay our debts as they fall due in the ordinary course of business would be guilty of an offence and may be liable for a fine of $18,292.68 and imprisonment for five years in the Cayman Islands.</w:t>
      </w:r>
    </w:p>
    <w:p>
      <w:pPr>
        <w:spacing w:after="0" w:line="177" w:lineRule="exact"/>
        <w:rPr>
          <w:sz w:val="20"/>
          <w:szCs w:val="20"/>
          <w:color w:val="auto"/>
        </w:rPr>
      </w:pPr>
    </w:p>
    <w:p>
      <w:pPr>
        <w:ind w:left="460" w:right="599"/>
        <w:spacing w:after="0" w:line="282" w:lineRule="auto"/>
        <w:rPr>
          <w:sz w:val="20"/>
          <w:szCs w:val="20"/>
          <w:color w:val="auto"/>
        </w:rPr>
      </w:pPr>
      <w:r>
        <w:rPr>
          <w:rFonts w:ascii="Arial" w:cs="Arial" w:eastAsia="Arial" w:hAnsi="Arial"/>
          <w:sz w:val="18"/>
          <w:szCs w:val="18"/>
          <w:b w:val="1"/>
          <w:bCs w:val="1"/>
          <w:color w:val="auto"/>
        </w:rPr>
        <w:t>We may not hold an annual meeting of shareholders until after the consummation of our initial business combination.</w:t>
      </w:r>
    </w:p>
    <w:p>
      <w:pPr>
        <w:spacing w:after="0" w:line="85"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In accordance with the NYSE corporate governance requirements, we are not required to hold an annual meeting until no later than one year after our first fiscal year end following our listing on the NYSE. There is no requirement under the Companies Law for us to hold annual or general meetings to elect directors. Until we hold an annual meeting of shareholders, public shareholders may not be afforded the opportunity to elect directors and to discuss company affairs with management. Our board of directors is divided into three classes with only one class of directors being elected in each year and each class (except for those directors appointed prior to our first annual meeting of shareholders) serving a three-year term.</w:t>
      </w:r>
    </w:p>
    <w:p>
      <w:pPr>
        <w:spacing w:after="0" w:line="162" w:lineRule="exact"/>
        <w:rPr>
          <w:sz w:val="20"/>
          <w:szCs w:val="20"/>
          <w:color w:val="auto"/>
        </w:rPr>
      </w:pPr>
    </w:p>
    <w:p>
      <w:pPr>
        <w:ind w:left="460" w:right="639"/>
        <w:spacing w:after="0" w:line="282" w:lineRule="auto"/>
        <w:rPr>
          <w:sz w:val="20"/>
          <w:szCs w:val="20"/>
          <w:color w:val="auto"/>
        </w:rPr>
      </w:pPr>
      <w:r>
        <w:rPr>
          <w:rFonts w:ascii="Arial" w:cs="Arial" w:eastAsia="Arial" w:hAnsi="Arial"/>
          <w:sz w:val="18"/>
          <w:szCs w:val="18"/>
          <w:b w:val="1"/>
          <w:bCs w:val="1"/>
          <w:color w:val="auto"/>
        </w:rPr>
        <w:t>Holders of Class A ordinary shares will not be entitled to vote on any election of directors we hold prior to our initial business combination.</w:t>
      </w:r>
    </w:p>
    <w:p>
      <w:pPr>
        <w:spacing w:after="0" w:line="98"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Accordingly, you may not have any say in the management of our company prior to the consummation of an initial business combination.</w:t>
      </w:r>
    </w:p>
    <w:p>
      <w:pPr>
        <w:spacing w:after="0" w:line="157" w:lineRule="exact"/>
        <w:rPr>
          <w:sz w:val="20"/>
          <w:szCs w:val="20"/>
          <w:color w:val="auto"/>
        </w:rPr>
      </w:pPr>
    </w:p>
    <w:p>
      <w:pPr>
        <w:ind w:left="460" w:right="559"/>
        <w:spacing w:after="0" w:line="261" w:lineRule="auto"/>
        <w:rPr>
          <w:sz w:val="20"/>
          <w:szCs w:val="20"/>
          <w:color w:val="auto"/>
        </w:rPr>
      </w:pPr>
      <w:r>
        <w:rPr>
          <w:rFonts w:ascii="Arial" w:cs="Arial" w:eastAsia="Arial" w:hAnsi="Arial"/>
          <w:sz w:val="18"/>
          <w:szCs w:val="18"/>
          <w:b w:val="1"/>
          <w:bCs w:val="1"/>
          <w:color w:val="auto"/>
        </w:rPr>
        <w:t>We are not registering the Class A ordinary shares issuable upon exercise of the warrants under the Securities Act or any state securities laws at this time, and such registration may not be in place when an investor desires to exercise warrants, thus precluding such investor from being able to exercise its warrants and causing such warrants to expire worthless.</w:t>
      </w:r>
    </w:p>
    <w:p>
      <w:pPr>
        <w:spacing w:after="0" w:line="116"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We are not registering the Class A ordinary shares issuable upon exercise of the warrants under the Securities Act or any state securities laws at this time. However, under the terms of the warrant agreement, we have agreed to use our commercially reasonable efforts to file a registration statement under the Securities Act covering such shares and maintain a current prospectus relating to the Class A ordinary shares issuable upon exercise of the warrants until the expiration of the warrants in accordance with the provisions of the warrant agreement. We cannot assure you that we will be able to do so if, for example, any facts or events arise which represent a fundamental change in the information set forth in the registration statement or prospectus, the financial statements contained or incorporated by reference therein are not current or correct or the SEC issues a stop order. If the shares issuable upon exercise of the warrants are not registered under the Securities Act, we will be required to permit holders to exercise their warrants on a cashless basis. However, no warrant will be exercisable for cash or on a cashless basis, and we will not be obligated to issue any shares to holders seeking to exercise their warrants, unless the issuance of the shares upon such exercise is registered or qualified under the securities laws of the state of the exercising holder, unless an exemption is available. In no event will we be required to net cash settle any warrant, or issue securities or other compensation in exchange for the warrants in the event that we are unable to register or qualify the shares underlying the warrants under the Securities Act or applicable state securities laws. If the issuance of the shares upon exercise of the warrants is not so registered or qualified or exempt from registration or qualification, the holder of such warrant will not be entitled to exercise such warrant and such warrant may have no value and expire worthless. In such event, holders who acquired their warrants as part of a purchase of units will have paid the full unit purchase price solely for the Class A ordinary shares included in the units. There may be a circumstance where an exemption from registration exists for holders of our private placement warrants to exercise their warrants while a corresponding exemption does not exist for holders of the warrants included as part of units sold in this offering. In such an instance, our sponsor and its transferees (which may include our directors and executive officers) would be able to sell the ordinary shares underlying their</w:t>
      </w:r>
    </w:p>
    <w:p>
      <w:pPr>
        <w:spacing w:after="0" w:line="13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43" w:name="page44"/>
    <w:bookmarkEnd w:id="43"/>
    <w:p>
      <w:pPr>
        <w:jc w:val="both"/>
        <w:ind w:left="460" w:right="1179"/>
        <w:spacing w:after="0" w:line="259" w:lineRule="auto"/>
        <w:rPr>
          <w:sz w:val="20"/>
          <w:szCs w:val="20"/>
          <w:color w:val="auto"/>
        </w:rPr>
      </w:pPr>
      <w:r>
        <w:rPr>
          <w:rFonts w:ascii="Arial" w:cs="Arial" w:eastAsia="Arial" w:hAnsi="Arial"/>
          <w:sz w:val="18"/>
          <w:szCs w:val="18"/>
          <w:color w:val="auto"/>
        </w:rPr>
        <w:t>warrants while holders of our public warrants would not be able to exercise their warrants and sell the underlying ordinary shares. If and when the warrants become redeemable by us, we may exercise our redemption right even if we are unable to register or qualify the underlying securities for sale under all applicable state securities laws.</w:t>
      </w:r>
    </w:p>
    <w:p>
      <w:pPr>
        <w:spacing w:after="0" w:line="183" w:lineRule="exact"/>
        <w:rPr>
          <w:sz w:val="20"/>
          <w:szCs w:val="20"/>
          <w:color w:val="auto"/>
        </w:rPr>
      </w:pPr>
    </w:p>
    <w:p>
      <w:pPr>
        <w:ind w:left="460" w:right="579"/>
        <w:spacing w:after="0" w:line="277" w:lineRule="auto"/>
        <w:rPr>
          <w:sz w:val="20"/>
          <w:szCs w:val="20"/>
          <w:color w:val="auto"/>
        </w:rPr>
      </w:pPr>
      <w:r>
        <w:rPr>
          <w:rFonts w:ascii="Arial" w:cs="Arial" w:eastAsia="Arial" w:hAnsi="Arial"/>
          <w:sz w:val="17"/>
          <w:szCs w:val="17"/>
          <w:b w:val="1"/>
          <w:bCs w:val="1"/>
          <w:color w:val="auto"/>
        </w:rPr>
        <w:t>Our ability to require holders of our warrants to exercise such warrants on a cashless basis after we call the warrants for redemption or if there is no effective registration statement covering the Class A ordinary shares issuable upon exercise of these warrants will cause holders to receive fewer Class A ordinary shares upon their exercise of the warrants than they would have received had they been able to pay the exercise price of their warrants in cash.</w:t>
      </w:r>
    </w:p>
    <w:p>
      <w:pPr>
        <w:spacing w:after="0" w:line="91"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If we call the warrants for redemption, we will have the option, in our sole discretion, to require all holders that wish to exercise warrants to do so on a cashless basis. If we choose to require holders to exercise their warrants on a cashless basis or if holders elect to do so when there is no effective registration statement, the number of Class A ordinary shares received by a holder upon exercise will be fewer than it would have been had such holder exercised his or her warrant for cash. For example, if the holder is exercising 875 public warrants at $11.50 per share through a cashless exercise when the Class A ordinary shares have a fair market value of $17.50 per share, then upon the cashless exercise, the holder will receive 300 Class A ordinary shares. The holder would have received 875 Class A ordinary shares if the exercise price was paid in cash. This will have the effect of reducing the potential “upside” of the holder’s investment in our company because the warrant holder will hold a smaller number of Class A ordinary shares upon a cashless exercise of the warrants they hold.</w:t>
      </w:r>
    </w:p>
    <w:p>
      <w:pPr>
        <w:spacing w:after="0" w:line="178" w:lineRule="exact"/>
        <w:rPr>
          <w:sz w:val="20"/>
          <w:szCs w:val="20"/>
          <w:color w:val="auto"/>
        </w:rPr>
      </w:pPr>
    </w:p>
    <w:p>
      <w:pPr>
        <w:ind w:left="460" w:right="519"/>
        <w:spacing w:after="0" w:line="282" w:lineRule="auto"/>
        <w:rPr>
          <w:sz w:val="20"/>
          <w:szCs w:val="20"/>
          <w:color w:val="auto"/>
        </w:rPr>
      </w:pPr>
      <w:r>
        <w:rPr>
          <w:rFonts w:ascii="Arial" w:cs="Arial" w:eastAsia="Arial" w:hAnsi="Arial"/>
          <w:sz w:val="18"/>
          <w:szCs w:val="18"/>
          <w:b w:val="1"/>
          <w:bCs w:val="1"/>
          <w:color w:val="auto"/>
        </w:rPr>
        <w:t>The warrants may become exercisable for a security other than the Class A ordinary shares, and you will not have any information regarding such other security at this time.</w:t>
      </w:r>
    </w:p>
    <w:p>
      <w:pPr>
        <w:spacing w:after="0" w:line="98"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In certain situations, including if we are not the surviving entity in our initial business combination, the warrants may become exercisable for a security other than the Class A ordinary shares. Pursuant to the warrant agreement, the surviving company will be required to use commercially reasonable efforts to register the issuance of the security underlying the warrants within 20 business days of the closing of an initial business combination.</w:t>
      </w:r>
    </w:p>
    <w:p>
      <w:pPr>
        <w:spacing w:after="0" w:line="184" w:lineRule="exact"/>
        <w:rPr>
          <w:sz w:val="20"/>
          <w:szCs w:val="20"/>
          <w:color w:val="auto"/>
        </w:rPr>
      </w:pPr>
    </w:p>
    <w:p>
      <w:pPr>
        <w:jc w:val="both"/>
        <w:ind w:left="460" w:right="499"/>
        <w:spacing w:after="0" w:line="266" w:lineRule="auto"/>
        <w:rPr>
          <w:sz w:val="20"/>
          <w:szCs w:val="20"/>
          <w:color w:val="auto"/>
        </w:rPr>
      </w:pPr>
      <w:r>
        <w:rPr>
          <w:rFonts w:ascii="Arial" w:cs="Arial" w:eastAsia="Arial" w:hAnsi="Arial"/>
          <w:sz w:val="18"/>
          <w:szCs w:val="18"/>
          <w:b w:val="1"/>
          <w:bCs w:val="1"/>
          <w:color w:val="auto"/>
        </w:rPr>
        <w:t>The grant of registration rights to our sponsor may make it more difficult to complete our initial business combination, and the future exercise of such rights may adversely affect the market price of our Class A ordinary shares.</w:t>
      </w:r>
    </w:p>
    <w:p>
      <w:pPr>
        <w:spacing w:after="0" w:line="112"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Pursuant to an agreement to be entered into on or prior to the closing of this offering, our sponsor and its permitted transferees can demand that we register the Class A ordinary shares into which founder shares are convertible, the private placement warrants and the Class A ordinary shares issuable upon exercise of the private placement warrants, and warrants that may be issued upon conversion of working capital loans and the Class A ordinary shares issuable upon conversion of such warrants. The registration rights will be exercisable with respect to the founder shares and the private placement warrants and the Class A ordinary shares issuable upon exercise of such private placement warrants. The registration and availability of such a significant number of securities for trading in the public market may have an adverse effect on the market price of our Class A ordinary shares. In addition, the existence of the registration rights may make our initial business combination more costly or difficult to conclude. This is because the shareholders of the target business may increase the equity stake they seek in the combined entity or ask for more cash consideration to offset the negative impact on the market price of our Class A ordinary shares that is expected when the securities owned by our sponsor or its permitted transferees are registered.</w:t>
      </w:r>
    </w:p>
    <w:p>
      <w:pPr>
        <w:spacing w:after="0" w:line="170" w:lineRule="exact"/>
        <w:rPr>
          <w:sz w:val="20"/>
          <w:szCs w:val="20"/>
          <w:color w:val="auto"/>
        </w:rPr>
      </w:pPr>
    </w:p>
    <w:p>
      <w:pPr>
        <w:jc w:val="both"/>
        <w:ind w:left="460" w:right="519"/>
        <w:spacing w:after="0" w:line="314" w:lineRule="auto"/>
        <w:rPr>
          <w:sz w:val="20"/>
          <w:szCs w:val="20"/>
          <w:color w:val="auto"/>
        </w:rPr>
      </w:pPr>
      <w:r>
        <w:rPr>
          <w:rFonts w:ascii="Arial" w:cs="Arial" w:eastAsia="Arial" w:hAnsi="Arial"/>
          <w:sz w:val="16"/>
          <w:szCs w:val="16"/>
          <w:b w:val="1"/>
          <w:bCs w:val="1"/>
          <w:color w:val="auto"/>
        </w:rPr>
        <w:t>Because we are neither limited to evaluating a target business in a particular industry sector nor have we selected any specific target businesses with which to pursue our initial business combination, you will be unable to ascertain the merits or risks of any particular target business’s operations.</w:t>
      </w:r>
    </w:p>
    <w:p>
      <w:pPr>
        <w:spacing w:after="0" w:line="65"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We may pursue business combination opportunities in any sector, except that we will not, under our amended and restated memorandum and articles of association, be permitted to effectuate our initial business combination with another blank check company or similar company with nominal operations. Because we have not yet selected or approached any specific target business with respect to a business combination, there is no basis to evaluate the possible merits or risks of any particular target business’s operations, results of operations, cash flows, liquidity, financial condition or prospects. To the extent we complete our initial business combination, we may be affected by numerous risks inherent in the business operations with which we combine. For example, if we combine with a</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4" w:name="page45"/>
    <w:bookmarkEnd w:id="44"/>
    <w:p>
      <w:pPr>
        <w:ind w:left="460" w:right="479"/>
        <w:spacing w:after="0" w:line="286" w:lineRule="auto"/>
        <w:rPr>
          <w:sz w:val="20"/>
          <w:szCs w:val="20"/>
          <w:color w:val="auto"/>
        </w:rPr>
      </w:pPr>
      <w:r>
        <w:rPr>
          <w:rFonts w:ascii="Arial" w:cs="Arial" w:eastAsia="Arial" w:hAnsi="Arial"/>
          <w:sz w:val="16"/>
          <w:szCs w:val="16"/>
          <w:color w:val="auto"/>
        </w:rPr>
        <w:t>financially unstable business or an entity lacking an established record of sales or earnings, we may be affected by the risks inherent in the business and operations of a financially unstable or a development stage entity. Although our officers and directors will endeavor to evaluate the risks inherent in a particular target business, we cannot assure you that we will properly ascertain or assess all of the significant risk factors or that we will have adequate time to complete due diligence. Furthermore, some of these risks may be outside of our control and leave us with no ability to control or reduce the chances that those risks will adversely impact a target business. We also cannot assure you that an investment in our units will ultimately prove to be more favorable to investors than a direct investment, if such opportunity were available, in a business combination target. Accordingly, any shareholders who choose to remain shareholders following our initial business combination could suffer a reduction in the value of their securities.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67" w:lineRule="exact"/>
        <w:rPr>
          <w:sz w:val="20"/>
          <w:szCs w:val="20"/>
          <w:color w:val="auto"/>
        </w:rPr>
      </w:pPr>
    </w:p>
    <w:p>
      <w:pPr>
        <w:ind w:left="460" w:right="719"/>
        <w:spacing w:after="0" w:line="282" w:lineRule="auto"/>
        <w:rPr>
          <w:sz w:val="20"/>
          <w:szCs w:val="20"/>
          <w:color w:val="auto"/>
        </w:rPr>
      </w:pPr>
      <w:r>
        <w:rPr>
          <w:rFonts w:ascii="Arial" w:cs="Arial" w:eastAsia="Arial" w:hAnsi="Arial"/>
          <w:sz w:val="18"/>
          <w:szCs w:val="18"/>
          <w:b w:val="1"/>
          <w:bCs w:val="1"/>
          <w:color w:val="auto"/>
        </w:rPr>
        <w:t>We may seek acquisition opportunities in industries or sectors which may or may not be outside of our management’s area of expertise.</w:t>
      </w:r>
    </w:p>
    <w:p>
      <w:pPr>
        <w:spacing w:after="0" w:line="85"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We will consider a business combination outside of our management’s area of expertise if a business combination candidate is presented to us and we determine that such candidate offers an attractive acquisition opportunity for our company. Although our management will endeavor to evaluate the risks inherent in any particular business combination candidate, we cannot assure you that we will adequately ascertain or assess all of the significant risk factors. We also cannot assure you that an investment in our units will not ultimately prove to be less favorable to investors in this offering than a direct investment, if an opportunity were available, in a business combination candidate. In the event we elect to pursue an acquisition outside of the areas of our management’s expertise, our management’s expertise may not be directly applicable to its evaluation or operation, and the information contained in this prospectus regarding the areas of our management’s expertise would not be relevant to an understanding of the business that we elect to acquire. As a result, our management may not be able to adequately ascertain or assess all of the significant risk factors. Accordingly, any shareholder who choose to remain shareholders following our business combination could suffer a reduction in the value of their shares. Such shareholders are unlikely to have a remedy for such reduction in value.</w:t>
      </w:r>
    </w:p>
    <w:p>
      <w:pPr>
        <w:spacing w:after="0" w:line="170" w:lineRule="exact"/>
        <w:rPr>
          <w:sz w:val="20"/>
          <w:szCs w:val="20"/>
          <w:color w:val="auto"/>
        </w:rPr>
      </w:pPr>
    </w:p>
    <w:p>
      <w:pPr>
        <w:ind w:left="460" w:right="499"/>
        <w:spacing w:after="0" w:line="298" w:lineRule="auto"/>
        <w:rPr>
          <w:sz w:val="20"/>
          <w:szCs w:val="20"/>
          <w:color w:val="auto"/>
        </w:rPr>
      </w:pPr>
      <w:r>
        <w:rPr>
          <w:rFonts w:ascii="Arial" w:cs="Arial" w:eastAsia="Arial" w:hAnsi="Arial"/>
          <w:sz w:val="16"/>
          <w:szCs w:val="16"/>
          <w:b w:val="1"/>
          <w:bCs w:val="1"/>
          <w:color w:val="auto"/>
        </w:rPr>
        <w:t>Although we have identified general criteria and guidelines that we believe are important in evaluating prospective target businesses and our strategy will be to identify, acquire and build a company in the sustainable sector, we may enter into our initial business combination with a target that does not meet such criteria and guidelines, and as a result, the target business with which we enter into our initial business combination may not have attributes entirely consistent with our general criteria and guidelines.</w:t>
      </w:r>
    </w:p>
    <w:p>
      <w:pPr>
        <w:spacing w:after="0" w:line="90"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Although we have identified general criteria and guidelines for evaluating prospective target businesses and our strategy will be to identify, acquire and build a company in the sustainable sector, it is possible that a target business with which we enter into our initial business combination will not have all of these positive attributes. If we complete our initial business combination with a target that does not meet some or all of these guidelines, such combination may not be as successful as a combination with a business that does meet all of our general criteria and guidelines. In addition, if we announce a prospective business combination with a target that does not meet our general criteria and guidelines, a greater number of shareholders may exercise their redemption rights, which may make it difficult for us to meet any closing condition with a target business that requires us to have a minimum net worth or a certain amount of cash. In addition, if shareholder approval of the transaction is required by law, or we decide to obtain shareholder approval for business or other legal reasons, it may be more difficult for us to attain shareholder approval of our initial business combination if the target business does not meet our general criteria and guidelines.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67" w:lineRule="exact"/>
        <w:rPr>
          <w:sz w:val="20"/>
          <w:szCs w:val="20"/>
          <w:color w:val="auto"/>
        </w:rPr>
      </w:pPr>
    </w:p>
    <w:p>
      <w:pPr>
        <w:jc w:val="both"/>
        <w:ind w:left="460" w:right="679"/>
        <w:spacing w:after="0" w:line="289" w:lineRule="auto"/>
        <w:rPr>
          <w:sz w:val="20"/>
          <w:szCs w:val="20"/>
          <w:color w:val="auto"/>
        </w:rPr>
      </w:pPr>
      <w:r>
        <w:rPr>
          <w:rFonts w:ascii="Arial" w:cs="Arial" w:eastAsia="Arial" w:hAnsi="Arial"/>
          <w:sz w:val="17"/>
          <w:szCs w:val="17"/>
          <w:b w:val="1"/>
          <w:bCs w:val="1"/>
          <w:color w:val="auto"/>
        </w:rPr>
        <w:t>We are not required to obtain an opinion from an independent accounting or investment banking firm, and consequently, you may have no assurance from an independent source that the price we are paying for the business is fair to our shareholders from a financial point of view.</w:t>
      </w:r>
    </w:p>
    <w:p>
      <w:pPr>
        <w:spacing w:after="0" w:line="94" w:lineRule="exact"/>
        <w:rPr>
          <w:sz w:val="20"/>
          <w:szCs w:val="20"/>
          <w:color w:val="auto"/>
        </w:rPr>
      </w:pPr>
    </w:p>
    <w:p>
      <w:pPr>
        <w:ind w:left="460" w:right="459" w:firstLine="432"/>
        <w:spacing w:after="0" w:line="259" w:lineRule="auto"/>
        <w:rPr>
          <w:sz w:val="20"/>
          <w:szCs w:val="20"/>
          <w:color w:val="auto"/>
        </w:rPr>
      </w:pPr>
      <w:r>
        <w:rPr>
          <w:rFonts w:ascii="Arial" w:cs="Arial" w:eastAsia="Arial" w:hAnsi="Arial"/>
          <w:sz w:val="18"/>
          <w:szCs w:val="18"/>
          <w:color w:val="auto"/>
        </w:rPr>
        <w:t>Unless we complete our initial business combination with an affiliated entity, we are not required to obtain an opinion from an independent investment banking firm or other independent entity that the price we are paying is fair to our shareholders from a financial point of view. If no opinion is obtained, our shareholders will be relying on the</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5" w:name="page46"/>
    <w:bookmarkEnd w:id="45"/>
    <w:p>
      <w:pPr>
        <w:ind w:left="460" w:right="519"/>
        <w:spacing w:after="0" w:line="263" w:lineRule="auto"/>
        <w:rPr>
          <w:sz w:val="20"/>
          <w:szCs w:val="20"/>
          <w:color w:val="auto"/>
        </w:rPr>
      </w:pPr>
      <w:r>
        <w:rPr>
          <w:rFonts w:ascii="Arial" w:cs="Arial" w:eastAsia="Arial" w:hAnsi="Arial"/>
          <w:sz w:val="18"/>
          <w:szCs w:val="18"/>
          <w:color w:val="auto"/>
        </w:rPr>
        <w:t>judgment of our board of directors, who will determine fair market value based on standards generally accepted by the financial community. Such standards used will be disclosed in our proxy solicitation or tender offer materials, as applicable, related to our initial business combination.</w:t>
      </w:r>
    </w:p>
    <w:p>
      <w:pPr>
        <w:spacing w:after="0" w:line="180" w:lineRule="exact"/>
        <w:rPr>
          <w:sz w:val="20"/>
          <w:szCs w:val="20"/>
          <w:color w:val="auto"/>
        </w:rPr>
      </w:pPr>
    </w:p>
    <w:p>
      <w:pPr>
        <w:ind w:left="460" w:right="659"/>
        <w:spacing w:after="0" w:line="256" w:lineRule="auto"/>
        <w:rPr>
          <w:sz w:val="20"/>
          <w:szCs w:val="20"/>
          <w:color w:val="auto"/>
        </w:rPr>
      </w:pPr>
      <w:r>
        <w:rPr>
          <w:rFonts w:ascii="Arial" w:cs="Arial" w:eastAsia="Arial" w:hAnsi="Arial"/>
          <w:sz w:val="18"/>
          <w:szCs w:val="18"/>
          <w:b w:val="1"/>
          <w:bCs w:val="1"/>
          <w:color w:val="auto"/>
        </w:rPr>
        <w:t>We may issue additional Class A ordinary shares or preference shares to complete our initial business combination or under an employee incentive plan after completion of our initial business combination. We may also issue Class A ordinary shares upon the conversion of the founder shares at a ratio greater than one-to-one at the time of our initial business combination as a result of the anti-dilution provisions contained therein. Any such issuances would dilute the interest of our shareholders and likely present other risks.</w:t>
      </w:r>
    </w:p>
    <w:p>
      <w:pPr>
        <w:spacing w:after="0" w:line="110"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Our amended and restated memorandum and articles of association will authorize the issuance of up to 300,000,000 Class A ordinary shares, par value $0.0001 per share, 30,000,000 Class B ordinary shares, par value $0.0001 per share, and 1,000,000 preference shares, par value $0.0001 per share. Immediately after this offering, there will be 270,000,000 and 22,500,000 (assuming in each case that the underwriter has not exercised its over-allotment option) authorized but unissued Class A ordinary shares and Class B ordinary shares, respectively, available for issuance which amount does not take into account shares reserved for issuance upon exercise of outstanding warrants or shares issuable upon conversion of the Class B ordinary shares, if any. The Class B ordinary shares will automatically convert into Class A ordinary shares at the time of our initial business combination as described herein and in our amended and restated memorandum and articles of association. Immediately after this offering, there will be no preference shares issued and outstanding.</w:t>
      </w:r>
    </w:p>
    <w:p>
      <w:pPr>
        <w:spacing w:after="0" w:line="101"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may issue a substantial number of additional Class A ordinary shares or preference shares to complete our initial business combination or under an employee incentive plan after completion of our initial business combination. We may also issue Class A ordinary shares upon conversion of the Class B ordinary shares at a ratio greater than one-to-one at the time of our initial business combination as a result of the anti-dilution provisions as set forth herein. However, our amended and restated memorandum and articles of association will provide, among other things, that prior to or in connection with our initial business combination, we may not issue additional shares that would entitle the holders thereof to (i) receive funds from the trust account or (ii) vote on any initial business combination or on any other proposal presented to shareholders prior to or in connection with the completion of an initial business combination. These provisions of our amended and restated memorandum and articles of association, like all provisions of our amended and restated memorandum and articles of association, may be amended with a shareholder vote. The issuance of additional ordinary or preference shares:</w:t>
      </w:r>
    </w:p>
    <w:p>
      <w:pPr>
        <w:spacing w:after="0" w:line="111" w:lineRule="exact"/>
        <w:rPr>
          <w:sz w:val="20"/>
          <w:szCs w:val="20"/>
          <w:color w:val="auto"/>
        </w:rPr>
      </w:pPr>
    </w:p>
    <w:p>
      <w:pPr>
        <w:ind w:left="1320" w:right="559" w:hanging="434"/>
        <w:spacing w:after="0" w:line="259"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105"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102" w:lineRule="exact"/>
        <w:rPr>
          <w:rFonts w:ascii="Arial" w:cs="Arial" w:eastAsia="Arial" w:hAnsi="Arial"/>
          <w:sz w:val="18"/>
          <w:szCs w:val="18"/>
          <w:color w:val="auto"/>
        </w:rPr>
      </w:pPr>
    </w:p>
    <w:p>
      <w:pPr>
        <w:jc w:val="both"/>
        <w:ind w:left="1320" w:right="719" w:hanging="434"/>
        <w:spacing w:after="0" w:line="311" w:lineRule="auto"/>
        <w:tabs>
          <w:tab w:leader="none" w:pos="1311"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81" w:lineRule="exact"/>
        <w:rPr>
          <w:rFonts w:ascii="Arial" w:cs="Arial" w:eastAsia="Arial" w:hAnsi="Arial"/>
          <w:sz w:val="16"/>
          <w:szCs w:val="16"/>
          <w:color w:val="auto"/>
        </w:rPr>
      </w:pPr>
    </w:p>
    <w:p>
      <w:pPr>
        <w:ind w:left="1320" w:right="107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89"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1"/>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221" w:lineRule="exact"/>
        <w:rPr>
          <w:sz w:val="20"/>
          <w:szCs w:val="20"/>
          <w:color w:val="auto"/>
        </w:rPr>
      </w:pPr>
    </w:p>
    <w:p>
      <w:pPr>
        <w:ind w:left="460" w:right="599"/>
        <w:spacing w:after="0" w:line="312" w:lineRule="auto"/>
        <w:rPr>
          <w:sz w:val="20"/>
          <w:szCs w:val="20"/>
          <w:color w:val="auto"/>
        </w:rPr>
      </w:pPr>
      <w:r>
        <w:rPr>
          <w:rFonts w:ascii="Arial" w:cs="Arial" w:eastAsia="Arial" w:hAnsi="Arial"/>
          <w:sz w:val="17"/>
          <w:szCs w:val="17"/>
          <w:b w:val="1"/>
          <w:bCs w:val="1"/>
          <w:color w:val="auto"/>
        </w:rPr>
        <w:t>Unlike most other similarly structured blank check companies, our sponsor will receive additional Class A ordinary shares if we issue shares to consummate an initial business combination.</w:t>
      </w:r>
    </w:p>
    <w:p>
      <w:pPr>
        <w:spacing w:after="0" w:line="76"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The founder shares will automatically convert into Class A ordinary shares on the day of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w:t>
      </w:r>
    </w:p>
    <w:p>
      <w:pPr>
        <w:sectPr>
          <w:pgSz w:w="11900" w:h="16838" w:orient="portrait"/>
          <w:cols w:equalWidth="0" w:num="1">
            <w:col w:w="9019"/>
          </w:cols>
          <w:pgMar w:left="1440" w:top="274" w:right="1440" w:bottom="1440" w:gutter="0" w:footer="0" w:header="0"/>
        </w:sectPr>
      </w:pP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6" w:name="page47"/>
    <w:bookmarkEnd w:id="46"/>
    <w:p>
      <w:pPr>
        <w:ind w:left="460" w:right="499"/>
        <w:spacing w:after="0" w:line="271" w:lineRule="auto"/>
        <w:rPr>
          <w:sz w:val="20"/>
          <w:szCs w:val="20"/>
          <w:color w:val="auto"/>
        </w:rPr>
      </w:pPr>
      <w:r>
        <w:rPr>
          <w:rFonts w:ascii="Arial" w:cs="Arial" w:eastAsia="Arial" w:hAnsi="Arial"/>
          <w:sz w:val="17"/>
          <w:szCs w:val="17"/>
          <w:color w:val="auto"/>
        </w:rPr>
        <w:t>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In no event will the Class B ordinary shares convert into Class A ordinary shares at a rate of less than one-to-one. This is different than most other similarly structured blank check companies in which the initial shareholders will only be issued an aggregate of 20% of the total number of shares to be outstanding prior to the initial business combination.</w:t>
      </w:r>
    </w:p>
    <w:p>
      <w:pPr>
        <w:spacing w:after="0" w:line="174" w:lineRule="exact"/>
        <w:rPr>
          <w:sz w:val="20"/>
          <w:szCs w:val="20"/>
          <w:color w:val="auto"/>
        </w:rPr>
      </w:pPr>
    </w:p>
    <w:p>
      <w:pPr>
        <w:ind w:left="460" w:right="639"/>
        <w:spacing w:after="0" w:line="258" w:lineRule="auto"/>
        <w:rPr>
          <w:sz w:val="20"/>
          <w:szCs w:val="20"/>
          <w:color w:val="auto"/>
        </w:rPr>
      </w:pPr>
      <w:r>
        <w:rPr>
          <w:rFonts w:ascii="Arial" w:cs="Arial" w:eastAsia="Arial" w:hAnsi="Arial"/>
          <w:sz w:val="18"/>
          <w:szCs w:val="18"/>
          <w:b w:val="1"/>
          <w:bCs w:val="1"/>
          <w:color w:val="auto"/>
        </w:rPr>
        <w:t>Resources could be wasted in researching acquisitions that are not completed,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06"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anticipate that the investigation of each specific target business and the negotiation, drafting and execution of relevant agreements, disclosure documents and other instruments will require substantial management time and attention and substantial costs for accountants, attorneys and others. If we decide not to complete a specific initial business combination, the costs incurred up to that point for the proposed transaction likely would not be recoverable. Furthermore, if we reach an agreement relating to a specific target business, we may fail to complete our initial business combination for any number of reasons including those beyond our control. Any such event will result in a loss to us of the related costs incurred which could materially adversely affect subsequent attempts to locate and acquire or merge with another business.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178" w:lineRule="exact"/>
        <w:rPr>
          <w:sz w:val="20"/>
          <w:szCs w:val="20"/>
          <w:color w:val="auto"/>
        </w:rPr>
      </w:pPr>
    </w:p>
    <w:p>
      <w:pPr>
        <w:ind w:left="460" w:right="779"/>
        <w:spacing w:after="0" w:line="282" w:lineRule="auto"/>
        <w:rPr>
          <w:sz w:val="20"/>
          <w:szCs w:val="20"/>
          <w:color w:val="auto"/>
        </w:rPr>
      </w:pPr>
      <w:r>
        <w:rPr>
          <w:rFonts w:ascii="Arial" w:cs="Arial" w:eastAsia="Arial" w:hAnsi="Arial"/>
          <w:sz w:val="18"/>
          <w:szCs w:val="18"/>
          <w:b w:val="1"/>
          <w:bCs w:val="1"/>
          <w:color w:val="auto"/>
        </w:rPr>
        <w:t>We may be a passive foreign investment company, or PFIC, which could result in adverse U.S. federal income tax consequences to U.S. investors.</w:t>
      </w:r>
    </w:p>
    <w:p>
      <w:pPr>
        <w:spacing w:after="0" w:line="98" w:lineRule="exact"/>
        <w:rPr>
          <w:sz w:val="20"/>
          <w:szCs w:val="20"/>
          <w:color w:val="auto"/>
        </w:rPr>
      </w:pPr>
    </w:p>
    <w:p>
      <w:pPr>
        <w:ind w:left="460" w:right="479" w:firstLine="432"/>
        <w:spacing w:after="0" w:line="267" w:lineRule="auto"/>
        <w:rPr>
          <w:sz w:val="20"/>
          <w:szCs w:val="20"/>
          <w:color w:val="auto"/>
        </w:rPr>
      </w:pPr>
      <w:r>
        <w:rPr>
          <w:rFonts w:ascii="Arial" w:cs="Arial" w:eastAsia="Arial" w:hAnsi="Arial"/>
          <w:sz w:val="17"/>
          <w:szCs w:val="17"/>
          <w:color w:val="auto"/>
        </w:rPr>
        <w:t>If we are a PFIC for any taxable year (or portion thereof) that is included in the holding period of a U.S. Holder (as defined in the section of this prospectus captioned “Taxation — United States Federal Income Tax Considerations — General”) of our Class A ordinary shares or warrants, the U.S. Holder may be subject to adverse U.S. federal income tax consequences and may be subject to additional reporting requirements. Our PFIC status for our current and subsequent taxable years may depend on whether we qualify for the PFIC start-up exception (see the section of this prospectus captioned “Taxation — United States Federal Income Tax Considerations — U.S. Holders — Passive Foreign Investment Company Rules”). Depending on the particular circumstances, the application of the start-up exception may be subject to uncertainty, and there cannot be any assurance that we will qualify for the start-up exception. Accordingly, there can be no assurances with respect to our status as a PFIC for our current taxable year or any subsequent taxable year. Our actual PFIC status for any taxable year, however, will not be determinable until after the end of such taxable year. Moreover, if we determine we are a PFIC for any taxable year, upon written request, we will endeavor to provide to a U.S. Holder such information as the Internal Revenue Service (“IRS”) may require, including a PFIC annual information statement, in order to enable the U.S. Holder to make and maintain a “qualified electing fund” election, but there can be no assurance that we will timely provide such required information, and such election would be unavailable with respect to our warrants in all cases. We urge U.S. investors to consult their tax advisors regarding the possible application of the PFIC rules. For a more detailed discussion of the tax consequences of PFIC classification to U.S. Holders, see the section of this prospectus captioned “Taxation — United States Federal Income Tax Considerations — U.S. Holders — Passive Foreign Investment Company Rules.”</w:t>
      </w:r>
    </w:p>
    <w:p>
      <w:pPr>
        <w:spacing w:after="0" w:line="183" w:lineRule="exact"/>
        <w:rPr>
          <w:sz w:val="20"/>
          <w:szCs w:val="20"/>
          <w:color w:val="auto"/>
        </w:rPr>
      </w:pPr>
    </w:p>
    <w:p>
      <w:pPr>
        <w:ind w:left="460" w:right="779"/>
        <w:spacing w:after="0" w:line="282"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such reincorporation may result in taxes imposed on shareholders.</w:t>
      </w:r>
    </w:p>
    <w:p>
      <w:pPr>
        <w:spacing w:after="0" w:line="98"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may, in connection with our initial business combination and subject to requisite shareholder approval under the Companies Law, reincorporate in the jurisdiction in which the target company or business is located or in another jurisdiction. The transaction may require a shareholder or warrant holder to recognize taxable income in the jurisdiction in which the shareholder or warrant holder is a tax resident or in which its members are resident if it is a tax transparent entity. We do not intend to make any cash distributions to shareholders or warrant holders to pay such taxes. Shareholders or warrant holders may be subject to withholding taxes or other taxes with respect to their ownership of us after the reincorporation.</w:t>
      </w:r>
    </w:p>
    <w:p>
      <w:pPr>
        <w:sectPr>
          <w:pgSz w:w="11900" w:h="16838" w:orient="portrait"/>
          <w:cols w:equalWidth="0" w:num="1">
            <w:col w:w="9019"/>
          </w:cols>
          <w:pgMar w:left="1440" w:top="274" w:right="1440" w:bottom="1440" w:gutter="0" w:footer="0" w:header="0"/>
        </w:sectPr>
      </w:pP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47" w:name="page48"/>
    <w:bookmarkEnd w:id="47"/>
    <w:p>
      <w:pPr>
        <w:ind w:left="460" w:right="599"/>
        <w:spacing w:after="0" w:line="289" w:lineRule="auto"/>
        <w:rPr>
          <w:sz w:val="20"/>
          <w:szCs w:val="20"/>
          <w:color w:val="auto"/>
        </w:rPr>
      </w:pPr>
      <w:r>
        <w:rPr>
          <w:rFonts w:ascii="Arial" w:cs="Arial" w:eastAsia="Arial" w:hAnsi="Arial"/>
          <w:sz w:val="17"/>
          <w:szCs w:val="17"/>
          <w:b w:val="1"/>
          <w:bCs w:val="1"/>
          <w:color w:val="auto"/>
        </w:rPr>
        <w:t>After our initial business combination, it is possible that a majority of our directors and officers will live outside the United States and all of our assets will be located outside the United States; therefore investors may not be able to enforce federal securities laws or their other legal rights.</w:t>
      </w:r>
    </w:p>
    <w:p>
      <w:pPr>
        <w:spacing w:after="0" w:line="94" w:lineRule="exact"/>
        <w:rPr>
          <w:sz w:val="20"/>
          <w:szCs w:val="20"/>
          <w:color w:val="auto"/>
        </w:rPr>
      </w:pPr>
    </w:p>
    <w:p>
      <w:pPr>
        <w:ind w:left="460" w:right="519" w:firstLine="432"/>
        <w:spacing w:after="0" w:line="296" w:lineRule="auto"/>
        <w:rPr>
          <w:sz w:val="20"/>
          <w:szCs w:val="20"/>
          <w:color w:val="auto"/>
        </w:rPr>
      </w:pPr>
      <w:r>
        <w:rPr>
          <w:rFonts w:ascii="Arial" w:cs="Arial" w:eastAsia="Arial" w:hAnsi="Arial"/>
          <w:sz w:val="16"/>
          <w:szCs w:val="16"/>
          <w:color w:val="auto"/>
        </w:rPr>
        <w:t>It is possible that after our initial business combination, a majority of our directors and officers will reside outside of the United States and all of our assets will be located outside of the United States. As a result, it may be difficult, or in some cases not possible, for investors in the United States to enforce their legal rights, to effect service of process upon all of our directors or officers or to enforce judgments of United States courts predicated upon civil liabilities and criminal penalties on our directors and officers under United States laws.</w:t>
      </w:r>
    </w:p>
    <w:p>
      <w:pPr>
        <w:spacing w:after="0" w:line="157" w:lineRule="exact"/>
        <w:rPr>
          <w:sz w:val="20"/>
          <w:szCs w:val="20"/>
          <w:color w:val="auto"/>
        </w:rPr>
      </w:pPr>
    </w:p>
    <w:p>
      <w:pPr>
        <w:ind w:left="460" w:right="899"/>
        <w:spacing w:after="0" w:line="282" w:lineRule="auto"/>
        <w:rPr>
          <w:sz w:val="20"/>
          <w:szCs w:val="20"/>
          <w:color w:val="auto"/>
        </w:rPr>
      </w:pPr>
      <w:r>
        <w:rPr>
          <w:rFonts w:ascii="Arial" w:cs="Arial" w:eastAsia="Arial" w:hAnsi="Arial"/>
          <w:sz w:val="18"/>
          <w:szCs w:val="18"/>
          <w:b w:val="1"/>
          <w:bCs w:val="1"/>
          <w:color w:val="auto"/>
        </w:rPr>
        <w:t>We are dependent upon our executive officers and directors and their loss could adversely affect our ability to operate.</w:t>
      </w:r>
    </w:p>
    <w:p>
      <w:pPr>
        <w:spacing w:after="0" w:line="85"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Our operations are dependent upon a relatively small group of individuals and, in particular, our executive officers and directors. We believe that our success depends on the continued service of our officers and directors, at least until we have completed our initial business combination. In addition, our executive officers and directors are not required to commit any specified amount of time to our affairs and, accordingly, will have conflicts of interest in allocating their time among various business activities, including identifying potential business combinations and monitoring the related due diligence. We do not have an employment agreement with, or key-man insurance on the life of, any of our directors or executive officers.</w:t>
      </w:r>
    </w:p>
    <w:p>
      <w:pPr>
        <w:spacing w:after="0" w:line="99" w:lineRule="exact"/>
        <w:rPr>
          <w:sz w:val="20"/>
          <w:szCs w:val="20"/>
          <w:color w:val="auto"/>
        </w:rPr>
      </w:pPr>
    </w:p>
    <w:p>
      <w:pPr>
        <w:ind w:left="460" w:right="839" w:firstLine="432"/>
        <w:spacing w:after="0" w:line="277" w:lineRule="auto"/>
        <w:rPr>
          <w:sz w:val="20"/>
          <w:szCs w:val="20"/>
          <w:color w:val="auto"/>
        </w:rPr>
      </w:pPr>
      <w:r>
        <w:rPr>
          <w:rFonts w:ascii="Arial" w:cs="Arial" w:eastAsia="Arial" w:hAnsi="Arial"/>
          <w:sz w:val="18"/>
          <w:szCs w:val="18"/>
          <w:color w:val="auto"/>
        </w:rPr>
        <w:t>The unexpected loss of the services of one or more of our directors or executive officers could have a detrimental effect on us.</w:t>
      </w:r>
    </w:p>
    <w:p>
      <w:pPr>
        <w:spacing w:after="0" w:line="166" w:lineRule="exact"/>
        <w:rPr>
          <w:sz w:val="20"/>
          <w:szCs w:val="20"/>
          <w:color w:val="auto"/>
        </w:rPr>
      </w:pPr>
    </w:p>
    <w:p>
      <w:pPr>
        <w:jc w:val="both"/>
        <w:ind w:left="460" w:right="599"/>
        <w:spacing w:after="0" w:line="261" w:lineRule="auto"/>
        <w:rPr>
          <w:sz w:val="20"/>
          <w:szCs w:val="20"/>
          <w:color w:val="auto"/>
        </w:rPr>
      </w:pPr>
      <w:r>
        <w:rPr>
          <w:rFonts w:ascii="Arial" w:cs="Arial" w:eastAsia="Arial" w:hAnsi="Arial"/>
          <w:sz w:val="18"/>
          <w:szCs w:val="18"/>
          <w:b w:val="1"/>
          <w:bCs w:val="1"/>
          <w:color w:val="auto"/>
        </w:rPr>
        <w:t>Our ability to successfully effect our initial business combination and to be successful thereafter will be totally dependent upon the efforts of our key personnel, some of whom may join us following our initial business combination. The loss of key personnel could negatively impact the operations and profitability of our post-combination business.</w:t>
      </w:r>
    </w:p>
    <w:p>
      <w:pPr>
        <w:spacing w:after="0" w:line="116" w:lineRule="exact"/>
        <w:rPr>
          <w:sz w:val="20"/>
          <w:szCs w:val="20"/>
          <w:color w:val="auto"/>
        </w:rPr>
      </w:pPr>
    </w:p>
    <w:p>
      <w:pPr>
        <w:ind w:left="460" w:right="519" w:firstLine="432"/>
        <w:spacing w:after="0" w:line="253" w:lineRule="auto"/>
        <w:rPr>
          <w:sz w:val="20"/>
          <w:szCs w:val="20"/>
          <w:color w:val="auto"/>
        </w:rPr>
      </w:pPr>
      <w:r>
        <w:rPr>
          <w:rFonts w:ascii="Arial" w:cs="Arial" w:eastAsia="Arial" w:hAnsi="Arial"/>
          <w:sz w:val="18"/>
          <w:szCs w:val="18"/>
          <w:color w:val="auto"/>
        </w:rPr>
        <w:t>Our ability to successfully effect our initial business combination is dependent upon the efforts of our key personnel. The role of our key personnel in the target business, however, cannot presently be ascertained. Although some of our key personnel may remain with the target business in senior management, director or advisory positions following our initial business combination, it is likely that some or all of the management of the target business will remain in place. While we intend to closely scrutinize any individuals we engage after our initial business combination, we cannot assure you that our assessment of these individuals will prove to be correct. These individuals may be unfamiliar with the requirements of operating a company regulated by the SEC, which could cause us to have to expend time and resources helping them become familiar with such requirements.</w:t>
      </w:r>
    </w:p>
    <w:p>
      <w:pPr>
        <w:spacing w:after="0" w:line="192" w:lineRule="exact"/>
        <w:rPr>
          <w:sz w:val="20"/>
          <w:szCs w:val="20"/>
          <w:color w:val="auto"/>
        </w:rPr>
      </w:pPr>
    </w:p>
    <w:p>
      <w:pPr>
        <w:ind w:left="460" w:right="559"/>
        <w:spacing w:after="0" w:line="256" w:lineRule="auto"/>
        <w:rPr>
          <w:sz w:val="20"/>
          <w:szCs w:val="20"/>
          <w:color w:val="auto"/>
        </w:rPr>
      </w:pPr>
      <w:r>
        <w:rPr>
          <w:rFonts w:ascii="Arial" w:cs="Arial" w:eastAsia="Arial" w:hAnsi="Arial"/>
          <w:sz w:val="18"/>
          <w:szCs w:val="18"/>
          <w:b w:val="1"/>
          <w:bCs w:val="1"/>
          <w:color w:val="auto"/>
        </w:rPr>
        <w:t>Our key personnel may negotiate employment or consulting agreements with a target business in connection with a particular business combination, and a particular business combination may be conditioned on the retention or resignation of such key personnel. These agreements may provide for them to receive compensation following our initial business combination and as a result, may cause them to have conflicts of interest in determining whether a particular business combination is the most advantageous.</w:t>
      </w:r>
    </w:p>
    <w:p>
      <w:pPr>
        <w:spacing w:after="0" w:line="110"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Our key personnel may be able to remain with our company after the completion of our initial business combination only if they are able to negotiate employment or consulting agreements in connection with the business combination. Such negotiations would take place simultaneously with the negotiation of the business combination and could provide for such individuals to receive compensation in the form of cash payments and/or our securities for services they would render to us after the completion of the business combination. Such negotiations also could make such key personnel’s retention or resignation a condition to any such agreement. The personal and financial interests of such individuals may influence their motivation in identifying and selecting a target business. In addition, 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pacing w:after="0" w:line="1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8" w:name="page49"/>
    <w:bookmarkEnd w:id="48"/>
    <w:p>
      <w:pPr>
        <w:jc w:val="both"/>
        <w:ind w:left="460" w:right="579"/>
        <w:spacing w:after="0" w:line="266" w:lineRule="auto"/>
        <w:rPr>
          <w:sz w:val="20"/>
          <w:szCs w:val="20"/>
          <w:color w:val="auto"/>
        </w:rPr>
      </w:pPr>
      <w:r>
        <w:rPr>
          <w:rFonts w:ascii="Arial" w:cs="Arial" w:eastAsia="Arial" w:hAnsi="Arial"/>
          <w:sz w:val="18"/>
          <w:szCs w:val="18"/>
          <w:b w:val="1"/>
          <w:bCs w:val="1"/>
          <w:color w:val="auto"/>
        </w:rPr>
        <w:t>We may have a limited ability to assess the management of a prospective target business and, as a result, may affect our initial business combination with a target business whose management may not have the skills, qualifications or abilities to manage a public company.</w:t>
      </w:r>
    </w:p>
    <w:p>
      <w:pPr>
        <w:spacing w:after="0" w:line="112"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When evaluating the desirability of effecting our initial business combination with a prospective target business, our ability to assess the target business’s management may be limited due to a lack of time, resources or information. Our assessment of the capabilities of the target business’s management, therefore, may prove to be incorrect and such management may lack the skills, qualifications or abilities we suspected. Should the target business’s management not possess the skills, qualifications or abilities necessary to manage a public company, the operations and profitability of the post-combination business may be negatively impacted. Accordingly, any shareholders who choose to remain shareholders following the business combination could suffer a reduction in the value of their shares. Such shareholders are unlikely to have a remedy for such reduction in value unless they are able to successfully claim that the reduction was due to the breach by our officers or directors of a duty of care or other fiduciary duty owed to them, or if they are able to successfully bring a private claim under securities laws that the proxy solicitation or tender offer materials, as applicable, relating to the business combination contained an actionable material misstatement or material omission.</w:t>
      </w:r>
    </w:p>
    <w:p>
      <w:pPr>
        <w:spacing w:after="0" w:line="164" w:lineRule="exact"/>
        <w:rPr>
          <w:sz w:val="20"/>
          <w:szCs w:val="20"/>
          <w:color w:val="auto"/>
        </w:rPr>
      </w:pPr>
    </w:p>
    <w:p>
      <w:pPr>
        <w:ind w:left="460" w:right="579"/>
        <w:spacing w:after="0" w:line="266" w:lineRule="auto"/>
        <w:rPr>
          <w:sz w:val="20"/>
          <w:szCs w:val="20"/>
          <w:color w:val="auto"/>
        </w:rPr>
      </w:pPr>
      <w:r>
        <w:rPr>
          <w:rFonts w:ascii="Arial" w:cs="Arial" w:eastAsia="Arial" w:hAnsi="Arial"/>
          <w:sz w:val="18"/>
          <w:szCs w:val="18"/>
          <w:b w:val="1"/>
          <w:bCs w:val="1"/>
          <w:color w:val="auto"/>
        </w:rPr>
        <w:t>The officers and directors of an acquisition candidate may resign upon completion of our initial business combination. The loss of a business combination target’s key personnel could negatively impact the operations and profitability of our post-combination business.</w:t>
      </w:r>
    </w:p>
    <w:p>
      <w:pPr>
        <w:spacing w:after="0" w:line="9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role of an acquisition candidate’s key personnel upon the completion of our initial business combination cannot be ascertained at this time. Although we contemplate that certain members of an acquisition candidate’s management team will remain associated with the acquisition candidate following our initial business combination, it is possible that members of the management of an acquisition candidate will not wish to remain in place.</w:t>
      </w:r>
    </w:p>
    <w:p>
      <w:pPr>
        <w:spacing w:after="0" w:line="157" w:lineRule="exact"/>
        <w:rPr>
          <w:sz w:val="20"/>
          <w:szCs w:val="20"/>
          <w:color w:val="auto"/>
        </w:rPr>
      </w:pPr>
    </w:p>
    <w:p>
      <w:pPr>
        <w:ind w:left="460" w:right="619"/>
        <w:spacing w:after="0" w:line="314" w:lineRule="auto"/>
        <w:rPr>
          <w:sz w:val="20"/>
          <w:szCs w:val="20"/>
          <w:color w:val="auto"/>
        </w:rPr>
      </w:pPr>
      <w:r>
        <w:rPr>
          <w:rFonts w:ascii="Arial" w:cs="Arial" w:eastAsia="Arial" w:hAnsi="Arial"/>
          <w:sz w:val="16"/>
          <w:szCs w:val="16"/>
          <w:b w:val="1"/>
          <w:bCs w:val="1"/>
          <w:color w:val="auto"/>
        </w:rPr>
        <w:t>Our executive officers and directors will allocate their time to other businesses thereby causing conflicts of interest in their determination as to how much time to devote to our affairs. This conflict of interest could have a negative impact on our ability to complete our initial business combination.</w:t>
      </w:r>
    </w:p>
    <w:p>
      <w:pPr>
        <w:spacing w:after="0" w:line="65"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or she may be entitled to substantial compensation, and our executive officers are not obligated to contribute any specific number of hours per week to our affairs. Our directors also serve as officers and board members for other entities, and may also serve as officers and/or directors for other special purpose acquisition companies. If our executive officers’ and directors’ other business affairs require them to devote substantial amounts of time to such affairs in excess of their current commitment levels, it could limit their ability to devote time to our affairs which may have a negative impact on our ability to complete our initial business combination. For a complete discussion of our executive officers’ and directors’ other business affairs, please see “Management — Officers, Directors and Director Nominees.”</w:t>
      </w:r>
    </w:p>
    <w:p>
      <w:pPr>
        <w:spacing w:after="0" w:line="137" w:lineRule="exact"/>
        <w:rPr>
          <w:sz w:val="20"/>
          <w:szCs w:val="20"/>
          <w:color w:val="auto"/>
        </w:rPr>
      </w:pPr>
    </w:p>
    <w:p>
      <w:pPr>
        <w:ind w:left="460" w:right="579"/>
        <w:spacing w:after="0" w:line="261" w:lineRule="auto"/>
        <w:rPr>
          <w:sz w:val="20"/>
          <w:szCs w:val="20"/>
          <w:color w:val="auto"/>
        </w:rPr>
      </w:pPr>
      <w:r>
        <w:rPr>
          <w:rFonts w:ascii="Arial" w:cs="Arial" w:eastAsia="Arial" w:hAnsi="Arial"/>
          <w:sz w:val="18"/>
          <w:szCs w:val="18"/>
          <w:b w:val="1"/>
          <w:bCs w:val="1"/>
          <w:color w:val="auto"/>
        </w:rPr>
        <w:t>Our officers and directors presently have, and any of them in the future may have, additional fiduciary or contractual obligations to other entities, including another blank check company, and, accordingly, may have conflicts of interest in determining to which entity a particular business opportunity should be presented.</w:t>
      </w:r>
    </w:p>
    <w:p>
      <w:pPr>
        <w:spacing w:after="0" w:line="103"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Following the completion of this offering and until we consummate our initial business combination, we intend to engage in the business of identifying and combining with one or more businesses or entities. Certain of our officers and directors presently has, and any of them in the future may have, additional fiduciary or contractual obligations to other entities pursuant to which such officer or director is or will be required to present a business combination opportunity to such entity, subject to his or her fiduciary duties under Cayman Islands law. Accordingly, they may have conflicts of interest in determining to which entity a particular business opportunity should be presented. These conflicts may not be resolved in our favor and a potential target business may be presented to another entity prior to its presentation to us, subject to their fiduciary duties under Cayman Islands law.</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49" w:name="page50"/>
    <w:bookmarkEnd w:id="49"/>
    <w:p>
      <w:pPr>
        <w:ind w:left="460" w:right="479" w:firstLine="432"/>
        <w:spacing w:after="0" w:line="270" w:lineRule="auto"/>
        <w:rPr>
          <w:sz w:val="20"/>
          <w:szCs w:val="20"/>
          <w:color w:val="auto"/>
        </w:rPr>
      </w:pPr>
      <w:r>
        <w:rPr>
          <w:rFonts w:ascii="Arial" w:cs="Arial" w:eastAsia="Arial" w:hAnsi="Arial"/>
          <w:sz w:val="17"/>
          <w:szCs w:val="17"/>
          <w:color w:val="auto"/>
        </w:rPr>
        <w:t>In addition, our sponsor, directors and officers may in the future become affiliated with other blank check companies that may have acquisition objectives that are similar to ours. Accordingly, they may have conflicts of interest in determining to which entity a particular business opportunity should be presented. These conflicts may not be resolved in our favor and a potential target business may be presented to such other blank check companies prior to its presentation to us, subject to our officers’ and directors’ fiduciary duties under Cayman Islands law. Our amended and restated memorandum and articles of association will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73" w:lineRule="exact"/>
        <w:rPr>
          <w:sz w:val="20"/>
          <w:szCs w:val="20"/>
          <w:color w:val="auto"/>
        </w:rPr>
      </w:pPr>
    </w:p>
    <w:p>
      <w:pPr>
        <w:ind w:left="460" w:right="459" w:firstLine="432"/>
        <w:spacing w:after="0" w:line="311" w:lineRule="auto"/>
        <w:rPr>
          <w:sz w:val="20"/>
          <w:szCs w:val="20"/>
          <w:color w:val="auto"/>
        </w:rPr>
      </w:pPr>
      <w:r>
        <w:rPr>
          <w:rFonts w:ascii="Arial" w:cs="Arial" w:eastAsia="Arial" w:hAnsi="Arial"/>
          <w:sz w:val="16"/>
          <w:szCs w:val="16"/>
          <w:color w:val="auto"/>
        </w:rPr>
        <w:t>For a complete discussion of our executive officers’ and directors’ business affiliations and the potential conflicts of interest that you should be aware of, please see “Management — Officers, Directors and Director Nominees,” “Management — Conflicts of Interest” and “Certain Relationships and Related Party Transactions.”</w:t>
      </w:r>
    </w:p>
    <w:p>
      <w:pPr>
        <w:spacing w:after="0" w:line="37" w:lineRule="exact"/>
        <w:rPr>
          <w:sz w:val="20"/>
          <w:szCs w:val="20"/>
          <w:color w:val="auto"/>
        </w:rPr>
      </w:pPr>
    </w:p>
    <w:p>
      <w:pPr>
        <w:ind w:left="460" w:right="799"/>
        <w:spacing w:after="0" w:line="282" w:lineRule="auto"/>
        <w:rPr>
          <w:sz w:val="20"/>
          <w:szCs w:val="20"/>
          <w:color w:val="auto"/>
        </w:rPr>
      </w:pPr>
      <w:r>
        <w:rPr>
          <w:rFonts w:ascii="Arial" w:cs="Arial" w:eastAsia="Arial" w:hAnsi="Arial"/>
          <w:sz w:val="18"/>
          <w:szCs w:val="18"/>
          <w:b w:val="1"/>
          <w:bCs w:val="1"/>
          <w:color w:val="auto"/>
        </w:rPr>
        <w:t>Our executive officers, directors, security holders and their respective affiliates may have competitive pecuniary interests that conflict with our interests.</w:t>
      </w:r>
    </w:p>
    <w:p>
      <w:pPr>
        <w:spacing w:after="0" w:line="58"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We have not adopted a policy that expressly prohibits our directors, executive officers, security holders or affiliates from having a direct or indirect pecuniary or financial interest in any investment to be acquired or disposed of by us or in any transaction to which we are a party or have an interest. In fact, we may enter into a business combination with a target business that is affiliated with our sponsor, our directors or executive officers, although we do not intend to do so. Nor do we have a policy that expressly prohibits any such persons from engaging for their own account in business activities of the types conducted by us. Accordingly, such persons or entities may have a conflict between their interests and ours.</w:t>
      </w:r>
    </w:p>
    <w:p>
      <w:pPr>
        <w:spacing w:after="0" w:line="58"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The personal and financial interests of our directors and officers may influence their motivation in timely identifying and selecting a target business and completing a business combination. Consequently, our directors’ and officers’ discretion in identifying and selecting a suitable target business may result in a conflict of interest when determining whether the terms, conditions and timing of a particular business combination are appropriate and in our shareholders’ best interest. If this were the case, it would be a breach of their fiduciary duties to us as a matter of Cayman Islands law and we or our shareholders might have a claim against such individuals for infringing on our shareholders’ rights. See the section titled “Description of Securities — Certain Differences in Corporate Law — Shareholders’ Suits” for further information on the ability to bring such claims. However, we might not ultimately be successful in any claim we may make against them for such reason.</w:t>
      </w:r>
    </w:p>
    <w:p>
      <w:pPr>
        <w:spacing w:after="0" w:line="54" w:lineRule="exact"/>
        <w:rPr>
          <w:sz w:val="20"/>
          <w:szCs w:val="20"/>
          <w:color w:val="auto"/>
        </w:rPr>
      </w:pPr>
    </w:p>
    <w:p>
      <w:pPr>
        <w:ind w:left="460" w:right="479"/>
        <w:spacing w:after="0" w:line="266" w:lineRule="auto"/>
        <w:rPr>
          <w:sz w:val="20"/>
          <w:szCs w:val="20"/>
          <w:color w:val="auto"/>
        </w:rPr>
      </w:pPr>
      <w:r>
        <w:rPr>
          <w:rFonts w:ascii="Arial" w:cs="Arial" w:eastAsia="Arial" w:hAnsi="Arial"/>
          <w:sz w:val="18"/>
          <w:szCs w:val="18"/>
          <w:b w:val="1"/>
          <w:bCs w:val="1"/>
          <w:color w:val="auto"/>
        </w:rPr>
        <w:t>We may engage in a business combination with one or more target businesses that have relationships with entities that may be affiliated with our sponsor, executive officers, directors or existing holders which may raise potential conflicts of interest.</w:t>
      </w:r>
    </w:p>
    <w:p>
      <w:pPr>
        <w:spacing w:after="0" w:line="72"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light of the involvement of our sponsor, executive officers and directors with other entities, we may decide to acquire one or more businesses or entities affiliated with our sponsor, executive officers, directors or existing holders. Our directors also serve as officers and board members for other entities, including, without limitation, those described under “Management — Conflicts of Interest.” Our sponsor, directors and officers may sponsor, form or participate in other blank check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and may compete with us for business combination opportunities. However, we do not believe that any such potential conflicts would materially affect our ability to complete our initial business combination. Our sponsor, officers and directors are not currently aware of any specific opportunities for us to complete our initial business combination with any entities with which they are affiliated, and there have been no substantive discussions concerning a business combination with any such entity or entities. Although we will not be specifically focusing on, or targeting, any transaction with any affiliated entities, we would pursue such a transaction if we determined that such affiliated entity met our criteria for a business combination as set forth in “Proposed Business — Effecting Our Initial Business Combination — Evaluation of a Target Business and Structuring of Our Initial Business Combination” and such transaction was approved by a majority of our independent and disinterested directors. Despite our agreement to obtain an opinion from an independent investment banking firm or other independent entity regarding the fairness to our company from a financial point of view of a business combination with one or more domestic or international businesses affiliated with our sponsor, executive officers, directors or existing holders, potential conflicts of interest</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0" w:name="page51"/>
    <w:bookmarkEnd w:id="50"/>
    <w:p>
      <w:pPr>
        <w:ind w:left="460" w:right="599"/>
        <w:spacing w:after="0" w:line="277" w:lineRule="auto"/>
        <w:rPr>
          <w:sz w:val="20"/>
          <w:szCs w:val="20"/>
          <w:color w:val="auto"/>
        </w:rPr>
      </w:pPr>
      <w:r>
        <w:rPr>
          <w:rFonts w:ascii="Arial" w:cs="Arial" w:eastAsia="Arial" w:hAnsi="Arial"/>
          <w:sz w:val="18"/>
          <w:szCs w:val="18"/>
          <w:color w:val="auto"/>
        </w:rPr>
        <w:t>still may exist and, as a result, the terms of the business combination may not be as advantageous to our public shareholders as they would be absent any conflicts of interest.</w:t>
      </w:r>
    </w:p>
    <w:p>
      <w:pPr>
        <w:spacing w:after="0" w:line="126" w:lineRule="exact"/>
        <w:rPr>
          <w:sz w:val="20"/>
          <w:szCs w:val="20"/>
          <w:color w:val="auto"/>
        </w:rPr>
      </w:pPr>
    </w:p>
    <w:p>
      <w:pPr>
        <w:ind w:left="460" w:right="559"/>
        <w:spacing w:after="0" w:line="281" w:lineRule="auto"/>
        <w:rPr>
          <w:sz w:val="20"/>
          <w:szCs w:val="20"/>
          <w:color w:val="auto"/>
        </w:rPr>
      </w:pPr>
      <w:r>
        <w:rPr>
          <w:rFonts w:ascii="Arial" w:cs="Arial" w:eastAsia="Arial" w:hAnsi="Arial"/>
          <w:sz w:val="17"/>
          <w:szCs w:val="17"/>
          <w:b w:val="1"/>
          <w:bCs w:val="1"/>
          <w:color w:val="auto"/>
        </w:rPr>
        <w:t>Since our sponsor, executive officers and directors will lose their entire investment in us if our initial business combination is not completed (other than with respect to public shares they may acquire during or after this offering), a conflict of interest may arise in determining whether a particular business combination target is appropriate for our initial business combination.</w:t>
      </w:r>
    </w:p>
    <w:p>
      <w:pPr>
        <w:spacing w:after="0" w:line="101"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On December 31, 2019, the sponsor paid $25,000, or approximately $0.003 per share, to cover certain of our offering costs in consideration of 8,625,000 Class B ordinary shares, par value $0.0001. In March 2020, our sponsor transferred 30,000 founder shares to each of our independent directors. These 90,000 shares shall not be subject to forfeiture in the event the underwriter’s over-allotment option is not exercised. Prior to the initial investment in the company of $25,000 by the sponsor, the company had no assets, tangible or intangible. The per share price of the founder shares was determined by dividing the amount contributed to the company by the number of founder shares issued. The founder shares will be worthless if we do not complete an initial business combination. In addition, our sponsor has committed, pursuant to a written agreement, to purchase an aggregate of 9,500,000 private placement warrants, each exercisable to purchase one Class A ordinary share at $11.50 per share, at a price of $1.00 per warrant ($9,500,000 in the aggregate), in a private placement that will close simultaneously with the closing of this offering. If we do not consummate an initial business within 18 months from the closing of this offering, the private placement warrants will expire worthless. The personal and financial interests of our executive officers and directors may influence their motivation in identifying and selecting a target business combination, completing an initial business combination and influencing the operation of the business following the initial business combination. This risk may become more acute as the 18-month anniversary of the closing of this offering nears, which is the deadline for our consummation of an initial business combination.</w:t>
      </w:r>
    </w:p>
    <w:p>
      <w:pPr>
        <w:spacing w:after="0" w:line="388" w:lineRule="exact"/>
        <w:rPr>
          <w:sz w:val="20"/>
          <w:szCs w:val="20"/>
          <w:color w:val="auto"/>
        </w:rPr>
      </w:pPr>
    </w:p>
    <w:p>
      <w:pPr>
        <w:ind w:left="460" w:right="499"/>
        <w:spacing w:after="0" w:line="266" w:lineRule="auto"/>
        <w:rPr>
          <w:sz w:val="20"/>
          <w:szCs w:val="20"/>
          <w:color w:val="auto"/>
        </w:rPr>
      </w:pPr>
      <w:r>
        <w:rPr>
          <w:rFonts w:ascii="Arial" w:cs="Arial" w:eastAsia="Arial" w:hAnsi="Arial"/>
          <w:sz w:val="18"/>
          <w:szCs w:val="18"/>
          <w:b w:val="1"/>
          <w:bCs w:val="1"/>
          <w:color w:val="auto"/>
        </w:rPr>
        <w:t>We may issue notes or other debt securities, or otherwise incur substantial debt, to complete a business combination, which may adversely affect our leverage and financial condition and thus negatively impact the value of our shareholders’ investment in us.</w:t>
      </w:r>
    </w:p>
    <w:p>
      <w:pPr>
        <w:spacing w:after="0" w:line="112"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Although we have no commitments as of the date of this prospectus to issue any notes or other debt securities, or to otherwise incur outstanding debt following this offering, we may choose to incur substantial debt to complete our initial business combination. We and our officers have agreed that we will not incur any indebtedness unless we have obtained from the lender a waiver of any right, title, interest or claim of any kind in or to the monies held in the trust account. As such, no issuance of debt will affect the per share amount available for redemption from the trust account. Nevertheless, the incurrence of debt could have a variety of negative effects, including:</w:t>
      </w:r>
    </w:p>
    <w:p>
      <w:pPr>
        <w:spacing w:after="0" w:line="114" w:lineRule="exact"/>
        <w:rPr>
          <w:sz w:val="20"/>
          <w:szCs w:val="20"/>
          <w:color w:val="auto"/>
        </w:rPr>
      </w:pPr>
    </w:p>
    <w:p>
      <w:pPr>
        <w:ind w:left="1320" w:right="579" w:hanging="434"/>
        <w:spacing w:after="0" w:line="277"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62"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75"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62" w:lineRule="exact"/>
        <w:rPr>
          <w:rFonts w:ascii="Arial" w:cs="Arial" w:eastAsia="Arial" w:hAnsi="Arial"/>
          <w:sz w:val="18"/>
          <w:szCs w:val="18"/>
          <w:color w:val="auto"/>
        </w:rPr>
      </w:pPr>
    </w:p>
    <w:p>
      <w:pPr>
        <w:ind w:left="1320" w:right="1119" w:hanging="434"/>
        <w:spacing w:after="0" w:line="342" w:lineRule="auto"/>
        <w:tabs>
          <w:tab w:leader="none" w:pos="1311" w:val="left"/>
        </w:tabs>
        <w:numPr>
          <w:ilvl w:val="0"/>
          <w:numId w:val="22"/>
        </w:numPr>
        <w:rPr>
          <w:rFonts w:ascii="Arial" w:cs="Arial" w:eastAsia="Arial" w:hAnsi="Arial"/>
          <w:sz w:val="16"/>
          <w:szCs w:val="16"/>
          <w:color w:val="auto"/>
        </w:rPr>
      </w:pPr>
      <w:r>
        <w:rPr>
          <w:rFonts w:ascii="Arial" w:cs="Arial" w:eastAsia="Arial" w:hAnsi="Arial"/>
          <w:sz w:val="16"/>
          <w:szCs w:val="16"/>
          <w:color w:val="auto"/>
        </w:rPr>
        <w:t>our inability to obtain necessary additional financing if the debt security contains covenants restricting our ability to obtain such financing while the debt security is outstanding;</w:t>
      </w:r>
    </w:p>
    <w:p>
      <w:pPr>
        <w:spacing w:after="0" w:line="15" w:lineRule="exact"/>
        <w:rPr>
          <w:rFonts w:ascii="Arial" w:cs="Arial" w:eastAsia="Arial" w:hAnsi="Arial"/>
          <w:sz w:val="16"/>
          <w:szCs w:val="16"/>
          <w:color w:val="auto"/>
        </w:rPr>
      </w:pPr>
    </w:p>
    <w:p>
      <w:pPr>
        <w:ind w:left="1300" w:hanging="414"/>
        <w:spacing w:after="0"/>
        <w:tabs>
          <w:tab w:leader="none" w:pos="1300" w:val="left"/>
        </w:tabs>
        <w:numPr>
          <w:ilvl w:val="0"/>
          <w:numId w:val="22"/>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17" w:lineRule="exact"/>
        <w:rPr>
          <w:rFonts w:ascii="Arial" w:cs="Arial" w:eastAsia="Arial" w:hAnsi="Arial"/>
          <w:sz w:val="18"/>
          <w:szCs w:val="18"/>
          <w:color w:val="auto"/>
        </w:rPr>
      </w:pPr>
    </w:p>
    <w:p>
      <w:pPr>
        <w:ind w:left="1320" w:right="819" w:hanging="434"/>
        <w:spacing w:after="0" w:line="286" w:lineRule="auto"/>
        <w:tabs>
          <w:tab w:leader="none" w:pos="1311" w:val="left"/>
        </w:tabs>
        <w:numPr>
          <w:ilvl w:val="0"/>
          <w:numId w:val="22"/>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57" w:lineRule="exact"/>
        <w:rPr>
          <w:rFonts w:ascii="Arial" w:cs="Arial" w:eastAsia="Arial" w:hAnsi="Arial"/>
          <w:sz w:val="17"/>
          <w:szCs w:val="17"/>
          <w:color w:val="auto"/>
        </w:rPr>
      </w:pPr>
    </w:p>
    <w:p>
      <w:pPr>
        <w:ind w:left="1320" w:right="939" w:hanging="434"/>
        <w:spacing w:after="0" w:line="277"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62"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22"/>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or prevailing interest rates; and</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sectPr>
      </w:pPr>
    </w:p>
    <w:bookmarkStart w:id="51" w:name="page52"/>
    <w:bookmarkEnd w:id="51"/>
    <w:p>
      <w:pPr>
        <w:ind w:left="1320" w:right="899" w:hanging="434"/>
        <w:spacing w:after="0" w:line="286" w:lineRule="auto"/>
        <w:tabs>
          <w:tab w:leader="none" w:pos="1311" w:val="left"/>
        </w:tabs>
        <w:numPr>
          <w:ilvl w:val="0"/>
          <w:numId w:val="23"/>
        </w:numPr>
        <w:rPr>
          <w:rFonts w:ascii="Arial" w:cs="Arial" w:eastAsia="Arial" w:hAnsi="Arial"/>
          <w:sz w:val="17"/>
          <w:szCs w:val="17"/>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161" w:lineRule="exact"/>
        <w:rPr>
          <w:sz w:val="20"/>
          <w:szCs w:val="20"/>
          <w:color w:val="auto"/>
        </w:rPr>
      </w:pPr>
    </w:p>
    <w:p>
      <w:pPr>
        <w:ind w:left="460" w:right="519"/>
        <w:spacing w:after="0" w:line="261" w:lineRule="auto"/>
        <w:rPr>
          <w:sz w:val="20"/>
          <w:szCs w:val="20"/>
          <w:color w:val="auto"/>
        </w:rPr>
      </w:pPr>
      <w:r>
        <w:rPr>
          <w:rFonts w:ascii="Arial" w:cs="Arial" w:eastAsia="Arial" w:hAnsi="Arial"/>
          <w:sz w:val="18"/>
          <w:szCs w:val="18"/>
          <w:b w:val="1"/>
          <w:bCs w:val="1"/>
          <w:color w:val="auto"/>
        </w:rPr>
        <w:t>We may only be able to complete one business combination with the proceeds of this offering and the sale of the private placement warrants, which will cause us to be solely dependent on a single business which may have a limited number of products or services. This lack of diversification may negatively impact our operations and profitability.</w:t>
      </w:r>
    </w:p>
    <w:p>
      <w:pPr>
        <w:spacing w:after="0" w:line="103"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The net proceeds from this offering and the private placement of warrants may provide us with up to $292,000,000 (or $334,525,000 if the underwriter’s over-allotment option is exercised in full) that we may use to complete our initial business combination (after taking into account the $10,500,000, or $12,075,000 if the over-allotment option is exercised in full, of deferred underwriting commissions being held in the trust account and the estimated expenses of this offering).</w:t>
      </w:r>
    </w:p>
    <w:p>
      <w:pPr>
        <w:spacing w:after="0" w:line="120"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We may effectuate our initial business combination with a single-target business or multiple-target businesses simultaneously or within a short period of time. However, we may not be able to effectuate our initial business combination with more than one target business because of various factors, including the existence of complex accounting issues and the requirement that we prepare and file pro forma financial statements with the SEC that present operating results and the financial condition of several target businesses as if they had been operated on a combined basis. By completing our initial business combination with only a single entity, our lack of diversification may subject us to numerous economic, competitive and regulatory developments. Further, we would not be able to diversify our operations or benefit from the possible spreading of risks or offsetting of losses, unlike other entities which may have the resources to complete several business combinations in different industries or different areas of a single industry. Accordingly, the prospects for our success may be:</w:t>
      </w:r>
    </w:p>
    <w:p>
      <w:pPr>
        <w:spacing w:after="0" w:line="114" w:lineRule="exact"/>
        <w:rPr>
          <w:sz w:val="20"/>
          <w:szCs w:val="20"/>
          <w:color w:val="auto"/>
        </w:rPr>
      </w:pPr>
    </w:p>
    <w:p>
      <w:pPr>
        <w:ind w:left="1300" w:hanging="414"/>
        <w:spacing w:after="0"/>
        <w:tabs>
          <w:tab w:leader="none" w:pos="13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solely dependent upon the performance of a single business, property or asset; or</w:t>
      </w:r>
    </w:p>
    <w:p>
      <w:pPr>
        <w:spacing w:after="0" w:line="144" w:lineRule="exact"/>
        <w:rPr>
          <w:rFonts w:ascii="Arial" w:cs="Arial" w:eastAsia="Arial" w:hAnsi="Arial"/>
          <w:sz w:val="18"/>
          <w:szCs w:val="18"/>
          <w:color w:val="auto"/>
        </w:rPr>
      </w:pPr>
    </w:p>
    <w:p>
      <w:pPr>
        <w:ind w:left="1320" w:right="719" w:hanging="434"/>
        <w:spacing w:after="0" w:line="277" w:lineRule="auto"/>
        <w:tabs>
          <w:tab w:leader="none" w:pos="1311" w:val="left"/>
        </w:tabs>
        <w:numPr>
          <w:ilvl w:val="0"/>
          <w:numId w:val="24"/>
        </w:numPr>
        <w:rPr>
          <w:rFonts w:ascii="Arial" w:cs="Arial" w:eastAsia="Arial" w:hAnsi="Arial"/>
          <w:sz w:val="18"/>
          <w:szCs w:val="18"/>
          <w:color w:val="auto"/>
        </w:rPr>
      </w:pPr>
      <w:r>
        <w:rPr>
          <w:rFonts w:ascii="Arial" w:cs="Arial" w:eastAsia="Arial" w:hAnsi="Arial"/>
          <w:sz w:val="18"/>
          <w:szCs w:val="18"/>
          <w:color w:val="auto"/>
        </w:rPr>
        <w:t>dependent upon the development or market acceptance of a single or limited number of products, processes or services.</w:t>
      </w:r>
    </w:p>
    <w:p>
      <w:pPr>
        <w:spacing w:after="0" w:line="103" w:lineRule="exact"/>
        <w:rPr>
          <w:sz w:val="20"/>
          <w:szCs w:val="20"/>
          <w:color w:val="auto"/>
        </w:rPr>
      </w:pPr>
    </w:p>
    <w:p>
      <w:pPr>
        <w:ind w:left="460" w:right="619" w:firstLine="432"/>
        <w:spacing w:after="0" w:line="263" w:lineRule="auto"/>
        <w:rPr>
          <w:sz w:val="20"/>
          <w:szCs w:val="20"/>
          <w:color w:val="auto"/>
        </w:rPr>
      </w:pPr>
      <w:r>
        <w:rPr>
          <w:rFonts w:ascii="Arial" w:cs="Arial" w:eastAsia="Arial" w:hAnsi="Arial"/>
          <w:sz w:val="18"/>
          <w:szCs w:val="18"/>
          <w:color w:val="auto"/>
        </w:rPr>
        <w:t>This lack of diversification may subject us to numerous economic, competitive and regulatory risks, any or all of which may have a substantial adverse impact upon the particular industry in which we may operate subsequent to our initial business combination.</w:t>
      </w:r>
    </w:p>
    <w:p>
      <w:pPr>
        <w:spacing w:after="0" w:line="180" w:lineRule="exact"/>
        <w:rPr>
          <w:sz w:val="20"/>
          <w:szCs w:val="20"/>
          <w:color w:val="auto"/>
        </w:rPr>
      </w:pPr>
    </w:p>
    <w:p>
      <w:pPr>
        <w:ind w:left="460" w:right="499"/>
        <w:spacing w:after="0" w:line="289" w:lineRule="auto"/>
        <w:rPr>
          <w:sz w:val="20"/>
          <w:szCs w:val="20"/>
          <w:color w:val="auto"/>
        </w:rPr>
      </w:pPr>
      <w:r>
        <w:rPr>
          <w:rFonts w:ascii="Arial" w:cs="Arial" w:eastAsia="Arial" w:hAnsi="Arial"/>
          <w:sz w:val="17"/>
          <w:szCs w:val="17"/>
          <w:b w:val="1"/>
          <w:bCs w:val="1"/>
          <w:color w:val="auto"/>
        </w:rPr>
        <w:t>We may attempt to simultaneously complete business combinations with multiple prospective targets, which may hinder our ability to complete our initial business combination and give rise to increased costs and risks that could negatively impact our operations and profitability.</w:t>
      </w:r>
    </w:p>
    <w:p>
      <w:pPr>
        <w:spacing w:after="0" w:line="94"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If we determine to simultaneously acquire several businesses that are owned by different sellers, we will need for each of such sellers to agree that our purchase of its business is contingent on the simultaneous closings of the other business combinations, which may make it more difficult for us, and delay our ability, to complete our initial business combination. With multiple business combinations, we could also face additional risks, including additional burdens and costs with respect to possible multiple negotiations and due diligence investigations (if there are multiple sellers) and the additional risks associated with the subsequent assimilation of the operations and services or products of the acquired companies in a single operating business. If we are unable to adequately address these risks, it could negatively impact our profitability and results of operations.</w:t>
      </w:r>
    </w:p>
    <w:p>
      <w:pPr>
        <w:spacing w:after="0" w:line="161" w:lineRule="exact"/>
        <w:rPr>
          <w:sz w:val="20"/>
          <w:szCs w:val="20"/>
          <w:color w:val="auto"/>
        </w:rPr>
      </w:pPr>
    </w:p>
    <w:p>
      <w:pPr>
        <w:ind w:left="460" w:right="619"/>
        <w:spacing w:after="0" w:line="266" w:lineRule="auto"/>
        <w:rPr>
          <w:sz w:val="20"/>
          <w:szCs w:val="20"/>
          <w:color w:val="auto"/>
        </w:rPr>
      </w:pPr>
      <w:r>
        <w:rPr>
          <w:rFonts w:ascii="Arial" w:cs="Arial" w:eastAsia="Arial" w:hAnsi="Arial"/>
          <w:sz w:val="18"/>
          <w:szCs w:val="18"/>
          <w:b w:val="1"/>
          <w:bCs w:val="1"/>
          <w:color w:val="auto"/>
        </w:rPr>
        <w:t>We may attempt to complete our initial business combination with a private company about which little information is available, which may result in a business combination with a company that is not as profitable as we suspected, if at all.</w:t>
      </w:r>
    </w:p>
    <w:p>
      <w:pPr>
        <w:spacing w:after="0" w:line="99"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In pursuing our acquisition strategy, we may seek to effectuate our initial business combination with a privately held company. By definition, very little public information generally exists about private companies, and we could be required to make our decision on whether to pursue a potential initial business combination on the basis of limited information, which may result in a business combination with a company that is not as profitable as we suspected, if at all.</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2" w:name="page53"/>
    <w:bookmarkEnd w:id="52"/>
    <w:p>
      <w:pPr>
        <w:ind w:left="460" w:right="719"/>
        <w:spacing w:after="0" w:line="289" w:lineRule="auto"/>
        <w:rPr>
          <w:sz w:val="20"/>
          <w:szCs w:val="20"/>
          <w:color w:val="auto"/>
        </w:rPr>
      </w:pPr>
      <w:r>
        <w:rPr>
          <w:rFonts w:ascii="Arial" w:cs="Arial" w:eastAsia="Arial" w:hAnsi="Arial"/>
          <w:sz w:val="17"/>
          <w:szCs w:val="17"/>
          <w:b w:val="1"/>
          <w:bCs w:val="1"/>
          <w:color w:val="auto"/>
        </w:rPr>
        <w:t>Our management may not be able to maintain control of a target business after our initial business combination. Upon the loss of control of a target business, new management may not possess the skills, qualifications or abilities necessary to profitably operate such business.</w:t>
      </w:r>
    </w:p>
    <w:p>
      <w:pPr>
        <w:spacing w:after="0" w:line="94"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We may structure our initial business combination so that the post-transaction company in which our public shareholders own shares will own less than 100% of the equity interests or assets of a target business, but we will only complete such business combination if the post-transaction company owns or acquires 50% or more of the outstanding voting securities of the target or otherwise acquires a controlling interest in the target sufficient for us not to be required to register as an investment company under the Investment Company Act. We will not consider any transaction that does not meet such criteria. Even if the post-transaction company owns 50% or more of the voting securities of the target, our shareholders prior to our initial business combination may collectively own a minority interest in the post business combination company, depending on valuations ascribed to the target and us in the business combination. For example, we could pursue a transaction in which we issue a substantial number of new Class A ordinary shares in exchange for all of the outstanding capital stock of a target. In this case, we would acquire a 100% interest in the target. However, as a result of the issuance of a substantial number of new Class A ordinary shares, our shareholders immediately prior to such transaction could own less than a majority of our outstanding Class A ordinary shares subsequent to such transaction. In addition, other minority shareholders may subsequently combine their holdings resulting in a single person or group obtaining a larger share of the company’s shares than we initially acquired. Accordingly, this may make it more likely that our management will not be able to maintain control of the target business.</w:t>
      </w:r>
    </w:p>
    <w:p>
      <w:pPr>
        <w:spacing w:after="0" w:line="172" w:lineRule="exact"/>
        <w:rPr>
          <w:sz w:val="20"/>
          <w:szCs w:val="20"/>
          <w:color w:val="auto"/>
        </w:rPr>
      </w:pPr>
    </w:p>
    <w:p>
      <w:pPr>
        <w:ind w:left="460" w:right="1059"/>
        <w:spacing w:after="0" w:line="266" w:lineRule="auto"/>
        <w:rPr>
          <w:sz w:val="20"/>
          <w:szCs w:val="20"/>
          <w:color w:val="auto"/>
        </w:rPr>
      </w:pPr>
      <w:r>
        <w:rPr>
          <w:rFonts w:ascii="Arial" w:cs="Arial" w:eastAsia="Arial" w:hAnsi="Arial"/>
          <w:sz w:val="18"/>
          <w:szCs w:val="18"/>
          <w:b w:val="1"/>
          <w:bCs w:val="1"/>
          <w:color w:val="auto"/>
        </w:rPr>
        <w:t>We may seek business combination opportunities with a high degree of complexity that require significant operational improvements, which could delay or prevent us from achieving our desired results.</w:t>
      </w:r>
    </w:p>
    <w:p>
      <w:pPr>
        <w:spacing w:after="0" w:line="99"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We may seek business combination opportunities with large, highly complex companies that we believe would benefit from operational improvements. While we intend to implement such improvements, to the extent that our efforts are delayed or we are unable to achieve the desired improvements, the business combination may not be as successful as we anticipate.</w:t>
      </w:r>
    </w:p>
    <w:p>
      <w:pPr>
        <w:spacing w:after="0" w:line="119"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To the extent we complete our initial business combination with a large complex business or entity with a complex operating structure, we may also be affected by numerous risks inherent in the operations of the business with which we combine, which could delay or prevent us from implementing our strategy. Although our management team will endeavor to evaluate the risks inherent in a particular target business and its operations, we may not be able to properly ascertain or assess all of the significant risk factors until we complete our business combination. If we are not able to achieve our desired operational improvements, or the improvements take longer to implement than anticipated, we may not achieve the gains that we anticipate. Furthermore, some of these risks and complexities may be outside of our control and leave us with no ability to control or reduce the chances that those risks and complexities will adversely impact a target business. Such combination may not be as successful as a combination with a smaller, less complex organization.</w:t>
      </w:r>
    </w:p>
    <w:p>
      <w:pPr>
        <w:spacing w:after="0" w:line="164" w:lineRule="exact"/>
        <w:rPr>
          <w:sz w:val="20"/>
          <w:szCs w:val="20"/>
          <w:color w:val="auto"/>
        </w:rPr>
      </w:pPr>
    </w:p>
    <w:p>
      <w:pPr>
        <w:ind w:left="460" w:right="539"/>
        <w:spacing w:after="0" w:line="266" w:lineRule="auto"/>
        <w:rPr>
          <w:sz w:val="20"/>
          <w:szCs w:val="20"/>
          <w:color w:val="auto"/>
        </w:rPr>
      </w:pPr>
      <w:r>
        <w:rPr>
          <w:rFonts w:ascii="Arial" w:cs="Arial" w:eastAsia="Arial" w:hAnsi="Arial"/>
          <w:sz w:val="18"/>
          <w:szCs w:val="18"/>
          <w:b w:val="1"/>
          <w:bCs w:val="1"/>
          <w:color w:val="auto"/>
        </w:rPr>
        <w:t>We do not have a specified maximum redemption threshold. The absence of such a redemption threshold may make it possible for us to complete our initial business combination with which a substantial majority of our shareholders do not agree.</w:t>
      </w:r>
    </w:p>
    <w:p>
      <w:pPr>
        <w:spacing w:after="0" w:line="112"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Our amended and restated memorandum and articles of association will not provide a specified maximum redemption threshold, except that in no event will we redeem our public shares in an amount that would cause our net tangible assets to be less than $5,000,001 (such that we are not subject to the SEC’s “penny stock” rules). As a result, we may be able to complete our initial business combination even though a substantial majority of our public shareholders do not agree with the transaction and have redeemed their shares or, if we seek shareholder approval of our initial business combination and do not conduct redemptions in connection with our initial business combination pursuant to the tender offer rules, have entered into privately negotiated agreements to sell their shares to our sponsor, officers, directors, advisors or any of their affiliates.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all Class A ordinary shares submitted for redemption will be returned to the holders thereof, and we instead may search for an alternate business combination.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53" w:name="page54"/>
    <w:bookmarkEnd w:id="53"/>
    <w:p>
      <w:pPr>
        <w:ind w:left="460" w:right="659"/>
        <w:spacing w:after="0" w:line="298" w:lineRule="auto"/>
        <w:rPr>
          <w:sz w:val="20"/>
          <w:szCs w:val="20"/>
          <w:color w:val="auto"/>
        </w:rPr>
      </w:pPr>
      <w:r>
        <w:rPr>
          <w:rFonts w:ascii="Arial" w:cs="Arial" w:eastAsia="Arial" w:hAnsi="Arial"/>
          <w:sz w:val="16"/>
          <w:szCs w:val="16"/>
          <w:b w:val="1"/>
          <w:bCs w:val="1"/>
          <w:color w:val="auto"/>
        </w:rPr>
        <w:t>In order to effectuate an initial business combination, blank check companies have, in the recent past, amended various provisions of their charters and other governing instruments, including their warrant agreements. We cannot assure you that we will not seek to amend our amended and restated memorandum and articles of association or governing instruments in a manner that will make it easier for us to complete our initial business combination that some of our shareholders may not support.</w:t>
      </w:r>
    </w:p>
    <w:p>
      <w:pPr>
        <w:spacing w:after="0" w:line="90"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order to effectuate a business combination, blank check companies have, in the recent past, amended various provisions of their charters and governing instruments, including their warrant agreements. For example, blank check companies have amended the definition of business combination, increased redemption thresholds, changed industry focus and, with respect to their warrants, amended their warrant agreements to require the warrants to be exchanged for cash and/or other securities. Amending our amended and restated memorandum and articles of association will require at least a special resolution of our shareholders as a matter of Cayman Islands law, meaning the approval of holders of at least two-thirds of our ordinary shares who attend and vote at a general meeting of the company, and amending our warrant agreement will require a vote of holders of at least 65% of the public warrants and, solely with respect to any amendment to the terms of the private placement warrants or any provision of the warrant agreement with respect to the private placement warrants, 65% of the number of the then-outstanding private placement warrants. In addition, our amended and restated memorandum and articles of association will require us to provide our public shareholders with the opportunity to redeem their public shares for cash if we propose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To the extent any of such amendments would be deemed to fundamentally change the nature of any of the securities offered through this registration statement, we would register, or seek an exemption from registration for, the affected securities. We may seek to amend our amended and restated memorandum and articles of association or governing instruments or extend the time to consummate an initial business combination in order to effectuate our initial business combination.</w:t>
      </w:r>
    </w:p>
    <w:p>
      <w:pPr>
        <w:spacing w:after="0" w:line="176" w:lineRule="exact"/>
        <w:rPr>
          <w:sz w:val="20"/>
          <w:szCs w:val="20"/>
          <w:color w:val="auto"/>
        </w:rPr>
      </w:pPr>
    </w:p>
    <w:p>
      <w:pPr>
        <w:ind w:left="460" w:right="579"/>
        <w:spacing w:after="0" w:line="272" w:lineRule="auto"/>
        <w:rPr>
          <w:sz w:val="20"/>
          <w:szCs w:val="20"/>
          <w:color w:val="auto"/>
        </w:rPr>
      </w:pPr>
      <w:r>
        <w:rPr>
          <w:rFonts w:ascii="Arial" w:cs="Arial" w:eastAsia="Arial" w:hAnsi="Arial"/>
          <w:sz w:val="17"/>
          <w:szCs w:val="17"/>
          <w:b w:val="1"/>
          <w:bCs w:val="1"/>
          <w:color w:val="auto"/>
        </w:rPr>
        <w:t>The provisions of our amended and restated memorandum and articles of association that relate to our pre-business combination activity (and corresponding provisions of the agreement governing the release of funds from our trust account) may be amended with the approval of a special resolution which requires the approval of the holders of at least two-thirds our ordinary shares who attend and vote at a general meeting of the company, which is a lower amendment threshold than that of some other blank check companies. It may be easier for us, therefore, to amend our amended and restated memorandum and articles of association to facilitate the completion of an initial business combination that some of our shareholders may not support.</w:t>
      </w:r>
    </w:p>
    <w:p>
      <w:pPr>
        <w:spacing w:after="0" w:line="95"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 xml:space="preserve">Some other blank check companies have a provision in their charter which prohibits the amendment of certain of its provisions, including those which relate to a company’s pre-business combination activity, without approval by a certain percentage of the company’s shareholders. In those companies, amendment of these provisions typically requires approval by between 90% and 100% of the company’s shareholders. Our amended and restated memorandum and articles of association will provide that any of its provisions related to pre-business combination activity (including the requirement to deposit proceeds of this offering and the private placement of warrants into the trust account and not release such amounts except in specified circumstances, and to provide redemption rights to public shareholders as described herein) may be amended if approved by special resolution, meaning holders of at least two-thirds of our ordinary shares who attend and vote at a general meeting of the company, and corresponding provisions of the trust agreement governing the release of funds from our trust account may be amended if approved by holders of at least 65% of our ordinary shares;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provisions of our amended and restated memorandum and articles of association governing the appointment or removal of directors prior to our initial business combination may only be amended by a special resolution passed by not less than two-thirds of our ordinary shares who attend and vote at our shareholder meeting which shall include the affirmative vote of a simple majority of our Class B ordinary shares. Our sponsor and its permitted transferees, if any, who will collectively beneficially own, on an as-converted basis, 20% of our ordinary shares upon the closing of this offering (assuming they do not purchase any units in this offering), will participate in any vote to amend our amended and restated memorandum and articles of association and/or trust agreement and will have the discretion to vote in any manner they choose. As a result, we may be able to amend the provisions of our amended and restated memorandum and articles of association which govern our pre-business combination behavior more easily than some other blank check companies, and this may increase our ability to complete a business combination with which you do not agree. Our shareholders may pursue remedies against us for any breach of our amended and restated memorandum and articles of association.</w:t>
      </w:r>
    </w:p>
    <w:p>
      <w:pPr>
        <w:sectPr>
          <w:pgSz w:w="11900" w:h="16838" w:orient="portrait"/>
          <w:cols w:equalWidth="0" w:num="1">
            <w:col w:w="9019"/>
          </w:cols>
          <w:pgMar w:left="1440" w:top="337" w:right="1440" w:bottom="1440" w:gutter="0" w:footer="0" w:header="0"/>
        </w:sectPr>
      </w:pPr>
    </w:p>
    <w:p>
      <w:pPr>
        <w:spacing w:after="0" w:line="36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54" w:name="page55"/>
    <w:bookmarkEnd w:id="54"/>
    <w:p>
      <w:pPr>
        <w:ind w:left="460" w:right="459" w:firstLine="432"/>
        <w:spacing w:after="0" w:line="286" w:lineRule="auto"/>
        <w:rPr>
          <w:sz w:val="20"/>
          <w:szCs w:val="20"/>
          <w:color w:val="auto"/>
        </w:rPr>
      </w:pPr>
      <w:r>
        <w:rPr>
          <w:rFonts w:ascii="Arial" w:cs="Arial" w:eastAsia="Arial" w:hAnsi="Arial"/>
          <w:sz w:val="16"/>
          <w:szCs w:val="16"/>
          <w:color w:val="auto"/>
        </w:rPr>
        <w:t>Our sponsor, executive officers, directors and director nominees have agreed, pursuant to agreements with us, that they will not propose any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unless we provide our public shareholders with the opportunity to redeem their Class A ordinary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Our shareholders are not parties to, or third-party beneficiaries of, these agreements and, as a result, will not have the ability to pursue remedies against our sponsor, executive officers, directors or director nominees for any breach of these agreements. As a result, in the event of a breach, our shareholders would need to pursue a shareholder derivative action, subject to applicable law.</w:t>
      </w:r>
    </w:p>
    <w:p>
      <w:pPr>
        <w:spacing w:after="0" w:line="170" w:lineRule="exact"/>
        <w:rPr>
          <w:sz w:val="20"/>
          <w:szCs w:val="20"/>
          <w:color w:val="auto"/>
        </w:rPr>
      </w:pPr>
    </w:p>
    <w:p>
      <w:pPr>
        <w:ind w:left="460" w:right="579"/>
        <w:spacing w:after="0" w:line="298" w:lineRule="auto"/>
        <w:rPr>
          <w:sz w:val="20"/>
          <w:szCs w:val="20"/>
          <w:color w:val="auto"/>
        </w:rPr>
      </w:pPr>
      <w:r>
        <w:rPr>
          <w:rFonts w:ascii="Arial" w:cs="Arial" w:eastAsia="Arial" w:hAnsi="Arial"/>
          <w:sz w:val="16"/>
          <w:szCs w:val="16"/>
          <w:b w:val="1"/>
          <w:bCs w:val="1"/>
          <w:color w:val="auto"/>
        </w:rPr>
        <w:t>We may be unable to obtain additional financing to complete our initial business combination or to fund the operations and growth of a target business, which could compel us to restructure or abandon a particular business combination. If we are unable to complete our initial business combination, our public shareholders may only receive their pro rata portion of the funds in the trust account that are available for distribution to public shareholders, and our warrants will expire worthless.</w:t>
      </w:r>
    </w:p>
    <w:p>
      <w:pPr>
        <w:spacing w:after="0" w:line="77"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color w:val="auto"/>
        </w:rPr>
        <w:t>Although we believe that the net proceeds of this offering and the sale of the private placement warrants will be sufficient to allow us to complete our initial business combination, because we have not yet selected any prospective target business we cannot ascertain the capital requirements for any particular transaction. If the net proceeds of this offering and the sale of the private placement warrants prove to be insufficient, either because of the size of our initial business combination, the depletion of the available net proceeds in search of a target business, the obligation to redeem for cash a significant number of shares from shareholders who elect redemption in connection with our initial business combination or the terms of negotiated transactions to purchase shares in connection with our initial business combination, we may be required to seek additional financing or to abandon the proposed business combination. We cannot assure you that such financing will be available on acceptable terms, if at all. The current economic environment may make it difficult for companies to obtain acquisition financing. To the extent that additional financing proves to be unavailable when needed to complete our initial business combination, we would be compelled to either restructure the transaction or abandon that particular business combination and seek an alternative target business candidate. If we are unable to complete our initial business combination, our public shareholders may only receive their pro rata portion of the funds in the trust account that are available for distribution to public shareholders and not previously released to us to pay our income taxes, and our warrants will expire worthless. In addition, even if we do not need additional financing to complete our initial business combination, we may require such financing to fund the operations or growth of the target business. The failure to secure additional financing could have a material adverse effect on the continued development or growth of the target business. None of our officers, directors or shareholders is required to provide any financing to us in connection with or after our initial business combination.</w:t>
      </w:r>
    </w:p>
    <w:p>
      <w:pPr>
        <w:spacing w:after="0" w:line="181" w:lineRule="exact"/>
        <w:rPr>
          <w:sz w:val="20"/>
          <w:szCs w:val="20"/>
          <w:color w:val="auto"/>
        </w:rPr>
      </w:pPr>
    </w:p>
    <w:p>
      <w:pPr>
        <w:ind w:left="460" w:right="779"/>
        <w:spacing w:after="0" w:line="312" w:lineRule="auto"/>
        <w:rPr>
          <w:sz w:val="20"/>
          <w:szCs w:val="20"/>
          <w:color w:val="auto"/>
        </w:rPr>
      </w:pPr>
      <w:r>
        <w:rPr>
          <w:rFonts w:ascii="Arial" w:cs="Arial" w:eastAsia="Arial" w:hAnsi="Arial"/>
          <w:sz w:val="17"/>
          <w:szCs w:val="17"/>
          <w:b w:val="1"/>
          <w:bCs w:val="1"/>
          <w:color w:val="auto"/>
        </w:rPr>
        <w:t>Our sponsor controls a substantial interest in us and thus may exert a substantial influence on actions requiring a shareholder vote, potentially in a manner that you do not support.</w:t>
      </w:r>
    </w:p>
    <w:p>
      <w:pPr>
        <w:spacing w:after="0" w:line="76"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Upon closing of this offering, our sponsor will own, on an as-converted basis, 20% of our issued and outstanding ordinary shares (assuming it does not purchase any units in this offering). Accordingly, it may exert a substantial influence on actions requiring a shareholder vote, potentially in a manner that you do not support, including amendments to our amended and restated memorandum and articles of association. If our sponsor purchases any units in this offering or if our sponsor purchases any additional Class A ordinary shares in the aftermarket or in privately negotiated transactions, this would increase its control. Neither our sponsor nor, to our knowledge, any of our officers or directors, have any current intention to purchase additional securities, other than as disclosed in this prospectus. Factors that would be considered in making such additional purchases would include consideration of the current trading price of our Class A ordinary shares. In addition, our board of directors, whose members were elected by our sponsor, is and will be divided into three classes, each of which will generally serve for a terms for three years with only one class of directors being elected in each year. We may not hold an annual meeting of shareholders to elect new directors prior to the completion of our initial business combination, in which case all of the current directors will continue in office until at least the completion of the business combination. If there is an annual meeting, as a consequence of our “staggered” board of directors, only a minority of the board of directors will be considered for</w:t>
      </w:r>
    </w:p>
    <w:p>
      <w:pPr>
        <w:spacing w:after="0" w:line="1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5" w:name="page56"/>
    <w:bookmarkEnd w:id="55"/>
    <w:p>
      <w:pPr>
        <w:ind w:left="460" w:right="599"/>
        <w:spacing w:after="0" w:line="255" w:lineRule="auto"/>
        <w:rPr>
          <w:sz w:val="20"/>
          <w:szCs w:val="20"/>
          <w:color w:val="auto"/>
        </w:rPr>
      </w:pPr>
      <w:r>
        <w:rPr>
          <w:rFonts w:ascii="Arial" w:cs="Arial" w:eastAsia="Arial" w:hAnsi="Arial"/>
          <w:sz w:val="18"/>
          <w:szCs w:val="18"/>
          <w:color w:val="auto"/>
        </w:rPr>
        <w:t>election and our sponsor, because of its ownership position, will have considerable influence regarding the outcome. In addition, prior to the completion of an initial business combination, holders of a majority of our founder shares may remove a member of the board of directors for any reason. In addition, we have agreed not to enter into a definitive agreement regarding an initial business combination without the prior consent of our sponsor. Accordingly, our sponsor will continue to exert control at least until the completion of our initial business combination.</w:t>
      </w:r>
    </w:p>
    <w:p>
      <w:pPr>
        <w:spacing w:after="0" w:line="188" w:lineRule="exact"/>
        <w:rPr>
          <w:sz w:val="20"/>
          <w:szCs w:val="20"/>
          <w:color w:val="auto"/>
        </w:rPr>
      </w:pPr>
    </w:p>
    <w:p>
      <w:pPr>
        <w:ind w:left="460" w:right="599"/>
        <w:spacing w:after="0" w:line="347" w:lineRule="auto"/>
        <w:rPr>
          <w:sz w:val="20"/>
          <w:szCs w:val="20"/>
          <w:color w:val="auto"/>
        </w:rPr>
      </w:pPr>
      <w:r>
        <w:rPr>
          <w:rFonts w:ascii="Arial" w:cs="Arial" w:eastAsia="Arial" w:hAnsi="Arial"/>
          <w:sz w:val="16"/>
          <w:szCs w:val="16"/>
          <w:b w:val="1"/>
          <w:bCs w:val="1"/>
          <w:color w:val="auto"/>
        </w:rPr>
        <w:t>Our sponsor contributed $25,000, or approximately $0.003 per founder share, and, accordingly, you will experience immediate and substantial dilution from the purchase of our Class A ordinary shares.</w:t>
      </w:r>
    </w:p>
    <w:p>
      <w:pPr>
        <w:spacing w:after="0" w:line="39"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The difference between the public offering price per share (allocating all of the unit purchase price to the Class A ordinary share and none to the warrant included in the unit) and the pro forma net tangible book value per Class A ordinary share after this offering constitutes the dilution to you and the other investors in this offering. Our sponsor acquired the founder shares at a nominal price, significantly contributing to this dilution. Upon closing of this offering, and assuming no value is ascribed to the warrants included in the units, you and the other public shareholders will incur an immediate and substantial dilution of approximately 94.3% (or $9.43 per share, assuming no exercise of the underwriter’s over-allotment option), the difference between the pro forma net tangible book value per share of $0.57 and the initial offering price of $10.00 per unit. This dilution would increase to the extent that the anti-dilution provisions of the founder shares result in the issuance of Class A ordinary shares on a greater than one-to-one basis upon conversion of the founder shares at the time of our initial business combination and would become exacerbated to the extent that public shareholders seek redemptions from the trust for their public shares. In addition, because of the anti-dilution protection in the founder shares, any equity or equity-linked securities issued in connection with our initial business combination would be disproportionately dilutive to our Class A ordinary shares.</w:t>
      </w:r>
    </w:p>
    <w:p>
      <w:pPr>
        <w:spacing w:after="0" w:line="167" w:lineRule="exact"/>
        <w:rPr>
          <w:sz w:val="20"/>
          <w:szCs w:val="20"/>
          <w:color w:val="auto"/>
        </w:rPr>
      </w:pPr>
    </w:p>
    <w:p>
      <w:pPr>
        <w:ind w:left="460" w:right="539"/>
        <w:spacing w:after="0" w:line="258" w:lineRule="auto"/>
        <w:rPr>
          <w:sz w:val="20"/>
          <w:szCs w:val="20"/>
          <w:color w:val="auto"/>
        </w:rPr>
      </w:pPr>
      <w:r>
        <w:rPr>
          <w:rFonts w:ascii="Arial" w:cs="Arial" w:eastAsia="Arial" w:hAnsi="Arial"/>
          <w:sz w:val="18"/>
          <w:szCs w:val="18"/>
          <w:b w:val="1"/>
          <w:bCs w:val="1"/>
          <w:color w:val="auto"/>
        </w:rPr>
        <w:t>We may amend the terms of the warrants in a manner that may be adverse to holders of public warrants with the approval by the holders of at least 65% of the then-outstanding public warrants. As a result, the exercise price of your warrants could be increased, the exercise period could be shortened and the number of our Class A ordinary shares purchasable upon exercise of a warrant could be decreased, all without your approval.</w:t>
      </w:r>
    </w:p>
    <w:p>
      <w:pPr>
        <w:spacing w:after="0" w:line="120" w:lineRule="exact"/>
        <w:rPr>
          <w:sz w:val="20"/>
          <w:szCs w:val="20"/>
          <w:color w:val="auto"/>
        </w:rPr>
      </w:pPr>
    </w:p>
    <w:p>
      <w:pPr>
        <w:ind w:left="460" w:right="519" w:firstLine="432"/>
        <w:spacing w:after="0" w:line="285" w:lineRule="auto"/>
        <w:rPr>
          <w:sz w:val="20"/>
          <w:szCs w:val="20"/>
          <w:color w:val="auto"/>
        </w:rPr>
      </w:pPr>
      <w:r>
        <w:rPr>
          <w:rFonts w:ascii="Arial" w:cs="Arial" w:eastAsia="Arial" w:hAnsi="Arial"/>
          <w:sz w:val="16"/>
          <w:szCs w:val="16"/>
          <w:color w:val="auto"/>
        </w:rPr>
        <w:t>Our warrants will be issued in registered form under a warrant agreement between Continental Stock Transfer &amp; Trust Company, as warrant agent, and us. The warrant agreement provides that the terms of the warrants may be amended without the consent of any holder to (i) cure any ambiguity or correct any mistake, including to conform the provisions of the warrant agreement to the description of the terms of the warrants and the warrant agreement set forth in this prospectus, or defective provision, (ii) amending the definition of ordinary cash dividend as contemplated by the warrant agreement, or (iii) adding or changing any provisions with respect to matters or questions arising under the warrant agreement, but requires the approval by the holders of at least 65% of the then-outstanding public warrants to make any change that adversely affects the interests of the registered holders of public warrants. Accordingly, we may amend the terms of the public warrants in a manner adverse to a holder if holders of at least 65% of the then-outstanding public warrants approve of such amendment and, solely with respect to any amendment to the terms of the private placement warrants or any provision of the warrant agreement with respect to the private placement warrants, 65% of the number of the then-outstanding private placement warrants. Although our ability to amend the terms of the public warrants with the consent of at least 65% of the then-outstanding public warrants is unlimited, examples of such amendments could be amendments to, among other things, increase the exercise price of the warrants, convert the warrants into cash, shorten the exercise period or decrease the number of Class A ordinary shares purchasable upon exercise of a warrant.</w:t>
      </w:r>
    </w:p>
    <w:p>
      <w:pPr>
        <w:spacing w:after="0" w:line="170" w:lineRule="exact"/>
        <w:rPr>
          <w:sz w:val="20"/>
          <w:szCs w:val="20"/>
          <w:color w:val="auto"/>
        </w:rPr>
      </w:pPr>
    </w:p>
    <w:p>
      <w:pPr>
        <w:ind w:left="460" w:right="539"/>
        <w:spacing w:after="0" w:line="282" w:lineRule="auto"/>
        <w:rPr>
          <w:sz w:val="20"/>
          <w:szCs w:val="20"/>
          <w:color w:val="auto"/>
        </w:rPr>
      </w:pPr>
      <w:r>
        <w:rPr>
          <w:rFonts w:ascii="Arial" w:cs="Arial" w:eastAsia="Arial" w:hAnsi="Arial"/>
          <w:sz w:val="18"/>
          <w:szCs w:val="18"/>
          <w:b w:val="1"/>
          <w:bCs w:val="1"/>
          <w:color w:val="auto"/>
        </w:rPr>
        <w:t>We may redeem your unexpired warrants prior to their exercise at a time that is disadvantageous to you, thereby making your warrants worthless.</w:t>
      </w:r>
    </w:p>
    <w:p>
      <w:pPr>
        <w:spacing w:after="0" w:line="98"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 xml:space="preserve">We have the ability to redeem outstanding warrants at any time after they become exercisable and prior to their expiration, at a price of $0.01 per warrant,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the closing price of our Class A ordinary shares equals or exceeds $18.00 per share (as adjusted for share subdivisions, share capitalizations, reorganizations, recapitalizations and the like) for any 20 trading days within a 30-trading day period ending on the third trading day prior to proper notice of such redemption and provided that certain other conditions are met. If and when the warrants become redeemable by us, we may exercise our redemption right even if we are unable to register or qualify the underlying securities for sale under all applicable state securities laws. Redemption of the outstanding warrants could force you to (i) exercise your warrants and pay the exercise price therefor at a time when it may be disadvantageous for you to do so, (ii) sell your warrants at the then-current market price when you might otherwise wish to hold your warrants</w:t>
      </w:r>
    </w:p>
    <w:p>
      <w:pPr>
        <w:sectPr>
          <w:pgSz w:w="11900" w:h="16838" w:orient="portrait"/>
          <w:cols w:equalWidth="0" w:num="1">
            <w:col w:w="9019"/>
          </w:cols>
          <w:pgMar w:left="1440" w:top="27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6" w:name="page57"/>
    <w:bookmarkEnd w:id="56"/>
    <w:p>
      <w:pPr>
        <w:ind w:left="460" w:right="1019"/>
        <w:spacing w:after="0" w:line="259" w:lineRule="auto"/>
        <w:rPr>
          <w:sz w:val="20"/>
          <w:szCs w:val="20"/>
          <w:color w:val="auto"/>
        </w:rPr>
      </w:pPr>
      <w:r>
        <w:rPr>
          <w:rFonts w:ascii="Arial" w:cs="Arial" w:eastAsia="Arial" w:hAnsi="Arial"/>
          <w:sz w:val="18"/>
          <w:szCs w:val="18"/>
          <w:color w:val="auto"/>
        </w:rPr>
        <w:t>or (iii) accept the nominal redemption price which, at the time the outstanding warrants are called for redemption, is likely to be substantially less than the market value of your warrants. None of the private placement warrants will be redeemable by us on such terms so long as they are held by our sponsor or its permitted transferees.</w:t>
      </w:r>
    </w:p>
    <w:p>
      <w:pPr>
        <w:spacing w:after="0" w:line="183" w:lineRule="exact"/>
        <w:rPr>
          <w:sz w:val="20"/>
          <w:szCs w:val="20"/>
          <w:color w:val="auto"/>
        </w:rPr>
      </w:pPr>
    </w:p>
    <w:p>
      <w:pPr>
        <w:ind w:left="460" w:right="479"/>
        <w:spacing w:after="0" w:line="282" w:lineRule="auto"/>
        <w:rPr>
          <w:sz w:val="20"/>
          <w:szCs w:val="20"/>
          <w:color w:val="auto"/>
        </w:rPr>
      </w:pPr>
      <w:r>
        <w:rPr>
          <w:rFonts w:ascii="Arial" w:cs="Arial" w:eastAsia="Arial" w:hAnsi="Arial"/>
          <w:sz w:val="18"/>
          <w:szCs w:val="18"/>
          <w:b w:val="1"/>
          <w:bCs w:val="1"/>
          <w:color w:val="auto"/>
        </w:rPr>
        <w:t>Our warrants may have an adverse effect on the market price of our Class A ordinary shares and make it more difficult to effectuate our initial business combination.</w:t>
      </w:r>
    </w:p>
    <w:p>
      <w:pPr>
        <w:spacing w:after="0" w:line="85"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We will be issuing warrants to purchase 15,000,000 Class A ordinary shares (or up to 17,250,000 Class A ordinary shares if the underwriter’s over-allotment option is exercised in full) as part of the units offered by this prospectus and, simultaneously with the closing of this offering, we will be issuing in a private placement an aggregate of 9,500,000 private placement warrants, each exercisable to purchase one Class A ordinary share at $11.50 per share. In addition, if the sponsor makes any working capital loans, it may convert up to $1,500,000 of such loans into up to an additional 1,500,000 private placement warrants, at the price of $1.00 per warrant.</w:t>
      </w:r>
    </w:p>
    <w:p>
      <w:pPr>
        <w:spacing w:after="0" w:line="97" w:lineRule="exact"/>
        <w:rPr>
          <w:sz w:val="20"/>
          <w:szCs w:val="20"/>
          <w:color w:val="auto"/>
        </w:rPr>
      </w:pPr>
    </w:p>
    <w:p>
      <w:pPr>
        <w:ind w:left="460" w:right="519" w:firstLine="432"/>
        <w:spacing w:after="0" w:line="293" w:lineRule="auto"/>
        <w:rPr>
          <w:sz w:val="20"/>
          <w:szCs w:val="20"/>
          <w:color w:val="auto"/>
        </w:rPr>
      </w:pPr>
      <w:r>
        <w:rPr>
          <w:rFonts w:ascii="Arial" w:cs="Arial" w:eastAsia="Arial" w:hAnsi="Arial"/>
          <w:sz w:val="16"/>
          <w:szCs w:val="16"/>
          <w:color w:val="auto"/>
        </w:rPr>
        <w:t>To the extent we issue ordinary shares for any reason, including to effectuate a business combination, the potential for the issuance of a substantial number of additional Class A ordinary shares upon exercise of these warrants could make us a less attractive acquisition vehicle to a target business. Such warrants, when exercised, will increase the number of issued and outstanding Class A ordinary shares and reduce the value of the Class A ordinary shares issued to complete the business transaction. Therefore, our warrants may make it more difficult to effectuate a business transaction or increase the cost of acquiring the target business.</w:t>
      </w:r>
    </w:p>
    <w:p>
      <w:pPr>
        <w:spacing w:after="0" w:line="160" w:lineRule="exact"/>
        <w:rPr>
          <w:sz w:val="20"/>
          <w:szCs w:val="20"/>
          <w:color w:val="auto"/>
        </w:rPr>
      </w:pPr>
    </w:p>
    <w:p>
      <w:pPr>
        <w:ind w:left="460" w:right="539"/>
        <w:spacing w:after="0" w:line="282" w:lineRule="auto"/>
        <w:rPr>
          <w:sz w:val="20"/>
          <w:szCs w:val="20"/>
          <w:color w:val="auto"/>
        </w:rPr>
      </w:pPr>
      <w:r>
        <w:rPr>
          <w:rFonts w:ascii="Arial" w:cs="Arial" w:eastAsia="Arial" w:hAnsi="Arial"/>
          <w:sz w:val="18"/>
          <w:szCs w:val="18"/>
          <w:b w:val="1"/>
          <w:bCs w:val="1"/>
          <w:color w:val="auto"/>
        </w:rPr>
        <w:t>Because each unit contains one-half of one warrant and only a whole warrant may be exercised, the units may be worth less than units of other blank check companies.</w:t>
      </w:r>
    </w:p>
    <w:p>
      <w:pPr>
        <w:spacing w:after="0" w:line="98" w:lineRule="exact"/>
        <w:rPr>
          <w:sz w:val="20"/>
          <w:szCs w:val="20"/>
          <w:color w:val="auto"/>
        </w:rPr>
      </w:pPr>
    </w:p>
    <w:p>
      <w:pPr>
        <w:ind w:left="460" w:right="499" w:firstLine="432"/>
        <w:spacing w:after="0" w:line="288" w:lineRule="auto"/>
        <w:rPr>
          <w:sz w:val="20"/>
          <w:szCs w:val="20"/>
          <w:color w:val="auto"/>
        </w:rPr>
      </w:pPr>
      <w:r>
        <w:rPr>
          <w:rFonts w:ascii="Arial" w:cs="Arial" w:eastAsia="Arial" w:hAnsi="Arial"/>
          <w:sz w:val="16"/>
          <w:szCs w:val="16"/>
          <w:color w:val="auto"/>
        </w:rPr>
        <w:t>Each unit contains one-half of one warrant. Pursuant to the warrant agreement, no fractional warrants will be issued upon separation of the units, and only whole units will trade. If, upon exercise of the warrants, a holder would be entitled to receive a fractional interest in a share, we will, upon exercise, round down to the nearest whole number the number of Class A ordinary shares to be issued to the warrant holder. This is different from other offerings similar to ours whose units include one ordinary share and one warrant to purchase one whole share. We have established the components of the units in this way in order to reduce the dilutive effect of the warrants upon completion of a business combination since the warrants will be exercisable in the aggregate for one-half of the number of shares compared to units that each contain a whole warrant to purchase one share, thus making us, we believe, a more attractive merger partner for target businesses. Nevertheless, this unit structure may cause our units to be worth less than if it included a warrant to purchase one whole share.</w:t>
      </w:r>
    </w:p>
    <w:p>
      <w:pPr>
        <w:spacing w:after="0" w:line="164" w:lineRule="exact"/>
        <w:rPr>
          <w:sz w:val="20"/>
          <w:szCs w:val="20"/>
          <w:color w:val="auto"/>
        </w:rPr>
      </w:pPr>
    </w:p>
    <w:p>
      <w:pPr>
        <w:ind w:left="460" w:right="1119"/>
        <w:spacing w:after="0" w:line="282" w:lineRule="auto"/>
        <w:rPr>
          <w:sz w:val="20"/>
          <w:szCs w:val="20"/>
          <w:color w:val="auto"/>
        </w:rPr>
      </w:pPr>
      <w:r>
        <w:rPr>
          <w:rFonts w:ascii="Arial" w:cs="Arial" w:eastAsia="Arial" w:hAnsi="Arial"/>
          <w:sz w:val="18"/>
          <w:szCs w:val="18"/>
          <w:b w:val="1"/>
          <w:bCs w:val="1"/>
          <w:color w:val="auto"/>
        </w:rPr>
        <w:t>A provision of our warrant agreement may make it more difficult for us to consummate an initial business combination.</w:t>
      </w:r>
    </w:p>
    <w:p>
      <w:pPr>
        <w:spacing w:after="0" w:line="8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Unlike most blank check companies, if (i) we issue additional ordinary shares or equity-linked securities for capital raising purposes in connection with the closing of our initial business combination at a Newly Issued Price of less than $9.20 per ordinary share, (ii) the aggregate gross proceeds from such issuances represent more than 60% of the total equity proceeds, and interest thereon, available for the funding of our initial business combination on the date of the consummation of our initial business combination (net of redemptions), and (iii) the Market Value is below $9.20 per share, then the exercise price of the warrants will be adjusted to be equal to 115% of the higher of the Market Value and the Newly Issued Price, and the $18.00 per share redemption trigger price will be adjusted (to the nearest cent) to be equal to 180% of the higher of the Market Value and the Newly Issued Price. This may make it more difficult for us to consummate an initial business combination with a target business.</w:t>
      </w:r>
    </w:p>
    <w:p>
      <w:pPr>
        <w:spacing w:after="0" w:line="181" w:lineRule="exact"/>
        <w:rPr>
          <w:sz w:val="20"/>
          <w:szCs w:val="20"/>
          <w:color w:val="auto"/>
        </w:rPr>
      </w:pPr>
    </w:p>
    <w:p>
      <w:pPr>
        <w:ind w:left="460" w:right="559"/>
        <w:spacing w:after="0" w:line="281" w:lineRule="auto"/>
        <w:rPr>
          <w:sz w:val="20"/>
          <w:szCs w:val="20"/>
          <w:color w:val="auto"/>
        </w:rPr>
      </w:pPr>
      <w:r>
        <w:rPr>
          <w:rFonts w:ascii="Arial" w:cs="Arial" w:eastAsia="Arial" w:hAnsi="Arial"/>
          <w:sz w:val="17"/>
          <w:szCs w:val="17"/>
          <w:b w:val="1"/>
          <w:bCs w:val="1"/>
          <w:color w:val="auto"/>
        </w:rPr>
        <w:t>The determination of the offering price of our units and the size of this offering is more arbitrary than the pricing of securities and size of an offering of an operating company in a particular industry. You may have less assurance, therefore, that the offering price of our units properly reflects the value of such units than you would have in a typical offering of an operating company.</w:t>
      </w:r>
    </w:p>
    <w:p>
      <w:pPr>
        <w:spacing w:after="0" w:line="101"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Prior to this offering there has been no public market for any of our securities. The public offering price of the units and the terms of the warrants were negotiated between us and the underwriter. In determining the size of this offering, management held customary organizational meetings with the underwriter, both prior to our inception and thereafter, with respect to the state of capital markets, generally, and the amount the underwriter believed it</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57" w:name="page58"/>
    <w:bookmarkEnd w:id="57"/>
    <w:p>
      <w:pPr>
        <w:ind w:left="460" w:right="879"/>
        <w:spacing w:after="0" w:line="342" w:lineRule="auto"/>
        <w:rPr>
          <w:sz w:val="20"/>
          <w:szCs w:val="20"/>
          <w:color w:val="auto"/>
        </w:rPr>
      </w:pPr>
      <w:r>
        <w:rPr>
          <w:rFonts w:ascii="Arial" w:cs="Arial" w:eastAsia="Arial" w:hAnsi="Arial"/>
          <w:sz w:val="16"/>
          <w:szCs w:val="16"/>
          <w:color w:val="auto"/>
        </w:rPr>
        <w:t>reasonably could raise on our behalf. Factors considered in determining the size of this offering, prices and terms of the units, including the Class A ordinary shares and warrants underlying the units, include:</w:t>
      </w:r>
    </w:p>
    <w:p>
      <w:pPr>
        <w:spacing w:after="0" w:line="43" w:lineRule="exact"/>
        <w:rPr>
          <w:sz w:val="20"/>
          <w:szCs w:val="20"/>
          <w:color w:val="auto"/>
        </w:rPr>
      </w:pPr>
    </w:p>
    <w:p>
      <w:pPr>
        <w:ind w:left="1320" w:right="1199" w:hanging="434"/>
        <w:spacing w:after="0" w:line="277" w:lineRule="auto"/>
        <w:tabs>
          <w:tab w:leader="none" w:pos="1311" w:val="left"/>
        </w:tabs>
        <w:numPr>
          <w:ilvl w:val="0"/>
          <w:numId w:val="25"/>
        </w:numPr>
        <w:rPr>
          <w:rFonts w:ascii="Arial" w:cs="Arial" w:eastAsia="Arial" w:hAnsi="Arial"/>
          <w:sz w:val="18"/>
          <w:szCs w:val="18"/>
          <w:color w:val="auto"/>
        </w:rPr>
      </w:pPr>
      <w:r>
        <w:rPr>
          <w:rFonts w:ascii="Arial" w:cs="Arial" w:eastAsia="Arial" w:hAnsi="Arial"/>
          <w:sz w:val="18"/>
          <w:szCs w:val="18"/>
          <w:color w:val="auto"/>
        </w:rPr>
        <w:t>the history and prospects of companies whose principal business is the acquisition of other companies;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prior offerings of those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prospects for acquiring an operating business at attractive values;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a review of debt-to-equity ratios in leveraged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our capital structure;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7"/>
          <w:szCs w:val="17"/>
          <w:color w:val="auto"/>
        </w:rPr>
      </w:pPr>
      <w:r>
        <w:rPr>
          <w:rFonts w:ascii="Arial" w:cs="Arial" w:eastAsia="Arial" w:hAnsi="Arial"/>
          <w:sz w:val="17"/>
          <w:szCs w:val="17"/>
          <w:color w:val="auto"/>
        </w:rPr>
        <w:t>an assessment of our management and their experience in identifying operating companies;</w:t>
      </w:r>
    </w:p>
    <w:p>
      <w:pPr>
        <w:spacing w:after="0" w:line="155" w:lineRule="exact"/>
        <w:rPr>
          <w:rFonts w:ascii="Arial" w:cs="Arial" w:eastAsia="Arial" w:hAnsi="Arial"/>
          <w:sz w:val="17"/>
          <w:szCs w:val="17"/>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general conditions of the securities markets at the time of this offering;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other factors as were deemed relevant.</w:t>
      </w:r>
    </w:p>
    <w:p>
      <w:pPr>
        <w:spacing w:after="0" w:line="158" w:lineRule="exact"/>
        <w:rPr>
          <w:sz w:val="20"/>
          <w:szCs w:val="20"/>
          <w:color w:val="auto"/>
        </w:rPr>
      </w:pPr>
    </w:p>
    <w:p>
      <w:pPr>
        <w:jc w:val="both"/>
        <w:ind w:left="460" w:right="559" w:firstLine="432"/>
        <w:spacing w:after="0" w:line="263" w:lineRule="auto"/>
        <w:rPr>
          <w:sz w:val="20"/>
          <w:szCs w:val="20"/>
          <w:color w:val="auto"/>
        </w:rPr>
      </w:pPr>
      <w:r>
        <w:rPr>
          <w:rFonts w:ascii="Arial" w:cs="Arial" w:eastAsia="Arial" w:hAnsi="Arial"/>
          <w:sz w:val="18"/>
          <w:szCs w:val="18"/>
          <w:color w:val="auto"/>
        </w:rPr>
        <w:t>Although these factors were considered, the determination of our offering price is more arbitrary than the pricing of securities of an operating company in a particular industry since we have no historical operations or financial results.</w:t>
      </w:r>
    </w:p>
    <w:p>
      <w:pPr>
        <w:spacing w:after="0" w:line="180" w:lineRule="exact"/>
        <w:rPr>
          <w:sz w:val="20"/>
          <w:szCs w:val="20"/>
          <w:color w:val="auto"/>
        </w:rPr>
      </w:pPr>
    </w:p>
    <w:p>
      <w:pPr>
        <w:ind w:left="460" w:right="699"/>
        <w:spacing w:after="0" w:line="282" w:lineRule="auto"/>
        <w:rPr>
          <w:sz w:val="20"/>
          <w:szCs w:val="20"/>
          <w:color w:val="auto"/>
        </w:rPr>
      </w:pPr>
      <w:r>
        <w:rPr>
          <w:rFonts w:ascii="Arial" w:cs="Arial" w:eastAsia="Arial" w:hAnsi="Arial"/>
          <w:sz w:val="18"/>
          <w:szCs w:val="18"/>
          <w:b w:val="1"/>
          <w:bCs w:val="1"/>
          <w:color w:val="auto"/>
        </w:rPr>
        <w:t>There is currently no market for our securities and a market for our securities may not develop, which would adversely affect the liquidity and price of our securities.</w:t>
      </w:r>
    </w:p>
    <w:p>
      <w:pPr>
        <w:spacing w:after="0" w:line="85"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There is currently no market for our securities. Shareholders therefore have no access to information about prior market history on which to base their investment decision. Following this offering, the price of our securities may vary significantly due to one or more potential business combinations and general market or economic conditions, including as a result of the COVID-19 outbreak. Furthermore, an active trading market for our securities may never develop or, if developed, it may not be sustained. You may be unable to sell your securities unless a market can be established and sustained.</w:t>
      </w:r>
    </w:p>
    <w:p>
      <w:pPr>
        <w:spacing w:after="0" w:line="174" w:lineRule="exact"/>
        <w:rPr>
          <w:sz w:val="20"/>
          <w:szCs w:val="20"/>
          <w:color w:val="auto"/>
        </w:rPr>
      </w:pPr>
    </w:p>
    <w:p>
      <w:pPr>
        <w:ind w:left="460" w:right="599"/>
        <w:spacing w:after="0" w:line="266" w:lineRule="auto"/>
        <w:rPr>
          <w:sz w:val="20"/>
          <w:szCs w:val="20"/>
          <w:color w:val="auto"/>
        </w:rPr>
      </w:pPr>
      <w:r>
        <w:rPr>
          <w:rFonts w:ascii="Arial" w:cs="Arial" w:eastAsia="Arial" w:hAnsi="Arial"/>
          <w:sz w:val="18"/>
          <w:szCs w:val="18"/>
          <w:b w:val="1"/>
          <w:bCs w:val="1"/>
          <w:color w:val="auto"/>
        </w:rPr>
        <w:t>Because we must furnish our shareholders with target business financial statements, we may lose the ability to complete an otherwise advantageous initial business combination with some prospective target businesses.</w:t>
      </w:r>
    </w:p>
    <w:p>
      <w:pPr>
        <w:spacing w:after="0" w:line="112" w:lineRule="exact"/>
        <w:rPr>
          <w:sz w:val="20"/>
          <w:szCs w:val="20"/>
          <w:color w:val="auto"/>
        </w:rPr>
      </w:pPr>
    </w:p>
    <w:p>
      <w:pPr>
        <w:ind w:left="460" w:right="499" w:firstLine="432"/>
        <w:spacing w:after="0" w:line="287" w:lineRule="auto"/>
        <w:rPr>
          <w:sz w:val="20"/>
          <w:szCs w:val="20"/>
          <w:color w:val="auto"/>
        </w:rPr>
      </w:pPr>
      <w:r>
        <w:rPr>
          <w:rFonts w:ascii="Arial" w:cs="Arial" w:eastAsia="Arial" w:hAnsi="Arial"/>
          <w:sz w:val="16"/>
          <w:szCs w:val="16"/>
          <w:color w:val="auto"/>
        </w:rPr>
        <w:t>The federal proxy rules require that a proxy statement with respect to a vote on a business combination meeting certain financial significance tests include historical and/or pro forma financial statement disclosure in periodic reports. We will include the same financial statement disclosure in connection with our tender offer documents, whether or not they are required under the tender offer rules. These financial statements may be required to be prepared in accordance with, or be reconciled to, accounting principles generally accepted in the United States of America, or GAAP, or international financial reporting standards as issued by the International Accounting Standards Board, or IFRS, depending on the circumstances and the historical financial statements may be required to be audited in accordance with the standards of the Public Company Accounting Oversight Board (United States), or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w:t>
      </w:r>
    </w:p>
    <w:p>
      <w:pPr>
        <w:spacing w:after="0" w:line="164" w:lineRule="exact"/>
        <w:rPr>
          <w:sz w:val="20"/>
          <w:szCs w:val="20"/>
          <w:color w:val="auto"/>
        </w:rPr>
      </w:pPr>
    </w:p>
    <w:p>
      <w:pPr>
        <w:ind w:left="460" w:right="579"/>
        <w:spacing w:after="0" w:line="258" w:lineRule="auto"/>
        <w:rPr>
          <w:sz w:val="20"/>
          <w:szCs w:val="20"/>
          <w:color w:val="auto"/>
        </w:rPr>
      </w:pPr>
      <w:r>
        <w:rPr>
          <w:rFonts w:ascii="Arial" w:cs="Arial" w:eastAsia="Arial" w:hAnsi="Arial"/>
          <w:sz w:val="18"/>
          <w:szCs w:val="18"/>
          <w:b w:val="1"/>
          <w:bCs w:val="1"/>
          <w:color w:val="auto"/>
        </w:rPr>
        <w:t>We are an emerging growth company and a smaller reporting company within the meaning of the Securities Act, and if we take advantage of certain exemptions from disclosure requirements available to “emerging growth companies” or “smaller reporting companies,” this could make our securities less attractive to investors and may make it more difficult to compare our performance with other public companies.</w:t>
      </w:r>
    </w:p>
    <w:p>
      <w:pPr>
        <w:spacing w:after="0" w:line="79"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We are an “emerging growth company” within the meaning of the Securities Act, as modified by the JOBS Act, and we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As a result, our shareholders may not have access to certain information they may</w:t>
      </w:r>
    </w:p>
    <w:p>
      <w:pPr>
        <w:sectPr>
          <w:pgSz w:w="11900" w:h="16838" w:orient="portrait"/>
          <w:cols w:equalWidth="0" w:num="1">
            <w:col w:w="9019"/>
          </w:cols>
          <w:pgMar w:left="1440" w:top="27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58" w:name="page59"/>
    <w:bookmarkEnd w:id="58"/>
    <w:p>
      <w:pPr>
        <w:ind w:left="460" w:right="559"/>
        <w:spacing w:after="0" w:line="271" w:lineRule="auto"/>
        <w:rPr>
          <w:sz w:val="20"/>
          <w:szCs w:val="20"/>
          <w:color w:val="auto"/>
        </w:rPr>
      </w:pPr>
      <w:r>
        <w:rPr>
          <w:rFonts w:ascii="Arial" w:cs="Arial" w:eastAsia="Arial" w:hAnsi="Arial"/>
          <w:sz w:val="17"/>
          <w:szCs w:val="17"/>
          <w:color w:val="auto"/>
        </w:rPr>
        <w:t>deem important. We could be an emerging growth company for up to five years, although circumstances could cause us to lose that status earlier, including if the market value of our Class A ordinary shares held by non-affiliates exceeds $700 million as of any June 30 before that time, in which case we would no longer be an emerging growth company as of the following December 31. We cannot predict whether investors will find our securities less attractive because we will rely on these exemptions. If some investors find our securities less attractive as a result of our reliance on these exemptions, the trading prices of our securities may be lower than they otherwise would be, there may be a less active trading market for our securities and the trading prices of our securities may be more volatile.</w:t>
      </w:r>
    </w:p>
    <w:p>
      <w:pPr>
        <w:spacing w:after="0" w:line="70"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an election to opt out is irrevocable. We have elected not to opt out of such extended transition period which means that when a standard is issued or revised and it has different application dates for public or private companies, we, as an emerging growth company, can adopt the new or revised standard at the time private companies adopt the new or revised standard. This may make comparison of our financial statements with another public company which is neither an emerging growth company nor an emerging growth company which has opted out of using the extended transition period difficult or impossible because of the potential differences in accountant standards used.</w:t>
      </w:r>
    </w:p>
    <w:p>
      <w:pPr>
        <w:spacing w:after="0" w:line="60"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w:t>
      </w:r>
    </w:p>
    <w:p>
      <w:pPr>
        <w:spacing w:after="0" w:line="173" w:lineRule="exact"/>
        <w:rPr>
          <w:sz w:val="20"/>
          <w:szCs w:val="20"/>
          <w:color w:val="auto"/>
        </w:rPr>
      </w:pPr>
    </w:p>
    <w:p>
      <w:pPr>
        <w:ind w:left="460" w:right="479"/>
        <w:spacing w:after="0" w:line="266" w:lineRule="auto"/>
        <w:rPr>
          <w:sz w:val="20"/>
          <w:szCs w:val="20"/>
          <w:color w:val="auto"/>
        </w:rPr>
      </w:pPr>
      <w:r>
        <w:rPr>
          <w:rFonts w:ascii="Arial" w:cs="Arial" w:eastAsia="Arial" w:hAnsi="Arial"/>
          <w:sz w:val="18"/>
          <w:szCs w:val="18"/>
          <w:b w:val="1"/>
          <w:bCs w:val="1"/>
          <w:color w:val="auto"/>
        </w:rPr>
        <w:t>Compliance obligations under the Sarbanes-Oxley Act may make it more difficult for us to effectuate a business combination, require substantial financial and management resources, and increase the time and costs of completing an acquisition.</w:t>
      </w:r>
    </w:p>
    <w:p>
      <w:pPr>
        <w:spacing w:after="0" w:line="112"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Section 404 of the Sarbanes-Oxley Act requires that we evaluate and report on our system of internal controls beginning with our Annual Report on Form 10-K for the year ending December 31, 2021.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The fact that we are a blank check company makes compliance with the requirements of the Sarbanes-Oxley Act particularly burdensome on us as compared to other public companies because a target business with which we seek to complete our initial business combination may not be in compliance with the provisions of the Sarbanes-Oxley Act regarding adequacy of its internal controls. The development of the internal control of any such entity to achieve compliance with the Sarbanes-Oxley Act may increase the time and costs necessary to complete any such acquisition.</w:t>
      </w:r>
    </w:p>
    <w:p>
      <w:pPr>
        <w:spacing w:after="0" w:line="188" w:lineRule="exact"/>
        <w:rPr>
          <w:sz w:val="20"/>
          <w:szCs w:val="20"/>
          <w:color w:val="auto"/>
        </w:rPr>
      </w:pPr>
    </w:p>
    <w:p>
      <w:pPr>
        <w:ind w:left="460" w:right="659"/>
        <w:spacing w:after="0" w:line="266" w:lineRule="auto"/>
        <w:rPr>
          <w:sz w:val="20"/>
          <w:szCs w:val="20"/>
          <w:color w:val="auto"/>
        </w:rPr>
      </w:pPr>
      <w:r>
        <w:rPr>
          <w:rFonts w:ascii="Arial" w:cs="Arial" w:eastAsia="Arial" w:hAnsi="Arial"/>
          <w:sz w:val="18"/>
          <w:szCs w:val="18"/>
          <w:b w:val="1"/>
          <w:bCs w:val="1"/>
          <w:color w:val="auto"/>
        </w:rPr>
        <w:t>Because we are incorporated under the laws of the Cayman Islands, you may face difficulties in protecting your interests, and your ability to protect your rights through the U.S. federal courts may be limited.</w:t>
      </w:r>
    </w:p>
    <w:p>
      <w:pPr>
        <w:spacing w:after="0" w:line="99"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We are an exempted company incorporated under the laws of the Cayman Islands. As a result, it may be difficult for investors to effect service of process within the United States upon our directors or executive officers, or enforce judgments obtained in the United States courts against our directors or officers.</w:t>
      </w:r>
    </w:p>
    <w:p>
      <w:pPr>
        <w:spacing w:after="0" w:line="81"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Our corporate affairs will be governed by our amended and restated memorandum and articles of association, the Companies Law (as the same may be supplemented or amended from time to time) and the common law of the Cayman Islands. We will also be subject to the federal securities laws of the United States. The rights of shareholders to take action against the directors, actions by minority shareholders and the fiduciary responsibilities of our directors to us under Cayman Islands law are to a large extent governed by the common law of the Cayman Islands. The common law of the Cayman Islands is derived in part from comparatively limited judicial precedent in the Cayman Islands as well as from English common law, the decisions of whose courts are of persuasive authority, but are not binding on a court in the Cayman Islands. The rights of our</w:t>
      </w:r>
    </w:p>
    <w:p>
      <w:pPr>
        <w:sectPr>
          <w:pgSz w:w="11900" w:h="16838" w:orient="portrait"/>
          <w:cols w:equalWidth="0" w:num="1">
            <w:col w:w="9019"/>
          </w:cols>
          <w:pgMar w:left="1440" w:top="233" w:right="1440" w:bottom="1440" w:gutter="0" w:footer="0" w:header="0"/>
        </w:sectPr>
      </w:pP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33" w:right="1440" w:bottom="1440" w:gutter="0" w:footer="0" w:header="0"/>
          <w:type w:val="continuous"/>
        </w:sectPr>
      </w:pPr>
    </w:p>
    <w:bookmarkStart w:id="59" w:name="page60"/>
    <w:bookmarkEnd w:id="59"/>
    <w:p>
      <w:pPr>
        <w:ind w:left="460" w:right="579"/>
        <w:spacing w:after="0" w:line="255" w:lineRule="auto"/>
        <w:rPr>
          <w:sz w:val="20"/>
          <w:szCs w:val="20"/>
          <w:color w:val="auto"/>
        </w:rPr>
      </w:pPr>
      <w:r>
        <w:rPr>
          <w:rFonts w:ascii="Arial" w:cs="Arial" w:eastAsia="Arial" w:hAnsi="Arial"/>
          <w:sz w:val="18"/>
          <w:szCs w:val="18"/>
          <w:color w:val="auto"/>
        </w:rPr>
        <w:t>shareholders and the fiduciary responsibilities of our directors under Cayman Islands law are different from what they would be under statutes or judicial precedent in some jurisdictions in the United States. In particular, the Cayman Islands has a different body of securities laws as compared to the United States, and certain states, such as Delaware, may have more fully developed and judicially interpreted bodies of corporate law. In addition, Cayman Islands companies may not have standing to initiate a shareholders derivative action in a Federal court of the United States.</w:t>
      </w:r>
    </w:p>
    <w:p>
      <w:pPr>
        <w:spacing w:after="0" w:line="111"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109"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As a result of all of the above, public shareholders may have more difficulty in protecting their interests in the face of actions taken by management, members of the board of directors or controlling shareholders than they would as public shareholders of a United States company.</w:t>
      </w:r>
    </w:p>
    <w:p>
      <w:pPr>
        <w:spacing w:after="0" w:line="180" w:lineRule="exact"/>
        <w:rPr>
          <w:sz w:val="20"/>
          <w:szCs w:val="20"/>
          <w:color w:val="auto"/>
        </w:rPr>
      </w:pPr>
    </w:p>
    <w:p>
      <w:pPr>
        <w:jc w:val="both"/>
        <w:ind w:left="460" w:right="579"/>
        <w:spacing w:after="0" w:line="266" w:lineRule="auto"/>
        <w:rPr>
          <w:sz w:val="20"/>
          <w:szCs w:val="20"/>
          <w:color w:val="auto"/>
        </w:rPr>
      </w:pPr>
      <w:r>
        <w:rPr>
          <w:rFonts w:ascii="Arial" w:cs="Arial" w:eastAsia="Arial" w:hAnsi="Arial"/>
          <w:sz w:val="18"/>
          <w:szCs w:val="18"/>
          <w:b w:val="1"/>
          <w:bCs w:val="1"/>
          <w:color w:val="auto"/>
        </w:rPr>
        <w:t>Provisions in our amended and restated memorandum and articles of association may inhibit a takeover of us, which could limit the price investors might be willing to pay in the future for our Class A ordinary shares and could entrench management.</w:t>
      </w:r>
    </w:p>
    <w:p>
      <w:pPr>
        <w:spacing w:after="0" w:line="112" w:lineRule="exact"/>
        <w:rPr>
          <w:sz w:val="20"/>
          <w:szCs w:val="20"/>
          <w:color w:val="auto"/>
        </w:rPr>
      </w:pPr>
    </w:p>
    <w:p>
      <w:pPr>
        <w:ind w:left="460" w:right="519" w:firstLine="432"/>
        <w:spacing w:after="0" w:line="254" w:lineRule="auto"/>
        <w:rPr>
          <w:sz w:val="20"/>
          <w:szCs w:val="20"/>
          <w:color w:val="auto"/>
        </w:rPr>
      </w:pPr>
      <w:r>
        <w:rPr>
          <w:rFonts w:ascii="Arial" w:cs="Arial" w:eastAsia="Arial" w:hAnsi="Arial"/>
          <w:sz w:val="18"/>
          <w:szCs w:val="18"/>
          <w:color w:val="auto"/>
        </w:rPr>
        <w:t>Our amended and restated memorandum and articles of association will contain provisions that may discourage unsolicited takeover proposals that shareholders may consider to be in their best interests. These provisions will include a staggered board of directors, the ability of the board of directors to designate the terms of and issue new series of preference shares, and the fact that prior to the completion of our initial business combination only holders of our Class B ordinary shares, which have been issued to our sponsor, are entitled to vote on the election of directors, which may make more difficult the removal of management and may discourage transactions that otherwise could involve payment of a premium over prevailing market prices for our securities.</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An investment in this offering may result in uncertain or adverse U.S. federal income tax consequences.</w:t>
      </w:r>
    </w:p>
    <w:p>
      <w:pPr>
        <w:spacing w:after="0" w:line="171"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An investment in this offering may result in uncertain U.S. federal income tax consequences. For instance, because there are no authorities that directly address instruments similar to the units we are issuing in this offering, the allocation an investor makes with respect to the purchase price of a unit between the Class A ordinary shares and the one-half of a warrant to purchase one Class A ordinary share included in each unit could be challenged by the IRS or courts. Furthermore, the U.S. federal income tax consequences of a cashless exercise of warrants included in the units we are issuing in this offering is unclear under current law. Finally, it is unclear whether the redemption rights with respect to our ordinary shares suspend the running of a U.S. holder’s holding period for purposes of determining whether any gain or loss realized by such holder on the sale or exchange of Class A ordinary shares is long-term capital gain or loss and for determining whether any dividend we pay would be considered “qualified dividends” for U.S. federal income tax purposes. See the section titled “Taxation — United States Federal Income Tax Considerations” for a summary of the U.S. federal income tax considerations of an investment in our securities. Prospective investors are urged to consult their tax advisors with respect to these and other tax consequences when purchasing, holding or disposing of our securities.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0" w:name="page61"/>
    <w:bookmarkEnd w:id="60"/>
    <w:p>
      <w:pPr>
        <w:ind w:left="460" w:right="679"/>
        <w:spacing w:after="0" w:line="282" w:lineRule="auto"/>
        <w:rPr>
          <w:sz w:val="20"/>
          <w:szCs w:val="20"/>
          <w:color w:val="auto"/>
        </w:rPr>
      </w:pPr>
      <w:r>
        <w:rPr>
          <w:rFonts w:ascii="Arial" w:cs="Arial" w:eastAsia="Arial" w:hAnsi="Arial"/>
          <w:sz w:val="18"/>
          <w:szCs w:val="18"/>
          <w:b w:val="1"/>
          <w:bCs w:val="1"/>
          <w:color w:val="auto"/>
        </w:rPr>
        <w:t>Cyber incidents or attacks directed at us could result in information theft, data corruption, operational disruption and/or financial loss.</w:t>
      </w:r>
    </w:p>
    <w:p>
      <w:pPr>
        <w:spacing w:after="0" w:line="98"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We depend on digital technologies, including information systems, infrastructure and cloud applications and services, including those of third parties with which we may deal. Sophisticated and deliberate attacks on, or security breaches in, our systems or infrastructure, or the systems or infrastructure of third parties or the cloud, could lead to corruption or misappropriation of our assets, proprietary information and sensitive or confidential data. As an early stage company without significant investments in data security protection, we may not be sufficiently protected against such occurrences. We may not have sufficient resources to adequately protect against, or to investigate and remediate any vulnerability to, cyber incidents. It is possible that any of these occurrences, or a combination of them, could have adverse consequences on our business and lead to financial loss.</w:t>
      </w:r>
    </w:p>
    <w:p>
      <w:pPr>
        <w:spacing w:after="0" w:line="192" w:lineRule="exact"/>
        <w:rPr>
          <w:sz w:val="20"/>
          <w:szCs w:val="20"/>
          <w:color w:val="auto"/>
        </w:rPr>
      </w:pPr>
    </w:p>
    <w:p>
      <w:pPr>
        <w:ind w:left="460" w:right="619"/>
        <w:spacing w:after="0" w:line="261" w:lineRule="auto"/>
        <w:rPr>
          <w:sz w:val="20"/>
          <w:szCs w:val="20"/>
          <w:color w:val="auto"/>
        </w:rPr>
      </w:pPr>
      <w:r>
        <w:rPr>
          <w:rFonts w:ascii="Arial" w:cs="Arial" w:eastAsia="Arial" w:hAnsi="Arial"/>
          <w:sz w:val="18"/>
          <w:szCs w:val="18"/>
          <w:b w:val="1"/>
          <w:bCs w:val="1"/>
          <w:color w:val="auto"/>
        </w:rPr>
        <w:t>Since only holders of our founder shares will have the right to vote on the election of directors, upon the listing of our shares on the NYSE, the NYSE may consider us to be a “controlled company” within the meaning of the NYSE rules and, as a result, we may qualify for exemptions from certain corporate governance requirements.</w:t>
      </w:r>
    </w:p>
    <w:p>
      <w:pPr>
        <w:spacing w:after="0" w:line="103" w:lineRule="exact"/>
        <w:rPr>
          <w:sz w:val="20"/>
          <w:szCs w:val="20"/>
          <w:color w:val="auto"/>
        </w:rPr>
      </w:pPr>
    </w:p>
    <w:p>
      <w:pPr>
        <w:ind w:left="460" w:right="599" w:firstLine="432"/>
        <w:spacing w:after="0" w:line="255" w:lineRule="auto"/>
        <w:rPr>
          <w:sz w:val="20"/>
          <w:szCs w:val="20"/>
          <w:color w:val="auto"/>
        </w:rPr>
      </w:pPr>
      <w:r>
        <w:rPr>
          <w:rFonts w:ascii="Arial" w:cs="Arial" w:eastAsia="Arial" w:hAnsi="Arial"/>
          <w:sz w:val="18"/>
          <w:szCs w:val="18"/>
          <w:color w:val="auto"/>
        </w:rPr>
        <w:t>After completion of this offering, only holders of our founder shares will have the right to vote on the election of directors. As a result, the NYSE may consider us to be a “controlled company” within the meaning of the NYSE corporate governance standards. Under the NYSE corporate governance standards, a company of which more than 50% of the voting power is held by an individual, group or another company is a “controlled company” and may elect not to comply with certain corporate governance requirements, including the requirements that:</w:t>
      </w:r>
    </w:p>
    <w:p>
      <w:pPr>
        <w:spacing w:after="0" w:line="125" w:lineRule="exact"/>
        <w:rPr>
          <w:sz w:val="20"/>
          <w:szCs w:val="20"/>
          <w:color w:val="auto"/>
        </w:rPr>
      </w:pPr>
    </w:p>
    <w:p>
      <w:pPr>
        <w:ind w:left="1320" w:right="719" w:hanging="434"/>
        <w:spacing w:after="0" w:line="277" w:lineRule="auto"/>
        <w:tabs>
          <w:tab w:leader="none" w:pos="13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a board that includes a majority of “independent directors,” as defined under the rules of the NYSE;</w:t>
      </w:r>
    </w:p>
    <w:p>
      <w:pPr>
        <w:spacing w:after="0" w:line="102" w:lineRule="exact"/>
        <w:rPr>
          <w:rFonts w:ascii="Arial" w:cs="Arial" w:eastAsia="Arial" w:hAnsi="Arial"/>
          <w:sz w:val="18"/>
          <w:szCs w:val="18"/>
          <w:color w:val="auto"/>
        </w:rPr>
      </w:pPr>
    </w:p>
    <w:p>
      <w:pPr>
        <w:ind w:left="1320" w:right="539" w:hanging="434"/>
        <w:spacing w:after="0" w:line="308" w:lineRule="auto"/>
        <w:tabs>
          <w:tab w:leader="none" w:pos="1311" w:val="left"/>
        </w:tabs>
        <w:numPr>
          <w:ilvl w:val="0"/>
          <w:numId w:val="26"/>
        </w:numPr>
        <w:rPr>
          <w:rFonts w:ascii="Arial" w:cs="Arial" w:eastAsia="Arial" w:hAnsi="Arial"/>
          <w:sz w:val="17"/>
          <w:szCs w:val="17"/>
          <w:color w:val="auto"/>
        </w:rPr>
      </w:pPr>
      <w:r>
        <w:rPr>
          <w:rFonts w:ascii="Arial" w:cs="Arial" w:eastAsia="Arial" w:hAnsi="Arial"/>
          <w:sz w:val="17"/>
          <w:szCs w:val="17"/>
          <w:color w:val="auto"/>
        </w:rPr>
        <w:t>we have a compensation committee of our board that is comprised entirely of independent directors with a written charter addressing the committee’s purpose and responsibilities; and</w:t>
      </w:r>
    </w:p>
    <w:p>
      <w:pPr>
        <w:spacing w:after="0" w:line="65" w:lineRule="exact"/>
        <w:rPr>
          <w:rFonts w:ascii="Arial" w:cs="Arial" w:eastAsia="Arial" w:hAnsi="Arial"/>
          <w:sz w:val="17"/>
          <w:szCs w:val="17"/>
          <w:color w:val="auto"/>
        </w:rPr>
      </w:pPr>
    </w:p>
    <w:p>
      <w:pPr>
        <w:ind w:left="1320" w:right="619" w:hanging="434"/>
        <w:spacing w:after="0" w:line="263" w:lineRule="auto"/>
        <w:tabs>
          <w:tab w:leader="none" w:pos="1311" w:val="left"/>
        </w:tabs>
        <w:numPr>
          <w:ilvl w:val="0"/>
          <w:numId w:val="26"/>
        </w:numPr>
        <w:rPr>
          <w:rFonts w:ascii="Arial" w:cs="Arial" w:eastAsia="Arial" w:hAnsi="Arial"/>
          <w:sz w:val="18"/>
          <w:szCs w:val="18"/>
          <w:color w:val="auto"/>
        </w:rPr>
      </w:pPr>
      <w:r>
        <w:rPr>
          <w:rFonts w:ascii="Arial" w:cs="Arial" w:eastAsia="Arial" w:hAnsi="Arial"/>
          <w:sz w:val="18"/>
          <w:szCs w:val="18"/>
          <w:color w:val="auto"/>
        </w:rPr>
        <w:t>we have a nominating and corporate governance committee of our board that is comprised entirely of independent directors with a written charter addressing the committee’s purpose and responsibilities.</w:t>
      </w:r>
    </w:p>
    <w:p>
      <w:pPr>
        <w:spacing w:after="0" w:line="116" w:lineRule="exact"/>
        <w:rPr>
          <w:sz w:val="20"/>
          <w:szCs w:val="20"/>
          <w:color w:val="auto"/>
        </w:rPr>
      </w:pPr>
    </w:p>
    <w:p>
      <w:pPr>
        <w:ind w:left="460" w:right="459" w:firstLine="432"/>
        <w:spacing w:after="0" w:line="279" w:lineRule="auto"/>
        <w:rPr>
          <w:sz w:val="20"/>
          <w:szCs w:val="20"/>
          <w:color w:val="auto"/>
        </w:rPr>
      </w:pPr>
      <w:r>
        <w:rPr>
          <w:rFonts w:ascii="Arial" w:cs="Arial" w:eastAsia="Arial" w:hAnsi="Arial"/>
          <w:sz w:val="17"/>
          <w:szCs w:val="17"/>
          <w:color w:val="auto"/>
        </w:rPr>
        <w:t>We do not intend to utilize these exemptions and intend to comply with the corporate governance requirements of the NYSE, subject to applicable phase-in rules. However, if we determine in the future to utilize some or all of these exemptions, you will not have the same protections afforded to shareholders of companies that are subject to all of the NYSE corporate governance requirements.</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Risks Associated with Acquiring and Operating a Business in Foreign Countries</w:t>
      </w:r>
    </w:p>
    <w:p>
      <w:pPr>
        <w:spacing w:after="0" w:line="225" w:lineRule="exact"/>
        <w:rPr>
          <w:sz w:val="20"/>
          <w:szCs w:val="20"/>
          <w:color w:val="auto"/>
        </w:rPr>
      </w:pPr>
    </w:p>
    <w:p>
      <w:pPr>
        <w:ind w:left="460" w:right="479"/>
        <w:spacing w:after="0" w:line="303" w:lineRule="auto"/>
        <w:rPr>
          <w:sz w:val="20"/>
          <w:szCs w:val="20"/>
          <w:color w:val="auto"/>
        </w:rPr>
      </w:pPr>
      <w:r>
        <w:rPr>
          <w:rFonts w:ascii="Arial" w:cs="Arial" w:eastAsia="Arial" w:hAnsi="Arial"/>
          <w:sz w:val="16"/>
          <w:szCs w:val="16"/>
          <w:b w:val="1"/>
          <w:bCs w:val="1"/>
          <w:color w:val="auto"/>
        </w:rPr>
        <w:t>If we pursue a target company with operations or opportunities outside of the United States for our initial business combination, we may face additional burdens in connection with investigating, agreeing to and completing such initial business combination, and if we effect such initial business combination, we would be subject to a variety of additional risks that may negatively impact our operations.</w:t>
      </w:r>
    </w:p>
    <w:p>
      <w:pPr>
        <w:spacing w:after="0" w:line="87" w:lineRule="exact"/>
        <w:rPr>
          <w:sz w:val="20"/>
          <w:szCs w:val="20"/>
          <w:color w:val="auto"/>
        </w:rPr>
      </w:pPr>
    </w:p>
    <w:p>
      <w:pPr>
        <w:ind w:left="460" w:right="579" w:firstLine="432"/>
        <w:spacing w:after="0" w:line="296" w:lineRule="auto"/>
        <w:rPr>
          <w:sz w:val="20"/>
          <w:szCs w:val="20"/>
          <w:color w:val="auto"/>
        </w:rPr>
      </w:pPr>
      <w:r>
        <w:rPr>
          <w:rFonts w:ascii="Arial" w:cs="Arial" w:eastAsia="Arial" w:hAnsi="Arial"/>
          <w:sz w:val="16"/>
          <w:szCs w:val="16"/>
          <w:color w:val="auto"/>
        </w:rPr>
        <w:t>If we pursue a target a company with operations or opportunities outside of the United States for our initial business combination, we would be subject to risks associated with cross-border business combinations, including in connection with investigating, agreeing to and completing our initial business combination, conducting due diligence in a foreign jurisdiction, having such transaction approved by any local governments, regulators or agencies and changes in the purchase price based on fluctuations in foreign exchange rates.</w:t>
      </w:r>
    </w:p>
    <w:p>
      <w:pPr>
        <w:spacing w:after="0" w:line="80" w:lineRule="exact"/>
        <w:rPr>
          <w:sz w:val="20"/>
          <w:szCs w:val="20"/>
          <w:color w:val="auto"/>
        </w:rPr>
      </w:pPr>
    </w:p>
    <w:p>
      <w:pPr>
        <w:jc w:val="both"/>
        <w:ind w:left="460" w:right="799" w:firstLine="432"/>
        <w:spacing w:after="0" w:line="263" w:lineRule="auto"/>
        <w:rPr>
          <w:sz w:val="20"/>
          <w:szCs w:val="20"/>
          <w:color w:val="auto"/>
        </w:rPr>
      </w:pPr>
      <w:r>
        <w:rPr>
          <w:rFonts w:ascii="Arial" w:cs="Arial" w:eastAsia="Arial" w:hAnsi="Arial"/>
          <w:sz w:val="18"/>
          <w:szCs w:val="18"/>
          <w:color w:val="auto"/>
        </w:rPr>
        <w:t>If we effect our initial business combination with such a company, we would be subject to any special considerations or risks associated with companies operating in an international setting, including any of the following:</w:t>
      </w:r>
    </w:p>
    <w:p>
      <w:pPr>
        <w:spacing w:after="0" w:line="116" w:lineRule="exact"/>
        <w:rPr>
          <w:sz w:val="20"/>
          <w:szCs w:val="20"/>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costs and difficulties inherent in managing cross-border business operations;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rules and regulations regarding currency redemption;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complex corporate withholding taxes on individuals;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laws governing the manner in which future business combinations may be effected;</w:t>
      </w:r>
    </w:p>
    <w:p>
      <w:pPr>
        <w:sectPr>
          <w:pgSz w:w="11900" w:h="16838" w:orient="portrait"/>
          <w:cols w:equalWidth="0" w:num="1">
            <w:col w:w="9019"/>
          </w:cols>
          <w:pgMar w:left="1440" w:top="337" w:right="1440" w:bottom="1440" w:gutter="0" w:footer="0" w:header="0"/>
        </w:sectPr>
      </w:pP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1" w:name="page62"/>
    <w:bookmarkEnd w:id="61"/>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exchange listing and/or delisting requirements;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tariffs and trade barriers;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regulations related to customs and import/export matters;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local or regional economic policies and market conditions;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unexpected changes in regulatory requirements;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in managing and staffing international operations;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longer payment cycles;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6"/>
          <w:szCs w:val="16"/>
          <w:color w:val="auto"/>
        </w:rPr>
      </w:pPr>
      <w:r>
        <w:rPr>
          <w:rFonts w:ascii="Arial" w:cs="Arial" w:eastAsia="Arial" w:hAnsi="Arial"/>
          <w:sz w:val="16"/>
          <w:szCs w:val="16"/>
          <w:color w:val="auto"/>
        </w:rPr>
        <w:t>tax issues, such as tax law changes and variations in tax laws as compared to the United States;</w:t>
      </w:r>
    </w:p>
    <w:p>
      <w:pPr>
        <w:spacing w:after="0" w:line="153" w:lineRule="exact"/>
        <w:rPr>
          <w:rFonts w:ascii="Arial" w:cs="Arial" w:eastAsia="Arial" w:hAnsi="Arial"/>
          <w:sz w:val="16"/>
          <w:szCs w:val="16"/>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currency fluctuations and exchange controls;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rates of inflation;</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challenges in collecting accounts receivable;</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cultural and language differences;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employment regulations;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underdeveloped or unpredictable legal or regulatory systems;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corruption;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protection of intellectual property;</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social unrest, crime, strikes, riots and civil disturbances;</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regime changes and political upheaval;</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terrorist attacks and wars; and</w:t>
      </w:r>
    </w:p>
    <w:p>
      <w:pPr>
        <w:spacing w:after="0" w:line="130" w:lineRule="exact"/>
        <w:rPr>
          <w:rFonts w:ascii="Arial" w:cs="Arial" w:eastAsia="Arial" w:hAnsi="Arial"/>
          <w:sz w:val="18"/>
          <w:szCs w:val="18"/>
          <w:color w:val="auto"/>
        </w:rPr>
      </w:pPr>
    </w:p>
    <w:p>
      <w:pPr>
        <w:ind w:left="1300" w:hanging="414"/>
        <w:spacing w:after="0"/>
        <w:tabs>
          <w:tab w:leader="none" w:pos="13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deterioration of political relations with the United States.</w:t>
      </w:r>
    </w:p>
    <w:p>
      <w:pPr>
        <w:spacing w:after="0" w:line="158" w:lineRule="exact"/>
        <w:rPr>
          <w:sz w:val="20"/>
          <w:szCs w:val="20"/>
          <w:color w:val="auto"/>
        </w:rPr>
      </w:pPr>
    </w:p>
    <w:p>
      <w:pPr>
        <w:ind w:left="460" w:right="599" w:firstLine="432"/>
        <w:spacing w:after="0" w:line="259" w:lineRule="auto"/>
        <w:rPr>
          <w:sz w:val="20"/>
          <w:szCs w:val="20"/>
          <w:color w:val="auto"/>
        </w:rPr>
      </w:pPr>
      <w:r>
        <w:rPr>
          <w:rFonts w:ascii="Arial" w:cs="Arial" w:eastAsia="Arial" w:hAnsi="Arial"/>
          <w:sz w:val="18"/>
          <w:szCs w:val="18"/>
          <w:color w:val="auto"/>
        </w:rPr>
        <w:t>We may not be able to adequately address these additional risks. If we were unable to do so, we may be unable to complete such initial business combination, or, if we complete such initial business combination, our operations might suffer, either of which may adversely impact our business, financial condition and results of operations.</w:t>
      </w:r>
    </w:p>
    <w:p>
      <w:pPr>
        <w:spacing w:after="0" w:line="183" w:lineRule="exact"/>
        <w:rPr>
          <w:sz w:val="20"/>
          <w:szCs w:val="20"/>
          <w:color w:val="auto"/>
        </w:rPr>
      </w:pPr>
    </w:p>
    <w:p>
      <w:pPr>
        <w:jc w:val="both"/>
        <w:ind w:left="460" w:right="559"/>
        <w:spacing w:after="0" w:line="266" w:lineRule="auto"/>
        <w:rPr>
          <w:sz w:val="20"/>
          <w:szCs w:val="20"/>
          <w:color w:val="auto"/>
        </w:rPr>
      </w:pPr>
      <w:r>
        <w:rPr>
          <w:rFonts w:ascii="Arial" w:cs="Arial" w:eastAsia="Arial" w:hAnsi="Arial"/>
          <w:sz w:val="18"/>
          <w:szCs w:val="18"/>
          <w:b w:val="1"/>
          <w:bCs w:val="1"/>
          <w:color w:val="auto"/>
        </w:rPr>
        <w:t>If our management following our initial business combination is unfamiliar with United States securities laws, they may have to expend time and resources becoming familiar with such laws, which could lead to various regulatory issues.</w:t>
      </w:r>
    </w:p>
    <w:p>
      <w:pPr>
        <w:spacing w:after="0" w:line="99" w:lineRule="exact"/>
        <w:rPr>
          <w:sz w:val="20"/>
          <w:szCs w:val="20"/>
          <w:color w:val="auto"/>
        </w:rPr>
      </w:pPr>
    </w:p>
    <w:p>
      <w:pPr>
        <w:ind w:left="460" w:right="459" w:firstLine="432"/>
        <w:spacing w:after="0" w:line="273" w:lineRule="auto"/>
        <w:rPr>
          <w:sz w:val="20"/>
          <w:szCs w:val="20"/>
          <w:color w:val="auto"/>
        </w:rPr>
      </w:pPr>
      <w:r>
        <w:rPr>
          <w:rFonts w:ascii="Arial" w:cs="Arial" w:eastAsia="Arial" w:hAnsi="Arial"/>
          <w:sz w:val="17"/>
          <w:szCs w:val="17"/>
          <w:color w:val="auto"/>
        </w:rPr>
        <w:t>Following our initial business combination, our management may resign from their positions as officers or directors of the company and the management of the target business at the time of the business combination will remain in place. Management of the target business may not be familiar with United States securities laws. If new management is unfamiliar with United States securities laws, they may have to expend time and resources becoming familiar with such laws. This could be expensive and time-consuming and could lead to various regulatory issues which may adversely affect our operations.</w:t>
      </w:r>
    </w:p>
    <w:p>
      <w:pPr>
        <w:spacing w:after="0" w:line="174" w:lineRule="exact"/>
        <w:rPr>
          <w:sz w:val="20"/>
          <w:szCs w:val="20"/>
          <w:color w:val="auto"/>
        </w:rPr>
      </w:pPr>
    </w:p>
    <w:p>
      <w:pPr>
        <w:ind w:left="460" w:right="479"/>
        <w:spacing w:after="0" w:line="303" w:lineRule="auto"/>
        <w:rPr>
          <w:sz w:val="20"/>
          <w:szCs w:val="20"/>
          <w:color w:val="auto"/>
        </w:rPr>
      </w:pPr>
      <w:r>
        <w:rPr>
          <w:rFonts w:ascii="Arial" w:cs="Arial" w:eastAsia="Arial" w:hAnsi="Arial"/>
          <w:sz w:val="16"/>
          <w:szCs w:val="16"/>
          <w:b w:val="1"/>
          <w:bCs w:val="1"/>
          <w:color w:val="auto"/>
        </w:rPr>
        <w:t>After our initial business combination, substantially all of our assets may be located in a foreign country and substantially all of our revenue will be derived from our operations in such country. Accordingly, our results of operations and prospects will be subject, to a significant extent, to the economic, political and legal policies, developments and conditions in the country in which we operate.</w:t>
      </w:r>
    </w:p>
    <w:p>
      <w:pPr>
        <w:spacing w:after="0" w:line="87"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The economic, political and social conditions, as well as government policies, of the country in which our operations are located could affect our business. Economic growth could be uneven, both geographically and among various sectors of the economy and such growth may not be sustained in the future. If in the future such country’s economy experiences a downturn or grows at a slower rate than expected, there may be less demand for spending in certain industries. A decrease in demand for spending in certain industries could materially and adversely affect</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2" w:name="page63"/>
    <w:bookmarkEnd w:id="62"/>
    <w:p>
      <w:pPr>
        <w:ind w:left="460" w:right="459"/>
        <w:spacing w:after="0" w:line="308" w:lineRule="auto"/>
        <w:rPr>
          <w:sz w:val="20"/>
          <w:szCs w:val="20"/>
          <w:color w:val="auto"/>
        </w:rPr>
      </w:pPr>
      <w:r>
        <w:rPr>
          <w:rFonts w:ascii="Arial" w:cs="Arial" w:eastAsia="Arial" w:hAnsi="Arial"/>
          <w:sz w:val="17"/>
          <w:szCs w:val="17"/>
          <w:color w:val="auto"/>
        </w:rPr>
        <w:t>our ability to find an attractive target business with which to consummate our initial business combination and if we effect our initial business combination, the ability of that target business to become profitable.</w:t>
      </w:r>
    </w:p>
    <w:p>
      <w:pPr>
        <w:spacing w:after="0" w:line="142" w:lineRule="exact"/>
        <w:rPr>
          <w:sz w:val="20"/>
          <w:szCs w:val="20"/>
          <w:color w:val="auto"/>
        </w:rPr>
      </w:pPr>
    </w:p>
    <w:p>
      <w:pPr>
        <w:ind w:left="460" w:right="759"/>
        <w:spacing w:after="0" w:line="282" w:lineRule="auto"/>
        <w:rPr>
          <w:sz w:val="20"/>
          <w:szCs w:val="20"/>
          <w:color w:val="auto"/>
        </w:rPr>
      </w:pPr>
      <w:r>
        <w:rPr>
          <w:rFonts w:ascii="Arial" w:cs="Arial" w:eastAsia="Arial" w:hAnsi="Arial"/>
          <w:sz w:val="18"/>
          <w:szCs w:val="18"/>
          <w:b w:val="1"/>
          <w:bCs w:val="1"/>
          <w:color w:val="auto"/>
        </w:rPr>
        <w:t>Exchange rate fluctuations and currency policies may cause a target business’ ability to succeed in the international markets to be diminished.</w:t>
      </w:r>
    </w:p>
    <w:p>
      <w:pPr>
        <w:spacing w:after="0" w:line="85"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In the event we acquire a non-U.S. target, all revenues and income would likely be received in a foreign currency, and the dollar equivalent of our net assets and distributions, if any, could be adversely affected by reductions in the value of the local currency. The value of the currencies in our target regions fluctuate and are affected by, among other things, changes in political and economic conditions. Any change in the relative value of such currency against our reporting currency may affect the attractiveness of any target business or, following consummation of our initial business combination, our financial condition and results of operations. Additionally, if a currency appreciates in value against the dollar prior to the consummation of our initial business combination, the cost of a target business as measured in dollars will increase, which may make it less likely that we are able to consummate such transaction.</w:t>
      </w:r>
    </w:p>
    <w:p>
      <w:pPr>
        <w:spacing w:after="0" w:line="177" w:lineRule="exact"/>
        <w:rPr>
          <w:sz w:val="20"/>
          <w:szCs w:val="20"/>
          <w:color w:val="auto"/>
        </w:rPr>
      </w:pPr>
    </w:p>
    <w:p>
      <w:pPr>
        <w:jc w:val="both"/>
        <w:ind w:left="460" w:right="679"/>
        <w:spacing w:after="0" w:line="266" w:lineRule="auto"/>
        <w:rPr>
          <w:sz w:val="20"/>
          <w:szCs w:val="20"/>
          <w:color w:val="auto"/>
        </w:rPr>
      </w:pPr>
      <w:r>
        <w:rPr>
          <w:rFonts w:ascii="Arial" w:cs="Arial" w:eastAsia="Arial" w:hAnsi="Arial"/>
          <w:sz w:val="18"/>
          <w:szCs w:val="18"/>
          <w:b w:val="1"/>
          <w:bCs w:val="1"/>
          <w:color w:val="auto"/>
        </w:rPr>
        <w:t>We may reincorporate in another jurisdiction in connection with our initial business combination, and the laws of such jurisdiction may govern some or all of our future material agreements and we may not be able to enforce our legal rights.</w:t>
      </w:r>
    </w:p>
    <w:p>
      <w:pPr>
        <w:spacing w:after="0" w:line="112"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In connection with our initial business combination, we may relocate the home jurisdiction of our business from the Cayman Islands to another jurisdiction. If we determine to do this, the laws of such jurisdiction may govern some or all of our future material agreements. The system of laws and the enforcement of existing laws in such jurisdiction may not be as certain in implementation and interpretation as in the United States. The inability to enforce or obtain a remedy under any of our future agreements could result in a significant loss of business, business opportunities or capital.</w:t>
      </w:r>
    </w:p>
    <w:p>
      <w:pPr>
        <w:spacing w:after="0" w:line="188" w:lineRule="exact"/>
        <w:rPr>
          <w:sz w:val="20"/>
          <w:szCs w:val="20"/>
          <w:color w:val="auto"/>
        </w:rPr>
      </w:pPr>
    </w:p>
    <w:p>
      <w:pPr>
        <w:ind w:left="460" w:right="559"/>
        <w:spacing w:after="0" w:line="347" w:lineRule="auto"/>
        <w:rPr>
          <w:sz w:val="20"/>
          <w:szCs w:val="20"/>
          <w:color w:val="auto"/>
        </w:rPr>
      </w:pPr>
      <w:r>
        <w:rPr>
          <w:rFonts w:ascii="Arial" w:cs="Arial" w:eastAsia="Arial" w:hAnsi="Arial"/>
          <w:sz w:val="16"/>
          <w:szCs w:val="16"/>
          <w:b w:val="1"/>
          <w:bCs w:val="1"/>
          <w:color w:val="auto"/>
        </w:rPr>
        <w:t>We are subject to changing law and regulations regarding regulatory matters, corporate governance and public disclosure that have increased both our costs and the risk of non-compliance.</w:t>
      </w:r>
    </w:p>
    <w:p>
      <w:pPr>
        <w:spacing w:after="0" w:line="52"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We are subject to rules and regulations by various governing bodies, including, for example, the Securities and Exchange Commission, which are charged with the protection of investors and the oversight of companies whose securities are publicly traded, and to new and evolving regulatory measures under applicable law. Our efforts to comply with new and changing laws and regulations have resulted in and are likely to continue to result in, increased general and administrative expenses and a diversion of management time and attention from revenue generating activities to compliance activities.</w:t>
      </w:r>
    </w:p>
    <w:p>
      <w:pPr>
        <w:spacing w:after="0" w:line="97" w:lineRule="exact"/>
        <w:rPr>
          <w:sz w:val="20"/>
          <w:szCs w:val="20"/>
          <w:color w:val="auto"/>
        </w:rPr>
      </w:pPr>
    </w:p>
    <w:p>
      <w:pPr>
        <w:ind w:left="460" w:right="639" w:firstLine="432"/>
        <w:spacing w:after="0" w:line="296" w:lineRule="auto"/>
        <w:rPr>
          <w:sz w:val="20"/>
          <w:szCs w:val="20"/>
          <w:color w:val="auto"/>
        </w:rPr>
      </w:pPr>
      <w:r>
        <w:rPr>
          <w:rFonts w:ascii="Arial" w:cs="Arial" w:eastAsia="Arial" w:hAnsi="Arial"/>
          <w:sz w:val="16"/>
          <w:szCs w:val="16"/>
          <w:color w:val="auto"/>
        </w:rPr>
        <w:t>Moreover, because these laws, regulations and standards are subject to varying interpretations, their application in practice may evolve over time as new guidance becomes available. This evolution may result in continuing uncertainty regarding compliance matters and additional costs necessitated by ongoing revisions to our disclosure and governance practices. If we fail to address and comply with these regulations and any subsequent changes, we may be subject to penalty and our business may be harmed.</w:t>
      </w:r>
    </w:p>
    <w:p>
      <w:pPr>
        <w:spacing w:after="0" w:line="1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3" w:name="page64"/>
    <w:bookmarkEnd w:id="63"/>
    <w:p>
      <w:pPr>
        <w:jc w:val="center"/>
        <w:spacing w:after="0"/>
        <w:rPr>
          <w:sz w:val="20"/>
          <w:szCs w:val="20"/>
          <w:color w:val="auto"/>
        </w:rPr>
      </w:pPr>
      <w:r>
        <w:rPr>
          <w:rFonts w:ascii="Arial" w:cs="Arial" w:eastAsia="Arial" w:hAnsi="Arial"/>
          <w:sz w:val="18"/>
          <w:szCs w:val="18"/>
          <w:b w:val="1"/>
          <w:bCs w:val="1"/>
          <w:color w:val="auto"/>
        </w:rPr>
        <w:t>CAUTIONARY NOTE REGARDING FORWARD-LOOKING STATEMENTS</w:t>
      </w:r>
    </w:p>
    <w:p>
      <w:pPr>
        <w:spacing w:after="0" w:line="162" w:lineRule="exact"/>
        <w:rPr>
          <w:sz w:val="20"/>
          <w:szCs w:val="20"/>
          <w:color w:val="auto"/>
        </w:rPr>
      </w:pPr>
    </w:p>
    <w:p>
      <w:pPr>
        <w:ind w:left="460" w:right="579" w:firstLine="432"/>
        <w:spacing w:after="0" w:line="289" w:lineRule="auto"/>
        <w:rPr>
          <w:sz w:val="20"/>
          <w:szCs w:val="20"/>
          <w:color w:val="auto"/>
        </w:rPr>
      </w:pPr>
      <w:r>
        <w:rPr>
          <w:rFonts w:ascii="Arial" w:cs="Arial" w:eastAsia="Arial" w:hAnsi="Arial"/>
          <w:sz w:val="16"/>
          <w:szCs w:val="16"/>
          <w:color w:val="auto"/>
        </w:rPr>
        <w:t>Some of the statements contained in this prospectus may constitute “forward-looking statements” for purposes of the federal securities laws. Our forward-looking statements include, but are not limited to, statements regarding our or our management team’s expectations, hopes, beliefs, intentions or strategies regarding the future. In addition, any statements that refer to projections, forecasts or other characterizations of future events or circumstances, including any underlying assumptions, are forward-looking statements. The words “anticipate,” “believe,” “continue,” “could,” “estimate,” “expect,” “intends,” “may,” “might,” “plan,” “possible,” “potential,” “predict,” “project,” “should,” “would” and similar expressions may identify forward-looking statements, but the absence of these words does not mean that a statement is not forward-looking. Forward-looking statements in this prospectus may include, for example, statements about:</w:t>
      </w:r>
    </w:p>
    <w:p>
      <w:pPr>
        <w:spacing w:after="0" w:line="85" w:lineRule="exact"/>
        <w:rPr>
          <w:sz w:val="20"/>
          <w:szCs w:val="20"/>
          <w:color w:val="auto"/>
        </w:rPr>
      </w:pPr>
    </w:p>
    <w:p>
      <w:pPr>
        <w:ind w:left="1320" w:right="719" w:hanging="434"/>
        <w:spacing w:after="0" w:line="277" w:lineRule="auto"/>
        <w:tabs>
          <w:tab w:leader="none" w:pos="13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select an appropriate target business or businesses and complete our initial business combination;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expectations around the performance of the prospective target business;</w:t>
      </w:r>
    </w:p>
    <w:p>
      <w:pPr>
        <w:spacing w:after="0" w:line="157" w:lineRule="exact"/>
        <w:rPr>
          <w:rFonts w:ascii="Arial" w:cs="Arial" w:eastAsia="Arial" w:hAnsi="Arial"/>
          <w:sz w:val="18"/>
          <w:szCs w:val="18"/>
          <w:color w:val="auto"/>
        </w:rPr>
      </w:pPr>
    </w:p>
    <w:p>
      <w:pPr>
        <w:ind w:left="1320" w:right="1099" w:hanging="434"/>
        <w:spacing w:after="0" w:line="277" w:lineRule="auto"/>
        <w:tabs>
          <w:tab w:leader="none" w:pos="13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success in retaining or recruiting, or changes required in, our officers, key employees or directors following our initial business combination;</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officers and directors allocating their time to other businesses and potentially having conflicts of interest with our business or in approving our initial business combination;</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7"/>
          <w:szCs w:val="17"/>
          <w:color w:val="auto"/>
        </w:rPr>
      </w:pPr>
      <w:r>
        <w:rPr>
          <w:rFonts w:ascii="Arial" w:cs="Arial" w:eastAsia="Arial" w:hAnsi="Arial"/>
          <w:sz w:val="17"/>
          <w:szCs w:val="17"/>
          <w:color w:val="auto"/>
        </w:rPr>
        <w:t>our potential ability to obtain additional financing to complete our initial business combination;</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pool of prospective target businesses;</w:t>
      </w:r>
    </w:p>
    <w:p>
      <w:pPr>
        <w:spacing w:after="0" w:line="144"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ability to consummate an initial business combination due to the uncertainty resulting from the recent COVID-19 pandemic;</w:t>
      </w:r>
    </w:p>
    <w:p>
      <w:pPr>
        <w:spacing w:after="0" w:line="102"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ability of our officers and directors to generate a number of potential business combination opportunities;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public securities’ potential liquidity and trading;</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lack of a market for our securities;</w:t>
      </w:r>
    </w:p>
    <w:p>
      <w:pPr>
        <w:spacing w:after="0" w:line="157"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use of proceeds not held in the trust account or available to us from interest income on the trust account balance;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trust account not being subject to claims of third parties; or</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29"/>
        </w:numPr>
        <w:rPr>
          <w:rFonts w:ascii="Arial" w:cs="Arial" w:eastAsia="Arial" w:hAnsi="Arial"/>
          <w:sz w:val="18"/>
          <w:szCs w:val="18"/>
          <w:color w:val="auto"/>
        </w:rPr>
      </w:pPr>
      <w:r>
        <w:rPr>
          <w:rFonts w:ascii="Arial" w:cs="Arial" w:eastAsia="Arial" w:hAnsi="Arial"/>
          <w:sz w:val="18"/>
          <w:szCs w:val="18"/>
          <w:color w:val="auto"/>
        </w:rPr>
        <w:t>our financial performance following this offering.</w:t>
      </w:r>
    </w:p>
    <w:p>
      <w:pPr>
        <w:spacing w:after="0" w:line="158"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The forward-looking statements contained in this prospectus are based on our current expectations and beliefs concerning future developments and their potential effects on us. There can be no assurance future developments affecting us will be those that we have anticipated. These forward-looking statements involve a number of risks, uncertainties (some of which are beyond our control) or other assumptions that may cause actual results or performance to be materially different from those expressed or implied by these forward-looking statements. These risks and uncertainties include, but are not limited to, those factors described under the heading “Risk Factors.” Should one or more of these risks or uncertainties materialize, or should any of our assumptions prove incorrect, actual results may vary in material respects from those projected in these forward-looking statements. We undertake no obligation to update or revise any forward-looking statements, whether as a result of new information, future events or otherwise, except as may be required under applicable securities laws.</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4" w:name="page65"/>
    <w:bookmarkEnd w:id="64"/>
    <w:p>
      <w:pPr>
        <w:jc w:val="center"/>
        <w:spacing w:after="0"/>
        <w:rPr>
          <w:sz w:val="20"/>
          <w:szCs w:val="20"/>
          <w:color w:val="auto"/>
        </w:rPr>
      </w:pPr>
      <w:r>
        <w:rPr>
          <w:rFonts w:ascii="Arial" w:cs="Arial" w:eastAsia="Arial" w:hAnsi="Arial"/>
          <w:sz w:val="18"/>
          <w:szCs w:val="18"/>
          <w:b w:val="1"/>
          <w:bCs w:val="1"/>
          <w:color w:val="auto"/>
        </w:rPr>
        <w:t>USE OF PROCEEDS</w:t>
      </w:r>
    </w:p>
    <w:p>
      <w:pPr>
        <w:spacing w:after="0" w:line="162" w:lineRule="exact"/>
        <w:rPr>
          <w:sz w:val="20"/>
          <w:szCs w:val="20"/>
          <w:color w:val="auto"/>
        </w:rPr>
      </w:pPr>
    </w:p>
    <w:p>
      <w:pPr>
        <w:jc w:val="both"/>
        <w:ind w:left="460" w:right="519" w:firstLine="432"/>
        <w:spacing w:after="0" w:line="263" w:lineRule="auto"/>
        <w:rPr>
          <w:sz w:val="20"/>
          <w:szCs w:val="20"/>
          <w:color w:val="auto"/>
        </w:rPr>
      </w:pPr>
      <w:r>
        <w:rPr>
          <w:rFonts w:ascii="Arial" w:cs="Arial" w:eastAsia="Arial" w:hAnsi="Arial"/>
          <w:sz w:val="18"/>
          <w:szCs w:val="18"/>
          <w:color w:val="auto"/>
        </w:rPr>
        <w:t>We are offering 30,000,000 units at an offering price of $10.00 per unit. We estimate that the net proceeds of this offering, together with the funds we will receive from the sale of the private placement warrants, will be used as set forth in the following table:</w:t>
      </w:r>
    </w:p>
    <w:p>
      <w:pPr>
        <w:spacing w:after="0" w:line="144"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3"/>
          </w:tcPr>
          <w:p>
            <w:pPr>
              <w:jc w:val="center"/>
              <w:ind w:right="340"/>
              <w:spacing w:after="0"/>
              <w:rPr>
                <w:sz w:val="20"/>
                <w:szCs w:val="20"/>
                <w:color w:val="auto"/>
              </w:rPr>
            </w:pPr>
            <w:r>
              <w:rPr>
                <w:rFonts w:ascii="Arial" w:cs="Arial" w:eastAsia="Arial" w:hAnsi="Arial"/>
                <w:sz w:val="16"/>
                <w:szCs w:val="16"/>
                <w:b w:val="1"/>
                <w:bCs w:val="1"/>
                <w:color w:val="auto"/>
                <w:w w:val="93"/>
              </w:rPr>
              <w:t>Without</w:t>
            </w:r>
          </w:p>
        </w:tc>
        <w:tc>
          <w:tcPr>
            <w:tcW w:w="16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3"/>
              </w:rPr>
              <w:t>Over-allotment</w:t>
            </w:r>
          </w:p>
        </w:tc>
      </w:tr>
      <w:tr>
        <w:trPr>
          <w:trHeight w:val="203"/>
        </w:trPr>
        <w:tc>
          <w:tcPr>
            <w:tcW w:w="5200" w:type="dxa"/>
            <w:vAlign w:val="bottom"/>
          </w:tcPr>
          <w:p>
            <w:pPr>
              <w:spacing w:after="0"/>
              <w:rPr>
                <w:sz w:val="17"/>
                <w:szCs w:val="17"/>
                <w:color w:val="auto"/>
              </w:rPr>
            </w:pPr>
          </w:p>
        </w:tc>
        <w:tc>
          <w:tcPr>
            <w:tcW w:w="14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2"/>
              </w:rPr>
              <w:t>Over-allotment</w:t>
            </w:r>
          </w:p>
        </w:tc>
        <w:tc>
          <w:tcPr>
            <w:tcW w:w="160" w:type="dxa"/>
            <w:vAlign w:val="bottom"/>
          </w:tcPr>
          <w:p>
            <w:pPr>
              <w:spacing w:after="0"/>
              <w:rPr>
                <w:sz w:val="17"/>
                <w:szCs w:val="17"/>
                <w:color w:val="auto"/>
              </w:rPr>
            </w:pPr>
          </w:p>
        </w:tc>
        <w:tc>
          <w:tcPr>
            <w:tcW w:w="1300" w:type="dxa"/>
            <w:vAlign w:val="bottom"/>
            <w:gridSpan w:val="3"/>
          </w:tcPr>
          <w:p>
            <w:pPr>
              <w:jc w:val="center"/>
              <w:ind w:right="200"/>
              <w:spacing w:after="0"/>
              <w:rPr>
                <w:sz w:val="20"/>
                <w:szCs w:val="20"/>
                <w:color w:val="auto"/>
              </w:rPr>
            </w:pPr>
            <w:r>
              <w:rPr>
                <w:rFonts w:ascii="Arial" w:cs="Arial" w:eastAsia="Arial" w:hAnsi="Arial"/>
                <w:sz w:val="16"/>
                <w:szCs w:val="16"/>
                <w:b w:val="1"/>
                <w:bCs w:val="1"/>
                <w:color w:val="auto"/>
                <w:w w:val="96"/>
              </w:rPr>
              <w:t>Option</w:t>
            </w:r>
          </w:p>
        </w:tc>
      </w:tr>
      <w:tr>
        <w:trPr>
          <w:trHeight w:val="210"/>
        </w:trPr>
        <w:tc>
          <w:tcPr>
            <w:tcW w:w="5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gridSpan w:val="3"/>
          </w:tcPr>
          <w:p>
            <w:pPr>
              <w:jc w:val="center"/>
              <w:ind w:right="300"/>
              <w:spacing w:after="0"/>
              <w:rPr>
                <w:sz w:val="20"/>
                <w:szCs w:val="20"/>
                <w:color w:val="auto"/>
              </w:rPr>
            </w:pPr>
            <w:r>
              <w:rPr>
                <w:rFonts w:ascii="Arial" w:cs="Arial" w:eastAsia="Arial" w:hAnsi="Arial"/>
                <w:sz w:val="16"/>
                <w:szCs w:val="16"/>
                <w:b w:val="1"/>
                <w:bCs w:val="1"/>
                <w:color w:val="auto"/>
                <w:w w:val="93"/>
              </w:rPr>
              <w:t>Option</w:t>
            </w:r>
          </w:p>
        </w:tc>
        <w:tc>
          <w:tcPr>
            <w:tcW w:w="160" w:type="dxa"/>
            <w:vAlign w:val="bottom"/>
          </w:tcPr>
          <w:p>
            <w:pPr>
              <w:spacing w:after="0"/>
              <w:rPr>
                <w:sz w:val="18"/>
                <w:szCs w:val="18"/>
                <w:color w:val="auto"/>
              </w:rPr>
            </w:pPr>
          </w:p>
        </w:tc>
        <w:tc>
          <w:tcPr>
            <w:tcW w:w="1300" w:type="dxa"/>
            <w:vAlign w:val="bottom"/>
            <w:gridSpan w:val="3"/>
          </w:tcPr>
          <w:p>
            <w:pPr>
              <w:jc w:val="center"/>
              <w:ind w:right="160"/>
              <w:spacing w:after="0"/>
              <w:rPr>
                <w:sz w:val="20"/>
                <w:szCs w:val="20"/>
                <w:color w:val="auto"/>
              </w:rPr>
            </w:pPr>
            <w:r>
              <w:rPr>
                <w:rFonts w:ascii="Arial" w:cs="Arial" w:eastAsia="Arial" w:hAnsi="Arial"/>
                <w:sz w:val="16"/>
                <w:szCs w:val="16"/>
                <w:b w:val="1"/>
                <w:bCs w:val="1"/>
                <w:color w:val="auto"/>
                <w:w w:val="87"/>
              </w:rPr>
              <w:t>Exercised</w:t>
            </w:r>
          </w:p>
        </w:tc>
      </w:tr>
      <w:tr>
        <w:trPr>
          <w:trHeight w:val="46"/>
        </w:trPr>
        <w:tc>
          <w:tcPr>
            <w:tcW w:w="520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4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r>
      <w:tr>
        <w:trPr>
          <w:trHeight w:val="257"/>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Gross proceeds</w:t>
            </w:r>
          </w:p>
        </w:tc>
        <w:tc>
          <w:tcPr>
            <w:tcW w:w="22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83"/>
        </w:trPr>
        <w:tc>
          <w:tcPr>
            <w:tcW w:w="5200" w:type="dxa"/>
            <w:vAlign w:val="bottom"/>
          </w:tcPr>
          <w:p>
            <w:pPr>
              <w:spacing w:after="0"/>
              <w:rPr>
                <w:sz w:val="20"/>
                <w:szCs w:val="20"/>
                <w:color w:val="auto"/>
              </w:rPr>
            </w:pPr>
            <w:r>
              <w:rPr>
                <w:rFonts w:ascii="Arial" w:cs="Arial" w:eastAsia="Arial" w:hAnsi="Arial"/>
                <w:sz w:val="18"/>
                <w:szCs w:val="18"/>
                <w:color w:val="auto"/>
              </w:rPr>
              <w:t>Gross proceeds from units offered to public</w:t>
            </w:r>
            <w:r>
              <w:rPr>
                <w:rFonts w:ascii="Arial" w:cs="Arial" w:eastAsia="Arial" w:hAnsi="Arial"/>
                <w:sz w:val="20"/>
                <w:szCs w:val="20"/>
                <w:color w:val="auto"/>
                <w:vertAlign w:val="superscript"/>
              </w:rPr>
              <w:t>(1)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w w:val="95"/>
              </w:rPr>
              <w:t>300,000,000</w:t>
            </w:r>
          </w:p>
        </w:tc>
        <w:tc>
          <w:tcPr>
            <w:tcW w:w="80" w:type="dxa"/>
            <w:vAlign w:val="bottom"/>
          </w:tcPr>
          <w:p>
            <w:pPr>
              <w:spacing w:after="0"/>
              <w:rPr>
                <w:sz w:val="24"/>
                <w:szCs w:val="24"/>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345,000,000</w:t>
            </w:r>
          </w:p>
        </w:tc>
        <w:tc>
          <w:tcPr>
            <w:tcW w:w="140" w:type="dxa"/>
            <w:vAlign w:val="bottom"/>
          </w:tcPr>
          <w:p>
            <w:pPr>
              <w:spacing w:after="0"/>
              <w:rPr>
                <w:sz w:val="24"/>
                <w:szCs w:val="24"/>
                <w:color w:val="auto"/>
              </w:rPr>
            </w:pP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2"/>
              </w:rPr>
              <w:t>Gross proceeds from private placement warrants offered in the private</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1"/>
        </w:trPr>
        <w:tc>
          <w:tcPr>
            <w:tcW w:w="52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placement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9,500,000</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9,500,000</w:t>
            </w:r>
          </w:p>
        </w:tc>
        <w:tc>
          <w:tcPr>
            <w:tcW w:w="140" w:type="dxa"/>
            <w:vAlign w:val="bottom"/>
            <w:tcBorders>
              <w:bottom w:val="single" w:sz="8" w:color="CCEEFF"/>
            </w:tcBorders>
            <w:shd w:val="clear" w:color="auto" w:fill="CCEEFF"/>
          </w:tcPr>
          <w:p>
            <w:pPr>
              <w:spacing w:after="0"/>
              <w:rPr>
                <w:sz w:val="23"/>
                <w:szCs w:val="23"/>
                <w:color w:val="auto"/>
              </w:rPr>
            </w:pPr>
          </w:p>
        </w:tc>
      </w:tr>
      <w:tr>
        <w:trPr>
          <w:trHeight w:val="283"/>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Total gross proceeds</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5"/>
              </w:rPr>
              <w:t>309,500,000</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354,500,000</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r>
      <w:tr>
        <w:trPr>
          <w:trHeight w:val="270"/>
        </w:trPr>
        <w:tc>
          <w:tcPr>
            <w:tcW w:w="520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r>
        <w:trPr>
          <w:trHeight w:val="284"/>
        </w:trPr>
        <w:tc>
          <w:tcPr>
            <w:tcW w:w="5200" w:type="dxa"/>
            <w:vAlign w:val="bottom"/>
          </w:tcPr>
          <w:p>
            <w:pPr>
              <w:spacing w:after="0"/>
              <w:rPr>
                <w:sz w:val="20"/>
                <w:szCs w:val="20"/>
                <w:color w:val="auto"/>
              </w:rPr>
            </w:pPr>
            <w:r>
              <w:rPr>
                <w:rFonts w:ascii="Arial" w:cs="Arial" w:eastAsia="Arial" w:hAnsi="Arial"/>
                <w:sz w:val="18"/>
                <w:szCs w:val="18"/>
                <w:b w:val="1"/>
                <w:bCs w:val="1"/>
                <w:color w:val="auto"/>
              </w:rPr>
              <w:t>Offering expenses</w:t>
            </w:r>
            <w:r>
              <w:rPr>
                <w:rFonts w:ascii="Arial" w:cs="Arial" w:eastAsia="Arial" w:hAnsi="Arial"/>
                <w:sz w:val="20"/>
                <w:szCs w:val="20"/>
                <w:b w:val="1"/>
                <w:bCs w:val="1"/>
                <w:color w:val="auto"/>
                <w:vertAlign w:val="superscript"/>
              </w:rPr>
              <w:t>(2)</w:t>
            </w:r>
          </w:p>
        </w:tc>
        <w:tc>
          <w:tcPr>
            <w:tcW w:w="2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02"/>
        </w:trPr>
        <w:tc>
          <w:tcPr>
            <w:tcW w:w="52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3"/>
              </w:rPr>
              <w:t>Underwriting commissions (2.0% of gross proceeds from units offered</w:t>
            </w:r>
          </w:p>
        </w:tc>
        <w:tc>
          <w:tcPr>
            <w:tcW w:w="2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71"/>
        </w:trPr>
        <w:tc>
          <w:tcPr>
            <w:tcW w:w="52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to public, excluding deferred portion)</w:t>
            </w:r>
            <w:r>
              <w:rPr>
                <w:rFonts w:ascii="Arial" w:cs="Arial" w:eastAsia="Arial" w:hAnsi="Arial"/>
                <w:sz w:val="20"/>
                <w:szCs w:val="20"/>
                <w:color w:val="auto"/>
                <w:vertAlign w:val="superscript"/>
              </w:rPr>
              <w:t>(3)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6,000,000</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6,900,000</w:t>
            </w:r>
          </w:p>
        </w:tc>
        <w:tc>
          <w:tcPr>
            <w:tcW w:w="140" w:type="dxa"/>
            <w:vAlign w:val="bottom"/>
            <w:shd w:val="clear" w:color="auto" w:fill="CCEEFF"/>
          </w:tcPr>
          <w:p>
            <w:pPr>
              <w:spacing w:after="0"/>
              <w:rPr>
                <w:sz w:val="23"/>
                <w:szCs w:val="23"/>
                <w:color w:val="auto"/>
              </w:rPr>
            </w:pP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450,000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450,000</w:t>
            </w:r>
          </w:p>
        </w:tc>
        <w:tc>
          <w:tcPr>
            <w:tcW w:w="140" w:type="dxa"/>
            <w:vAlign w:val="bottom"/>
          </w:tcPr>
          <w:p>
            <w:pPr>
              <w:spacing w:after="0"/>
              <w:rPr>
                <w:sz w:val="21"/>
                <w:szCs w:val="21"/>
                <w:color w:val="auto"/>
              </w:rPr>
            </w:pPr>
          </w:p>
        </w:tc>
      </w:tr>
      <w:tr>
        <w:trPr>
          <w:trHeight w:val="41"/>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Printing and engraving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20,000</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Accounting fees and expenses</w:t>
            </w: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40,000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40,000</w:t>
            </w:r>
          </w:p>
        </w:tc>
      </w:tr>
      <w:tr>
        <w:trPr>
          <w:trHeight w:val="40"/>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SEC/FINRA Expenses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97,031</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97,031</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Travel and road show</w:t>
            </w: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00" w:type="dxa"/>
            <w:vAlign w:val="bottom"/>
            <w:gridSpan w:val="3"/>
          </w:tcPr>
          <w:p>
            <w:pPr>
              <w:jc w:val="right"/>
              <w:ind w:right="160"/>
              <w:spacing w:after="0"/>
              <w:rPr>
                <w:sz w:val="20"/>
                <w:szCs w:val="20"/>
                <w:color w:val="auto"/>
              </w:rPr>
            </w:pPr>
            <w:r>
              <w:rPr>
                <w:rFonts w:ascii="Arial" w:cs="Arial" w:eastAsia="Arial" w:hAnsi="Arial"/>
                <w:sz w:val="18"/>
                <w:szCs w:val="18"/>
                <w:color w:val="auto"/>
              </w:rPr>
              <w:t>30,000</w:t>
            </w:r>
          </w:p>
        </w:tc>
      </w:tr>
      <w:tr>
        <w:trPr>
          <w:trHeight w:val="40"/>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4"/>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NYSE listing and filing fees</w:t>
            </w:r>
          </w:p>
        </w:tc>
        <w:tc>
          <w:tcPr>
            <w:tcW w:w="220" w:type="dxa"/>
            <w:vAlign w:val="bottom"/>
            <w:tcBorders>
              <w:bottom w:val="single" w:sz="8" w:color="CCEEFF"/>
            </w:tcBorders>
            <w:shd w:val="clear" w:color="auto" w:fill="CCEEFF"/>
          </w:tcPr>
          <w:p>
            <w:pPr>
              <w:spacing w:after="0"/>
              <w:rPr>
                <w:sz w:val="22"/>
                <w:szCs w:val="22"/>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85,000</w:t>
            </w:r>
          </w:p>
        </w:tc>
        <w:tc>
          <w:tcPr>
            <w:tcW w:w="8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85,000</w:t>
            </w:r>
          </w:p>
        </w:tc>
      </w:tr>
      <w:tr>
        <w:trPr>
          <w:trHeight w:val="243"/>
        </w:trPr>
        <w:tc>
          <w:tcPr>
            <w:tcW w:w="5200" w:type="dxa"/>
            <w:vAlign w:val="bottom"/>
          </w:tcPr>
          <w:p>
            <w:pPr>
              <w:spacing w:after="0"/>
              <w:rPr>
                <w:sz w:val="20"/>
                <w:szCs w:val="20"/>
                <w:color w:val="auto"/>
              </w:rPr>
            </w:pPr>
            <w:r>
              <w:rPr>
                <w:rFonts w:ascii="Arial" w:cs="Arial" w:eastAsia="Arial" w:hAnsi="Arial"/>
                <w:sz w:val="18"/>
                <w:szCs w:val="18"/>
                <w:color w:val="auto"/>
              </w:rPr>
              <w:t>Director &amp; Officer liability insurance premiums</w:t>
            </w:r>
          </w:p>
        </w:tc>
        <w:tc>
          <w:tcPr>
            <w:tcW w:w="220" w:type="dxa"/>
            <w:vAlign w:val="bottom"/>
          </w:tcPr>
          <w:p>
            <w:pPr>
              <w:spacing w:after="0"/>
              <w:rPr>
                <w:sz w:val="21"/>
                <w:szCs w:val="21"/>
                <w:color w:val="auto"/>
              </w:rPr>
            </w:pP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250,000</w:t>
            </w: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c>
          <w:tcPr>
            <w:tcW w:w="140" w:type="dxa"/>
            <w:vAlign w:val="bottom"/>
          </w:tcPr>
          <w:p>
            <w:pPr>
              <w:spacing w:after="0"/>
              <w:rPr>
                <w:sz w:val="21"/>
                <w:szCs w:val="21"/>
                <w:color w:val="auto"/>
              </w:rPr>
            </w:pPr>
          </w:p>
        </w:tc>
      </w:tr>
      <w:tr>
        <w:trPr>
          <w:trHeight w:val="41"/>
        </w:trPr>
        <w:tc>
          <w:tcPr>
            <w:tcW w:w="520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83"/>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220" w:type="dxa"/>
            <w:vAlign w:val="bottom"/>
            <w:tcBorders>
              <w:bottom w:val="single" w:sz="8" w:color="CCEEFF"/>
            </w:tcBorders>
            <w:shd w:val="clear" w:color="auto" w:fill="CCEEFF"/>
          </w:tcPr>
          <w:p>
            <w:pPr>
              <w:spacing w:after="0"/>
              <w:rPr>
                <w:sz w:val="24"/>
                <w:szCs w:val="24"/>
                <w:color w:val="auto"/>
              </w:rPr>
            </w:pPr>
          </w:p>
        </w:tc>
        <w:tc>
          <w:tcPr>
            <w:tcW w:w="11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27,969</w:t>
            </w:r>
          </w:p>
        </w:tc>
        <w:tc>
          <w:tcPr>
            <w:tcW w:w="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300" w:type="dxa"/>
            <w:vAlign w:val="bottom"/>
            <w:tcBorders>
              <w:bottom w:val="single" w:sz="8" w:color="CCEEFF"/>
            </w:tcBorders>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27,969</w:t>
            </w:r>
          </w:p>
        </w:tc>
      </w:tr>
      <w:tr>
        <w:trPr>
          <w:trHeight w:val="237"/>
        </w:trPr>
        <w:tc>
          <w:tcPr>
            <w:tcW w:w="5200" w:type="dxa"/>
            <w:vAlign w:val="bottom"/>
          </w:tcPr>
          <w:p>
            <w:pPr>
              <w:spacing w:after="0"/>
              <w:rPr>
                <w:sz w:val="20"/>
                <w:szCs w:val="20"/>
                <w:color w:val="auto"/>
              </w:rPr>
            </w:pPr>
            <w:r>
              <w:rPr>
                <w:rFonts w:ascii="Arial" w:cs="Arial" w:eastAsia="Arial" w:hAnsi="Arial"/>
                <w:sz w:val="18"/>
                <w:szCs w:val="18"/>
                <w:color w:val="auto"/>
              </w:rPr>
              <w:t>Total offering expenses</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1,000,000</w:t>
            </w:r>
          </w:p>
        </w:tc>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r>
      <w:tr>
        <w:trPr>
          <w:trHeight w:val="27"/>
        </w:trPr>
        <w:tc>
          <w:tcPr>
            <w:tcW w:w="52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44"/>
        </w:trPr>
        <w:tc>
          <w:tcPr>
            <w:tcW w:w="52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Proceeds after offering expenses</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5"/>
              </w:rPr>
              <w:t>302,500,000</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346,600,000</w:t>
            </w:r>
          </w:p>
        </w:tc>
        <w:tc>
          <w:tcPr>
            <w:tcW w:w="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310"/>
        </w:trPr>
        <w:tc>
          <w:tcPr>
            <w:tcW w:w="52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Held in trust account</w:t>
            </w:r>
            <w:r>
              <w:rPr>
                <w:rFonts w:ascii="Arial" w:cs="Arial" w:eastAsia="Arial" w:hAnsi="Arial"/>
                <w:sz w:val="20"/>
                <w:szCs w:val="20"/>
                <w:color w:val="auto"/>
                <w:vertAlign w:val="superscript"/>
              </w:rPr>
              <w:t>(3)</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5"/>
              </w:rPr>
              <w:t>300,000,000</w:t>
            </w:r>
          </w:p>
        </w:tc>
        <w:tc>
          <w:tcPr>
            <w:tcW w:w="160" w:type="dxa"/>
            <w:vAlign w:val="bottom"/>
            <w:tcBorders>
              <w:bottom w:val="single" w:sz="8" w:color="CCEEFF"/>
            </w:tcBorders>
          </w:tcPr>
          <w:p>
            <w:pPr>
              <w:spacing w:after="0"/>
              <w:rPr>
                <w:sz w:val="24"/>
                <w:szCs w:val="24"/>
                <w:color w:val="auto"/>
              </w:rPr>
            </w:pPr>
          </w:p>
        </w:tc>
        <w:tc>
          <w:tcPr>
            <w:tcW w:w="80" w:type="dxa"/>
            <w:vAlign w:val="bottom"/>
            <w:tcBorders>
              <w:bottom w:val="single" w:sz="8" w:color="CCEEFF"/>
            </w:tcBorders>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345,000,000</w:t>
            </w:r>
          </w:p>
        </w:tc>
        <w:tc>
          <w:tcPr>
            <w:tcW w:w="20" w:type="dxa"/>
            <w:vAlign w:val="bottom"/>
            <w:tcBorders>
              <w:bottom w:val="single" w:sz="8" w:color="CCEEFF"/>
            </w:tcBorders>
          </w:tcPr>
          <w:p>
            <w:pPr>
              <w:spacing w:after="0"/>
              <w:rPr>
                <w:sz w:val="24"/>
                <w:szCs w:val="24"/>
                <w:color w:val="auto"/>
              </w:rPr>
            </w:pPr>
          </w:p>
        </w:tc>
        <w:tc>
          <w:tcPr>
            <w:tcW w:w="140" w:type="dxa"/>
            <w:vAlign w:val="bottom"/>
            <w:tcBorders>
              <w:bottom w:val="single" w:sz="8" w:color="CCEEFF"/>
            </w:tcBorders>
          </w:tcPr>
          <w:p>
            <w:pPr>
              <w:spacing w:after="0"/>
              <w:rPr>
                <w:sz w:val="24"/>
                <w:szCs w:val="24"/>
                <w:color w:val="auto"/>
              </w:rPr>
            </w:pPr>
          </w:p>
        </w:tc>
      </w:tr>
      <w:tr>
        <w:trPr>
          <w:trHeight w:val="217"/>
        </w:trPr>
        <w:tc>
          <w:tcPr>
            <w:tcW w:w="5200" w:type="dxa"/>
            <w:vAlign w:val="bottom"/>
            <w:tcBorders>
              <w:bottom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 of public offering size</w:t>
            </w:r>
          </w:p>
        </w:tc>
        <w:tc>
          <w:tcPr>
            <w:tcW w:w="2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100%</w:t>
            </w:r>
          </w:p>
        </w:tc>
      </w:tr>
      <w:tr>
        <w:trPr>
          <w:trHeight w:val="264"/>
        </w:trPr>
        <w:tc>
          <w:tcPr>
            <w:tcW w:w="5200" w:type="dxa"/>
            <w:vAlign w:val="bottom"/>
          </w:tcPr>
          <w:p>
            <w:pPr>
              <w:spacing w:after="0"/>
              <w:rPr>
                <w:sz w:val="20"/>
                <w:szCs w:val="20"/>
                <w:color w:val="auto"/>
              </w:rPr>
            </w:pPr>
            <w:r>
              <w:rPr>
                <w:rFonts w:ascii="Arial" w:cs="Arial" w:eastAsia="Arial" w:hAnsi="Arial"/>
                <w:sz w:val="18"/>
                <w:szCs w:val="18"/>
                <w:color w:val="auto"/>
              </w:rPr>
              <w:t>Not held in trust account</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160"/>
              <w:spacing w:after="0"/>
              <w:rPr>
                <w:sz w:val="20"/>
                <w:szCs w:val="20"/>
                <w:color w:val="auto"/>
              </w:rPr>
            </w:pPr>
            <w:r>
              <w:rPr>
                <w:rFonts w:ascii="Arial" w:cs="Arial" w:eastAsia="Arial" w:hAnsi="Arial"/>
                <w:sz w:val="18"/>
                <w:szCs w:val="18"/>
                <w:color w:val="auto"/>
              </w:rPr>
              <w:t>2,500,000</w:t>
            </w:r>
          </w:p>
        </w:tc>
        <w:tc>
          <w:tcPr>
            <w:tcW w:w="8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gridSpan w:val="2"/>
          </w:tcPr>
          <w:p>
            <w:pPr>
              <w:jc w:val="right"/>
              <w:ind w:right="20"/>
              <w:spacing w:after="0"/>
              <w:rPr>
                <w:sz w:val="20"/>
                <w:szCs w:val="20"/>
                <w:color w:val="auto"/>
              </w:rPr>
            </w:pPr>
            <w:r>
              <w:rPr>
                <w:rFonts w:ascii="Arial" w:cs="Arial" w:eastAsia="Arial" w:hAnsi="Arial"/>
                <w:sz w:val="18"/>
                <w:szCs w:val="18"/>
                <w:color w:val="auto"/>
              </w:rPr>
              <w:t>1,600,000</w:t>
            </w:r>
          </w:p>
        </w:tc>
        <w:tc>
          <w:tcPr>
            <w:tcW w:w="140" w:type="dxa"/>
            <w:vAlign w:val="bottom"/>
          </w:tcPr>
          <w:p>
            <w:pPr>
              <w:spacing w:after="0"/>
              <w:rPr>
                <w:sz w:val="22"/>
                <w:szCs w:val="22"/>
                <w:color w:val="auto"/>
              </w:rPr>
            </w:pPr>
          </w:p>
        </w:tc>
      </w:tr>
      <w:tr>
        <w:trPr>
          <w:trHeight w:val="20"/>
        </w:trPr>
        <w:tc>
          <w:tcPr>
            <w:tcW w:w="5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34"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The following table shows the use of the $2,500,000 of net proceeds not held in the trust account.</w:t>
      </w:r>
      <w:r>
        <w:rPr>
          <w:rFonts w:ascii="Arial" w:cs="Arial" w:eastAsia="Arial" w:hAnsi="Arial"/>
          <w:sz w:val="19"/>
          <w:szCs w:val="19"/>
          <w:color w:val="auto"/>
          <w:vertAlign w:val="superscript"/>
        </w:rPr>
        <w:t>(4)(5)</w:t>
      </w:r>
    </w:p>
    <w:p>
      <w:pPr>
        <w:spacing w:after="0" w:line="214"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gridSpan w:val="2"/>
          </w:tcPr>
          <w:p>
            <w:pPr>
              <w:ind w:left="60"/>
              <w:spacing w:after="0"/>
              <w:rPr>
                <w:sz w:val="20"/>
                <w:szCs w:val="20"/>
                <w:color w:val="auto"/>
              </w:rPr>
            </w:pPr>
            <w:r>
              <w:rPr>
                <w:rFonts w:ascii="Arial" w:cs="Arial" w:eastAsia="Arial" w:hAnsi="Arial"/>
                <w:sz w:val="16"/>
                <w:szCs w:val="16"/>
                <w:b w:val="1"/>
                <w:bCs w:val="1"/>
                <w:color w:val="auto"/>
              </w:rPr>
              <w:t>Amount</w:t>
            </w:r>
          </w:p>
        </w:tc>
        <w:tc>
          <w:tcPr>
            <w:tcW w:w="12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rPr>
              <w:t>% of Total</w:t>
            </w:r>
          </w:p>
        </w:tc>
      </w:tr>
      <w:tr>
        <w:trPr>
          <w:trHeight w:val="47"/>
        </w:trPr>
        <w:tc>
          <w:tcPr>
            <w:tcW w:w="55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r>
      <w:tr>
        <w:trPr>
          <w:trHeight w:val="182"/>
        </w:trPr>
        <w:tc>
          <w:tcPr>
            <w:tcW w:w="55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4"/>
              </w:rPr>
              <w:t>Legal, accounting, due diligence, travel, and other expenses in connection</w:t>
            </w:r>
          </w:p>
        </w:tc>
        <w:tc>
          <w:tcPr>
            <w:tcW w:w="2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r>
      <w:tr>
        <w:trPr>
          <w:trHeight w:val="271"/>
        </w:trPr>
        <w:tc>
          <w:tcPr>
            <w:tcW w:w="55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with any business combination</w:t>
            </w:r>
            <w:r>
              <w:rPr>
                <w:rFonts w:ascii="Arial" w:cs="Arial" w:eastAsia="Arial" w:hAnsi="Arial"/>
                <w:sz w:val="20"/>
                <w:szCs w:val="20"/>
                <w:color w:val="auto"/>
                <w:vertAlign w:val="superscript"/>
              </w:rPr>
              <w:t>(6)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1,935,000</w:t>
            </w:r>
          </w:p>
        </w:tc>
        <w:tc>
          <w:tcPr>
            <w:tcW w:w="128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77.4%</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Legal and accounting fees related to regulatory reporting obligations</w:t>
            </w: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120,000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4.8%</w:t>
            </w:r>
          </w:p>
        </w:tc>
      </w:tr>
      <w:tr>
        <w:trPr>
          <w:trHeight w:val="40"/>
        </w:trPr>
        <w:tc>
          <w:tcPr>
            <w:tcW w:w="5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6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Payment for office space, administrative and support services</w:t>
            </w:r>
          </w:p>
        </w:tc>
        <w:tc>
          <w:tcPr>
            <w:tcW w:w="22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180,000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7.2%</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NYSE fees</w:t>
            </w:r>
          </w:p>
        </w:tc>
        <w:tc>
          <w:tcPr>
            <w:tcW w:w="220" w:type="dxa"/>
            <w:vAlign w:val="bottom"/>
          </w:tcPr>
          <w:p>
            <w:pPr>
              <w:spacing w:after="0"/>
              <w:rPr>
                <w:sz w:val="21"/>
                <w:szCs w:val="21"/>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165,000</w:t>
            </w:r>
          </w:p>
        </w:tc>
        <w:tc>
          <w:tcPr>
            <w:tcW w:w="1280" w:type="dxa"/>
            <w:vAlign w:val="bottom"/>
            <w:gridSpan w:val="3"/>
          </w:tcPr>
          <w:p>
            <w:pPr>
              <w:jc w:val="right"/>
              <w:ind w:right="40"/>
              <w:spacing w:after="0"/>
              <w:rPr>
                <w:sz w:val="20"/>
                <w:szCs w:val="20"/>
                <w:color w:val="auto"/>
              </w:rPr>
            </w:pPr>
            <w:r>
              <w:rPr>
                <w:rFonts w:ascii="Arial" w:cs="Arial" w:eastAsia="Arial" w:hAnsi="Arial"/>
                <w:sz w:val="18"/>
                <w:szCs w:val="18"/>
                <w:color w:val="auto"/>
              </w:rPr>
              <w:t>6.6%</w:t>
            </w:r>
          </w:p>
        </w:tc>
      </w:tr>
      <w:tr>
        <w:trPr>
          <w:trHeight w:val="40"/>
        </w:trPr>
        <w:tc>
          <w:tcPr>
            <w:tcW w:w="5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83"/>
        </w:trPr>
        <w:tc>
          <w:tcPr>
            <w:tcW w:w="55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Working capital to cover miscellaneous expenses</w:t>
            </w:r>
          </w:p>
        </w:tc>
        <w:tc>
          <w:tcPr>
            <w:tcW w:w="22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100,000</w:t>
            </w:r>
          </w:p>
        </w:tc>
        <w:tc>
          <w:tcPr>
            <w:tcW w:w="12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r>
      <w:tr>
        <w:trPr>
          <w:trHeight w:val="243"/>
        </w:trPr>
        <w:tc>
          <w:tcPr>
            <w:tcW w:w="5580" w:type="dxa"/>
            <w:vAlign w:val="bottom"/>
          </w:tcPr>
          <w:p>
            <w:pPr>
              <w:spacing w:after="0"/>
              <w:rPr>
                <w:sz w:val="20"/>
                <w:szCs w:val="20"/>
                <w:color w:val="auto"/>
              </w:rPr>
            </w:pPr>
            <w:r>
              <w:rPr>
                <w:rFonts w:ascii="Arial" w:cs="Arial" w:eastAsia="Arial" w:hAnsi="Arial"/>
                <w:sz w:val="18"/>
                <w:szCs w:val="18"/>
                <w:color w:val="auto"/>
              </w:rPr>
              <w:t>Total</w:t>
            </w:r>
          </w:p>
        </w:tc>
        <w:tc>
          <w:tcPr>
            <w:tcW w:w="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2,500,000</w:t>
            </w:r>
          </w:p>
        </w:tc>
        <w:tc>
          <w:tcPr>
            <w:tcW w:w="100" w:type="dxa"/>
            <w:vAlign w:val="bottom"/>
          </w:tcPr>
          <w:p>
            <w:pPr>
              <w:spacing w:after="0"/>
              <w:rPr>
                <w:sz w:val="21"/>
                <w:szCs w:val="21"/>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100.0</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w w:val="74"/>
              </w:rPr>
              <w:t>%</w:t>
            </w:r>
          </w:p>
        </w:tc>
      </w:tr>
      <w:tr>
        <w:trPr>
          <w:trHeight w:val="20"/>
        </w:trPr>
        <w:tc>
          <w:tcPr>
            <w:tcW w:w="55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13" w:lineRule="exact"/>
        <w:rPr>
          <w:sz w:val="20"/>
          <w:szCs w:val="20"/>
          <w:color w:val="auto"/>
        </w:rPr>
      </w:pPr>
    </w:p>
    <w:p>
      <w:pPr>
        <w:ind w:left="880" w:right="559" w:hanging="426"/>
        <w:spacing w:after="0" w:line="266" w:lineRule="auto"/>
        <w:tabs>
          <w:tab w:leader="none" w:pos="8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Includes amounts payable to public shareholders who properly redeem their shares in connection with our successful completion of our initial business combination.</w:t>
      </w:r>
    </w:p>
    <w:p>
      <w:pPr>
        <w:spacing w:after="0" w:line="1" w:lineRule="exact"/>
        <w:rPr>
          <w:rFonts w:ascii="Arial" w:cs="Arial" w:eastAsia="Arial" w:hAnsi="Arial"/>
          <w:sz w:val="16"/>
          <w:szCs w:val="16"/>
          <w:color w:val="auto"/>
        </w:rPr>
      </w:pPr>
    </w:p>
    <w:p>
      <w:pPr>
        <w:ind w:left="880" w:right="499" w:hanging="426"/>
        <w:spacing w:after="0" w:line="281" w:lineRule="auto"/>
        <w:tabs>
          <w:tab w:leader="none" w:pos="871" w:val="left"/>
        </w:tabs>
        <w:numPr>
          <w:ilvl w:val="0"/>
          <w:numId w:val="30"/>
        </w:numPr>
        <w:rPr>
          <w:rFonts w:ascii="Arial" w:cs="Arial" w:eastAsia="Arial" w:hAnsi="Arial"/>
          <w:sz w:val="15"/>
          <w:szCs w:val="15"/>
          <w:color w:val="auto"/>
        </w:rPr>
      </w:pPr>
      <w:r>
        <w:rPr>
          <w:rFonts w:ascii="Arial" w:cs="Arial" w:eastAsia="Arial" w:hAnsi="Arial"/>
          <w:sz w:val="15"/>
          <w:szCs w:val="15"/>
          <w:color w:val="auto"/>
        </w:rPr>
        <w:t>A portion of the offering expenses will be paid from the proceeds of loans from our sponsor of up to $300,000 as described in this prospectus. As of December 31, 2019, we had not borrowed any amount under the promissory note with our sponsor. These amounts will be repaid upon completion of this offering out of the offering proceeds that has been allocated for the payment of offering expenses (other than underwriting commissions) and amounts not to be held in the trust account. In the event that offering expenses are less than set forth in this table, any such amounts will be used for post-closing working capital expenses. In the event that the offering expenses are more than as set forth in this table, we may fund such excess with funds not held in the trust account.</w:t>
      </w:r>
    </w:p>
    <w:p>
      <w:pPr>
        <w:spacing w:after="0" w:line="3" w:lineRule="exact"/>
        <w:rPr>
          <w:rFonts w:ascii="Arial" w:cs="Arial" w:eastAsia="Arial" w:hAnsi="Arial"/>
          <w:sz w:val="15"/>
          <w:szCs w:val="15"/>
          <w:color w:val="auto"/>
        </w:rPr>
      </w:pPr>
    </w:p>
    <w:p>
      <w:pPr>
        <w:ind w:left="880" w:right="479" w:hanging="426"/>
        <w:spacing w:after="0" w:line="268" w:lineRule="auto"/>
        <w:tabs>
          <w:tab w:leader="none" w:pos="877" w:val="left"/>
        </w:tabs>
        <w:numPr>
          <w:ilvl w:val="0"/>
          <w:numId w:val="30"/>
        </w:numPr>
        <w:rPr>
          <w:rFonts w:ascii="Arial" w:cs="Arial" w:eastAsia="Arial" w:hAnsi="Arial"/>
          <w:sz w:val="16"/>
          <w:szCs w:val="16"/>
          <w:color w:val="auto"/>
        </w:rPr>
      </w:pPr>
      <w:r>
        <w:rPr>
          <w:rFonts w:ascii="Arial" w:cs="Arial" w:eastAsia="Arial" w:hAnsi="Arial"/>
          <w:sz w:val="16"/>
          <w:szCs w:val="16"/>
          <w:color w:val="auto"/>
        </w:rPr>
        <w:t>The underwriter has agreed to defer underwriting commissions of 3.5% of the gross proceeds of this offering. Upon and concurrently with the completion of our initial business combination, $10,500,000, which constitutes the underwriter’s deferred commissions (or $12,075,000 if the underwriter’s over-allotment option is exercised in full) will be paid to the underwriter from the funds held in the trust account. See “Underwriting.” The remaining funds, less amounts released to the trustee to pay redeeming shareholders, will be released to us and can be used to pay all or a portion of the purchase price of the business or businesses with which our initial business combination occurs or for general corporate purposes,</w:t>
      </w:r>
    </w:p>
    <w:p>
      <w:pPr>
        <w:sectPr>
          <w:pgSz w:w="11900" w:h="16838" w:orient="portrait"/>
          <w:cols w:equalWidth="0" w:num="1">
            <w:col w:w="9019"/>
          </w:cols>
          <w:pgMar w:left="1440" w:top="337" w:right="1440" w:bottom="1440" w:gutter="0" w:footer="0" w:header="0"/>
        </w:sectPr>
      </w:pP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5" w:name="page66"/>
    <w:bookmarkEnd w:id="65"/>
    <w:p>
      <w:pPr>
        <w:ind w:left="880" w:right="559"/>
        <w:spacing w:after="0" w:line="265" w:lineRule="auto"/>
        <w:rPr>
          <w:sz w:val="20"/>
          <w:szCs w:val="20"/>
          <w:color w:val="auto"/>
        </w:rPr>
      </w:pPr>
      <w:r>
        <w:rPr>
          <w:rFonts w:ascii="Arial" w:cs="Arial" w:eastAsia="Arial" w:hAnsi="Arial"/>
          <w:sz w:val="16"/>
          <w:szCs w:val="16"/>
          <w:color w:val="auto"/>
        </w:rPr>
        <w:t>including payment of principal or interest on indebtedness incurred in connection with our initial business combination, to fund the purchases of other companies or for working capital. The underwriter will not be entitled to any interest accrued on the deferred underwriting discounts and commissions.</w:t>
      </w:r>
    </w:p>
    <w:p>
      <w:pPr>
        <w:spacing w:after="0" w:line="2" w:lineRule="exact"/>
        <w:rPr>
          <w:sz w:val="20"/>
          <w:szCs w:val="20"/>
          <w:color w:val="auto"/>
        </w:rPr>
      </w:pPr>
    </w:p>
    <w:p>
      <w:pPr>
        <w:ind w:left="880" w:right="479" w:hanging="426"/>
        <w:spacing w:after="0" w:line="281" w:lineRule="auto"/>
        <w:tabs>
          <w:tab w:leader="none" w:pos="877" w:val="left"/>
        </w:tabs>
        <w:numPr>
          <w:ilvl w:val="0"/>
          <w:numId w:val="31"/>
        </w:numPr>
        <w:rPr>
          <w:rFonts w:ascii="Arial" w:cs="Arial" w:eastAsia="Arial" w:hAnsi="Arial"/>
          <w:sz w:val="15"/>
          <w:szCs w:val="15"/>
          <w:color w:val="auto"/>
        </w:rPr>
      </w:pPr>
      <w:r>
        <w:rPr>
          <w:rFonts w:ascii="Arial" w:cs="Arial" w:eastAsia="Arial" w:hAnsi="Arial"/>
          <w:sz w:val="15"/>
          <w:szCs w:val="15"/>
          <w:color w:val="auto"/>
        </w:rPr>
        <w:t>These expenses are estimates only. Our actual expenditures for some or all of these items may differ from the estimates set forth herein. For example, we may incur greater legal and accounting expenses than our current estimates in connection with negotiating and structuring our initial business combination based upon the level of complexity of such business combination. In the event we identify a business combination target in a specific industry subject to specific regulations, we may incur additional expenses associated with legal due diligence and the engagement of special legal counsel. In addition, our staffing needs may vary and as a result, we may engage a number of consultants to assist with legal and financial due diligence. We do not anticipate any change in our intended use of proceeds, other than fluctuations among the current categories of allocated expenses, which fluctuations, to the extent they exceed current estimates for any specific category of expenses, would not be available for our expenses. The amount in the table above does not include interest available to us from the trust account.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Assuming an interest rate of 0.5% per year, we estimate the interest earned on the trust account will be approximately $1,500,000 per year; however, we can provide no assurances regarding this amount. The trust account’s earnings will be lower as interest rates on short-term government treasury obligations decline.</w:t>
      </w:r>
    </w:p>
    <w:p>
      <w:pPr>
        <w:spacing w:after="0" w:line="8" w:lineRule="exact"/>
        <w:rPr>
          <w:rFonts w:ascii="Arial" w:cs="Arial" w:eastAsia="Arial" w:hAnsi="Arial"/>
          <w:sz w:val="15"/>
          <w:szCs w:val="15"/>
          <w:color w:val="auto"/>
        </w:rPr>
      </w:pPr>
    </w:p>
    <w:p>
      <w:pPr>
        <w:ind w:left="880" w:hanging="426"/>
        <w:spacing w:after="0"/>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w:t>
      </w:r>
    </w:p>
    <w:p>
      <w:pPr>
        <w:spacing w:after="0" w:line="18" w:lineRule="exact"/>
        <w:rPr>
          <w:rFonts w:ascii="Arial" w:cs="Arial" w:eastAsia="Arial" w:hAnsi="Arial"/>
          <w:sz w:val="16"/>
          <w:szCs w:val="16"/>
          <w:color w:val="auto"/>
        </w:rPr>
      </w:pPr>
    </w:p>
    <w:p>
      <w:pPr>
        <w:ind w:left="880" w:right="639" w:hanging="426"/>
        <w:spacing w:after="0" w:line="288" w:lineRule="auto"/>
        <w:tabs>
          <w:tab w:leader="none" w:pos="880" w:val="left"/>
        </w:tabs>
        <w:numPr>
          <w:ilvl w:val="0"/>
          <w:numId w:val="31"/>
        </w:numPr>
        <w:rPr>
          <w:rFonts w:ascii="Arial" w:cs="Arial" w:eastAsia="Arial" w:hAnsi="Arial"/>
          <w:sz w:val="16"/>
          <w:szCs w:val="16"/>
          <w:color w:val="auto"/>
        </w:rPr>
      </w:pPr>
      <w:r>
        <w:rPr>
          <w:rFonts w:ascii="Arial" w:cs="Arial" w:eastAsia="Arial" w:hAnsi="Arial"/>
          <w:sz w:val="16"/>
          <w:szCs w:val="16"/>
          <w:color w:val="auto"/>
        </w:rPr>
        <w:t>Includes estimated amounts that may also be used in connection with our initial business combination to fund a “no shop” provision and commitment fees for financing.</w:t>
      </w:r>
    </w:p>
    <w:p>
      <w:pPr>
        <w:spacing w:after="0" w:line="104"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Of the $309,500,000 in proceeds we receive from this offering and the sale of the private placement warrants described in this prospectus, or $354,500,000 if the underwriter’s over-allotment option is exercised in full, $300,000,000 ($10.00 per unit), or $345,000,000 if the underwriter’s over-allotment option is exercised in full ($10.00 per unit), will be deposited into a trust account with Continental Stock Transfer &amp; Trust Company acting as trustee, and $10,000,000 will be used to pay expenses in connection with the closing of this offering and for working capital following this offering. We will not be permitted to withdraw any of the principal or interest held in the trust account, except with respect to interest earned on the funds held in the trust account that may be released to us to pay our income taxes, if any, (less up to $100,000 of interest to pay dissolution expenses) until the earliest of (i) the completion of our initial business combination, (ii) the redemption of our public shares if we have not consummated an initial business combination within 18 months from the closing of this offering, subject to applicable law, or (iii) the redemption of our public shares properly submitted in connection with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Based on current interest rates, we expect that interest income earned on the trust account (if any) will be sufficient to pay our income taxes.</w:t>
      </w:r>
    </w:p>
    <w:p>
      <w:pPr>
        <w:spacing w:after="0" w:line="93"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The net proceeds held in the trust account may be used as consideration to pay the sellers of a target business with which we ultimately complete our initial business combination. If our initial business combination is paid for using equity or debt securities, or not all of the funds released from the trust account are used for payment of the consideration in connection with our initial business combination, we may apply the balance of the cash released from 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 There is no limitation on our ability to raise funds privately or through loans in connection with our initial business combination.</w:t>
      </w:r>
    </w:p>
    <w:p>
      <w:pPr>
        <w:spacing w:after="0" w:line="113"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believe that amounts not held in trust, together with funds available to us from loans from our sponsor, will be sufficient to pay the costs and expenses to which such proceeds are allocated. However, if our estimate of the costs of undertaking in-depth due diligence and negotiating a business combination is less than the actual amount necessary to do so, we may be required to raise additional capital, the amount, availability and cost of which is currently unascertainable. If we are required to seek additional capital, we could seek such additional capital through loans or additional investments from our sponsor, members of our management team or any of their affiliates, but such persons are not under any obligation to advance funds to, or invest in, us.</w:t>
      </w:r>
    </w:p>
    <w:p>
      <w:pPr>
        <w:spacing w:after="0" w:line="99" w:lineRule="exact"/>
        <w:rPr>
          <w:sz w:val="20"/>
          <w:szCs w:val="20"/>
          <w:color w:val="auto"/>
        </w:rPr>
      </w:pPr>
    </w:p>
    <w:p>
      <w:pPr>
        <w:ind w:left="460" w:right="699" w:firstLine="432"/>
        <w:spacing w:after="0" w:line="311" w:lineRule="auto"/>
        <w:rPr>
          <w:sz w:val="20"/>
          <w:szCs w:val="20"/>
          <w:color w:val="auto"/>
        </w:rPr>
      </w:pPr>
      <w:r>
        <w:rPr>
          <w:rFonts w:ascii="Arial" w:cs="Arial" w:eastAsia="Arial" w:hAnsi="Arial"/>
          <w:sz w:val="16"/>
          <w:szCs w:val="16"/>
          <w:color w:val="auto"/>
        </w:rPr>
        <w:t>We will reimburse an affiliate of our sponsor for office space, secretarial and administrative services provided to members of our management team, in the amount of $10,000 per month. Upon completion of our initial business combination or our liquidation, we will cease paying these monthly fees.</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30" w:right="1440" w:bottom="1440" w:gutter="0" w:footer="0" w:header="0"/>
        </w:sectPr>
      </w:pPr>
    </w:p>
    <w:bookmarkStart w:id="66" w:name="page67"/>
    <w:bookmarkEnd w:id="66"/>
    <w:p>
      <w:pPr>
        <w:ind w:left="460" w:right="559" w:firstLine="432"/>
        <w:spacing w:after="0" w:line="257" w:lineRule="auto"/>
        <w:rPr>
          <w:sz w:val="20"/>
          <w:szCs w:val="20"/>
          <w:color w:val="auto"/>
        </w:rPr>
      </w:pPr>
      <w:r>
        <w:rPr>
          <w:rFonts w:ascii="Arial" w:cs="Arial" w:eastAsia="Arial" w:hAnsi="Arial"/>
          <w:sz w:val="18"/>
          <w:szCs w:val="18"/>
          <w:color w:val="auto"/>
        </w:rPr>
        <w:t>Prior to the closing of this offering, our sponsor has agreed to loan us up to $300,000 to be used for a portion of the expenses of this offering. As of December 31, 2019, we had not borrowed any amount under the promissory note with our sponsor. These loans are non-interest bearing, unsecured and are due at the earlier of June 30, 2020 or the closing of this offering. The loan will be repaid upon the closing of this offering out of the offering proceeds not held in the trust account.</w:t>
      </w:r>
    </w:p>
    <w:p>
      <w:pPr>
        <w:spacing w:after="0" w:line="107"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out of the proceeds of the trust account released to us. Otherwise, such loans would be repaid only out of funds held outside the trust account. In the event that our initial business combination does not close, we may use a portion of the working capital held outside the trust account to repay such loaned amounts but no proceeds from our trust account would be used to repay such loaned amounts. Up to $1,500,000 of such loans may be convertible into warrants of the post business combination entity at a price of $1.00 per warrant at the option of the lender. The warrants would be identical to the private placement warrants. Except as set forth above,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67" w:name="page68"/>
    <w:bookmarkEnd w:id="67"/>
    <w:p>
      <w:pPr>
        <w:jc w:val="center"/>
        <w:ind w:right="19"/>
        <w:spacing w:after="0"/>
        <w:rPr>
          <w:sz w:val="20"/>
          <w:szCs w:val="20"/>
          <w:color w:val="auto"/>
        </w:rPr>
      </w:pPr>
      <w:r>
        <w:rPr>
          <w:rFonts w:ascii="Arial" w:cs="Arial" w:eastAsia="Arial" w:hAnsi="Arial"/>
          <w:sz w:val="18"/>
          <w:szCs w:val="18"/>
          <w:b w:val="1"/>
          <w:bCs w:val="1"/>
          <w:color w:val="auto"/>
        </w:rPr>
        <w:t>DIVIDEND POLICY</w:t>
      </w:r>
    </w:p>
    <w:p>
      <w:pPr>
        <w:spacing w:after="0" w:line="16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have not paid any cash dividends on our ordinary shares to date and do not intend to pay cash dividends prior to the completion of our initial business combination. The payment of cash dividends in the future will be dependent upon our revenues and earnings, if any, capital requirements and general financial condition subsequent to completion of our initial business combination. The payment of any cash dividends subsequent to our initial business combination will be within the discretion of our board of directors at such time. If we increase the size of this offering, we will effect a share capitalization or other appropriate mechanism immediately prior to the consummation of this offering in such amount as to maintain the number of founder shares, on an as-converted basis, at 20% of our issued and outstanding ordinary shares upon the consummation of this offering. Further, if we incur any indebtedness in connection with a business combination, our ability to declare dividends may be limited by restrictive covenants we may agree to in connection therewith.</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68" w:name="page69"/>
    <w:bookmarkEnd w:id="68"/>
    <w:p>
      <w:pPr>
        <w:jc w:val="center"/>
        <w:spacing w:after="0"/>
        <w:rPr>
          <w:sz w:val="20"/>
          <w:szCs w:val="20"/>
          <w:color w:val="auto"/>
        </w:rPr>
      </w:pPr>
      <w:r>
        <w:rPr>
          <w:rFonts w:ascii="Arial" w:cs="Arial" w:eastAsia="Arial" w:hAnsi="Arial"/>
          <w:sz w:val="18"/>
          <w:szCs w:val="18"/>
          <w:b w:val="1"/>
          <w:bCs w:val="1"/>
          <w:color w:val="auto"/>
        </w:rPr>
        <w:t>DILUTION</w:t>
      </w:r>
    </w:p>
    <w:p>
      <w:pPr>
        <w:spacing w:after="0" w:line="162" w:lineRule="exact"/>
        <w:rPr>
          <w:sz w:val="20"/>
          <w:szCs w:val="20"/>
          <w:color w:val="auto"/>
        </w:rPr>
      </w:pPr>
    </w:p>
    <w:p>
      <w:pPr>
        <w:ind w:left="460" w:right="619" w:firstLine="432"/>
        <w:spacing w:after="0" w:line="270" w:lineRule="auto"/>
        <w:rPr>
          <w:sz w:val="20"/>
          <w:szCs w:val="20"/>
          <w:color w:val="auto"/>
        </w:rPr>
      </w:pPr>
      <w:r>
        <w:rPr>
          <w:rFonts w:ascii="Arial" w:cs="Arial" w:eastAsia="Arial" w:hAnsi="Arial"/>
          <w:sz w:val="17"/>
          <w:szCs w:val="17"/>
          <w:color w:val="auto"/>
        </w:rPr>
        <w:t>The difference between the public offering price per Class A ordinary share, assuming no value is attributed to the warrants included in the units we are offering pursuant to this prospectus or the private placement warrants, and the pro forma net tangible book value per Class A ordinary share after this offering constitutes the dilution to investors in this offering. Such calculation does not reflect any dilution associated with the sale and exercise of warrants, including the private placement warrants, which would cause the actual dilution to the public shareholders to be higher, particularly where a cashless exercise is utilized. Net tangible book value per share is determined by dividing our net tangible book value, which is our total tangible assets less total liabilities (including the value of Class A ordinary shares which may be redeemed for cash), by the number of outstanding Class A ordinary shares.</w:t>
      </w:r>
    </w:p>
    <w:p>
      <w:pPr>
        <w:spacing w:after="0" w:line="100"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At December 31, 2019, our net tangible book deficit was $(87,699), or approximately $(0.01) per ordinary share. After giving effect to the sale of 30,000,000 Class A ordinary shares included in the units we are offering by this prospectus (or 34,500,000 Class A ordinary shares if the underwriter’s over-allotment option is exercised in full), the sale of the private placement warrants and the deduction of underwriting commissions and estimated expenses of this offering, our pro forma net tangible book value at December 31, 2019 would have been $5,000,001 or $0.57 per share (or $5,000,001 or $0.49 per share if the underwriter’s over-allotment option is exercised in full), representing an immediate increase in net tangible book value (as decreased by the value of 28,701,596 Class A ordinary shares that may be redeemed for cash, or 32,954,096 Class A ordinary shares if the underwriter’s over-allotment option is exercised in full) of $0.58 per share (or $0.50 per share if the underwriter’s over-allotment option is exercised in full) to our sponsor as of the date of this prospectus and an immediate dilution to public shareholders from this offering of $10.00 per share. Total dilution to public shareholders from this offering will be $9.43 per share (or $9.51 if the underwriter’s over-allotment option is exercised in full).</w:t>
      </w:r>
    </w:p>
    <w:p>
      <w:pPr>
        <w:spacing w:after="0" w:line="119" w:lineRule="exact"/>
        <w:rPr>
          <w:sz w:val="20"/>
          <w:szCs w:val="20"/>
          <w:color w:val="auto"/>
        </w:rPr>
      </w:pPr>
    </w:p>
    <w:p>
      <w:pPr>
        <w:ind w:left="460" w:right="739" w:firstLine="432"/>
        <w:spacing w:after="0" w:line="308" w:lineRule="auto"/>
        <w:rPr>
          <w:sz w:val="20"/>
          <w:szCs w:val="20"/>
          <w:color w:val="auto"/>
        </w:rPr>
      </w:pPr>
      <w:r>
        <w:rPr>
          <w:rFonts w:ascii="Arial" w:cs="Arial" w:eastAsia="Arial" w:hAnsi="Arial"/>
          <w:sz w:val="17"/>
          <w:szCs w:val="17"/>
          <w:color w:val="auto"/>
        </w:rPr>
        <w:t>The following table illustrates the dilution to the public shareholders on a per-share basis, assuming no value is attributed to the warrants included in the units or the private placement warrants:</w:t>
      </w:r>
    </w:p>
    <w:p>
      <w:pPr>
        <w:spacing w:after="0" w:line="106"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3940" w:type="dxa"/>
            <w:vAlign w:val="bottom"/>
          </w:tcPr>
          <w:p>
            <w:pPr>
              <w:spacing w:after="0"/>
              <w:rPr>
                <w:sz w:val="17"/>
                <w:szCs w:val="17"/>
                <w:color w:val="auto"/>
              </w:rPr>
            </w:pPr>
          </w:p>
        </w:tc>
        <w:tc>
          <w:tcPr>
            <w:tcW w:w="1320" w:type="dxa"/>
            <w:vAlign w:val="bottom"/>
            <w:gridSpan w:val="3"/>
          </w:tcPr>
          <w:p>
            <w:pPr>
              <w:jc w:val="center"/>
              <w:ind w:left="533"/>
              <w:spacing w:after="0"/>
              <w:rPr>
                <w:sz w:val="20"/>
                <w:szCs w:val="20"/>
                <w:color w:val="auto"/>
              </w:rPr>
            </w:pPr>
            <w:r>
              <w:rPr>
                <w:rFonts w:ascii="Arial" w:cs="Arial" w:eastAsia="Arial" w:hAnsi="Arial"/>
                <w:sz w:val="16"/>
                <w:szCs w:val="16"/>
                <w:b w:val="1"/>
                <w:bCs w:val="1"/>
                <w:color w:val="auto"/>
                <w:w w:val="97"/>
              </w:rPr>
              <w:t>Without</w:t>
            </w:r>
          </w:p>
        </w:tc>
        <w:tc>
          <w:tcPr>
            <w:tcW w:w="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560" w:type="dxa"/>
            <w:vAlign w:val="bottom"/>
            <w:gridSpan w:val="2"/>
          </w:tcPr>
          <w:p>
            <w:pPr>
              <w:jc w:val="right"/>
              <w:ind w:right="160"/>
              <w:spacing w:after="0"/>
              <w:rPr>
                <w:sz w:val="20"/>
                <w:szCs w:val="20"/>
                <w:color w:val="auto"/>
              </w:rPr>
            </w:pPr>
            <w:r>
              <w:rPr>
                <w:rFonts w:ascii="Arial" w:cs="Arial" w:eastAsia="Arial" w:hAnsi="Arial"/>
                <w:sz w:val="16"/>
                <w:szCs w:val="16"/>
                <w:b w:val="1"/>
                <w:bCs w:val="1"/>
                <w:color w:val="auto"/>
              </w:rPr>
              <w:t>With</w:t>
            </w: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3940" w:type="dxa"/>
            <w:vAlign w:val="bottom"/>
          </w:tcPr>
          <w:p>
            <w:pPr>
              <w:spacing w:after="0"/>
              <w:rPr>
                <w:sz w:val="18"/>
                <w:szCs w:val="18"/>
                <w:color w:val="auto"/>
              </w:rPr>
            </w:pPr>
          </w:p>
        </w:tc>
        <w:tc>
          <w:tcPr>
            <w:tcW w:w="2060" w:type="dxa"/>
            <w:vAlign w:val="bottom"/>
            <w:gridSpan w:val="6"/>
          </w:tcPr>
          <w:p>
            <w:pPr>
              <w:jc w:val="center"/>
              <w:ind w:right="80"/>
              <w:spacing w:after="0"/>
              <w:rPr>
                <w:sz w:val="20"/>
                <w:szCs w:val="20"/>
                <w:color w:val="auto"/>
              </w:rPr>
            </w:pPr>
            <w:r>
              <w:rPr>
                <w:rFonts w:ascii="Arial" w:cs="Arial" w:eastAsia="Arial" w:hAnsi="Arial"/>
                <w:sz w:val="16"/>
                <w:szCs w:val="16"/>
                <w:b w:val="1"/>
                <w:bCs w:val="1"/>
                <w:color w:val="auto"/>
                <w:w w:val="93"/>
              </w:rPr>
              <w:t>Over-allotment</w:t>
            </w:r>
          </w:p>
        </w:tc>
        <w:tc>
          <w:tcPr>
            <w:tcW w:w="2100" w:type="dxa"/>
            <w:vAlign w:val="bottom"/>
            <w:gridSpan w:val="5"/>
          </w:tcPr>
          <w:p>
            <w:pPr>
              <w:jc w:val="right"/>
              <w:ind w:right="520"/>
              <w:spacing w:after="0"/>
              <w:rPr>
                <w:sz w:val="20"/>
                <w:szCs w:val="20"/>
                <w:color w:val="auto"/>
              </w:rPr>
            </w:pPr>
            <w:r>
              <w:rPr>
                <w:rFonts w:ascii="Arial" w:cs="Arial" w:eastAsia="Arial" w:hAnsi="Arial"/>
                <w:sz w:val="16"/>
                <w:szCs w:val="16"/>
                <w:b w:val="1"/>
                <w:bCs w:val="1"/>
                <w:color w:val="auto"/>
              </w:rPr>
              <w:t>Over-allotment</w:t>
            </w:r>
          </w:p>
        </w:tc>
        <w:tc>
          <w:tcPr>
            <w:tcW w:w="0" w:type="dxa"/>
            <w:vAlign w:val="bottom"/>
          </w:tcPr>
          <w:p>
            <w:pPr>
              <w:spacing w:after="0"/>
              <w:rPr>
                <w:sz w:val="1"/>
                <w:szCs w:val="1"/>
                <w:color w:val="auto"/>
              </w:rPr>
            </w:pPr>
          </w:p>
        </w:tc>
      </w:tr>
      <w:tr>
        <w:trPr>
          <w:trHeight w:val="47"/>
        </w:trPr>
        <w:tc>
          <w:tcPr>
            <w:tcW w:w="394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0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5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Public offering price</w:t>
            </w:r>
          </w:p>
        </w:tc>
        <w:tc>
          <w:tcPr>
            <w:tcW w:w="132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100" w:type="dxa"/>
            <w:vAlign w:val="bottom"/>
            <w:tcBorders>
              <w:bottom w:val="single" w:sz="8" w:color="CCEEFF"/>
            </w:tcBorders>
            <w:shd w:val="clear" w:color="auto" w:fill="CCEEFF"/>
          </w:tcPr>
          <w:p>
            <w:pPr>
              <w:spacing w:after="0"/>
              <w:rPr>
                <w:sz w:val="22"/>
                <w:szCs w:val="22"/>
                <w:color w:val="auto"/>
              </w:rPr>
            </w:pPr>
          </w:p>
        </w:tc>
        <w:tc>
          <w:tcPr>
            <w:tcW w:w="1360" w:type="dxa"/>
            <w:vAlign w:val="bottom"/>
            <w:tcBorders>
              <w:bottom w:val="single" w:sz="8" w:color="CCEEFF"/>
            </w:tcBorders>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43"/>
        </w:trPr>
        <w:tc>
          <w:tcPr>
            <w:tcW w:w="394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(0.01)</w:t>
            </w:r>
          </w:p>
        </w:tc>
        <w:tc>
          <w:tcPr>
            <w:tcW w:w="30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ind w:right="79"/>
              <w:spacing w:after="0"/>
              <w:rPr>
                <w:sz w:val="20"/>
                <w:szCs w:val="20"/>
                <w:color w:val="auto"/>
              </w:rPr>
            </w:pPr>
            <w:r>
              <w:rPr>
                <w:rFonts w:ascii="Arial" w:cs="Arial" w:eastAsia="Arial" w:hAnsi="Arial"/>
                <w:sz w:val="18"/>
                <w:szCs w:val="18"/>
                <w:color w:val="auto"/>
              </w:rPr>
              <w:t>(0.01)</w:t>
            </w: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
        </w:trPr>
        <w:tc>
          <w:tcPr>
            <w:tcW w:w="394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00" w:type="dxa"/>
            <w:vAlign w:val="bottom"/>
          </w:tcPr>
          <w:p>
            <w:pPr>
              <w:spacing w:after="0"/>
              <w:rPr>
                <w:sz w:val="3"/>
                <w:szCs w:val="3"/>
                <w:color w:val="auto"/>
              </w:rPr>
            </w:pPr>
          </w:p>
        </w:tc>
        <w:tc>
          <w:tcPr>
            <w:tcW w:w="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22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83"/>
        </w:trPr>
        <w:tc>
          <w:tcPr>
            <w:tcW w:w="3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attributable to public shareholders</w:t>
            </w:r>
          </w:p>
        </w:tc>
        <w:tc>
          <w:tcPr>
            <w:tcW w:w="10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0.58</w:t>
            </w:r>
          </w:p>
        </w:tc>
        <w:tc>
          <w:tcPr>
            <w:tcW w:w="300" w:type="dxa"/>
            <w:vAlign w:val="bottom"/>
            <w:tcBorders>
              <w:bottom w:val="single" w:sz="8" w:color="CCEEFF"/>
            </w:tcBorders>
            <w:shd w:val="clear" w:color="auto" w:fill="CCEEFF"/>
          </w:tcPr>
          <w:p>
            <w:pPr>
              <w:spacing w:after="0"/>
              <w:rPr>
                <w:sz w:val="24"/>
                <w:szCs w:val="24"/>
                <w:color w:val="auto"/>
              </w:rPr>
            </w:pPr>
          </w:p>
        </w:tc>
        <w:tc>
          <w:tcPr>
            <w:tcW w:w="4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20" w:type="dxa"/>
            <w:vAlign w:val="bottom"/>
            <w:tcBorders>
              <w:bottom w:val="single" w:sz="8" w:color="CCEEFF"/>
            </w:tcBorders>
            <w:gridSpan w:val="2"/>
            <w:shd w:val="clear" w:color="auto" w:fill="CCEEFF"/>
          </w:tcPr>
          <w:p>
            <w:pPr>
              <w:jc w:val="right"/>
              <w:ind w:right="139"/>
              <w:spacing w:after="0"/>
              <w:rPr>
                <w:sz w:val="20"/>
                <w:szCs w:val="20"/>
                <w:color w:val="auto"/>
              </w:rPr>
            </w:pPr>
            <w:r>
              <w:rPr>
                <w:rFonts w:ascii="Arial" w:cs="Arial" w:eastAsia="Arial" w:hAnsi="Arial"/>
                <w:sz w:val="18"/>
                <w:szCs w:val="18"/>
                <w:color w:val="auto"/>
              </w:rPr>
              <w:t>0.50</w:t>
            </w:r>
          </w:p>
        </w:tc>
        <w:tc>
          <w:tcPr>
            <w:tcW w:w="340" w:type="dxa"/>
            <w:vAlign w:val="bottom"/>
            <w:tcBorders>
              <w:bottom w:val="single" w:sz="8" w:color="CCEEFF"/>
            </w:tcBorders>
            <w:shd w:val="clear" w:color="auto" w:fill="CCEEFF"/>
          </w:tcPr>
          <w:p>
            <w:pPr>
              <w:spacing w:after="0"/>
              <w:rPr>
                <w:sz w:val="24"/>
                <w:szCs w:val="24"/>
                <w:color w:val="auto"/>
              </w:rPr>
            </w:pPr>
          </w:p>
        </w:tc>
        <w:tc>
          <w:tcPr>
            <w:tcW w:w="58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182"/>
        </w:trPr>
        <w:tc>
          <w:tcPr>
            <w:tcW w:w="3940" w:type="dxa"/>
            <w:vAlign w:val="bottom"/>
          </w:tcPr>
          <w:p>
            <w:pPr>
              <w:spacing w:after="0" w:line="182" w:lineRule="exact"/>
              <w:rPr>
                <w:sz w:val="20"/>
                <w:szCs w:val="20"/>
                <w:color w:val="auto"/>
              </w:rPr>
            </w:pPr>
            <w:r>
              <w:rPr>
                <w:rFonts w:ascii="Arial" w:cs="Arial" w:eastAsia="Arial" w:hAnsi="Arial"/>
                <w:sz w:val="18"/>
                <w:szCs w:val="18"/>
                <w:color w:val="auto"/>
                <w:w w:val="96"/>
              </w:rPr>
              <w:t>Pro forma net tangible book value after this offering</w:t>
            </w: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4"/>
        </w:trPr>
        <w:tc>
          <w:tcPr>
            <w:tcW w:w="3940" w:type="dxa"/>
            <w:vAlign w:val="bottom"/>
          </w:tcPr>
          <w:p>
            <w:pPr>
              <w:ind w:left="180"/>
              <w:spacing w:after="0"/>
              <w:rPr>
                <w:sz w:val="20"/>
                <w:szCs w:val="20"/>
                <w:color w:val="auto"/>
              </w:rPr>
            </w:pPr>
            <w:r>
              <w:rPr>
                <w:rFonts w:ascii="Arial" w:cs="Arial" w:eastAsia="Arial" w:hAnsi="Arial"/>
                <w:sz w:val="18"/>
                <w:szCs w:val="18"/>
                <w:color w:val="auto"/>
              </w:rPr>
              <w:t>and the sale of the private placement warrants</w:t>
            </w:r>
          </w:p>
        </w:tc>
        <w:tc>
          <w:tcPr>
            <w:tcW w:w="1320" w:type="dxa"/>
            <w:vAlign w:val="bottom"/>
            <w:gridSpan w:val="3"/>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8"/>
                <w:szCs w:val="18"/>
                <w:color w:val="auto"/>
              </w:rPr>
              <w:t>0.57</w:t>
            </w:r>
          </w:p>
        </w:tc>
        <w:tc>
          <w:tcPr>
            <w:tcW w:w="100" w:type="dxa"/>
            <w:vAlign w:val="bottom"/>
          </w:tcPr>
          <w:p>
            <w:pPr>
              <w:spacing w:after="0"/>
              <w:rPr>
                <w:sz w:val="21"/>
                <w:szCs w:val="21"/>
                <w:color w:val="auto"/>
              </w:rPr>
            </w:pPr>
          </w:p>
        </w:tc>
        <w:tc>
          <w:tcPr>
            <w:tcW w:w="13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0.49</w:t>
            </w:r>
          </w:p>
        </w:tc>
        <w:tc>
          <w:tcPr>
            <w:tcW w:w="0" w:type="dxa"/>
            <w:vAlign w:val="bottom"/>
          </w:tcPr>
          <w:p>
            <w:pPr>
              <w:spacing w:after="0"/>
              <w:rPr>
                <w:sz w:val="1"/>
                <w:szCs w:val="1"/>
                <w:color w:val="auto"/>
              </w:rPr>
            </w:pPr>
          </w:p>
        </w:tc>
      </w:tr>
      <w:tr>
        <w:trPr>
          <w:trHeight w:val="27"/>
        </w:trPr>
        <w:tc>
          <w:tcPr>
            <w:tcW w:w="39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Dilution to public shareholders</w:t>
            </w:r>
          </w:p>
        </w:tc>
        <w:tc>
          <w:tcPr>
            <w:tcW w:w="1020" w:type="dxa"/>
            <w:vAlign w:val="bottom"/>
            <w:gridSpan w:val="2"/>
            <w:shd w:val="clear" w:color="auto" w:fill="CCEEFF"/>
          </w:tcPr>
          <w:p>
            <w:pPr>
              <w:spacing w:after="0"/>
              <w:rPr>
                <w:sz w:val="21"/>
                <w:szCs w:val="21"/>
                <w:color w:val="auto"/>
              </w:rPr>
            </w:pPr>
          </w:p>
        </w:tc>
        <w:tc>
          <w:tcPr>
            <w:tcW w:w="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9.43</w:t>
            </w:r>
          </w:p>
        </w:tc>
        <w:tc>
          <w:tcPr>
            <w:tcW w:w="100" w:type="dxa"/>
            <w:vAlign w:val="bottom"/>
            <w:shd w:val="clear" w:color="auto" w:fill="CCEEFF"/>
          </w:tcPr>
          <w:p>
            <w:pPr>
              <w:spacing w:after="0"/>
              <w:rPr>
                <w:sz w:val="21"/>
                <w:szCs w:val="21"/>
                <w:color w:val="auto"/>
              </w:rPr>
            </w:pPr>
          </w:p>
        </w:tc>
        <w:tc>
          <w:tcPr>
            <w:tcW w:w="136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7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r>
        <w:trPr>
          <w:trHeight w:val="20"/>
        </w:trPr>
        <w:tc>
          <w:tcPr>
            <w:tcW w:w="394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Percentage of dilution to public shareholders</w:t>
            </w: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940" w:type="dxa"/>
            <w:vAlign w:val="bottom"/>
            <w:vMerge w:val="continue"/>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gridSpan w:val="2"/>
          </w:tcPr>
          <w:p>
            <w:pPr>
              <w:jc w:val="right"/>
              <w:spacing w:after="0"/>
              <w:rPr>
                <w:sz w:val="20"/>
                <w:szCs w:val="20"/>
                <w:color w:val="auto"/>
              </w:rPr>
            </w:pPr>
            <w:r>
              <w:rPr>
                <w:rFonts w:ascii="Arial" w:cs="Arial" w:eastAsia="Arial" w:hAnsi="Arial"/>
                <w:sz w:val="18"/>
                <w:szCs w:val="18"/>
                <w:color w:val="auto"/>
              </w:rPr>
              <w:t>94.3%</w:t>
            </w:r>
          </w:p>
        </w:tc>
        <w:tc>
          <w:tcPr>
            <w:tcW w:w="1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Arial" w:cs="Arial" w:eastAsia="Arial" w:hAnsi="Arial"/>
                <w:sz w:val="18"/>
                <w:szCs w:val="18"/>
                <w:color w:val="auto"/>
              </w:rPr>
              <w:t>95.1%</w:t>
            </w:r>
          </w:p>
        </w:tc>
        <w:tc>
          <w:tcPr>
            <w:tcW w:w="0" w:type="dxa"/>
            <w:vAlign w:val="bottom"/>
          </w:tcPr>
          <w:p>
            <w:pPr>
              <w:spacing w:after="0"/>
              <w:rPr>
                <w:sz w:val="1"/>
                <w:szCs w:val="1"/>
                <w:color w:val="auto"/>
              </w:rPr>
            </w:pPr>
          </w:p>
        </w:tc>
      </w:tr>
    </w:tbl>
    <w:p>
      <w:pPr>
        <w:spacing w:after="0" w:line="160"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For purposes of presentation, we have reduced our pro forma net tangible book value after this offering (assuming no exercise of the underwriter’s over-allotment option) by $287,015,960 because holders of up to approximately 95.7% of our public shares may redeem their shares for a pro rata share of the aggregate amount then on deposit in the trust account at a per share redemption price equal to the amount in the trust account as set forth in our tender offer or proxy materials (initially anticipated to be the aggregate amount held in trust two days prior to the commencement of our tender offer or shareholders meeting, including interest earned on the funds held in the trust account and not previously released to us to pay our income taxes, if any, divided by the number of the then-outstanding public shares.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7"/>
          <w:szCs w:val="17"/>
          <w:color w:val="auto"/>
        </w:rPr>
        <w:t>The following table sets forth information with respect to our sponsor and the public shareholders:</w:t>
      </w:r>
    </w:p>
    <w:p>
      <w:pPr>
        <w:spacing w:after="0" w:line="197"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2700" w:type="dxa"/>
            <w:vAlign w:val="bottom"/>
          </w:tcPr>
          <w:p>
            <w:pPr>
              <w:spacing w:after="0"/>
              <w:rPr>
                <w:sz w:val="17"/>
                <w:szCs w:val="17"/>
                <w:color w:val="auto"/>
              </w:rPr>
            </w:pPr>
          </w:p>
        </w:tc>
        <w:tc>
          <w:tcPr>
            <w:tcW w:w="2060" w:type="dxa"/>
            <w:vAlign w:val="bottom"/>
            <w:gridSpan w:val="5"/>
            <w:vMerge w:val="restart"/>
          </w:tcPr>
          <w:p>
            <w:pPr>
              <w:ind w:left="360"/>
              <w:spacing w:after="0"/>
              <w:rPr>
                <w:sz w:val="20"/>
                <w:szCs w:val="20"/>
                <w:color w:val="auto"/>
              </w:rPr>
            </w:pPr>
            <w:r>
              <w:rPr>
                <w:rFonts w:ascii="Arial" w:cs="Arial" w:eastAsia="Arial" w:hAnsi="Arial"/>
                <w:sz w:val="16"/>
                <w:szCs w:val="16"/>
                <w:b w:val="1"/>
                <w:bCs w:val="1"/>
                <w:color w:val="auto"/>
              </w:rPr>
              <w:t>Shares Purchased</w:t>
            </w:r>
          </w:p>
        </w:tc>
        <w:tc>
          <w:tcPr>
            <w:tcW w:w="180" w:type="dxa"/>
            <w:vAlign w:val="bottom"/>
          </w:tcPr>
          <w:p>
            <w:pPr>
              <w:spacing w:after="0"/>
              <w:rPr>
                <w:sz w:val="17"/>
                <w:szCs w:val="17"/>
                <w:color w:val="auto"/>
              </w:rPr>
            </w:pPr>
          </w:p>
        </w:tc>
        <w:tc>
          <w:tcPr>
            <w:tcW w:w="2000" w:type="dxa"/>
            <w:vAlign w:val="bottom"/>
            <w:gridSpan w:val="4"/>
            <w:vMerge w:val="restart"/>
          </w:tcPr>
          <w:p>
            <w:pPr>
              <w:jc w:val="right"/>
              <w:ind w:right="310"/>
              <w:spacing w:after="0"/>
              <w:rPr>
                <w:sz w:val="20"/>
                <w:szCs w:val="20"/>
                <w:color w:val="auto"/>
              </w:rPr>
            </w:pPr>
            <w:r>
              <w:rPr>
                <w:rFonts w:ascii="Arial" w:cs="Arial" w:eastAsia="Arial" w:hAnsi="Arial"/>
                <w:sz w:val="16"/>
                <w:szCs w:val="16"/>
                <w:b w:val="1"/>
                <w:bCs w:val="1"/>
                <w:color w:val="auto"/>
              </w:rPr>
              <w:t>Total Consideration</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center"/>
              <w:ind w:right="155"/>
              <w:spacing w:after="0"/>
              <w:rPr>
                <w:sz w:val="20"/>
                <w:szCs w:val="20"/>
                <w:color w:val="auto"/>
              </w:rPr>
            </w:pPr>
            <w:r>
              <w:rPr>
                <w:rFonts w:ascii="Arial" w:cs="Arial" w:eastAsia="Arial" w:hAnsi="Arial"/>
                <w:sz w:val="16"/>
                <w:szCs w:val="16"/>
                <w:b w:val="1"/>
                <w:bCs w:val="1"/>
                <w:color w:val="auto"/>
                <w:w w:val="88"/>
              </w:rPr>
              <w:t>Average</w:t>
            </w:r>
          </w:p>
        </w:tc>
        <w:tc>
          <w:tcPr>
            <w:tcW w:w="0" w:type="dxa"/>
            <w:vAlign w:val="bottom"/>
          </w:tcPr>
          <w:p>
            <w:pPr>
              <w:spacing w:after="0"/>
              <w:rPr>
                <w:sz w:val="1"/>
                <w:szCs w:val="1"/>
                <w:color w:val="auto"/>
              </w:rPr>
            </w:pPr>
          </w:p>
        </w:tc>
      </w:tr>
      <w:tr>
        <w:trPr>
          <w:trHeight w:val="75"/>
        </w:trPr>
        <w:tc>
          <w:tcPr>
            <w:tcW w:w="2700" w:type="dxa"/>
            <w:vAlign w:val="bottom"/>
          </w:tcPr>
          <w:p>
            <w:pPr>
              <w:spacing w:after="0"/>
              <w:rPr>
                <w:sz w:val="6"/>
                <w:szCs w:val="6"/>
                <w:color w:val="auto"/>
              </w:rPr>
            </w:pPr>
          </w:p>
        </w:tc>
        <w:tc>
          <w:tcPr>
            <w:tcW w:w="2060" w:type="dxa"/>
            <w:vAlign w:val="bottom"/>
            <w:gridSpan w:val="5"/>
            <w:vMerge w:val="continue"/>
          </w:tcPr>
          <w:p>
            <w:pPr>
              <w:spacing w:after="0"/>
              <w:rPr>
                <w:sz w:val="6"/>
                <w:szCs w:val="6"/>
                <w:color w:val="auto"/>
              </w:rPr>
            </w:pPr>
          </w:p>
        </w:tc>
        <w:tc>
          <w:tcPr>
            <w:tcW w:w="180" w:type="dxa"/>
            <w:vAlign w:val="bottom"/>
          </w:tcPr>
          <w:p>
            <w:pPr>
              <w:spacing w:after="0"/>
              <w:rPr>
                <w:sz w:val="6"/>
                <w:szCs w:val="6"/>
                <w:color w:val="auto"/>
              </w:rPr>
            </w:pPr>
          </w:p>
        </w:tc>
        <w:tc>
          <w:tcPr>
            <w:tcW w:w="2000" w:type="dxa"/>
            <w:vAlign w:val="bottom"/>
            <w:gridSpan w:val="4"/>
            <w:vMerge w:val="continue"/>
          </w:tcPr>
          <w:p>
            <w:pPr>
              <w:spacing w:after="0"/>
              <w:rPr>
                <w:sz w:val="6"/>
                <w:szCs w:val="6"/>
                <w:color w:val="auto"/>
              </w:rPr>
            </w:pPr>
          </w:p>
        </w:tc>
        <w:tc>
          <w:tcPr>
            <w:tcW w:w="100" w:type="dxa"/>
            <w:vAlign w:val="bottom"/>
          </w:tcPr>
          <w:p>
            <w:pPr>
              <w:spacing w:after="0"/>
              <w:rPr>
                <w:sz w:val="6"/>
                <w:szCs w:val="6"/>
                <w:color w:val="auto"/>
              </w:rPr>
            </w:pPr>
          </w:p>
        </w:tc>
        <w:tc>
          <w:tcPr>
            <w:tcW w:w="180" w:type="dxa"/>
            <w:vAlign w:val="bottom"/>
          </w:tcPr>
          <w:p>
            <w:pPr>
              <w:spacing w:after="0"/>
              <w:rPr>
                <w:sz w:val="6"/>
                <w:szCs w:val="6"/>
                <w:color w:val="auto"/>
              </w:rPr>
            </w:pPr>
          </w:p>
        </w:tc>
        <w:tc>
          <w:tcPr>
            <w:tcW w:w="880" w:type="dxa"/>
            <w:vAlign w:val="bottom"/>
            <w:vMerge w:val="restart"/>
          </w:tcPr>
          <w:p>
            <w:pPr>
              <w:jc w:val="center"/>
              <w:ind w:right="95"/>
              <w:spacing w:after="0"/>
              <w:rPr>
                <w:sz w:val="20"/>
                <w:szCs w:val="20"/>
                <w:color w:val="auto"/>
              </w:rPr>
            </w:pPr>
            <w:r>
              <w:rPr>
                <w:rFonts w:ascii="Arial" w:cs="Arial" w:eastAsia="Arial" w:hAnsi="Arial"/>
                <w:sz w:val="16"/>
                <w:szCs w:val="16"/>
                <w:b w:val="1"/>
                <w:bCs w:val="1"/>
                <w:color w:val="auto"/>
                <w:w w:val="90"/>
              </w:rPr>
              <w:t>Price per</w:t>
            </w:r>
          </w:p>
        </w:tc>
        <w:tc>
          <w:tcPr>
            <w:tcW w:w="0" w:type="dxa"/>
            <w:vAlign w:val="bottom"/>
          </w:tcPr>
          <w:p>
            <w:pPr>
              <w:spacing w:after="0"/>
              <w:rPr>
                <w:sz w:val="1"/>
                <w:szCs w:val="1"/>
                <w:color w:val="auto"/>
              </w:rPr>
            </w:pPr>
          </w:p>
        </w:tc>
      </w:tr>
      <w:tr>
        <w:trPr>
          <w:trHeight w:val="47"/>
        </w:trPr>
        <w:tc>
          <w:tcPr>
            <w:tcW w:w="2700" w:type="dxa"/>
            <w:vAlign w:val="bottom"/>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180" w:type="dxa"/>
            <w:vAlign w:val="bottom"/>
          </w:tcPr>
          <w:p>
            <w:pPr>
              <w:spacing w:after="0"/>
              <w:rPr>
                <w:sz w:val="4"/>
                <w:szCs w:val="4"/>
                <w:color w:val="auto"/>
              </w:rPr>
            </w:pPr>
          </w:p>
        </w:tc>
        <w:tc>
          <w:tcPr>
            <w:tcW w:w="8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700" w:type="dxa"/>
            <w:vAlign w:val="bottom"/>
          </w:tcPr>
          <w:p>
            <w:pPr>
              <w:spacing w:after="0"/>
              <w:rPr>
                <w:sz w:val="5"/>
                <w:szCs w:val="5"/>
                <w:color w:val="auto"/>
              </w:rPr>
            </w:pPr>
          </w:p>
        </w:tc>
        <w:tc>
          <w:tcPr>
            <w:tcW w:w="920" w:type="dxa"/>
            <w:vAlign w:val="bottom"/>
          </w:tcPr>
          <w:p>
            <w:pPr>
              <w:spacing w:after="0"/>
              <w:rPr>
                <w:sz w:val="5"/>
                <w:szCs w:val="5"/>
                <w:color w:val="auto"/>
              </w:rPr>
            </w:pPr>
          </w:p>
        </w:tc>
        <w:tc>
          <w:tcPr>
            <w:tcW w:w="1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9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Pr>
          <w:p>
            <w:pPr>
              <w:spacing w:after="0"/>
              <w:rPr>
                <w:sz w:val="5"/>
                <w:szCs w:val="5"/>
                <w:color w:val="auto"/>
              </w:rPr>
            </w:pPr>
          </w:p>
        </w:tc>
        <w:tc>
          <w:tcPr>
            <w:tcW w:w="88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700" w:type="dxa"/>
            <w:vAlign w:val="bottom"/>
          </w:tcPr>
          <w:p>
            <w:pPr>
              <w:spacing w:after="0"/>
              <w:rPr>
                <w:sz w:val="18"/>
                <w:szCs w:val="18"/>
                <w:color w:val="auto"/>
              </w:rPr>
            </w:pPr>
          </w:p>
        </w:tc>
        <w:tc>
          <w:tcPr>
            <w:tcW w:w="1020" w:type="dxa"/>
            <w:vAlign w:val="bottom"/>
            <w:gridSpan w:val="2"/>
          </w:tcPr>
          <w:p>
            <w:pPr>
              <w:jc w:val="right"/>
              <w:ind w:right="280"/>
              <w:spacing w:after="0"/>
              <w:rPr>
                <w:sz w:val="20"/>
                <w:szCs w:val="20"/>
                <w:color w:val="auto"/>
              </w:rPr>
            </w:pPr>
            <w:r>
              <w:rPr>
                <w:rFonts w:ascii="Arial" w:cs="Arial" w:eastAsia="Arial" w:hAnsi="Arial"/>
                <w:sz w:val="16"/>
                <w:szCs w:val="16"/>
                <w:b w:val="1"/>
                <w:bCs w:val="1"/>
                <w:color w:val="auto"/>
              </w:rPr>
              <w:t>Number</w:t>
            </w:r>
          </w:p>
        </w:tc>
        <w:tc>
          <w:tcPr>
            <w:tcW w:w="1040" w:type="dxa"/>
            <w:vAlign w:val="bottom"/>
            <w:gridSpan w:val="3"/>
          </w:tcPr>
          <w:p>
            <w:pPr>
              <w:ind w:left="100"/>
              <w:spacing w:after="0"/>
              <w:rPr>
                <w:sz w:val="20"/>
                <w:szCs w:val="20"/>
                <w:color w:val="auto"/>
              </w:rPr>
            </w:pPr>
            <w:r>
              <w:rPr>
                <w:rFonts w:ascii="Arial" w:cs="Arial" w:eastAsia="Arial" w:hAnsi="Arial"/>
                <w:sz w:val="16"/>
                <w:szCs w:val="16"/>
                <w:b w:val="1"/>
                <w:bCs w:val="1"/>
                <w:color w:val="auto"/>
              </w:rPr>
              <w:t>Percentage</w:t>
            </w:r>
          </w:p>
        </w:tc>
        <w:tc>
          <w:tcPr>
            <w:tcW w:w="180" w:type="dxa"/>
            <w:vAlign w:val="bottom"/>
          </w:tcPr>
          <w:p>
            <w:pPr>
              <w:spacing w:after="0"/>
              <w:rPr>
                <w:sz w:val="18"/>
                <w:szCs w:val="18"/>
                <w:color w:val="auto"/>
              </w:rPr>
            </w:pPr>
          </w:p>
        </w:tc>
        <w:tc>
          <w:tcPr>
            <w:tcW w:w="1040" w:type="dxa"/>
            <w:vAlign w:val="bottom"/>
            <w:gridSpan w:val="2"/>
          </w:tcPr>
          <w:p>
            <w:pPr>
              <w:ind w:left="100"/>
              <w:spacing w:after="0"/>
              <w:rPr>
                <w:sz w:val="20"/>
                <w:szCs w:val="20"/>
                <w:color w:val="auto"/>
              </w:rPr>
            </w:pPr>
            <w:r>
              <w:rPr>
                <w:rFonts w:ascii="Arial" w:cs="Arial" w:eastAsia="Arial" w:hAnsi="Arial"/>
                <w:sz w:val="16"/>
                <w:szCs w:val="16"/>
                <w:b w:val="1"/>
                <w:bCs w:val="1"/>
                <w:color w:val="auto"/>
              </w:rPr>
              <w:t>Amount</w:t>
            </w:r>
          </w:p>
        </w:tc>
        <w:tc>
          <w:tcPr>
            <w:tcW w:w="96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7"/>
              </w:rPr>
              <w:t>Percentage</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80" w:type="dxa"/>
            <w:vAlign w:val="bottom"/>
          </w:tcPr>
          <w:p>
            <w:pPr>
              <w:jc w:val="center"/>
              <w:ind w:right="115"/>
              <w:spacing w:after="0"/>
              <w:rPr>
                <w:sz w:val="20"/>
                <w:szCs w:val="20"/>
                <w:color w:val="auto"/>
              </w:rPr>
            </w:pPr>
            <w:r>
              <w:rPr>
                <w:rFonts w:ascii="Arial" w:cs="Arial" w:eastAsia="Arial" w:hAnsi="Arial"/>
                <w:sz w:val="16"/>
                <w:szCs w:val="16"/>
                <w:b w:val="1"/>
                <w:bCs w:val="1"/>
                <w:color w:val="auto"/>
                <w:w w:val="89"/>
              </w:rPr>
              <w:t>Share</w:t>
            </w:r>
          </w:p>
        </w:tc>
        <w:tc>
          <w:tcPr>
            <w:tcW w:w="0" w:type="dxa"/>
            <w:vAlign w:val="bottom"/>
          </w:tcPr>
          <w:p>
            <w:pPr>
              <w:spacing w:after="0"/>
              <w:rPr>
                <w:sz w:val="1"/>
                <w:szCs w:val="1"/>
                <w:color w:val="auto"/>
              </w:rPr>
            </w:pPr>
          </w:p>
        </w:tc>
      </w:tr>
      <w:tr>
        <w:trPr>
          <w:trHeight w:val="47"/>
        </w:trPr>
        <w:tc>
          <w:tcPr>
            <w:tcW w:w="2700" w:type="dxa"/>
            <w:vAlign w:val="bottom"/>
            <w:tcBorders>
              <w:bottom w:val="single" w:sz="8" w:color="CCEEFF"/>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8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88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2700" w:type="dxa"/>
            <w:vAlign w:val="bottom"/>
            <w:shd w:val="clear" w:color="auto" w:fill="CCEEFF"/>
          </w:tcPr>
          <w:p>
            <w:pPr>
              <w:spacing w:after="0"/>
              <w:rPr>
                <w:sz w:val="20"/>
                <w:szCs w:val="20"/>
                <w:color w:val="auto"/>
              </w:rPr>
            </w:pPr>
            <w:r>
              <w:rPr>
                <w:rFonts w:ascii="Arial" w:cs="Arial" w:eastAsia="Arial" w:hAnsi="Arial"/>
                <w:sz w:val="18"/>
                <w:szCs w:val="18"/>
                <w:color w:val="auto"/>
              </w:rPr>
              <w:t>Class B Ordinary Shares</w:t>
            </w:r>
            <w:r>
              <w:rPr>
                <w:rFonts w:ascii="Arial" w:cs="Arial" w:eastAsia="Arial" w:hAnsi="Arial"/>
                <w:sz w:val="20"/>
                <w:szCs w:val="20"/>
                <w:color w:val="auto"/>
                <w:vertAlign w:val="superscript"/>
              </w:rPr>
              <w:t>(1)</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100" w:type="dxa"/>
            <w:vAlign w:val="bottom"/>
            <w:shd w:val="clear" w:color="auto" w:fill="CCEEFF"/>
          </w:tcPr>
          <w:p>
            <w:pPr>
              <w:spacing w:after="0"/>
              <w:rPr>
                <w:sz w:val="22"/>
                <w:szCs w:val="22"/>
                <w:color w:val="auto"/>
              </w:rPr>
            </w:pP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25,000</w:t>
            </w:r>
          </w:p>
        </w:tc>
        <w:tc>
          <w:tcPr>
            <w:tcW w:w="8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0.003</w:t>
            </w:r>
          </w:p>
        </w:tc>
        <w:tc>
          <w:tcPr>
            <w:tcW w:w="0" w:type="dxa"/>
            <w:vAlign w:val="bottom"/>
          </w:tcPr>
          <w:p>
            <w:pPr>
              <w:spacing w:after="0"/>
              <w:rPr>
                <w:sz w:val="1"/>
                <w:szCs w:val="1"/>
                <w:color w:val="auto"/>
              </w:rPr>
            </w:pPr>
          </w:p>
        </w:tc>
      </w:tr>
      <w:tr>
        <w:trPr>
          <w:trHeight w:val="256"/>
        </w:trPr>
        <w:tc>
          <w:tcPr>
            <w:tcW w:w="2700" w:type="dxa"/>
            <w:vAlign w:val="bottom"/>
          </w:tcPr>
          <w:p>
            <w:pPr>
              <w:spacing w:after="0"/>
              <w:rPr>
                <w:sz w:val="20"/>
                <w:szCs w:val="20"/>
                <w:color w:val="auto"/>
              </w:rPr>
            </w:pPr>
            <w:r>
              <w:rPr>
                <w:rFonts w:ascii="Arial" w:cs="Arial" w:eastAsia="Arial" w:hAnsi="Arial"/>
                <w:sz w:val="18"/>
                <w:szCs w:val="18"/>
                <w:color w:val="auto"/>
              </w:rPr>
              <w:t>Public Shareholders</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30,000,000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80.0%</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w w:val="93"/>
              </w:rPr>
              <w:t>300,000,000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99.99%</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10.00</w:t>
            </w:r>
          </w:p>
        </w:tc>
        <w:tc>
          <w:tcPr>
            <w:tcW w:w="0" w:type="dxa"/>
            <w:vAlign w:val="bottom"/>
          </w:tcPr>
          <w:p>
            <w:pPr>
              <w:spacing w:after="0"/>
              <w:rPr>
                <w:sz w:val="1"/>
                <w:szCs w:val="1"/>
                <w:color w:val="auto"/>
              </w:rPr>
            </w:pPr>
          </w:p>
        </w:tc>
      </w:tr>
      <w:tr>
        <w:trPr>
          <w:trHeight w:val="27"/>
        </w:trPr>
        <w:tc>
          <w:tcPr>
            <w:tcW w:w="27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7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37,500,000</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3"/>
              </w:rPr>
              <w:t>300,025,000</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479" w:hanging="426"/>
        <w:spacing w:after="0" w:line="293" w:lineRule="auto"/>
        <w:tabs>
          <w:tab w:leader="none" w:pos="871" w:val="left"/>
        </w:tabs>
        <w:numPr>
          <w:ilvl w:val="0"/>
          <w:numId w:val="32"/>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 and the corresponding forfeiture of 1,125,000 Class B ordinary shares held by our sponsor.</w:t>
      </w:r>
    </w:p>
    <w:p>
      <w:pPr>
        <w:sectPr>
          <w:pgSz w:w="11900" w:h="16838" w:orient="portrait"/>
          <w:cols w:equalWidth="0" w:num="1">
            <w:col w:w="9019"/>
          </w:cols>
          <w:pgMar w:left="1440" w:top="337" w:right="1440" w:bottom="1440" w:gutter="0" w:footer="0" w:header="0"/>
        </w:sectPr>
      </w:pPr>
    </w:p>
    <w:p>
      <w:pPr>
        <w:spacing w:after="0" w:line="14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69" w:name="page70"/>
    <w:bookmarkEnd w:id="69"/>
    <w:p>
      <w:pPr>
        <w:ind w:left="460" w:right="499" w:firstLine="432"/>
        <w:spacing w:after="0" w:line="277" w:lineRule="auto"/>
        <w:rPr>
          <w:sz w:val="20"/>
          <w:szCs w:val="20"/>
          <w:color w:val="auto"/>
        </w:rPr>
      </w:pPr>
      <w:r>
        <w:rPr>
          <w:rFonts w:ascii="Arial" w:cs="Arial" w:eastAsia="Arial" w:hAnsi="Arial"/>
          <w:sz w:val="18"/>
          <w:szCs w:val="18"/>
          <w:color w:val="auto"/>
        </w:rPr>
        <w:t>The pro forma net tangible book value per share after the offering (assuming that the underwriter does not exercise its over-allotment option) is calculated as follows:</w:t>
      </w:r>
    </w:p>
    <w:p>
      <w:pPr>
        <w:spacing w:after="0" w:line="130"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55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0" w:type="dxa"/>
            <w:vAlign w:val="bottom"/>
            <w:gridSpan w:val="3"/>
          </w:tcPr>
          <w:p>
            <w:pPr>
              <w:jc w:val="center"/>
              <w:ind w:right="260"/>
              <w:spacing w:after="0"/>
              <w:rPr>
                <w:sz w:val="20"/>
                <w:szCs w:val="20"/>
                <w:color w:val="auto"/>
              </w:rPr>
            </w:pPr>
            <w:r>
              <w:rPr>
                <w:rFonts w:ascii="Arial" w:cs="Arial" w:eastAsia="Arial" w:hAnsi="Arial"/>
                <w:sz w:val="16"/>
                <w:szCs w:val="16"/>
                <w:b w:val="1"/>
                <w:bCs w:val="1"/>
                <w:color w:val="auto"/>
                <w:w w:val="97"/>
              </w:rPr>
              <w:t>Without</w:t>
            </w:r>
          </w:p>
        </w:tc>
        <w:tc>
          <w:tcPr>
            <w:tcW w:w="140" w:type="dxa"/>
            <w:vAlign w:val="bottom"/>
          </w:tcPr>
          <w:p>
            <w:pPr>
              <w:spacing w:after="0"/>
              <w:rPr>
                <w:sz w:val="17"/>
                <w:szCs w:val="17"/>
                <w:color w:val="auto"/>
              </w:rPr>
            </w:pPr>
          </w:p>
        </w:tc>
        <w:tc>
          <w:tcPr>
            <w:tcW w:w="110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With</w:t>
            </w:r>
          </w:p>
        </w:tc>
        <w:tc>
          <w:tcPr>
            <w:tcW w:w="0" w:type="dxa"/>
            <w:vAlign w:val="bottom"/>
          </w:tcPr>
          <w:p>
            <w:pPr>
              <w:spacing w:after="0"/>
              <w:rPr>
                <w:sz w:val="1"/>
                <w:szCs w:val="1"/>
                <w:color w:val="auto"/>
              </w:rPr>
            </w:pPr>
          </w:p>
        </w:tc>
      </w:tr>
      <w:tr>
        <w:trPr>
          <w:trHeight w:val="210"/>
        </w:trPr>
        <w:tc>
          <w:tcPr>
            <w:tcW w:w="5520" w:type="dxa"/>
            <w:vAlign w:val="bottom"/>
          </w:tcPr>
          <w:p>
            <w:pPr>
              <w:spacing w:after="0"/>
              <w:rPr>
                <w:sz w:val="18"/>
                <w:szCs w:val="18"/>
                <w:color w:val="auto"/>
              </w:rPr>
            </w:pPr>
          </w:p>
        </w:tc>
        <w:tc>
          <w:tcPr>
            <w:tcW w:w="1340" w:type="dxa"/>
            <w:vAlign w:val="bottom"/>
            <w:gridSpan w:val="4"/>
          </w:tcPr>
          <w:p>
            <w:pPr>
              <w:jc w:val="center"/>
              <w:ind w:right="120"/>
              <w:spacing w:after="0"/>
              <w:rPr>
                <w:sz w:val="20"/>
                <w:szCs w:val="20"/>
                <w:color w:val="auto"/>
              </w:rPr>
            </w:pPr>
            <w:r>
              <w:rPr>
                <w:rFonts w:ascii="Arial" w:cs="Arial" w:eastAsia="Arial" w:hAnsi="Arial"/>
                <w:sz w:val="16"/>
                <w:szCs w:val="16"/>
                <w:b w:val="1"/>
                <w:bCs w:val="1"/>
                <w:color w:val="auto"/>
                <w:w w:val="93"/>
              </w:rPr>
              <w:t>Over-allotment</w:t>
            </w:r>
          </w:p>
        </w:tc>
        <w:tc>
          <w:tcPr>
            <w:tcW w:w="1240" w:type="dxa"/>
            <w:vAlign w:val="bottom"/>
            <w:gridSpan w:val="3"/>
          </w:tcPr>
          <w:p>
            <w:pPr>
              <w:jc w:val="right"/>
              <w:ind w:right="100"/>
              <w:spacing w:after="0"/>
              <w:rPr>
                <w:sz w:val="20"/>
                <w:szCs w:val="20"/>
                <w:color w:val="auto"/>
              </w:rPr>
            </w:pPr>
            <w:r>
              <w:rPr>
                <w:rFonts w:ascii="Arial" w:cs="Arial" w:eastAsia="Arial" w:hAnsi="Arial"/>
                <w:sz w:val="16"/>
                <w:szCs w:val="16"/>
                <w:b w:val="1"/>
                <w:bCs w:val="1"/>
                <w:color w:val="auto"/>
                <w:w w:val="99"/>
              </w:rPr>
              <w:t>Over-allotment</w:t>
            </w:r>
          </w:p>
        </w:tc>
        <w:tc>
          <w:tcPr>
            <w:tcW w:w="0" w:type="dxa"/>
            <w:vAlign w:val="bottom"/>
          </w:tcPr>
          <w:p>
            <w:pPr>
              <w:spacing w:after="0"/>
              <w:rPr>
                <w:sz w:val="1"/>
                <w:szCs w:val="1"/>
                <w:color w:val="auto"/>
              </w:rPr>
            </w:pPr>
          </w:p>
        </w:tc>
      </w:tr>
      <w:tr>
        <w:trPr>
          <w:trHeight w:val="47"/>
        </w:trPr>
        <w:tc>
          <w:tcPr>
            <w:tcW w:w="552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9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57"/>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Net tangible book deficit before this offering</w:t>
            </w:r>
          </w:p>
        </w:tc>
        <w:tc>
          <w:tcPr>
            <w:tcW w:w="14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(87,699)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(87,699)</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2"/>
        </w:trPr>
        <w:tc>
          <w:tcPr>
            <w:tcW w:w="55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Net proceeds from this offering and sale of the private placement</w:t>
            </w: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55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warrants</w:t>
            </w:r>
            <w:r>
              <w:rPr>
                <w:rFonts w:ascii="Arial" w:cs="Arial" w:eastAsia="Arial" w:hAnsi="Arial"/>
                <w:sz w:val="20"/>
                <w:szCs w:val="20"/>
                <w:color w:val="auto"/>
                <w:vertAlign w:val="superscript"/>
              </w:rPr>
              <w:t>(1)</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302,500,000</w:t>
            </w:r>
          </w:p>
        </w:tc>
        <w:tc>
          <w:tcPr>
            <w:tcW w:w="1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w w:val="93"/>
              </w:rPr>
              <w:t>346,600,000</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w w:val="96"/>
              </w:rPr>
              <w:t>Plus: Offering costs paid in advance, excluded from tangible book value</w:t>
            </w: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103,660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103,660</w:t>
            </w: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Less: Deferred underwriting commissions</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(10,500,000)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w w:val="97"/>
              </w:rPr>
              <w:t>(12,075,000)</w:t>
            </w:r>
          </w:p>
        </w:tc>
        <w:tc>
          <w:tcPr>
            <w:tcW w:w="0" w:type="dxa"/>
            <w:vAlign w:val="bottom"/>
          </w:tcPr>
          <w:p>
            <w:pPr>
              <w:spacing w:after="0"/>
              <w:rPr>
                <w:sz w:val="1"/>
                <w:szCs w:val="1"/>
                <w:color w:val="auto"/>
              </w:rPr>
            </w:pPr>
          </w:p>
        </w:tc>
      </w:tr>
      <w:tr>
        <w:trPr>
          <w:trHeight w:val="283"/>
        </w:trPr>
        <w:tc>
          <w:tcPr>
            <w:tcW w:w="5520" w:type="dxa"/>
            <w:vAlign w:val="bottom"/>
          </w:tcPr>
          <w:p>
            <w:pPr>
              <w:spacing w:after="0"/>
              <w:rPr>
                <w:sz w:val="20"/>
                <w:szCs w:val="20"/>
                <w:color w:val="auto"/>
              </w:rPr>
            </w:pPr>
            <w:r>
              <w:rPr>
                <w:rFonts w:ascii="Arial" w:cs="Arial" w:eastAsia="Arial" w:hAnsi="Arial"/>
                <w:sz w:val="18"/>
                <w:szCs w:val="18"/>
                <w:color w:val="auto"/>
              </w:rPr>
              <w:t>Less: Proceeds held in trust subject to redemption</w:t>
            </w:r>
            <w:r>
              <w:rPr>
                <w:rFonts w:ascii="Arial" w:cs="Arial" w:eastAsia="Arial" w:hAnsi="Arial"/>
                <w:sz w:val="20"/>
                <w:szCs w:val="20"/>
                <w:color w:val="auto"/>
                <w:vertAlign w:val="superscript"/>
              </w:rPr>
              <w:t>(2)</w:t>
            </w:r>
          </w:p>
        </w:tc>
        <w:tc>
          <w:tcPr>
            <w:tcW w:w="14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(287,015,960)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89"/>
              </w:rPr>
              <w:t>(329,540,960)</w:t>
            </w:r>
          </w:p>
        </w:tc>
        <w:tc>
          <w:tcPr>
            <w:tcW w:w="0" w:type="dxa"/>
            <w:vAlign w:val="bottom"/>
          </w:tcPr>
          <w:p>
            <w:pPr>
              <w:spacing w:after="0"/>
              <w:rPr>
                <w:sz w:val="1"/>
                <w:szCs w:val="1"/>
                <w:color w:val="auto"/>
              </w:rPr>
            </w:pPr>
          </w:p>
        </w:tc>
      </w:tr>
      <w:tr>
        <w:trPr>
          <w:trHeight w:val="20"/>
        </w:trPr>
        <w:tc>
          <w:tcPr>
            <w:tcW w:w="55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3"/>
        </w:trPr>
        <w:tc>
          <w:tcPr>
            <w:tcW w:w="552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5,000,001</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5,000,001</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color w:val="auto"/>
              </w:rPr>
              <w:t>Denominator:</w:t>
            </w: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5520" w:type="dxa"/>
            <w:vAlign w:val="bottom"/>
            <w:vMerge w:val="continue"/>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
        </w:trPr>
        <w:tc>
          <w:tcPr>
            <w:tcW w:w="5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shares outstanding prior to this offering</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8,625,000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8,625,000</w:t>
            </w:r>
          </w:p>
        </w:tc>
        <w:tc>
          <w:tcPr>
            <w:tcW w:w="0" w:type="dxa"/>
            <w:vAlign w:val="bottom"/>
          </w:tcPr>
          <w:p>
            <w:pPr>
              <w:spacing w:after="0"/>
              <w:rPr>
                <w:sz w:val="1"/>
                <w:szCs w:val="1"/>
                <w:color w:val="auto"/>
              </w:rPr>
            </w:pPr>
          </w:p>
        </w:tc>
      </w:tr>
      <w:tr>
        <w:trPr>
          <w:trHeight w:val="243"/>
        </w:trPr>
        <w:tc>
          <w:tcPr>
            <w:tcW w:w="5520" w:type="dxa"/>
            <w:vAlign w:val="bottom"/>
          </w:tcPr>
          <w:p>
            <w:pPr>
              <w:spacing w:after="0"/>
              <w:rPr>
                <w:sz w:val="20"/>
                <w:szCs w:val="20"/>
                <w:color w:val="auto"/>
              </w:rPr>
            </w:pPr>
            <w:r>
              <w:rPr>
                <w:rFonts w:ascii="Arial" w:cs="Arial" w:eastAsia="Arial" w:hAnsi="Arial"/>
                <w:sz w:val="18"/>
                <w:szCs w:val="18"/>
                <w:color w:val="auto"/>
              </w:rPr>
              <w:t>Ordinary shares forfeited if over-allotment is not exercised</w:t>
            </w:r>
          </w:p>
        </w:tc>
        <w:tc>
          <w:tcPr>
            <w:tcW w:w="140" w:type="dxa"/>
            <w:vAlign w:val="bottom"/>
          </w:tcPr>
          <w:p>
            <w:pPr>
              <w:spacing w:after="0"/>
              <w:rPr>
                <w:sz w:val="21"/>
                <w:szCs w:val="21"/>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(1,125,000)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5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5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Ordinary shares included in the units offered</w:t>
            </w: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30,000,000</w:t>
            </w:r>
          </w:p>
        </w:tc>
        <w:tc>
          <w:tcPr>
            <w:tcW w:w="10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34,500,000</w:t>
            </w:r>
          </w:p>
        </w:tc>
        <w:tc>
          <w:tcPr>
            <w:tcW w:w="0" w:type="dxa"/>
            <w:vAlign w:val="bottom"/>
          </w:tcPr>
          <w:p>
            <w:pPr>
              <w:spacing w:after="0"/>
              <w:rPr>
                <w:sz w:val="1"/>
                <w:szCs w:val="1"/>
                <w:color w:val="auto"/>
              </w:rPr>
            </w:pPr>
          </w:p>
        </w:tc>
      </w:tr>
      <w:tr>
        <w:trPr>
          <w:trHeight w:val="257"/>
        </w:trPr>
        <w:tc>
          <w:tcPr>
            <w:tcW w:w="5520" w:type="dxa"/>
            <w:vAlign w:val="bottom"/>
          </w:tcPr>
          <w:p>
            <w:pPr>
              <w:spacing w:after="0"/>
              <w:rPr>
                <w:sz w:val="20"/>
                <w:szCs w:val="20"/>
                <w:color w:val="auto"/>
              </w:rPr>
            </w:pPr>
            <w:r>
              <w:rPr>
                <w:rFonts w:ascii="Arial" w:cs="Arial" w:eastAsia="Arial" w:hAnsi="Arial"/>
                <w:sz w:val="18"/>
                <w:szCs w:val="18"/>
                <w:color w:val="auto"/>
              </w:rPr>
              <w:t>Less: Ordinary shares subject to redemption</w:t>
            </w:r>
          </w:p>
        </w:tc>
        <w:tc>
          <w:tcPr>
            <w:tcW w:w="1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(28,701,596)</w:t>
            </w:r>
          </w:p>
        </w:tc>
        <w:tc>
          <w:tcPr>
            <w:tcW w:w="1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w w:val="97"/>
              </w:rPr>
              <w:t>(32,954,096)</w:t>
            </w:r>
          </w:p>
        </w:tc>
        <w:tc>
          <w:tcPr>
            <w:tcW w:w="0" w:type="dxa"/>
            <w:vAlign w:val="bottom"/>
          </w:tcPr>
          <w:p>
            <w:pPr>
              <w:spacing w:after="0"/>
              <w:rPr>
                <w:sz w:val="1"/>
                <w:szCs w:val="1"/>
                <w:color w:val="auto"/>
              </w:rPr>
            </w:pPr>
          </w:p>
        </w:tc>
      </w:tr>
      <w:tr>
        <w:trPr>
          <w:trHeight w:val="27"/>
        </w:trPr>
        <w:tc>
          <w:tcPr>
            <w:tcW w:w="55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552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8,798,404</w:t>
            </w:r>
          </w:p>
        </w:tc>
        <w:tc>
          <w:tcPr>
            <w:tcW w:w="100" w:type="dxa"/>
            <w:vAlign w:val="bottom"/>
            <w:shd w:val="clear" w:color="auto" w:fill="CCEEFF"/>
          </w:tcPr>
          <w:p>
            <w:pPr>
              <w:spacing w:after="0"/>
              <w:rPr>
                <w:sz w:val="21"/>
                <w:szCs w:val="21"/>
                <w:color w:val="auto"/>
              </w:rPr>
            </w:pPr>
          </w:p>
        </w:tc>
        <w:tc>
          <w:tcPr>
            <w:tcW w:w="140" w:type="dxa"/>
            <w:vAlign w:val="bottom"/>
            <w:shd w:val="clear" w:color="auto" w:fill="CCEEFF"/>
          </w:tcPr>
          <w:p>
            <w:pPr>
              <w:spacing w:after="0"/>
              <w:rPr>
                <w:sz w:val="21"/>
                <w:szCs w:val="21"/>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10,170,904</w:t>
            </w:r>
          </w:p>
        </w:tc>
        <w:tc>
          <w:tcPr>
            <w:tcW w:w="0" w:type="dxa"/>
            <w:vAlign w:val="bottom"/>
          </w:tcPr>
          <w:p>
            <w:pPr>
              <w:spacing w:after="0"/>
              <w:rPr>
                <w:sz w:val="1"/>
                <w:szCs w:val="1"/>
                <w:color w:val="auto"/>
              </w:rPr>
            </w:pPr>
          </w:p>
        </w:tc>
      </w:tr>
      <w:tr>
        <w:trPr>
          <w:trHeight w:val="20"/>
        </w:trPr>
        <w:tc>
          <w:tcPr>
            <w:tcW w:w="55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639" w:hanging="426"/>
        <w:spacing w:after="0" w:line="265"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Expenses applied against gross proceeds include offering expenses of $1,000,000 and underwriting commissions of $6,000,000 or $6,900,000 if the underwriter exercises its over-allotment option (excluding deferred underwriting fees). See “Use of Proceeds.”</w:t>
      </w:r>
    </w:p>
    <w:p>
      <w:pPr>
        <w:spacing w:after="0" w:line="1" w:lineRule="exact"/>
        <w:rPr>
          <w:rFonts w:ascii="Arial" w:cs="Arial" w:eastAsia="Arial" w:hAnsi="Arial"/>
          <w:sz w:val="16"/>
          <w:szCs w:val="16"/>
          <w:color w:val="auto"/>
        </w:rPr>
      </w:pPr>
    </w:p>
    <w:p>
      <w:pPr>
        <w:ind w:left="880" w:right="499" w:hanging="426"/>
        <w:spacing w:after="0" w:line="267" w:lineRule="auto"/>
        <w:tabs>
          <w:tab w:leader="none" w:pos="880" w:val="left"/>
        </w:tabs>
        <w:numPr>
          <w:ilvl w:val="0"/>
          <w:numId w:val="33"/>
        </w:numPr>
        <w:rPr>
          <w:rFonts w:ascii="Arial" w:cs="Arial" w:eastAsia="Arial" w:hAnsi="Arial"/>
          <w:sz w:val="16"/>
          <w:szCs w:val="16"/>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In the event of any such purchases of our shares prior to the completion of our initial business combination, the number of Class A ordinary shares subject to redemption will be reduced by the amount of any such purchases, increasing the pro forma net tangible book value per share. See “Proposed Business — Effecting Our Initial Business Combination — Permitted Purchases of Our Securities.”</w:t>
      </w:r>
    </w:p>
    <w:p>
      <w:pPr>
        <w:spacing w:after="0" w:line="1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0" w:name="page71"/>
    <w:bookmarkEnd w:id="70"/>
    <w:p>
      <w:pPr>
        <w:jc w:val="center"/>
        <w:spacing w:after="0"/>
        <w:rPr>
          <w:sz w:val="20"/>
          <w:szCs w:val="20"/>
          <w:color w:val="auto"/>
        </w:rPr>
      </w:pPr>
      <w:r>
        <w:rPr>
          <w:rFonts w:ascii="Arial" w:cs="Arial" w:eastAsia="Arial" w:hAnsi="Arial"/>
          <w:sz w:val="18"/>
          <w:szCs w:val="18"/>
          <w:b w:val="1"/>
          <w:bCs w:val="1"/>
          <w:color w:val="auto"/>
        </w:rPr>
        <w:t>CAPITALIZATION</w:t>
      </w:r>
    </w:p>
    <w:p>
      <w:pPr>
        <w:spacing w:after="0" w:line="162"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The following table sets forth our capitalization at December 31, 2019, and as adjusted to give effect to the filing of our amended and restated memorandum and articles of association, the sale of our units in this offering and the private placement warrants and the application of the estimated net proceeds derived from the sale of such securities:</w:t>
      </w:r>
    </w:p>
    <w:p>
      <w:pPr>
        <w:spacing w:after="0" w:line="18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100" w:type="dxa"/>
            <w:vAlign w:val="bottom"/>
            <w:gridSpan w:val="6"/>
          </w:tcPr>
          <w:p>
            <w:pPr>
              <w:jc w:val="center"/>
              <w:ind w:right="220"/>
              <w:spacing w:after="0"/>
              <w:rPr>
                <w:sz w:val="20"/>
                <w:szCs w:val="20"/>
                <w:color w:val="auto"/>
              </w:rPr>
            </w:pPr>
            <w:r>
              <w:rPr>
                <w:rFonts w:ascii="Arial" w:cs="Arial" w:eastAsia="Arial" w:hAnsi="Arial"/>
                <w:sz w:val="16"/>
                <w:szCs w:val="16"/>
                <w:b w:val="1"/>
                <w:bCs w:val="1"/>
                <w:color w:val="auto"/>
                <w:w w:val="91"/>
              </w:rPr>
              <w:t>December 31, 2019</w:t>
            </w:r>
          </w:p>
        </w:tc>
      </w:tr>
      <w:tr>
        <w:trPr>
          <w:trHeight w:val="46"/>
        </w:trPr>
        <w:tc>
          <w:tcPr>
            <w:tcW w:w="5780" w:type="dxa"/>
            <w:vAlign w:val="bottom"/>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860" w:type="dxa"/>
            <w:vAlign w:val="bottom"/>
            <w:tcBorders>
              <w:bottom w:val="single" w:sz="8" w:color="auto"/>
            </w:tcBorders>
            <w:gridSpan w:val="3"/>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gridSpan w:val="2"/>
          </w:tcPr>
          <w:p>
            <w:pPr>
              <w:spacing w:after="0"/>
              <w:rPr>
                <w:sz w:val="4"/>
                <w:szCs w:val="4"/>
                <w:color w:val="auto"/>
              </w:rPr>
            </w:pPr>
          </w:p>
        </w:tc>
      </w:tr>
      <w:tr>
        <w:trPr>
          <w:trHeight w:val="273"/>
        </w:trPr>
        <w:tc>
          <w:tcPr>
            <w:tcW w:w="5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60" w:type="dxa"/>
            <w:vAlign w:val="bottom"/>
            <w:gridSpan w:val="3"/>
          </w:tcPr>
          <w:p>
            <w:pPr>
              <w:ind w:left="40"/>
              <w:spacing w:after="0"/>
              <w:rPr>
                <w:sz w:val="20"/>
                <w:szCs w:val="20"/>
                <w:color w:val="auto"/>
              </w:rPr>
            </w:pPr>
            <w:r>
              <w:rPr>
                <w:rFonts w:ascii="Arial" w:cs="Arial" w:eastAsia="Arial" w:hAnsi="Arial"/>
                <w:sz w:val="16"/>
                <w:szCs w:val="16"/>
                <w:b w:val="1"/>
                <w:bCs w:val="1"/>
                <w:color w:val="auto"/>
              </w:rPr>
              <w:t>Actual</w:t>
            </w:r>
          </w:p>
        </w:tc>
        <w:tc>
          <w:tcPr>
            <w:tcW w:w="140" w:type="dxa"/>
            <w:vAlign w:val="bottom"/>
          </w:tcPr>
          <w:p>
            <w:pPr>
              <w:spacing w:after="0"/>
              <w:rPr>
                <w:sz w:val="23"/>
                <w:szCs w:val="23"/>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6"/>
                <w:szCs w:val="16"/>
                <w:b w:val="1"/>
                <w:bCs w:val="1"/>
                <w:color w:val="auto"/>
                <w:w w:val="86"/>
              </w:rPr>
              <w:t>As Adjusted</w:t>
            </w:r>
            <w:r>
              <w:rPr>
                <w:rFonts w:ascii="Arial" w:cs="Arial" w:eastAsia="Arial" w:hAnsi="Arial"/>
                <w:sz w:val="18"/>
                <w:szCs w:val="18"/>
                <w:b w:val="1"/>
                <w:bCs w:val="1"/>
                <w:color w:val="auto"/>
                <w:w w:val="86"/>
                <w:vertAlign w:val="superscript"/>
              </w:rPr>
              <w:t>(1)</w:t>
            </w:r>
          </w:p>
        </w:tc>
      </w:tr>
      <w:tr>
        <w:trPr>
          <w:trHeight w:val="268"/>
        </w:trPr>
        <w:tc>
          <w:tcPr>
            <w:tcW w:w="5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Note payable to related party</w:t>
            </w:r>
            <w:r>
              <w:rPr>
                <w:rFonts w:ascii="Arial" w:cs="Arial" w:eastAsia="Arial" w:hAnsi="Arial"/>
                <w:sz w:val="20"/>
                <w:szCs w:val="20"/>
                <w:color w:val="auto"/>
                <w:vertAlign w:val="superscript"/>
              </w:rPr>
              <w:t>(2)</w:t>
            </w:r>
          </w:p>
        </w:tc>
        <w:tc>
          <w:tcPr>
            <w:tcW w:w="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tcBorders>
              <w:top w:val="single" w:sz="8" w:color="CCEEFF"/>
            </w:tcBorders>
            <w:shd w:val="clear" w:color="auto" w:fill="CCEEFF"/>
          </w:tcPr>
          <w:p>
            <w:pPr>
              <w:spacing w:after="0"/>
              <w:rPr>
                <w:sz w:val="23"/>
                <w:szCs w:val="23"/>
                <w:color w:val="auto"/>
              </w:rPr>
            </w:pPr>
          </w:p>
        </w:tc>
        <w:tc>
          <w:tcPr>
            <w:tcW w:w="14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57"/>
        </w:trPr>
        <w:tc>
          <w:tcPr>
            <w:tcW w:w="5780" w:type="dxa"/>
            <w:vAlign w:val="bottom"/>
          </w:tcPr>
          <w:p>
            <w:pPr>
              <w:spacing w:after="0"/>
              <w:rPr>
                <w:sz w:val="20"/>
                <w:szCs w:val="20"/>
                <w:color w:val="auto"/>
              </w:rPr>
            </w:pPr>
            <w:r>
              <w:rPr>
                <w:rFonts w:ascii="Arial" w:cs="Arial" w:eastAsia="Arial" w:hAnsi="Arial"/>
                <w:sz w:val="18"/>
                <w:szCs w:val="18"/>
                <w:color w:val="auto"/>
              </w:rPr>
              <w:t>Deferred underwriting commissions</w:t>
            </w:r>
          </w:p>
        </w:tc>
        <w:tc>
          <w:tcPr>
            <w:tcW w:w="220" w:type="dxa"/>
            <w:vAlign w:val="bottom"/>
          </w:tcPr>
          <w:p>
            <w:pPr>
              <w:spacing w:after="0"/>
              <w:rPr>
                <w:sz w:val="22"/>
                <w:szCs w:val="22"/>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2"/>
                <w:szCs w:val="22"/>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10,500,000</w:t>
            </w: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182"/>
        </w:trPr>
        <w:tc>
          <w:tcPr>
            <w:tcW w:w="578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w w:val="92"/>
              </w:rPr>
              <w:t>Class A ordinary shares, $0.0001 par value, 300,000,000 shares authorized; 0</w:t>
            </w:r>
          </w:p>
        </w:tc>
        <w:tc>
          <w:tcPr>
            <w:tcW w:w="22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2"/>
              </w:rPr>
              <w:t>and 28,701,596 Class A ordinary shares are subject to possible redemption,</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51"/>
        </w:trPr>
        <w:tc>
          <w:tcPr>
            <w:tcW w:w="57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3"/>
              </w:rPr>
              <w:t>287,015,960</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02"/>
        </w:trPr>
        <w:tc>
          <w:tcPr>
            <w:tcW w:w="5780" w:type="dxa"/>
            <w:vAlign w:val="bottom"/>
          </w:tcPr>
          <w:p>
            <w:pPr>
              <w:spacing w:after="0" w:line="201" w:lineRule="exact"/>
              <w:rPr>
                <w:sz w:val="20"/>
                <w:szCs w:val="20"/>
                <w:color w:val="auto"/>
              </w:rPr>
            </w:pPr>
            <w:r>
              <w:rPr>
                <w:rFonts w:ascii="Arial" w:cs="Arial" w:eastAsia="Arial" w:hAnsi="Arial"/>
                <w:sz w:val="18"/>
                <w:szCs w:val="18"/>
                <w:color w:val="auto"/>
                <w:w w:val="90"/>
              </w:rPr>
              <w:t>Preference shares, $0.0001 par value; 1,000,000 preference shares authorized;</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0 preference shares issued and outstanding, actual and as adjusted</w:t>
            </w:r>
          </w:p>
        </w:tc>
        <w:tc>
          <w:tcPr>
            <w:tcW w:w="2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02"/>
        </w:trPr>
        <w:tc>
          <w:tcPr>
            <w:tcW w:w="57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Ordinary shares, $0.0001 par value, 300,000,000 shares authorized; 0</w:t>
            </w:r>
          </w:p>
        </w:tc>
        <w:tc>
          <w:tcPr>
            <w:tcW w:w="22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16"/>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3"/>
              </w:rPr>
              <w:t>and 1,298,404 shares issued and outstanding (excluding 0 and 28,701,596</w:t>
            </w:r>
          </w:p>
        </w:tc>
        <w:tc>
          <w:tcPr>
            <w:tcW w:w="2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71"/>
        </w:trPr>
        <w:tc>
          <w:tcPr>
            <w:tcW w:w="57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90"/>
              </w:rPr>
              <w:t>shares subject to possible redemption), actual and as adjusted, respectively</w:t>
            </w:r>
            <w:r>
              <w:rPr>
                <w:rFonts w:ascii="Arial" w:cs="Arial" w:eastAsia="Arial" w:hAnsi="Arial"/>
                <w:sz w:val="20"/>
                <w:szCs w:val="20"/>
                <w:color w:val="auto"/>
                <w:w w:val="90"/>
                <w:vertAlign w:val="superscript"/>
              </w:rPr>
              <w:t>(3)</w:t>
            </w:r>
          </w:p>
        </w:tc>
        <w:tc>
          <w:tcPr>
            <w:tcW w:w="220" w:type="dxa"/>
            <w:vAlign w:val="bottom"/>
            <w:shd w:val="clear" w:color="auto" w:fill="CCEEFF"/>
          </w:tcPr>
          <w:p>
            <w:pPr>
              <w:spacing w:after="0"/>
              <w:rPr>
                <w:sz w:val="23"/>
                <w:szCs w:val="23"/>
                <w:color w:val="auto"/>
              </w:rPr>
            </w:pPr>
          </w:p>
        </w:tc>
        <w:tc>
          <w:tcPr>
            <w:tcW w:w="86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3"/>
                <w:szCs w:val="23"/>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130</w:t>
            </w:r>
          </w:p>
        </w:tc>
      </w:tr>
      <w:tr>
        <w:trPr>
          <w:trHeight w:val="202"/>
        </w:trPr>
        <w:tc>
          <w:tcPr>
            <w:tcW w:w="5780" w:type="dxa"/>
            <w:vAlign w:val="bottom"/>
          </w:tcPr>
          <w:p>
            <w:pPr>
              <w:spacing w:after="0" w:line="201" w:lineRule="exact"/>
              <w:rPr>
                <w:sz w:val="20"/>
                <w:szCs w:val="20"/>
                <w:color w:val="auto"/>
              </w:rPr>
            </w:pPr>
            <w:r>
              <w:rPr>
                <w:rFonts w:ascii="Arial" w:cs="Arial" w:eastAsia="Arial" w:hAnsi="Arial"/>
                <w:sz w:val="18"/>
                <w:szCs w:val="18"/>
                <w:color w:val="auto"/>
                <w:w w:val="96"/>
              </w:rPr>
              <w:t>Class B ordinary shares, $0.0001 par value, 30,000,000 shares authorized;</w:t>
            </w:r>
          </w:p>
        </w:tc>
        <w:tc>
          <w:tcPr>
            <w:tcW w:w="2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16"/>
        </w:trPr>
        <w:tc>
          <w:tcPr>
            <w:tcW w:w="5780" w:type="dxa"/>
            <w:vAlign w:val="bottom"/>
          </w:tcPr>
          <w:p>
            <w:pPr>
              <w:ind w:left="180"/>
              <w:spacing w:after="0"/>
              <w:rPr>
                <w:sz w:val="20"/>
                <w:szCs w:val="20"/>
                <w:color w:val="auto"/>
              </w:rPr>
            </w:pPr>
            <w:r>
              <w:rPr>
                <w:rFonts w:ascii="Arial" w:cs="Arial" w:eastAsia="Arial" w:hAnsi="Arial"/>
                <w:sz w:val="18"/>
                <w:szCs w:val="18"/>
                <w:color w:val="auto"/>
                <w:w w:val="98"/>
              </w:rPr>
              <w:t>8,625,000 and 7,500,000 shares issued and outstanding, actual and as</w:t>
            </w:r>
          </w:p>
        </w:tc>
        <w:tc>
          <w:tcPr>
            <w:tcW w:w="2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30"/>
        </w:trPr>
        <w:tc>
          <w:tcPr>
            <w:tcW w:w="5780" w:type="dxa"/>
            <w:vAlign w:val="bottom"/>
          </w:tcPr>
          <w:p>
            <w:pPr>
              <w:ind w:left="180"/>
              <w:spacing w:after="0"/>
              <w:rPr>
                <w:sz w:val="20"/>
                <w:szCs w:val="20"/>
                <w:color w:val="auto"/>
              </w:rPr>
            </w:pPr>
            <w:r>
              <w:rPr>
                <w:rFonts w:ascii="Arial" w:cs="Arial" w:eastAsia="Arial" w:hAnsi="Arial"/>
                <w:sz w:val="18"/>
                <w:szCs w:val="18"/>
                <w:color w:val="auto"/>
              </w:rPr>
              <w:t>adjusted, respectively</w:t>
            </w:r>
          </w:p>
        </w:tc>
        <w:tc>
          <w:tcPr>
            <w:tcW w:w="220" w:type="dxa"/>
            <w:vAlign w:val="bottom"/>
          </w:tcPr>
          <w:p>
            <w:pPr>
              <w:spacing w:after="0"/>
              <w:rPr>
                <w:sz w:val="20"/>
                <w:szCs w:val="20"/>
                <w:color w:val="auto"/>
              </w:rPr>
            </w:pPr>
          </w:p>
        </w:tc>
        <w:tc>
          <w:tcPr>
            <w:tcW w:w="780" w:type="dxa"/>
            <w:vAlign w:val="bottom"/>
            <w:gridSpan w:val="2"/>
          </w:tcPr>
          <w:p>
            <w:pPr>
              <w:jc w:val="right"/>
              <w:ind w:right="140"/>
              <w:spacing w:after="0"/>
              <w:rPr>
                <w:sz w:val="20"/>
                <w:szCs w:val="20"/>
                <w:color w:val="auto"/>
              </w:rPr>
            </w:pPr>
            <w:r>
              <w:rPr>
                <w:rFonts w:ascii="Arial" w:cs="Arial" w:eastAsia="Arial" w:hAnsi="Arial"/>
                <w:sz w:val="18"/>
                <w:szCs w:val="18"/>
                <w:color w:val="auto"/>
              </w:rPr>
              <w:t>863</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Arial" w:cs="Arial" w:eastAsia="Arial" w:hAnsi="Arial"/>
                <w:sz w:val="18"/>
                <w:szCs w:val="18"/>
                <w:color w:val="auto"/>
              </w:rPr>
              <w:t>750</w:t>
            </w:r>
          </w:p>
        </w:tc>
      </w:tr>
      <w:tr>
        <w:trPr>
          <w:trHeight w:val="40"/>
        </w:trPr>
        <w:tc>
          <w:tcPr>
            <w:tcW w:w="57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2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24,137</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5,008,160</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57"/>
        </w:trPr>
        <w:tc>
          <w:tcPr>
            <w:tcW w:w="5780" w:type="dxa"/>
            <w:vAlign w:val="bottom"/>
          </w:tcPr>
          <w:p>
            <w:pPr>
              <w:spacing w:after="0"/>
              <w:rPr>
                <w:sz w:val="20"/>
                <w:szCs w:val="20"/>
                <w:color w:val="auto"/>
              </w:rPr>
            </w:pPr>
            <w:r>
              <w:rPr>
                <w:rFonts w:ascii="Arial" w:cs="Arial" w:eastAsia="Arial" w:hAnsi="Arial"/>
                <w:sz w:val="18"/>
                <w:szCs w:val="18"/>
                <w:color w:val="auto"/>
              </w:rPr>
              <w:t>Accumulated deficit</w:t>
            </w:r>
          </w:p>
        </w:tc>
        <w:tc>
          <w:tcPr>
            <w:tcW w:w="220" w:type="dxa"/>
            <w:vAlign w:val="bottom"/>
          </w:tcPr>
          <w:p>
            <w:pPr>
              <w:spacing w:after="0"/>
              <w:rPr>
                <w:sz w:val="22"/>
                <w:szCs w:val="22"/>
                <w:color w:val="auto"/>
              </w:rPr>
            </w:pPr>
          </w:p>
        </w:tc>
        <w:tc>
          <w:tcPr>
            <w:tcW w:w="780" w:type="dxa"/>
            <w:vAlign w:val="bottom"/>
            <w:gridSpan w:val="2"/>
          </w:tcPr>
          <w:p>
            <w:pPr>
              <w:jc w:val="right"/>
              <w:ind w:right="80"/>
              <w:spacing w:after="0"/>
              <w:rPr>
                <w:sz w:val="20"/>
                <w:szCs w:val="20"/>
                <w:color w:val="auto"/>
              </w:rPr>
            </w:pPr>
            <w:r>
              <w:rPr>
                <w:rFonts w:ascii="Arial" w:cs="Arial" w:eastAsia="Arial" w:hAnsi="Arial"/>
                <w:sz w:val="18"/>
                <w:szCs w:val="18"/>
                <w:color w:val="auto"/>
              </w:rPr>
              <w:t>(9,039)</w:t>
            </w: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100" w:type="dxa"/>
            <w:vAlign w:val="bottom"/>
            <w:gridSpan w:val="2"/>
          </w:tcPr>
          <w:p>
            <w:pPr>
              <w:jc w:val="right"/>
              <w:ind w:right="80"/>
              <w:spacing w:after="0"/>
              <w:rPr>
                <w:sz w:val="20"/>
                <w:szCs w:val="20"/>
                <w:color w:val="auto"/>
              </w:rPr>
            </w:pPr>
            <w:r>
              <w:rPr>
                <w:rFonts w:ascii="Arial" w:cs="Arial" w:eastAsia="Arial" w:hAnsi="Arial"/>
                <w:sz w:val="18"/>
                <w:szCs w:val="18"/>
                <w:color w:val="auto"/>
              </w:rPr>
              <w:t>(9,039)</w:t>
            </w:r>
          </w:p>
        </w:tc>
      </w:tr>
      <w:tr>
        <w:trPr>
          <w:trHeight w:val="27"/>
        </w:trPr>
        <w:tc>
          <w:tcPr>
            <w:tcW w:w="5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57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shareholders’ equity</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15,961</w:t>
            </w:r>
          </w:p>
        </w:tc>
        <w:tc>
          <w:tcPr>
            <w:tcW w:w="8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5,000,001</w:t>
            </w: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5780" w:type="dxa"/>
            <w:vAlign w:val="bottom"/>
          </w:tcPr>
          <w:p>
            <w:pPr>
              <w:spacing w:after="0"/>
              <w:rPr>
                <w:sz w:val="20"/>
                <w:szCs w:val="20"/>
                <w:color w:val="auto"/>
              </w:rPr>
            </w:pPr>
            <w:r>
              <w:rPr>
                <w:rFonts w:ascii="Arial" w:cs="Arial" w:eastAsia="Arial" w:hAnsi="Arial"/>
                <w:sz w:val="18"/>
                <w:szCs w:val="18"/>
                <w:color w:val="auto"/>
              </w:rPr>
              <w:t>Total capitalization</w:t>
            </w:r>
          </w:p>
        </w:tc>
        <w:tc>
          <w:tcPr>
            <w:tcW w:w="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15,961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3"/>
              </w:rPr>
              <w:t>302,515,961</w:t>
            </w:r>
          </w:p>
        </w:tc>
        <w:tc>
          <w:tcPr>
            <w:tcW w:w="140" w:type="dxa"/>
            <w:vAlign w:val="bottom"/>
          </w:tcPr>
          <w:p>
            <w:pPr>
              <w:spacing w:after="0"/>
              <w:rPr>
                <w:sz w:val="21"/>
                <w:szCs w:val="21"/>
                <w:color w:val="auto"/>
              </w:rPr>
            </w:pPr>
          </w:p>
        </w:tc>
      </w:tr>
      <w:tr>
        <w:trPr>
          <w:trHeight w:val="20"/>
        </w:trPr>
        <w:tc>
          <w:tcPr>
            <w:tcW w:w="57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479" w:hanging="426"/>
        <w:spacing w:after="0" w:line="266" w:lineRule="auto"/>
        <w:tabs>
          <w:tab w:leader="none" w:pos="871" w:val="left"/>
        </w:tabs>
        <w:numPr>
          <w:ilvl w:val="0"/>
          <w:numId w:val="34"/>
        </w:numPr>
        <w:rPr>
          <w:rFonts w:ascii="Arial" w:cs="Arial" w:eastAsia="Arial" w:hAnsi="Arial"/>
          <w:sz w:val="16"/>
          <w:szCs w:val="16"/>
          <w:color w:val="auto"/>
        </w:rPr>
      </w:pPr>
      <w:r>
        <w:rPr>
          <w:rFonts w:ascii="Arial" w:cs="Arial" w:eastAsia="Arial" w:hAnsi="Arial"/>
          <w:sz w:val="16"/>
          <w:szCs w:val="16"/>
          <w:color w:val="auto"/>
        </w:rPr>
        <w:t>Assumes no exercise of the underwriter’s over-allotment option and the corresponding forfeiture of 1,250,000 Class B ordinary shares held by our sponsor.</w:t>
      </w:r>
    </w:p>
    <w:p>
      <w:pPr>
        <w:spacing w:after="0" w:line="1" w:lineRule="exact"/>
        <w:rPr>
          <w:rFonts w:ascii="Arial" w:cs="Arial" w:eastAsia="Arial" w:hAnsi="Arial"/>
          <w:sz w:val="16"/>
          <w:szCs w:val="16"/>
          <w:color w:val="auto"/>
        </w:rPr>
      </w:pPr>
    </w:p>
    <w:p>
      <w:pPr>
        <w:ind w:left="880" w:right="879" w:hanging="426"/>
        <w:spacing w:after="0" w:line="281" w:lineRule="auto"/>
        <w:tabs>
          <w:tab w:leader="none" w:pos="880" w:val="left"/>
        </w:tabs>
        <w:numPr>
          <w:ilvl w:val="0"/>
          <w:numId w:val="34"/>
        </w:numPr>
        <w:rPr>
          <w:rFonts w:ascii="Arial" w:cs="Arial" w:eastAsia="Arial" w:hAnsi="Arial"/>
          <w:sz w:val="15"/>
          <w:szCs w:val="15"/>
          <w:color w:val="auto"/>
        </w:rPr>
      </w:pPr>
      <w:r>
        <w:rPr>
          <w:rFonts w:ascii="Arial" w:cs="Arial" w:eastAsia="Arial" w:hAnsi="Arial"/>
          <w:sz w:val="15"/>
          <w:szCs w:val="15"/>
          <w:color w:val="auto"/>
        </w:rPr>
        <w:t>Our sponsor has agreed to loan us up to $300,000 to be used for a portion of the expenses of this offering. As of December 31, 2019, we had not borrowed any amount under the promissory note with our sponsor.</w:t>
      </w:r>
    </w:p>
    <w:p>
      <w:pPr>
        <w:spacing w:after="0" w:line="1" w:lineRule="exact"/>
        <w:rPr>
          <w:rFonts w:ascii="Arial" w:cs="Arial" w:eastAsia="Arial" w:hAnsi="Arial"/>
          <w:sz w:val="15"/>
          <w:szCs w:val="15"/>
          <w:color w:val="auto"/>
        </w:rPr>
      </w:pPr>
    </w:p>
    <w:p>
      <w:pPr>
        <w:ind w:left="880" w:right="559" w:hanging="426"/>
        <w:spacing w:after="0" w:line="312" w:lineRule="auto"/>
        <w:tabs>
          <w:tab w:leader="none" w:pos="880" w:val="left"/>
        </w:tabs>
        <w:numPr>
          <w:ilvl w:val="0"/>
          <w:numId w:val="34"/>
        </w:numPr>
        <w:rPr>
          <w:rFonts w:ascii="Arial" w:cs="Arial" w:eastAsia="Arial" w:hAnsi="Arial"/>
          <w:sz w:val="14"/>
          <w:szCs w:val="14"/>
          <w:color w:val="auto"/>
        </w:rPr>
      </w:pPr>
      <w:r>
        <w:rPr>
          <w:rFonts w:ascii="Arial" w:cs="Arial" w:eastAsia="Arial" w:hAnsi="Arial"/>
          <w:sz w:val="14"/>
          <w:szCs w:val="14"/>
          <w:color w:val="auto"/>
        </w:rPr>
        <w:t>Upon the completion of our initial business combination, we will provide our public shareholders with the opportunity to redeem their public shares for cash at a per share price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 then-outstanding public shares, subject to the limitations described herein whereby redemptions cannot cause our net tangible assets to be less than $5,000,001 and any limitations (including, but not limited to, cash requirements) created by the terms of the proposed business combination.</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1" w:name="page72"/>
    <w:bookmarkEnd w:id="71"/>
    <w:p>
      <w:pPr>
        <w:jc w:val="center"/>
        <w:ind w:right="59"/>
        <w:spacing w:after="0"/>
        <w:rPr>
          <w:sz w:val="20"/>
          <w:szCs w:val="20"/>
          <w:color w:val="auto"/>
        </w:rPr>
      </w:pPr>
      <w:r>
        <w:rPr>
          <w:rFonts w:ascii="Arial" w:cs="Arial" w:eastAsia="Arial" w:hAnsi="Arial"/>
          <w:sz w:val="18"/>
          <w:szCs w:val="18"/>
          <w:b w:val="1"/>
          <w:bCs w:val="1"/>
          <w:color w:val="auto"/>
        </w:rPr>
        <w:t>MANAGEMENT’S DISCUSSION AND ANALYSIS OF FINANCIAL CONDITION</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RESULTS OF OPERATIONS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Overview</w:t>
      </w:r>
    </w:p>
    <w:p>
      <w:pPr>
        <w:spacing w:after="0" w:line="162"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We are a blank check company incorporated on December 18, 2019 as a Cayman Islands exempted company for the purpose of effecting a merger, share exchange, asset acquisition, share purchase, reorganization or similar business combination with one or more businesses or entities. We have not selected any business combination target and we have not, nor has anyone on our behalf, initiated any substantive discussions, directly or indirectly, with any business combination target. We intend to effectuate our initial business combination using cash from the proceeds of this offering and the private placement of the private placement warrants, our shares, debt or a combination of cash, equity and debt.</w:t>
      </w:r>
    </w:p>
    <w:p>
      <w:pPr>
        <w:spacing w:after="0" w:line="96"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issuance of additional shares in a business combination:</w:t>
      </w:r>
    </w:p>
    <w:p>
      <w:pPr>
        <w:spacing w:after="0" w:line="158" w:lineRule="exact"/>
        <w:rPr>
          <w:sz w:val="20"/>
          <w:szCs w:val="20"/>
          <w:color w:val="auto"/>
        </w:rPr>
      </w:pPr>
    </w:p>
    <w:p>
      <w:pPr>
        <w:ind w:left="1320" w:right="559" w:hanging="434"/>
        <w:spacing w:after="0" w:line="259"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significantly dilute the equity interest of investors in this offering, which dilution would increase if the anti-dilution provisions in the Class B ordinary shares resulted in the issuance of Class A ordinary shares on a greater than one-to-one basis upon conversion of the Class B ordinary shares;</w:t>
      </w:r>
    </w:p>
    <w:p>
      <w:pPr>
        <w:spacing w:after="0" w:line="119"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subordinate the rights of holders of Class A ordinary shares if preference shares are issued with rights senior to those afforded our Class A ordinary shares;</w:t>
      </w:r>
    </w:p>
    <w:p>
      <w:pPr>
        <w:spacing w:after="0" w:line="89" w:lineRule="exact"/>
        <w:rPr>
          <w:rFonts w:ascii="Arial" w:cs="Arial" w:eastAsia="Arial" w:hAnsi="Arial"/>
          <w:sz w:val="18"/>
          <w:szCs w:val="18"/>
          <w:color w:val="auto"/>
        </w:rPr>
      </w:pPr>
    </w:p>
    <w:p>
      <w:pPr>
        <w:jc w:val="both"/>
        <w:ind w:left="1320" w:right="719" w:hanging="434"/>
        <w:spacing w:after="0" w:line="311" w:lineRule="auto"/>
        <w:tabs>
          <w:tab w:leader="none" w:pos="1311" w:val="left"/>
        </w:tabs>
        <w:numPr>
          <w:ilvl w:val="0"/>
          <w:numId w:val="35"/>
        </w:numPr>
        <w:rPr>
          <w:rFonts w:ascii="Arial" w:cs="Arial" w:eastAsia="Arial" w:hAnsi="Arial"/>
          <w:sz w:val="16"/>
          <w:szCs w:val="16"/>
          <w:color w:val="auto"/>
        </w:rPr>
      </w:pPr>
      <w:r>
        <w:rPr>
          <w:rFonts w:ascii="Arial" w:cs="Arial" w:eastAsia="Arial" w:hAnsi="Arial"/>
          <w:sz w:val="16"/>
          <w:szCs w:val="16"/>
          <w:color w:val="auto"/>
        </w:rPr>
        <w:t>could cause a change in control if a substantial number of our Class A ordinary shares are issued, which may affect, among other things, our ability to use our net operating loss carry forwards, if any, and could result in the resignation or removal of our present officers and directors;</w:t>
      </w:r>
    </w:p>
    <w:p>
      <w:pPr>
        <w:spacing w:after="0" w:line="81" w:lineRule="exact"/>
        <w:rPr>
          <w:rFonts w:ascii="Arial" w:cs="Arial" w:eastAsia="Arial" w:hAnsi="Arial"/>
          <w:sz w:val="16"/>
          <w:szCs w:val="16"/>
          <w:color w:val="auto"/>
        </w:rPr>
      </w:pPr>
    </w:p>
    <w:p>
      <w:pPr>
        <w:ind w:left="1320" w:right="1079" w:hanging="434"/>
        <w:spacing w:after="0" w:line="277"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have the effect of delaying or preventing a change of control of us by diluting the share ownership or voting rights of a person seeking to obtain control of us;</w:t>
      </w:r>
    </w:p>
    <w:p>
      <w:pPr>
        <w:spacing w:after="0" w:line="102" w:lineRule="exact"/>
        <w:rPr>
          <w:rFonts w:ascii="Arial" w:cs="Arial" w:eastAsia="Arial" w:hAnsi="Arial"/>
          <w:sz w:val="18"/>
          <w:szCs w:val="18"/>
          <w:color w:val="auto"/>
        </w:rPr>
      </w:pPr>
    </w:p>
    <w:p>
      <w:pPr>
        <w:ind w:left="1320" w:right="1179" w:hanging="434"/>
        <w:spacing w:after="0" w:line="277" w:lineRule="auto"/>
        <w:tabs>
          <w:tab w:leader="none" w:pos="1311"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adversely affect prevailing market prices for our units, Class A ordinary shares and/or warrants; and</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may not result in adjustment to the exercise price of our warrants.</w:t>
      </w:r>
    </w:p>
    <w:p>
      <w:pPr>
        <w:spacing w:after="0" w:line="15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Similarly, if we issue debt securities or otherwise incur significant debt, it could result in:</w:t>
      </w:r>
    </w:p>
    <w:p>
      <w:pPr>
        <w:spacing w:after="0" w:line="158" w:lineRule="exact"/>
        <w:rPr>
          <w:sz w:val="20"/>
          <w:szCs w:val="20"/>
          <w:color w:val="auto"/>
        </w:rPr>
      </w:pPr>
    </w:p>
    <w:p>
      <w:pPr>
        <w:ind w:left="1320" w:right="579" w:hanging="434"/>
        <w:spacing w:after="0" w:line="277" w:lineRule="auto"/>
        <w:tabs>
          <w:tab w:leader="none" w:pos="13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default and foreclosure on our assets if our operating revenues after an initial business combination are insufficient to repay our debt obligations;</w:t>
      </w:r>
    </w:p>
    <w:p>
      <w:pPr>
        <w:spacing w:after="0" w:line="89"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acceleration of our obligations to repay the indebtedness even if we make all principal and interest payments when due if we breach certain covenants that require the maintenance of certain financial ratios or reserves without a waiver or renegotiation of that covenant;</w:t>
      </w:r>
    </w:p>
    <w:p>
      <w:pPr>
        <w:spacing w:after="0" w:line="116"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immediate payment of all principal and accrued interest, if any, if the debt security is payable on demand;</w:t>
      </w:r>
    </w:p>
    <w:p>
      <w:pPr>
        <w:spacing w:after="0" w:line="102" w:lineRule="exact"/>
        <w:rPr>
          <w:rFonts w:ascii="Arial" w:cs="Arial" w:eastAsia="Arial" w:hAnsi="Arial"/>
          <w:sz w:val="18"/>
          <w:szCs w:val="18"/>
          <w:color w:val="auto"/>
        </w:rPr>
      </w:pPr>
    </w:p>
    <w:p>
      <w:pPr>
        <w:ind w:left="1320" w:right="1119" w:hanging="434"/>
        <w:spacing w:after="0" w:line="342" w:lineRule="auto"/>
        <w:tabs>
          <w:tab w:leader="none" w:pos="1311" w:val="left"/>
        </w:tabs>
        <w:numPr>
          <w:ilvl w:val="0"/>
          <w:numId w:val="36"/>
        </w:numPr>
        <w:rPr>
          <w:rFonts w:ascii="Arial" w:cs="Arial" w:eastAsia="Arial" w:hAnsi="Arial"/>
          <w:sz w:val="16"/>
          <w:szCs w:val="16"/>
          <w:color w:val="auto"/>
        </w:rPr>
      </w:pPr>
      <w:r>
        <w:rPr>
          <w:rFonts w:ascii="Arial" w:cs="Arial" w:eastAsia="Arial" w:hAnsi="Arial"/>
          <w:sz w:val="16"/>
          <w:szCs w:val="16"/>
          <w:color w:val="auto"/>
        </w:rPr>
        <w:t>our inability to obtain necessary additional financing if the debt security contains covenants restricting our ability to obtain such financing while the debt security is outstanding;</w:t>
      </w:r>
    </w:p>
    <w:p>
      <w:pPr>
        <w:spacing w:after="0" w:line="42" w:lineRule="exact"/>
        <w:rPr>
          <w:rFonts w:ascii="Arial" w:cs="Arial" w:eastAsia="Arial" w:hAnsi="Arial"/>
          <w:sz w:val="16"/>
          <w:szCs w:val="16"/>
          <w:color w:val="auto"/>
        </w:rPr>
      </w:pPr>
    </w:p>
    <w:p>
      <w:pPr>
        <w:ind w:left="1300" w:hanging="414"/>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our inability to pay dividends on our Class A ordinary shares;</w:t>
      </w:r>
    </w:p>
    <w:p>
      <w:pPr>
        <w:spacing w:after="0" w:line="157" w:lineRule="exact"/>
        <w:rPr>
          <w:rFonts w:ascii="Arial" w:cs="Arial" w:eastAsia="Arial" w:hAnsi="Arial"/>
          <w:sz w:val="18"/>
          <w:szCs w:val="18"/>
          <w:color w:val="auto"/>
        </w:rPr>
      </w:pPr>
    </w:p>
    <w:p>
      <w:pPr>
        <w:ind w:left="1320" w:right="819" w:hanging="434"/>
        <w:spacing w:after="0" w:line="286" w:lineRule="auto"/>
        <w:tabs>
          <w:tab w:leader="none" w:pos="1311" w:val="left"/>
        </w:tabs>
        <w:numPr>
          <w:ilvl w:val="0"/>
          <w:numId w:val="36"/>
        </w:numPr>
        <w:rPr>
          <w:rFonts w:ascii="Arial" w:cs="Arial" w:eastAsia="Arial" w:hAnsi="Arial"/>
          <w:sz w:val="17"/>
          <w:szCs w:val="17"/>
          <w:color w:val="auto"/>
        </w:rPr>
      </w:pPr>
      <w:r>
        <w:rPr>
          <w:rFonts w:ascii="Arial" w:cs="Arial" w:eastAsia="Arial" w:hAnsi="Arial"/>
          <w:sz w:val="17"/>
          <w:szCs w:val="17"/>
          <w:color w:val="auto"/>
        </w:rPr>
        <w:t>using a substantial portion of our cash flow to pay principal and interest on our debt, which will reduce the funds available for dividends on our Class A ordinary shares if declared, expenses, capital expenditures, acquisitions and other general corporate purposes;</w:t>
      </w:r>
    </w:p>
    <w:p>
      <w:pPr>
        <w:spacing w:after="0" w:line="97" w:lineRule="exact"/>
        <w:rPr>
          <w:rFonts w:ascii="Arial" w:cs="Arial" w:eastAsia="Arial" w:hAnsi="Arial"/>
          <w:sz w:val="17"/>
          <w:szCs w:val="17"/>
          <w:color w:val="auto"/>
        </w:rPr>
      </w:pPr>
    </w:p>
    <w:p>
      <w:pPr>
        <w:ind w:left="1320" w:right="939" w:hanging="434"/>
        <w:spacing w:after="0" w:line="277" w:lineRule="auto"/>
        <w:tabs>
          <w:tab w:leader="none" w:pos="13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limitations on our flexibility in planning for and reacting to changes in our business and in the industry in which we operate;</w:t>
      </w:r>
    </w:p>
    <w:p>
      <w:pPr>
        <w:spacing w:after="0" w:line="89" w:lineRule="exact"/>
        <w:rPr>
          <w:rFonts w:ascii="Arial" w:cs="Arial" w:eastAsia="Arial" w:hAnsi="Arial"/>
          <w:sz w:val="18"/>
          <w:szCs w:val="18"/>
          <w:color w:val="auto"/>
        </w:rPr>
      </w:pPr>
    </w:p>
    <w:p>
      <w:pPr>
        <w:ind w:left="1320" w:right="479" w:hanging="434"/>
        <w:spacing w:after="0" w:line="277" w:lineRule="auto"/>
        <w:tabs>
          <w:tab w:leader="none" w:pos="1311" w:val="left"/>
        </w:tabs>
        <w:numPr>
          <w:ilvl w:val="0"/>
          <w:numId w:val="36"/>
        </w:numPr>
        <w:rPr>
          <w:rFonts w:ascii="Arial" w:cs="Arial" w:eastAsia="Arial" w:hAnsi="Arial"/>
          <w:sz w:val="18"/>
          <w:szCs w:val="18"/>
          <w:color w:val="auto"/>
        </w:rPr>
      </w:pPr>
      <w:r>
        <w:rPr>
          <w:rFonts w:ascii="Arial" w:cs="Arial" w:eastAsia="Arial" w:hAnsi="Arial"/>
          <w:sz w:val="18"/>
          <w:szCs w:val="18"/>
          <w:color w:val="auto"/>
        </w:rPr>
        <w:t>increased vulnerability to adverse changes in general economic, industry and competitive conditions and adverse changes in government regulation or prevailing interest rates; and</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2" w:name="page73"/>
    <w:bookmarkEnd w:id="72"/>
    <w:p>
      <w:pPr>
        <w:ind w:left="1320" w:right="899" w:hanging="434"/>
        <w:spacing w:after="0" w:line="286" w:lineRule="auto"/>
        <w:tabs>
          <w:tab w:leader="none" w:pos="1311" w:val="left"/>
        </w:tabs>
        <w:numPr>
          <w:ilvl w:val="0"/>
          <w:numId w:val="37"/>
        </w:numPr>
        <w:rPr>
          <w:rFonts w:ascii="Arial" w:cs="Arial" w:eastAsia="Arial" w:hAnsi="Arial"/>
          <w:sz w:val="17"/>
          <w:szCs w:val="17"/>
          <w:color w:val="auto"/>
        </w:rPr>
      </w:pPr>
      <w:r>
        <w:rPr>
          <w:rFonts w:ascii="Arial" w:cs="Arial" w:eastAsia="Arial" w:hAnsi="Arial"/>
          <w:sz w:val="17"/>
          <w:szCs w:val="17"/>
          <w:color w:val="auto"/>
        </w:rPr>
        <w:t>limitations on our ability to borrow additional amounts for expenses, capital expenditures, acquisitions, debt service requirements, execution of our strategy and other purposes and other disadvantages compared to our competitors who have less debt.</w:t>
      </w:r>
    </w:p>
    <w:p>
      <w:pPr>
        <w:spacing w:after="0" w:line="8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As indicated in the accompanying financial statements, as of December 31, 2019, we had no cash and deferred offering costs of approximately $104,000. Further, we expect to incur significant costs in the pursuit of our initial business combination. We cannot assure you that our plans to raise capital or to complete our initial business combination will be successful.</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Results of Operations and Known Trends or Future Events</w:t>
      </w:r>
    </w:p>
    <w:p>
      <w:pPr>
        <w:spacing w:after="0" w:line="162"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have neither engaged in any operations nor generated any revenues to date. Our only activities since inception have been organizational activities and those necessary to prepare for this offering. Following this offering, we will not generate any operating revenues until after completion of our initial business combination. We will generate non-operating income in the form of interest income on cash and cash equivalents after this offering. There has been no significant change in our financial or trading position and no material adverse change has occurred since the date of our audited financial statements. After this offering, we expect to incur increased expenses as a result of being a public company (for legal, financial reporting, accounting and auditing compliance), as well as for due diligence expenses. We expect our expenses to increase substantially after the closing of this offering.</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Liquidity and Capital Resources</w:t>
      </w:r>
    </w:p>
    <w:p>
      <w:pPr>
        <w:spacing w:after="0" w:line="162" w:lineRule="exact"/>
        <w:rPr>
          <w:sz w:val="20"/>
          <w:szCs w:val="20"/>
          <w:color w:val="auto"/>
        </w:rPr>
      </w:pPr>
    </w:p>
    <w:p>
      <w:pPr>
        <w:ind w:left="460" w:right="499" w:firstLine="432"/>
        <w:spacing w:after="0" w:line="284" w:lineRule="auto"/>
        <w:rPr>
          <w:sz w:val="20"/>
          <w:szCs w:val="20"/>
          <w:color w:val="auto"/>
        </w:rPr>
      </w:pPr>
      <w:r>
        <w:rPr>
          <w:rFonts w:ascii="Arial" w:cs="Arial" w:eastAsia="Arial" w:hAnsi="Arial"/>
          <w:sz w:val="16"/>
          <w:szCs w:val="16"/>
          <w:color w:val="auto"/>
        </w:rPr>
        <w:t>Our liquidity needs have been satisfied prior to the completion of this offering through receipt of (i) a $25,000 capital contribution from our sponsor in exchange for the issuance of the founder shares to our sponsor and (ii) and loans to us of up to $300,000 by our sponsor under an unsecured promissory note. As of December 31, 2019, we had not borrowed any amount under the unsecured promissory note. We estimate that the net proceeds from (i) the sale of the units in this offering, after deducting offering expenses of $1,000,000, underwriting commissions of $6,000,000, or $6,900,000 if the underwriter’s over-allotment option is exercised in full (excluding deferred underwriting commissions of $10,500,000, or $12,075,000 if the underwriter’s over-allotment option is exercised in full), and (ii) the sale of the private placement warrants for a purchase price of $9,500,000 will be $302,500,000 (or $346,600,000 if the underwriter’s over-allotment option is exercised in full). $300,000,000 (or $345,000,000 if the underwriter’s over-allotment option is exercised in full) will be held in the trust account, which includes the deferred underwriting commissions described above. The proceeds held in the trust account will be invested only in U.S. government treasury obligations with a maturity of 185 days or less or in money market funds meeting certain conditions under Rule 2a-7 under the Investment Company Act which invest only in direct U.S. government treasury obligations. The remaining $2,500,000 (or $1,600,000 if the underwriter’s over-allotment option is exercised in full) will not be held in the trust account. In the event that our offering expenses exceed our estimate of $1,000,000, we may fund such excess with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01" w:lineRule="exact"/>
        <w:rPr>
          <w:sz w:val="20"/>
          <w:szCs w:val="20"/>
          <w:color w:val="auto"/>
        </w:rPr>
      </w:pPr>
    </w:p>
    <w:p>
      <w:pPr>
        <w:ind w:left="460" w:right="519" w:firstLine="432"/>
        <w:spacing w:after="0" w:line="270" w:lineRule="auto"/>
        <w:rPr>
          <w:sz w:val="20"/>
          <w:szCs w:val="20"/>
          <w:color w:val="auto"/>
        </w:rPr>
      </w:pPr>
      <w:r>
        <w:rPr>
          <w:rFonts w:ascii="Arial" w:cs="Arial" w:eastAsia="Arial" w:hAnsi="Arial"/>
          <w:sz w:val="17"/>
          <w:szCs w:val="17"/>
          <w:color w:val="auto"/>
        </w:rPr>
        <w:t>We intend to use substantially all of the funds held in the trust account, including any amounts representing interest earned on the trust account (less taxes payable and deferred underwriting commissions), to complete our initial business combination. We may withdraw interest income (if any) to pay income taxes, if any. Our annual income tax obligations will depend on the amount of interest and other income earned on the amounts held in the trust account. We expect the interest income earned on the amount in the trust account (if any) will be sufficient to pay our income taxes. To the extent that our equity or debt is used, in whole or in part, as consideration to complete our initial business combination, the remaining proceeds held in the trust account will be used as working capital to finance the operations of the target business or businesses, make other acquisitions and pursue our growth strategies.</w:t>
      </w:r>
    </w:p>
    <w:p>
      <w:pPr>
        <w:spacing w:after="0" w:line="11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Prior to the completion of our initial business combination, we will have available to us the $2,500,000 of proceeds held outside the trust account (or $1,600,000 if the underwriter’s over-allotment option is exercised in full), as well as certain funds from loans from our sponsor. We will use these funds to primarily identify and evaluate target businesses, perform business due diligence on prospective target businesses, travel to and from the offices, plants or similar locations of prospective target businesses or their representatives or owners, review corporate documents and material agreements of prospective target businesses, and structure, negotiate and complete a business combination.</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3" w:name="page74"/>
    <w:bookmarkEnd w:id="73"/>
    <w:p>
      <w:pPr>
        <w:ind w:left="460" w:right="459" w:firstLine="432"/>
        <w:spacing w:after="0" w:line="285" w:lineRule="auto"/>
        <w:rPr>
          <w:sz w:val="20"/>
          <w:szCs w:val="20"/>
          <w:color w:val="auto"/>
        </w:rPr>
      </w:pPr>
      <w:r>
        <w:rPr>
          <w:rFonts w:ascii="Arial" w:cs="Arial" w:eastAsia="Arial" w:hAnsi="Arial"/>
          <w:sz w:val="16"/>
          <w:szCs w:val="16"/>
          <w:color w:val="auto"/>
        </w:rPr>
        <w:t>We do not believe we will need to raise additional funds following this offering in order to meet the expenditures required for operating our business prior to our initial business combination, other than funds available from loans from our sponsor. However, if our estimates of the costs of identifying a target business, undertaking in-depth due diligence and negotiating an initial business combination are less than the actual amount necessary to do so, we may have insufficient funds available to operate our business prior to our initial business combination. In order to fund working capital deficiencies or finance transaction costs in connection with an intended initial business combination, our sponsor or an affiliate of our sponsor or certain of our officers and directors may, but are not obligated to, loan us funds as may be required. If we complete our initial business combination, we would repay such loaned amounts. In the event that our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of the post business combination entity at a price of $1.00 per warrant at the option of the lender. The warrants would be identical to the private placement warrants. The terms of such loans, if any, have not been determined and no written agreements exist with respect to such loans. Prior to the completion of our initial business combination,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pacing w:after="0" w:line="93" w:lineRule="exact"/>
        <w:rPr>
          <w:sz w:val="20"/>
          <w:szCs w:val="20"/>
          <w:color w:val="auto"/>
        </w:rPr>
      </w:pPr>
    </w:p>
    <w:p>
      <w:pPr>
        <w:ind w:left="460" w:right="559" w:firstLine="432"/>
        <w:spacing w:after="0" w:line="255" w:lineRule="auto"/>
        <w:rPr>
          <w:sz w:val="20"/>
          <w:szCs w:val="20"/>
          <w:color w:val="auto"/>
        </w:rPr>
      </w:pPr>
      <w:r>
        <w:rPr>
          <w:rFonts w:ascii="Arial" w:cs="Arial" w:eastAsia="Arial" w:hAnsi="Arial"/>
          <w:sz w:val="18"/>
          <w:szCs w:val="18"/>
          <w:color w:val="auto"/>
        </w:rPr>
        <w:t>We expect our primary liquidity requirements during that period to include approximately $1,935,000 for legal, accounting, due diligence, travel and other expenses associated with structuring, negotiating and documenting successful business combinations; $120,000 for legal and accounting fees related to regulatory reporting requirements; $180,000 for office space, administrative and support services; $165,000 for NYSE continued listing fees; and $100,000 for general working capital that will be used for miscellaneous expenses and reserves.</w:t>
      </w:r>
    </w:p>
    <w:p>
      <w:pPr>
        <w:spacing w:after="0" w:line="125" w:lineRule="exact"/>
        <w:rPr>
          <w:sz w:val="20"/>
          <w:szCs w:val="20"/>
          <w:color w:val="auto"/>
        </w:rPr>
      </w:pPr>
    </w:p>
    <w:p>
      <w:pPr>
        <w:ind w:left="460" w:right="539" w:firstLine="432"/>
        <w:spacing w:after="0" w:line="287" w:lineRule="auto"/>
        <w:rPr>
          <w:sz w:val="20"/>
          <w:szCs w:val="20"/>
          <w:color w:val="auto"/>
        </w:rPr>
      </w:pPr>
      <w:r>
        <w:rPr>
          <w:rFonts w:ascii="Arial" w:cs="Arial" w:eastAsia="Arial" w:hAnsi="Arial"/>
          <w:sz w:val="16"/>
          <w:szCs w:val="16"/>
          <w:color w:val="auto"/>
        </w:rPr>
        <w:t>These amounts are estimates and may differ materially from our actual expenses. In addition, we could use a portion of the funds not being placed in trust to pay commitment fees for financing, fees to consultants to assist us with our search for a target business or as a down payment or to fund a “no-shop” provision (a provision designed to keep target businesses from “shopping” around for transactions with other companies or investors on terms more favorable to such target businesses) with respect to a particular proposed business combination, although we do not have any current intention to do so. If we entered into an agreement where we paid for the right to receive exclusivity from a target business, the amount that would be used as a down payment or to fund a “no-shop” provision would be determined based on the terms of the specific business combination and the amount of our available funds at the time. Our forfeiture of such funds (whether as a result of our breach or otherwise) could result in our not having sufficient funds to continue searching for, or conducting due diligence with respect to, prospective target businesses.</w:t>
      </w:r>
    </w:p>
    <w:p>
      <w:pPr>
        <w:spacing w:after="0" w:line="104"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Moreover, 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If we are unable to complete our initial business combination because we do not have sufficient funds available to us, we will be forced to cease operations and liquidate the trust account.</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Controls and Procedures</w:t>
      </w:r>
    </w:p>
    <w:p>
      <w:pPr>
        <w:spacing w:after="0" w:line="148"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are not currently required to maintain an effective system of internal controls as defined by</w:t>
      </w:r>
    </w:p>
    <w:p>
      <w:pPr>
        <w:spacing w:after="0" w:line="23" w:lineRule="exact"/>
        <w:rPr>
          <w:sz w:val="20"/>
          <w:szCs w:val="20"/>
          <w:color w:val="auto"/>
        </w:rPr>
      </w:pPr>
    </w:p>
    <w:p>
      <w:pPr>
        <w:ind w:left="460" w:right="479"/>
        <w:spacing w:after="0" w:line="251" w:lineRule="auto"/>
        <w:rPr>
          <w:sz w:val="20"/>
          <w:szCs w:val="20"/>
          <w:color w:val="auto"/>
        </w:rPr>
      </w:pPr>
      <w:r>
        <w:rPr>
          <w:rFonts w:ascii="Arial" w:cs="Arial" w:eastAsia="Arial" w:hAnsi="Arial"/>
          <w:sz w:val="18"/>
          <w:szCs w:val="18"/>
          <w:color w:val="auto"/>
        </w:rPr>
        <w:t>Section 404 of the Sarbanes-Oxley Act. We will be required to comply with the internal control requirements of the Sarbanes- Oxley Act for the fiscal year ending December 31, 2021. Only in the event that we are deemed to be a large accelerated filer or an accelerated filer and no longer qualify as an emerging growth company would we be required to comply with the independent registered public accounting firm attestation requirement on internal control over financial reporting. Further, for as long as we remain an emerging growth company as defined in the JOBS Act, we intend to take advantage of certain exemptions from various reporting requirements that are applicable to other public companies that are not “emerging growth companies” including, but not limited to, not being required to comply with the independent registered public accounting firm attestation requirement.</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4" w:name="page75"/>
    <w:bookmarkEnd w:id="74"/>
    <w:p>
      <w:pPr>
        <w:ind w:left="460" w:right="599" w:firstLine="432"/>
        <w:spacing w:after="0" w:line="291" w:lineRule="auto"/>
        <w:rPr>
          <w:sz w:val="20"/>
          <w:szCs w:val="20"/>
          <w:color w:val="auto"/>
        </w:rPr>
      </w:pPr>
      <w:r>
        <w:rPr>
          <w:rFonts w:ascii="Arial" w:cs="Arial" w:eastAsia="Arial" w:hAnsi="Arial"/>
          <w:sz w:val="16"/>
          <w:szCs w:val="16"/>
          <w:color w:val="auto"/>
        </w:rPr>
        <w:t>Prior to the closing of this offering, we have not completed an assessment, nor have our auditors tested our systems, of our internal controls. We expect to assess the internal controls of our target business or businesses prior to the completion of our initial business combination and, if necessary, to implement and test additional controls as we may determine are necessary in order to state that we maintain an effective system of internal controls. A target business may not be in compliance with the provisions of the Sarbanes-Oxley Act regarding the adequacy of internal controls. Many small and mid-sized target businesses we may consider for our initial business combination may have internal controls that need improvement in areas such as:</w:t>
      </w:r>
    </w:p>
    <w:p>
      <w:pPr>
        <w:spacing w:after="0" w:line="85" w:lineRule="exact"/>
        <w:rPr>
          <w:sz w:val="20"/>
          <w:szCs w:val="20"/>
          <w:color w:val="auto"/>
        </w:rPr>
      </w:pPr>
    </w:p>
    <w:p>
      <w:pPr>
        <w:ind w:left="1300" w:hanging="414"/>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staffing for financial, accounting and external reporting areas, including segregation of duties;</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reconciliation of accounts;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proper recording of expenses and liabilities in the period to which they relate;</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evidence of internal review and approval of accounting transactions;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38"/>
        </w:numPr>
        <w:rPr>
          <w:rFonts w:ascii="Arial" w:cs="Arial" w:eastAsia="Arial" w:hAnsi="Arial"/>
          <w:sz w:val="17"/>
          <w:szCs w:val="17"/>
          <w:color w:val="auto"/>
        </w:rPr>
      </w:pPr>
      <w:r>
        <w:rPr>
          <w:rFonts w:ascii="Arial" w:cs="Arial" w:eastAsia="Arial" w:hAnsi="Arial"/>
          <w:sz w:val="17"/>
          <w:szCs w:val="17"/>
          <w:color w:val="auto"/>
        </w:rPr>
        <w:t>documentation of processes, assumptions and conclusions underlying significant estimates; and</w:t>
      </w:r>
    </w:p>
    <w:p>
      <w:pPr>
        <w:spacing w:after="0" w:line="169" w:lineRule="exact"/>
        <w:rPr>
          <w:rFonts w:ascii="Arial" w:cs="Arial" w:eastAsia="Arial" w:hAnsi="Arial"/>
          <w:sz w:val="17"/>
          <w:szCs w:val="17"/>
          <w:color w:val="auto"/>
        </w:rPr>
      </w:pPr>
    </w:p>
    <w:p>
      <w:pPr>
        <w:ind w:left="1300" w:hanging="414"/>
        <w:spacing w:after="0"/>
        <w:tabs>
          <w:tab w:leader="none" w:pos="1300" w:val="left"/>
        </w:tabs>
        <w:numPr>
          <w:ilvl w:val="0"/>
          <w:numId w:val="38"/>
        </w:numPr>
        <w:rPr>
          <w:rFonts w:ascii="Arial" w:cs="Arial" w:eastAsia="Arial" w:hAnsi="Arial"/>
          <w:sz w:val="18"/>
          <w:szCs w:val="18"/>
          <w:color w:val="auto"/>
        </w:rPr>
      </w:pPr>
      <w:r>
        <w:rPr>
          <w:rFonts w:ascii="Arial" w:cs="Arial" w:eastAsia="Arial" w:hAnsi="Arial"/>
          <w:sz w:val="18"/>
          <w:szCs w:val="18"/>
          <w:color w:val="auto"/>
        </w:rPr>
        <w:t>documentation of accounting policies and procedures.</w:t>
      </w:r>
    </w:p>
    <w:p>
      <w:pPr>
        <w:spacing w:after="0" w:line="144"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Because it will take time, management involvement and perhaps outside resources to determine what internal control improvements are necessary for us to meet regulatory requirements and market expectations for our operation of a target business, we may incur significant expenses in meeting our public reporting responsibilities, particularly in the areas of designing, enhancing, or remediating internal and disclosure controls. Doing so effectively may also take longer than we expect, thus increasing our exposure to financial fraud or erroneous financing reporting.</w:t>
      </w:r>
    </w:p>
    <w:p>
      <w:pPr>
        <w:spacing w:after="0" w:line="125" w:lineRule="exact"/>
        <w:rPr>
          <w:sz w:val="20"/>
          <w:szCs w:val="20"/>
          <w:color w:val="auto"/>
        </w:rPr>
      </w:pPr>
    </w:p>
    <w:p>
      <w:pPr>
        <w:ind w:left="460" w:right="479" w:firstLine="432"/>
        <w:spacing w:after="0" w:line="259" w:lineRule="auto"/>
        <w:rPr>
          <w:sz w:val="20"/>
          <w:szCs w:val="20"/>
          <w:color w:val="auto"/>
        </w:rPr>
      </w:pPr>
      <w:r>
        <w:rPr>
          <w:rFonts w:ascii="Arial" w:cs="Arial" w:eastAsia="Arial" w:hAnsi="Arial"/>
          <w:sz w:val="18"/>
          <w:szCs w:val="18"/>
          <w:color w:val="auto"/>
        </w:rPr>
        <w:t>Once our management’s report on internal controls is complete, we will retain our independent auditors to audit and render an opinion on such report when required by Section 404. The independent auditors may identify additional issues concerning a target business’s internal controls while performing their audit of internal control over financial reporting.</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Quantitative and Qualitative Disclosures about Market Risk</w:t>
      </w:r>
    </w:p>
    <w:p>
      <w:pPr>
        <w:spacing w:after="0" w:line="162"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net proceeds of this offering and the sale of the private placement warrants held in the trust account will be invested in U.S. government treasury obligations with a maturity of 185 days or less or in money market funds meeting certain conditions under Rule 2a-7 under the Investment Company Act which invest only in direct U.S. government treasury obligations. Due to the short-term nature of these investments, we believe there will be no associated material exposure to interest rate risk.</w:t>
      </w:r>
    </w:p>
    <w:p>
      <w:pPr>
        <w:spacing w:after="0" w:line="172"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Off-balance Sheet Arrangements; Commitments and Contractual Obligations; Quarterly Results</w:t>
      </w:r>
    </w:p>
    <w:p>
      <w:pPr>
        <w:spacing w:after="0" w:line="160" w:lineRule="exact"/>
        <w:rPr>
          <w:sz w:val="20"/>
          <w:szCs w:val="20"/>
          <w:color w:val="auto"/>
        </w:rPr>
      </w:pPr>
    </w:p>
    <w:p>
      <w:pPr>
        <w:jc w:val="both"/>
        <w:ind w:left="460" w:right="559" w:firstLine="432"/>
        <w:spacing w:after="0" w:line="311" w:lineRule="auto"/>
        <w:rPr>
          <w:sz w:val="20"/>
          <w:szCs w:val="20"/>
          <w:color w:val="auto"/>
        </w:rPr>
      </w:pPr>
      <w:r>
        <w:rPr>
          <w:rFonts w:ascii="Arial" w:cs="Arial" w:eastAsia="Arial" w:hAnsi="Arial"/>
          <w:sz w:val="16"/>
          <w:szCs w:val="16"/>
          <w:color w:val="auto"/>
        </w:rPr>
        <w:t>As of December 31, 2019, we did not have any off-balance sheet arrangements as defined in Item 303(a) (4)(ii) of Regulation S-K and did not have any commitments or contractual obligations. No unaudited quarterly operating data is included in this prospectus as we have not conducted any operations to date.</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JOBS Act</w:t>
      </w:r>
    </w:p>
    <w:p>
      <w:pPr>
        <w:spacing w:after="0" w:line="162"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JOBS Act contains provisions that, among other things, relax certain reporting requirements for qualifying public companies. We will qualify as an “emerging growth company” and under the JOBS Act will be allowed to comply with new or revised accounting pronouncements based on the effective date for private (not publicly traded) companies. We are electing to delay the adoption of new or revised accounting standards, and as a result, we may not comply with new or revised accounting standards on the relevant dates on which adoption of such standards is required for non-emerging growth companies. As a result, our financial statements may not be comparable to companies that comply with new or revised accounting pronouncements as of public company effective dates.</w:t>
      </w:r>
    </w:p>
    <w:p>
      <w:pPr>
        <w:spacing w:after="0" w:line="1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5" w:name="page76"/>
    <w:bookmarkEnd w:id="75"/>
    <w:p>
      <w:pPr>
        <w:ind w:left="460" w:right="479" w:firstLine="432"/>
        <w:spacing w:after="0" w:line="268" w:lineRule="auto"/>
        <w:rPr>
          <w:sz w:val="20"/>
          <w:szCs w:val="20"/>
          <w:color w:val="auto"/>
        </w:rPr>
      </w:pPr>
      <w:r>
        <w:rPr>
          <w:rFonts w:ascii="Arial" w:cs="Arial" w:eastAsia="Arial" w:hAnsi="Arial"/>
          <w:sz w:val="17"/>
          <w:szCs w:val="17"/>
          <w:color w:val="auto"/>
        </w:rPr>
        <w:t>Additionally, we are in the process of evaluating the benefits of relying on the other reduced reporting requirements provided by the JOBS Act. Subject to certain conditions set forth in the JOBS Act, if, as an “emerging growth company,” we choose to rely on such exemptions we may not be required to, among other things, (i) provide an auditor’s attestation report on our system of internal controls over financial reporting pursuant to Section 404, (ii) provide all of the compensation disclosure that may be required of non-emerging growth public companies under the Dodd-Frank Wall Street Reform and Consumer Protection Act, (iii) comply with any requirement that may be adopted by the PCAOB regarding mandatory audit firm rotation or a supplement to the auditor’s report providing additional information about the audit and the financial statements (auditor discussion and analysis) and (iv) disclose certain executive compensation related items such as the correlation between executive compensation and performance and comparisons of the chief executive officer’s compensation to median employee compensation. These exemptions will apply for a period of five years following the completion of our initial public offering or until we are no longer an “emerging growth company,” whichever is earlier.</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6" w:name="page77"/>
    <w:bookmarkEnd w:id="76"/>
    <w:p>
      <w:pPr>
        <w:jc w:val="center"/>
        <w:ind w:right="19"/>
        <w:spacing w:after="0"/>
        <w:rPr>
          <w:sz w:val="20"/>
          <w:szCs w:val="20"/>
          <w:color w:val="auto"/>
        </w:rPr>
      </w:pPr>
      <w:r>
        <w:rPr>
          <w:rFonts w:ascii="Arial" w:cs="Arial" w:eastAsia="Arial" w:hAnsi="Arial"/>
          <w:sz w:val="18"/>
          <w:szCs w:val="18"/>
          <w:b w:val="1"/>
          <w:bCs w:val="1"/>
          <w:color w:val="auto"/>
        </w:rPr>
        <w:t>PROPOSED BUSINESS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Introduction</w:t>
      </w:r>
    </w:p>
    <w:p>
      <w:pPr>
        <w:spacing w:after="0" w:line="162"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We are a blank check company newly incorporated as a Cayman Islands exempted company for the purpose of effecting a merger, share exchange, asset acquisition, share purchase, reorganization or similar business combination with one or more businesses or entities, which we refer to throughout this prospectus as our initial business combination. We have not selected any business combination target and we have not, nor has anyone on our behalf, initiated any substantive discussions, directly or indirectly, with any potential business combination target.</w:t>
      </w:r>
    </w:p>
    <w:p>
      <w:pPr>
        <w:spacing w:after="0" w:line="111"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We believe that there are significant, attractive investment opportunities that exist within industries that benefit from strong Environmental, Social and Governance (“ESG”) profiles. While investing in ESG covers a broad range of themes, we are focused on evaluating suitable targets that have existing environmental sustainability practices or that may benefit, both operationally and economically, from our management team’s commitment and expertise in executing such practices. We believe our management team’s experience allows us to evaluate targets in industries such as manufacturing (including auto, building materials), chemicals, services (including waste, environmental, construction), logistics (including transportation, distribution), technology (hardware, software, devices), agriculture (including biofuels) and energy (with focus on renewable generation, utility services, energy efficiency/management), among others. Furthermore, our target universe could include companies undergoing a transition to increase their environmental sustainability profiles, reflecting an opportunity to bring environmentally sustainable practices to companies that may not have historically been focused on environmental sustainability. We believe there is a wide array of companies undergoing this “brown-to-green” transition in our target universe. Companies in our target universe tend to have stable growth rates and would greatly benefit from access to public market capital.</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We believe in the ability of our management team to add significant value to a target company from a commercial, operating, strategic and sustainability perspective. In particular, we intend to identify and acquire a business that could benefit from a hands-on owner with extensive operational experience and the public company expertise our management team possesses, or that relies on the target’s executive and operational expertise but presents potential for an attractive risk-adjusted return profile under our stewardship. Even fundamentally sound companies can often underperform their potential due to underinvestment, a temporary period of dislocation in the markets in which they operate, over-levered capital structures, excessive cost structures, incomplete management teams and/or inappropriate business strategies. Our management team has extensive experience in identifying and executing such strategies. In addition, our team has significant hands-on experience working with private companies in preparing for and executing an initial public offering and serving as active owners and directors by working closely with these companies to continue their transformations and help create value in the public markets.</w:t>
      </w:r>
    </w:p>
    <w:p>
      <w:pPr>
        <w:spacing w:after="0" w:line="17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Founders, Our Board of Directors and Management</w:t>
      </w:r>
    </w:p>
    <w:p>
      <w:pPr>
        <w:spacing w:after="0" w:line="162" w:lineRule="exact"/>
        <w:rPr>
          <w:sz w:val="20"/>
          <w:szCs w:val="20"/>
          <w:color w:val="auto"/>
        </w:rPr>
      </w:pPr>
    </w:p>
    <w:p>
      <w:pPr>
        <w:ind w:left="460" w:right="539" w:firstLine="432"/>
        <w:spacing w:after="0" w:line="285" w:lineRule="auto"/>
        <w:rPr>
          <w:sz w:val="20"/>
          <w:szCs w:val="20"/>
          <w:color w:val="auto"/>
        </w:rPr>
      </w:pPr>
      <w:r>
        <w:rPr>
          <w:rFonts w:ascii="Arial" w:cs="Arial" w:eastAsia="Arial" w:hAnsi="Arial"/>
          <w:sz w:val="16"/>
          <w:szCs w:val="16"/>
          <w:color w:val="auto"/>
        </w:rPr>
        <w:t>Scott Leonard serves as our Chief Executive Officer and on our board of directors. Mr. Leonard has over 15 years of experience leading highly successful business transformations and transitions. Mr. Leonard also has deep expertise over the past 8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 &amp; 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Mr. Leonard earned a B.S. with Highest Honors from Georgia Tech, and an M.B.A. with Distinction from The Kellogg Graduate School of Management at Northwestern.</w:t>
      </w:r>
    </w:p>
    <w:p>
      <w:pPr>
        <w:spacing w:after="0" w:line="1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77" w:name="page78"/>
    <w:bookmarkEnd w:id="77"/>
    <w:p>
      <w:pPr>
        <w:ind w:left="460" w:right="479" w:firstLine="432"/>
        <w:spacing w:after="0" w:line="265" w:lineRule="auto"/>
        <w:rPr>
          <w:sz w:val="20"/>
          <w:szCs w:val="20"/>
          <w:color w:val="auto"/>
        </w:rPr>
      </w:pPr>
      <w:r>
        <w:rPr>
          <w:rFonts w:ascii="Arial" w:cs="Arial" w:eastAsia="Arial" w:hAnsi="Arial"/>
          <w:sz w:val="17"/>
          <w:szCs w:val="17"/>
          <w:color w:val="auto"/>
        </w:rPr>
        <w:t>Scott Honour serves as the Chairman of our board of directors. Mr. Honour has over 30 years of private equity investment experience and has been involved in over 100 transactions totaling over $20 billion in transaction value. Mr. Honour is Managing Partner of Northern Pacific Group (“NPG”), a private equity firm, which he co-founded in 2012. Prior to that, Mr. Honour was at The Gores Group, a Los Angeles based private equity firm, for 10 years, serving as Senior Managing Director and one of the firm’s top executives. During his time at The Gores Group, the firm raised four funds, totaling $4 billion in aggregate, and made over 35 investments. Mr. Honour also served on the investment committee for The Gores Group. Prior to joining The Gores Group, Mr. Honour was a Managing Director at UBS Investment Bank from 2000 to 2002 and was an investment banker at Donaldson, Lufkin &amp; Jenrette from 1991 to 2000. Mr. Honour began his career at Trammell Crow Company in 1988. Mr. Honour has served on the board of directors of numerous public and private companies including Solar Spectrum Holdings LLC, Anthem Sports &amp; Entertainment Inc., 1</w:t>
      </w:r>
      <w:r>
        <w:rPr>
          <w:rFonts w:ascii="Arial" w:cs="Arial" w:eastAsia="Arial" w:hAnsi="Arial"/>
          <w:sz w:val="19"/>
          <w:szCs w:val="19"/>
          <w:color w:val="auto"/>
          <w:vertAlign w:val="superscript"/>
        </w:rPr>
        <w:t>st</w:t>
      </w:r>
      <w:r>
        <w:rPr>
          <w:rFonts w:ascii="Arial" w:cs="Arial" w:eastAsia="Arial" w:hAnsi="Arial"/>
          <w:sz w:val="17"/>
          <w:szCs w:val="17"/>
          <w:color w:val="auto"/>
        </w:rPr>
        <w:t xml:space="preserve"> Choice Delivery, LLC, United Language Group, Inc., Renters Warehouse LLC, Real Dolmen (REM:BB) and Westwood One, Inc. (formerly Nasdaq: WWON), and is a co-founder of Titan CNG LLC and YapStone Inc. Mr. Honour earned a B.S. and B.A., </w:t>
      </w:r>
      <w:r>
        <w:rPr>
          <w:rFonts w:ascii="Arial" w:cs="Arial" w:eastAsia="Arial" w:hAnsi="Arial"/>
          <w:sz w:val="17"/>
          <w:szCs w:val="17"/>
          <w:i w:val="1"/>
          <w:iCs w:val="1"/>
          <w:color w:val="auto"/>
        </w:rPr>
        <w:t>cum laude</w:t>
      </w:r>
      <w:r>
        <w:rPr>
          <w:rFonts w:ascii="Arial" w:cs="Arial" w:eastAsia="Arial" w:hAnsi="Arial"/>
          <w:sz w:val="17"/>
          <w:szCs w:val="17"/>
          <w:color w:val="auto"/>
        </w:rPr>
        <w:t>, in Business Administration and Economics from Pepperdine University and an M.B.A. in Finance and Marketing from the Wharton School of the University of Pennsylvania.</w:t>
      </w:r>
    </w:p>
    <w:p>
      <w:pPr>
        <w:spacing w:after="0" w:line="112"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6"/>
          <w:szCs w:val="16"/>
          <w:color w:val="auto"/>
        </w:rPr>
        <w:t>David Quiram serves as our Chief Financial Officer. Dr. Quiram has over 20 years of leadership experience in technology, strategy and finance organizations with a deep understanding of the chemicals, emerging technology, bioscience and energy sectors. Previously, Dr. Quiram served as Head of Financial Planning and Analysis and Tax at GenOn Energy (“GenOn”) from 2017 until 2019 where he was responsible for standing up the financial and administrative functions of GenOn as a stand-alone entity from NRG Energy Inc. (NYSE: NRG). Prior to that, Dr. Quiram served as Head of Investments for Enterprise Services of Hewlett Packard Enterprise (NYSE: HPE) from 2014 until 2017 where he directed investments into products and services. From 2010 to 2014, Dr. Quiram was with Accenture (NYSE: ACN) as a Senior Manager in their Strategy practice focused on transforming utilities, independent power producers, and energy retailers. From 2006 to 2009, Dr. Quiram worked at multiple roles at TXU Energy starting in finance and later served as Vice President of Retail Pricing and Procurement where he led the pricing and hedging for TXU Energy’s retail portfolio. Dr. Quiram began his career at McKinsey &amp; Co where he worked as an Engagement Manager from 2001 until 2005, and as a Research Scientist at DuPont (NYSE: DD) from 1998 to 2001. Dr. Quiram earned a B.S. in Chemical Engineering with Highest Distinction from the University of Virginia, and an M.S. and Ph.D. in Chemical Engineering from the Massachusetts Institute of Technology.</w:t>
      </w:r>
    </w:p>
    <w:p>
      <w:pPr>
        <w:spacing w:after="0" w:line="10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Rick Gaenzle has agreed to serve on our board of directors. Mr. Gaenzle has over 30 years of private equity investment and corporate finance experience; he is the founder and currently serves as a Managing Director of Gilbert Global Equity Capital, L.L.C., the principal investment advisor to Gilbert Global Equity Partners, L.P. and related entities, a $1.2 billion leveraged buyout and private equity fund. Mr. Gaenzle has spent the last twenty-eight years at Gilbert Global and its predecessor entity, completing over 110 direct equity investments, co-investments and add-on acquisitions for portfolio companies. Previously, Mr. Gaenzle was a Principal of Soros Capital L.P., the principal venture capital and leveraged equity entity of the Quantum Group of Funds and a principal advisor to Quantum Industrial Holdings Ltd. Prior to joining Soros Capital, Mr. Gaenzle held various positions at PaineWebber Inc. Mr. Gaenzle currently serves as a Senior Advisor to Impact Delta, an impact-investing and impact-measurement advisory firm; an Operating Partner of NPG; and Chairman of Lake Street Homes, a single-family rental investment vehicle. Mr. Gaenzle holds a B.A. from Hartwick College and an M.B.A. from Fordham University.</w:t>
      </w:r>
    </w:p>
    <w:p>
      <w:pPr>
        <w:spacing w:after="0" w:line="111"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Isaac Barchas has agreed to serve on our board of directors. Mr. Barchas is the President and Chief Executive Officer of Research Bridge Partners (“RBP”), a socially-driven investment company, which he founded in 2016. RBP uses both concessionary and nonconcessionary investment to create startup companies based on university research and advance those companies into the venture capital markets. Prior to founding RBP, Mr. Barchas led the Austin Technology Incubator (“ATI”) at The University of Texas at Austin from 2006 to 2016. ATI’s Clean Energy Incubator was the first university clean tech incubation program in the United States. During Mr. Barchas’ leadership, ATI companies raised over $1 billion in the capital markets. Mr. Barchas joined the university from McKinsey &amp; Co., where he worked in the Chicago, Sydney, Auckland, and Dallas offices, from 1996 to 2006 and served on the leadership teams of McKinsey’s North American Healthcare Practice and Global Organization Practice. Mr. Barchas has served on multiple private company boards and on philanthropic boards including Pecan Street Inc., the largest analytically-focused clean energy and climate data consortium in the United States, where he was a founding board member. Mr. Barchas earned a J.D. (honors) and M.A. (Century Fellowship) from The University of Chicago. He received an A.B. from Stanford University (honors and Phi Beta Kappa).</w:t>
      </w:r>
    </w:p>
    <w:p>
      <w:pPr>
        <w:spacing w:after="0" w:line="14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8" w:name="page79"/>
    <w:bookmarkEnd w:id="78"/>
    <w:p>
      <w:pPr>
        <w:ind w:left="460" w:right="499" w:firstLine="432"/>
        <w:spacing w:after="0" w:line="270" w:lineRule="auto"/>
        <w:rPr>
          <w:sz w:val="20"/>
          <w:szCs w:val="20"/>
          <w:color w:val="auto"/>
        </w:rPr>
      </w:pPr>
      <w:r>
        <w:rPr>
          <w:rFonts w:ascii="Arial" w:cs="Arial" w:eastAsia="Arial" w:hAnsi="Arial"/>
          <w:sz w:val="17"/>
          <w:szCs w:val="17"/>
          <w:color w:val="auto"/>
        </w:rPr>
        <w:t>Justin Kelly has agreed to serve on our board of directors. Mr. Kelly is currently the Chief Executive Officer and Chief Investment Officer of Winslow Capital Management, LLC (“Winslow Capital”), Nuveen’s center of excellence for growth investing. Mr. Kelly also serves as lead portfolio manager on the firm’s flagship U.S. Large Cap Growth Strategy. Mr. Kelly has been with Winslow Capital for over two decades and has transformed the firm from a single strategy, niche investment firm to a thought leader globally in growth equity investing with four strategies. Prior to joining Winslow Capital in 1999, Mr. Kelly was an equity analyst at Investment Advisors in Minneapolis. Prior to that, Mr. Kelly worked at Prudential Bache, from 1993 to 1996 as Investment Banker, and Salomon Brothers, from 1996 to 1997 as Investment Banker. Mr. Kelly earned a B.S. in Finance/Investments from Babson College.</w:t>
      </w:r>
    </w:p>
    <w:p>
      <w:pPr>
        <w:spacing w:after="0" w:line="100"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color w:val="auto"/>
        </w:rPr>
        <w:t>We will further be supported by our team of advisors comprised of former senior executives from leading global companies with experience in a wide range of sub-sectors and functional areas, who have previously worked together over the last decade or more. They will provide us with access to their expertise and extensive industry networks from which we intend to source and evaluate targets as well as devise plans to optimize any business that we acquire.</w:t>
      </w:r>
    </w:p>
    <w:p>
      <w:pPr>
        <w:spacing w:after="0" w:line="120"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Our management team will be supported by NPG, a technology and business services focused private equity firm based in Wayzata, Minnesota. NPG has considerable experience investing in ESG related portfolio companies with community impact, workplace diversity and integrity, and environmental resource management acting as cornerstones to key investment decisions. NPG has offset its carbon footprint to net zero, achieving CarbonNeutral® status. The partners of NPG have been involved in acquisitions, financings and advisory transactions totaling over $20 billion in transaction value and have significant experience investing across a variety of economic cycles and a track record of identifying high-quality assets, businesses and management teams with significant resources, capital and optimization potential. We believe that we will benefit from NPG’s prior experience.</w:t>
      </w:r>
    </w:p>
    <w:p>
      <w:pPr>
        <w:spacing w:after="0" w:line="113" w:lineRule="exact"/>
        <w:rPr>
          <w:sz w:val="20"/>
          <w:szCs w:val="20"/>
          <w:color w:val="auto"/>
        </w:rPr>
      </w:pPr>
    </w:p>
    <w:p>
      <w:pPr>
        <w:ind w:left="460" w:right="599" w:firstLine="432"/>
        <w:spacing w:after="0" w:line="270" w:lineRule="auto"/>
        <w:rPr>
          <w:sz w:val="20"/>
          <w:szCs w:val="20"/>
          <w:color w:val="auto"/>
        </w:rPr>
      </w:pPr>
      <w:r>
        <w:rPr>
          <w:rFonts w:ascii="Arial" w:cs="Arial" w:eastAsia="Arial" w:hAnsi="Arial"/>
          <w:sz w:val="17"/>
          <w:szCs w:val="17"/>
          <w:color w:val="auto"/>
        </w:rPr>
        <w:t>With respect to the above, past performance of our management team is not a guarantee of either (i) success with respect to a business combination that may be consummated or (ii) the ability to successfully identify and execute a transaction. You should not rely on the historical record of management or their respective affiliates as indicative of future performance. See “Risk Factors — Past performance by our management team, including investments and transactions in which they have participated and businesses with which they have been associated, may not be indicative of future performance of an investment in us, and we may be unable to provide positive returns to shareholders.” For a list of our executive officers and entities for which a conflict of interest may or does exist between such officers and the company, please refer to “Management — Conflicts of Interest.”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Business Strategy</w:t>
      </w:r>
    </w:p>
    <w:p>
      <w:pPr>
        <w:spacing w:after="0" w:line="148" w:lineRule="exact"/>
        <w:rPr>
          <w:sz w:val="20"/>
          <w:szCs w:val="20"/>
          <w:color w:val="auto"/>
        </w:rPr>
      </w:pPr>
    </w:p>
    <w:p>
      <w:pPr>
        <w:jc w:val="both"/>
        <w:ind w:left="460" w:right="659" w:firstLine="432"/>
        <w:spacing w:after="0" w:line="311" w:lineRule="auto"/>
        <w:rPr>
          <w:sz w:val="20"/>
          <w:szCs w:val="20"/>
          <w:color w:val="auto"/>
        </w:rPr>
      </w:pPr>
      <w:r>
        <w:rPr>
          <w:rFonts w:ascii="Arial" w:cs="Arial" w:eastAsia="Arial" w:hAnsi="Arial"/>
          <w:sz w:val="16"/>
          <w:szCs w:val="16"/>
          <w:color w:val="auto"/>
        </w:rPr>
        <w:t>Our acquisition and value creation strategy is to identify and complete our initial business combination with a company in an industry that complements the experience and expertise of our management team and is focused on, or could benefit from, environmentally sustainable business practices. We will seek to:</w:t>
      </w:r>
    </w:p>
    <w:p>
      <w:pPr>
        <w:spacing w:after="0" w:line="81" w:lineRule="exact"/>
        <w:rPr>
          <w:sz w:val="20"/>
          <w:szCs w:val="20"/>
          <w:color w:val="auto"/>
        </w:rPr>
      </w:pPr>
    </w:p>
    <w:p>
      <w:pPr>
        <w:ind w:left="1320" w:right="679" w:hanging="434"/>
        <w:spacing w:after="0" w:line="277"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Leverage the strategic and transactional experience of our management team and sponsor to bring advice and attention to potential targets;</w:t>
      </w:r>
    </w:p>
    <w:p>
      <w:pPr>
        <w:spacing w:after="0" w:line="102"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Drive value creation through support of a strong environmental sustainability profile or a “brown-to-green” transition;</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39"/>
        </w:numPr>
        <w:rPr>
          <w:rFonts w:ascii="Arial" w:cs="Arial" w:eastAsia="Arial" w:hAnsi="Arial"/>
          <w:sz w:val="18"/>
          <w:szCs w:val="18"/>
          <w:color w:val="auto"/>
        </w:rPr>
      </w:pPr>
      <w:r>
        <w:rPr>
          <w:rFonts w:ascii="Arial" w:cs="Arial" w:eastAsia="Arial" w:hAnsi="Arial"/>
          <w:sz w:val="18"/>
          <w:szCs w:val="18"/>
          <w:color w:val="auto"/>
        </w:rPr>
        <w:t>Deliver creative approaches to transaction sourcing;</w:t>
      </w:r>
    </w:p>
    <w:p>
      <w:pPr>
        <w:spacing w:after="0" w:line="157" w:lineRule="exact"/>
        <w:rPr>
          <w:rFonts w:ascii="Arial" w:cs="Arial" w:eastAsia="Arial" w:hAnsi="Arial"/>
          <w:sz w:val="18"/>
          <w:szCs w:val="18"/>
          <w:color w:val="auto"/>
        </w:rPr>
      </w:pPr>
    </w:p>
    <w:p>
      <w:pPr>
        <w:ind w:left="1320" w:right="819" w:hanging="434"/>
        <w:spacing w:after="0" w:line="277"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Utilize an understanding of global financial markets and events, financing and overall corporate strategy options, including assistance with public company readiness; and</w:t>
      </w:r>
    </w:p>
    <w:p>
      <w:pPr>
        <w:spacing w:after="0" w:line="102" w:lineRule="exact"/>
        <w:rPr>
          <w:rFonts w:ascii="Arial" w:cs="Arial" w:eastAsia="Arial" w:hAnsi="Arial"/>
          <w:sz w:val="18"/>
          <w:szCs w:val="18"/>
          <w:color w:val="auto"/>
        </w:rPr>
      </w:pPr>
    </w:p>
    <w:p>
      <w:pPr>
        <w:ind w:left="1320" w:right="919" w:hanging="434"/>
        <w:spacing w:after="0" w:line="277" w:lineRule="auto"/>
        <w:tabs>
          <w:tab w:leader="none" w:pos="1311" w:val="left"/>
        </w:tabs>
        <w:numPr>
          <w:ilvl w:val="0"/>
          <w:numId w:val="39"/>
        </w:numPr>
        <w:rPr>
          <w:rFonts w:ascii="Arial" w:cs="Arial" w:eastAsia="Arial" w:hAnsi="Arial"/>
          <w:sz w:val="18"/>
          <w:szCs w:val="18"/>
          <w:color w:val="auto"/>
        </w:rPr>
      </w:pPr>
      <w:r>
        <w:rPr>
          <w:rFonts w:ascii="Arial" w:cs="Arial" w:eastAsia="Arial" w:hAnsi="Arial"/>
          <w:sz w:val="18"/>
          <w:szCs w:val="18"/>
          <w:color w:val="auto"/>
        </w:rPr>
        <w:t>Remove economic or environmental waste through environmentally sustainable operational or commercial improvements.</w:t>
      </w:r>
    </w:p>
    <w:p>
      <w:pPr>
        <w:spacing w:after="0" w:line="89"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Our selection process in choosing an attractive investment opportunity will leverage our management team’s network of industry, private equity sponsor, credit fund sponsor and lending community relationships as well as relationships with management teams of public and private companies, investment bankers, restructuring advisers, attorneys and accountants, which we believe should provide us with a number of business combination opportunities. We intend to deploy a proactive, thematic sourcing strategy and to focus on companies where we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79" w:name="page80"/>
    <w:bookmarkEnd w:id="79"/>
    <w:p>
      <w:pPr>
        <w:ind w:left="460" w:right="559"/>
        <w:spacing w:after="0" w:line="255" w:lineRule="auto"/>
        <w:rPr>
          <w:sz w:val="20"/>
          <w:szCs w:val="20"/>
          <w:color w:val="auto"/>
        </w:rPr>
      </w:pPr>
      <w:r>
        <w:rPr>
          <w:rFonts w:ascii="Arial" w:cs="Arial" w:eastAsia="Arial" w:hAnsi="Arial"/>
          <w:sz w:val="18"/>
          <w:szCs w:val="18"/>
          <w:color w:val="auto"/>
        </w:rPr>
        <w:t>believe the combination of our operating experience, relationships, capital and capital markets expertise can be a catalyst to transform a target company and can help accelerate the target’s growth, performance and sustainability profile. Upon completion of this offering, members of our management team will communicate with their network of relationships to articulate our initial business combination criteria, including the parameters of our search for a target business, and will begin the disciplined process of pursuing and reviewing promising leads.</w:t>
      </w:r>
    </w:p>
    <w:p>
      <w:pPr>
        <w:spacing w:after="0" w:line="111"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members of our management team have experience in:</w:t>
      </w:r>
    </w:p>
    <w:p>
      <w:pPr>
        <w:spacing w:after="0" w:line="158" w:lineRule="exact"/>
        <w:rPr>
          <w:sz w:val="20"/>
          <w:szCs w:val="20"/>
          <w:color w:val="auto"/>
        </w:rPr>
      </w:pPr>
    </w:p>
    <w:p>
      <w:pPr>
        <w:ind w:left="1320" w:right="1119" w:hanging="434"/>
        <w:spacing w:after="0" w:line="277"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and investing in companies with a focus on decarbonization and environmentally sustainable business practices;</w:t>
      </w:r>
    </w:p>
    <w:p>
      <w:pPr>
        <w:spacing w:after="0" w:line="102" w:lineRule="exact"/>
        <w:rPr>
          <w:rFonts w:ascii="Arial" w:cs="Arial" w:eastAsia="Arial" w:hAnsi="Arial"/>
          <w:sz w:val="18"/>
          <w:szCs w:val="18"/>
          <w:color w:val="auto"/>
        </w:rPr>
      </w:pPr>
    </w:p>
    <w:p>
      <w:pPr>
        <w:ind w:left="1320" w:right="799" w:hanging="434"/>
        <w:spacing w:after="0" w:line="277"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Operating companies, setting and enacting strategies, and identifying, monitoring and recruiting world-class talent;</w:t>
      </w:r>
    </w:p>
    <w:p>
      <w:pPr>
        <w:spacing w:after="0" w:line="89" w:lineRule="exact"/>
        <w:rPr>
          <w:rFonts w:ascii="Arial" w:cs="Arial" w:eastAsia="Arial" w:hAnsi="Arial"/>
          <w:sz w:val="18"/>
          <w:szCs w:val="18"/>
          <w:color w:val="auto"/>
        </w:rPr>
      </w:pPr>
    </w:p>
    <w:p>
      <w:pPr>
        <w:jc w:val="both"/>
        <w:ind w:left="1320" w:right="1059" w:hanging="434"/>
        <w:spacing w:after="0" w:line="263"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Developing and growing companies, both organically and through acquisitions and strategic transactions and expanding the product range and geographic footprint of a number of target businesses;</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Sourcing, structuring, acquiring and selling businesses;</w:t>
      </w:r>
    </w:p>
    <w:p>
      <w:pPr>
        <w:spacing w:after="0" w:line="157" w:lineRule="exact"/>
        <w:rPr>
          <w:rFonts w:ascii="Arial" w:cs="Arial" w:eastAsia="Arial" w:hAnsi="Arial"/>
          <w:sz w:val="18"/>
          <w:szCs w:val="18"/>
          <w:color w:val="auto"/>
        </w:rPr>
      </w:pPr>
    </w:p>
    <w:p>
      <w:pPr>
        <w:ind w:left="1320" w:right="659" w:hanging="434"/>
        <w:spacing w:after="0" w:line="277" w:lineRule="auto"/>
        <w:tabs>
          <w:tab w:leader="none" w:pos="1311" w:val="left"/>
        </w:tabs>
        <w:numPr>
          <w:ilvl w:val="0"/>
          <w:numId w:val="40"/>
        </w:numPr>
        <w:rPr>
          <w:rFonts w:ascii="Arial" w:cs="Arial" w:eastAsia="Arial" w:hAnsi="Arial"/>
          <w:sz w:val="18"/>
          <w:szCs w:val="18"/>
          <w:color w:val="auto"/>
        </w:rPr>
      </w:pPr>
      <w:r>
        <w:rPr>
          <w:rFonts w:ascii="Arial" w:cs="Arial" w:eastAsia="Arial" w:hAnsi="Arial"/>
          <w:sz w:val="18"/>
          <w:szCs w:val="18"/>
          <w:color w:val="auto"/>
        </w:rPr>
        <w:t>Accessing the capital markets, including financing businesses and helping companies transition to public ownership;</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40"/>
        </w:numPr>
        <w:rPr>
          <w:rFonts w:ascii="Arial" w:cs="Arial" w:eastAsia="Arial" w:hAnsi="Arial"/>
          <w:sz w:val="18"/>
          <w:szCs w:val="18"/>
          <w:color w:val="auto"/>
        </w:rPr>
      </w:pPr>
      <w:r>
        <w:rPr>
          <w:rFonts w:ascii="Arial" w:cs="Arial" w:eastAsia="Arial" w:hAnsi="Arial"/>
          <w:sz w:val="18"/>
          <w:szCs w:val="18"/>
          <w:color w:val="auto"/>
        </w:rPr>
        <w:t>Fostering relationships with sellers, capital providers and target management teams;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0"/>
        </w:numPr>
        <w:rPr>
          <w:rFonts w:ascii="Arial" w:cs="Arial" w:eastAsia="Arial" w:hAnsi="Arial"/>
          <w:sz w:val="16"/>
          <w:szCs w:val="16"/>
          <w:color w:val="auto"/>
        </w:rPr>
      </w:pPr>
      <w:r>
        <w:rPr>
          <w:rFonts w:ascii="Arial" w:cs="Arial" w:eastAsia="Arial" w:hAnsi="Arial"/>
          <w:sz w:val="16"/>
          <w:szCs w:val="16"/>
          <w:color w:val="auto"/>
        </w:rPr>
        <w:t>Executing transactions and business plans under various economic and financial market conditions.</w:t>
      </w:r>
    </w:p>
    <w:p>
      <w:pPr>
        <w:spacing w:after="0" w:line="24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Competitive Strengths</w:t>
      </w:r>
    </w:p>
    <w:p>
      <w:pPr>
        <w:spacing w:after="0" w:line="162"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sourcing, valuation, diligence and execution capabilities of our management team will provide us with a significant pipeline of opportunities from which to evaluate and select a business that will benefit from our expertise. Our competitive strengths include the following:</w:t>
      </w:r>
    </w:p>
    <w:p>
      <w:pPr>
        <w:spacing w:after="0" w:line="103" w:lineRule="exact"/>
        <w:rPr>
          <w:sz w:val="20"/>
          <w:szCs w:val="20"/>
          <w:color w:val="auto"/>
        </w:rPr>
      </w:pPr>
    </w:p>
    <w:p>
      <w:pPr>
        <w:ind w:left="1320" w:right="519" w:hanging="434"/>
        <w:spacing w:after="0" w:line="273" w:lineRule="auto"/>
        <w:tabs>
          <w:tab w:leader="none" w:pos="1311"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Strong Management Team and Sponsorship. </w:t>
      </w:r>
      <w:r>
        <w:rPr>
          <w:rFonts w:ascii="Arial" w:cs="Arial" w:eastAsia="Arial" w:hAnsi="Arial"/>
          <w:sz w:val="17"/>
          <w:szCs w:val="17"/>
          <w:color w:val="auto"/>
        </w:rPr>
        <w:t>We believe that our sponsor and management team,</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with its decade long proven ability to execute and simultaneously improve both financial metrics and sustainability, the strong track record of our management team focused on environmental sustainability will be viewed favorably by target businesses in need of professionalized management, ESG guidance, improved operating processes and controls, better access to industry relationships and strategic planning.</w:t>
      </w:r>
    </w:p>
    <w:p>
      <w:pPr>
        <w:spacing w:after="0" w:line="110" w:lineRule="exact"/>
        <w:rPr>
          <w:rFonts w:ascii="Arial" w:cs="Arial" w:eastAsia="Arial" w:hAnsi="Arial"/>
          <w:sz w:val="17"/>
          <w:szCs w:val="17"/>
          <w:color w:val="auto"/>
        </w:rPr>
      </w:pPr>
    </w:p>
    <w:p>
      <w:pPr>
        <w:ind w:left="1320" w:right="519" w:hanging="434"/>
        <w:spacing w:after="0" w:line="257"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Leading Experience in Decarbonization and Environmentally Sustainable Practices. </w:t>
      </w:r>
      <w:r>
        <w:rPr>
          <w:rFonts w:ascii="Arial" w:cs="Arial" w:eastAsia="Arial" w:hAnsi="Arial"/>
          <w:sz w:val="18"/>
          <w:szCs w:val="18"/>
          <w:color w:val="auto"/>
        </w:rPr>
        <w:t>Our</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management team has significant experience in decarbonization through the retirement and management of carbon intensive facilities as well as investment into new technologies. Our sponsor has an extensive track record of investment in companies with an environmental sustainability focus.</w:t>
      </w:r>
    </w:p>
    <w:p>
      <w:pPr>
        <w:spacing w:after="0" w:line="120" w:lineRule="exact"/>
        <w:rPr>
          <w:rFonts w:ascii="Arial" w:cs="Arial" w:eastAsia="Arial" w:hAnsi="Arial"/>
          <w:sz w:val="18"/>
          <w:szCs w:val="18"/>
          <w:color w:val="auto"/>
        </w:rPr>
      </w:pPr>
    </w:p>
    <w:p>
      <w:pPr>
        <w:ind w:left="1320" w:right="519" w:hanging="434"/>
        <w:spacing w:after="0" w:line="257" w:lineRule="auto"/>
        <w:tabs>
          <w:tab w:leader="none" w:pos="1311" w:val="left"/>
        </w:tabs>
        <w:numPr>
          <w:ilvl w:val="0"/>
          <w:numId w:val="41"/>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Proprietary Sourcing Channels and Leading Industry Relationships. </w:t>
      </w:r>
      <w:r>
        <w:rPr>
          <w:rFonts w:ascii="Arial" w:cs="Arial" w:eastAsia="Arial" w:hAnsi="Arial"/>
          <w:sz w:val="18"/>
          <w:szCs w:val="18"/>
          <w:color w:val="auto"/>
        </w:rPr>
        <w:t>We believe the capabilities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connections associated with our management team and sponsor will provide us with a differentiated pipeline of merger opportunities that would be difficult for other participants in the market to replicate. We expect these sourcing capabilities will be further bolstered by our management team’s reputation and deep industry relationships.</w:t>
      </w:r>
    </w:p>
    <w:p>
      <w:pPr>
        <w:spacing w:after="0" w:line="106" w:lineRule="exact"/>
        <w:rPr>
          <w:rFonts w:ascii="Arial" w:cs="Arial" w:eastAsia="Arial" w:hAnsi="Arial"/>
          <w:sz w:val="18"/>
          <w:szCs w:val="18"/>
          <w:color w:val="auto"/>
        </w:rPr>
      </w:pPr>
    </w:p>
    <w:p>
      <w:pPr>
        <w:ind w:left="1320" w:right="579" w:hanging="434"/>
        <w:spacing w:after="0" w:line="286" w:lineRule="auto"/>
        <w:tabs>
          <w:tab w:leader="none" w:pos="1311" w:val="left"/>
        </w:tabs>
        <w:numPr>
          <w:ilvl w:val="0"/>
          <w:numId w:val="41"/>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Investing Experience. </w:t>
      </w:r>
      <w:r>
        <w:rPr>
          <w:rFonts w:ascii="Arial" w:cs="Arial" w:eastAsia="Arial" w:hAnsi="Arial"/>
          <w:sz w:val="17"/>
          <w:szCs w:val="17"/>
          <w:color w:val="auto"/>
        </w:rPr>
        <w:t>We believe that our management and sponsor’s track record of identifying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and sourcing transactions positions us well to evaluate potential investment targets and select one that will be well received by the public markets and our shareholders.</w:t>
      </w:r>
    </w:p>
    <w:p>
      <w:pPr>
        <w:spacing w:after="0" w:line="97" w:lineRule="exact"/>
        <w:rPr>
          <w:rFonts w:ascii="Arial" w:cs="Arial" w:eastAsia="Arial" w:hAnsi="Arial"/>
          <w:sz w:val="17"/>
          <w:szCs w:val="17"/>
          <w:color w:val="auto"/>
        </w:rPr>
      </w:pPr>
    </w:p>
    <w:p>
      <w:pPr>
        <w:ind w:left="1320" w:right="579" w:hanging="434"/>
        <w:spacing w:after="0" w:line="254" w:lineRule="auto"/>
        <w:tabs>
          <w:tab w:leader="none" w:pos="1311" w:val="left"/>
        </w:tabs>
        <w:numPr>
          <w:ilvl w:val="0"/>
          <w:numId w:val="41"/>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 xml:space="preserve">Execution and Structuring Capability. </w:t>
      </w:r>
      <w:r>
        <w:rPr>
          <w:rFonts w:ascii="Arial" w:cs="Arial" w:eastAsia="Arial" w:hAnsi="Arial"/>
          <w:sz w:val="18"/>
          <w:szCs w:val="18"/>
          <w:color w:val="auto"/>
        </w:rPr>
        <w:t>We believe that our management team’s and sponsor’s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combined industry expertise and reputation will allow them to source and complete transactions possessing structural attributes that create an attractive investment thesis. These types of transactions are typically complex and require creativity, industry knowledge and expertise, rigorous due diligence, and extensive negotiations and documentation. We believe that by focusing our investment activities on these types of transactions, we are able to generate investment opportunities that have attractive risk/reward profiles based on their valuations and structural characteristics.</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0" w:name="page81"/>
    <w:bookmarkEnd w:id="80"/>
    <w:p>
      <w:pPr>
        <w:ind w:left="460"/>
        <w:spacing w:after="0"/>
        <w:rPr>
          <w:sz w:val="20"/>
          <w:szCs w:val="20"/>
          <w:color w:val="auto"/>
        </w:rPr>
      </w:pPr>
      <w:r>
        <w:rPr>
          <w:rFonts w:ascii="Arial" w:cs="Arial" w:eastAsia="Arial" w:hAnsi="Arial"/>
          <w:sz w:val="18"/>
          <w:szCs w:val="18"/>
          <w:b w:val="1"/>
          <w:bCs w:val="1"/>
          <w:color w:val="auto"/>
        </w:rPr>
        <w:t>Investment Criteria</w:t>
      </w:r>
    </w:p>
    <w:p>
      <w:pPr>
        <w:spacing w:after="0" w:line="162"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Consistent with our strategy, we have identified the following general criteria and guidelines which we believe are important in evaluating prospective target businesses. We will use these criteria and guidelines in evaluating acquisition opportunities, but we may decide to enter into our initial business combination with a target business that does not meet these criteria and guidelines. We intend to acquire one or more businesses or entities that we believe:</w:t>
      </w:r>
    </w:p>
    <w:p>
      <w:pPr>
        <w:spacing w:after="0" w:line="107" w:lineRule="exact"/>
        <w:rPr>
          <w:sz w:val="20"/>
          <w:szCs w:val="20"/>
          <w:color w:val="auto"/>
        </w:rPr>
      </w:pPr>
    </w:p>
    <w:p>
      <w:pPr>
        <w:ind w:left="1320" w:right="539" w:hanging="434"/>
        <w:spacing w:after="0" w:line="279" w:lineRule="auto"/>
        <w:tabs>
          <w:tab w:leader="none" w:pos="1311" w:val="left"/>
        </w:tabs>
        <w:numPr>
          <w:ilvl w:val="0"/>
          <w:numId w:val="42"/>
        </w:numPr>
        <w:rPr>
          <w:rFonts w:ascii="Arial" w:cs="Arial" w:eastAsia="Arial" w:hAnsi="Arial"/>
          <w:sz w:val="17"/>
          <w:szCs w:val="17"/>
          <w:color w:val="auto"/>
        </w:rPr>
      </w:pPr>
      <w:r>
        <w:rPr>
          <w:rFonts w:ascii="Arial" w:cs="Arial" w:eastAsia="Arial" w:hAnsi="Arial"/>
          <w:sz w:val="17"/>
          <w:szCs w:val="17"/>
          <w:b w:val="1"/>
          <w:bCs w:val="1"/>
          <w:i w:val="1"/>
          <w:iCs w:val="1"/>
          <w:color w:val="auto"/>
        </w:rPr>
        <w:t xml:space="preserve">Benefits from Environmentally Sustainable Business Practices. </w:t>
      </w:r>
      <w:r>
        <w:rPr>
          <w:rFonts w:ascii="Arial" w:cs="Arial" w:eastAsia="Arial" w:hAnsi="Arial"/>
          <w:sz w:val="17"/>
          <w:szCs w:val="17"/>
          <w:color w:val="auto"/>
        </w:rPr>
        <w:t>We will seek to acquire a</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business that (i) has existing operating practices that promote and profit from environmental sustainability or (ii) would benefit from implementing environmentally sustainable commercial and operating practices leveraging the expertise of our management team and sponsor.</w:t>
      </w:r>
    </w:p>
    <w:p>
      <w:pPr>
        <w:spacing w:after="0" w:line="103" w:lineRule="exact"/>
        <w:rPr>
          <w:rFonts w:ascii="Arial" w:cs="Arial" w:eastAsia="Arial" w:hAnsi="Arial"/>
          <w:sz w:val="17"/>
          <w:szCs w:val="17"/>
          <w:color w:val="auto"/>
        </w:rPr>
      </w:pPr>
    </w:p>
    <w:p>
      <w:pPr>
        <w:ind w:left="1320" w:right="739" w:hanging="434"/>
        <w:spacing w:after="0" w:line="263"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 Defensible Market Position. </w:t>
      </w:r>
      <w:r>
        <w:rPr>
          <w:rFonts w:ascii="Arial" w:cs="Arial" w:eastAsia="Arial" w:hAnsi="Arial"/>
          <w:sz w:val="18"/>
          <w:szCs w:val="18"/>
          <w:color w:val="auto"/>
        </w:rPr>
        <w:t>We will seek to acquire a business that has a defensible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position within a target market as a result of a differentiated technology, distribution capabilities, customer service or other competitive advantages.</w:t>
      </w:r>
    </w:p>
    <w:p>
      <w:pPr>
        <w:spacing w:after="0" w:line="116" w:lineRule="exact"/>
        <w:rPr>
          <w:rFonts w:ascii="Arial" w:cs="Arial" w:eastAsia="Arial" w:hAnsi="Arial"/>
          <w:sz w:val="18"/>
          <w:szCs w:val="18"/>
          <w:color w:val="auto"/>
        </w:rPr>
      </w:pPr>
    </w:p>
    <w:p>
      <w:pPr>
        <w:jc w:val="both"/>
        <w:ind w:left="1320" w:right="539" w:hanging="434"/>
        <w:spacing w:after="0" w:line="263"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an Attractive Financial Profile. </w:t>
      </w:r>
      <w:r>
        <w:rPr>
          <w:rFonts w:ascii="Arial" w:cs="Arial" w:eastAsia="Arial" w:hAnsi="Arial"/>
          <w:sz w:val="18"/>
          <w:szCs w:val="18"/>
          <w:color w:val="auto"/>
        </w:rPr>
        <w:t>We will seek to acquire a business that has highly recurring,</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stable cash flows and operating leverage and may benefit from optimizing or delevering the capital structure.</w:t>
      </w:r>
    </w:p>
    <w:p>
      <w:pPr>
        <w:spacing w:after="0" w:line="102" w:lineRule="exact"/>
        <w:rPr>
          <w:rFonts w:ascii="Arial" w:cs="Arial" w:eastAsia="Arial" w:hAnsi="Arial"/>
          <w:sz w:val="18"/>
          <w:szCs w:val="18"/>
          <w:color w:val="auto"/>
        </w:rPr>
      </w:pPr>
    </w:p>
    <w:p>
      <w:pPr>
        <w:jc w:val="both"/>
        <w:ind w:left="1320" w:right="799" w:hanging="434"/>
        <w:spacing w:after="0" w:line="263"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Would Benefit Uniquely from our Capabilities. </w:t>
      </w:r>
      <w:r>
        <w:rPr>
          <w:rFonts w:ascii="Arial" w:cs="Arial" w:eastAsia="Arial" w:hAnsi="Arial"/>
          <w:sz w:val="18"/>
          <w:szCs w:val="18"/>
          <w:color w:val="auto"/>
        </w:rPr>
        <w:t>We will seek to acquire a business where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collective capabilities of our management and sponsor can be leveraged to tangibly improve the operations and market position of the target.</w:t>
      </w:r>
    </w:p>
    <w:p>
      <w:pPr>
        <w:spacing w:after="0" w:line="116" w:lineRule="exact"/>
        <w:rPr>
          <w:rFonts w:ascii="Arial" w:cs="Arial" w:eastAsia="Arial" w:hAnsi="Arial"/>
          <w:sz w:val="18"/>
          <w:szCs w:val="18"/>
          <w:color w:val="auto"/>
        </w:rPr>
      </w:pPr>
    </w:p>
    <w:p>
      <w:pPr>
        <w:ind w:left="1320" w:right="499" w:hanging="434"/>
        <w:spacing w:after="0" w:line="263"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Is Sourced Through our Proprietary Channels. </w:t>
      </w:r>
      <w:r>
        <w:rPr>
          <w:rFonts w:ascii="Arial" w:cs="Arial" w:eastAsia="Arial" w:hAnsi="Arial"/>
          <w:sz w:val="18"/>
          <w:szCs w:val="18"/>
          <w:color w:val="auto"/>
        </w:rPr>
        <w:t>We will aim to leverage our extensive network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source our business combination and do not expect to rely on broadly marketed processes to find a business combination target.</w:t>
      </w:r>
    </w:p>
    <w:p>
      <w:pPr>
        <w:spacing w:after="0" w:line="116" w:lineRule="exact"/>
        <w:rPr>
          <w:rFonts w:ascii="Arial" w:cs="Arial" w:eastAsia="Arial" w:hAnsi="Arial"/>
          <w:sz w:val="18"/>
          <w:szCs w:val="18"/>
          <w:color w:val="auto"/>
        </w:rPr>
      </w:pPr>
    </w:p>
    <w:p>
      <w:pPr>
        <w:ind w:left="1320" w:right="799" w:hanging="434"/>
        <w:spacing w:after="0" w:line="296" w:lineRule="auto"/>
        <w:tabs>
          <w:tab w:leader="none" w:pos="1311" w:val="left"/>
        </w:tabs>
        <w:numPr>
          <w:ilvl w:val="0"/>
          <w:numId w:val="42"/>
        </w:numPr>
        <w:rPr>
          <w:rFonts w:ascii="Arial" w:cs="Arial" w:eastAsia="Arial" w:hAnsi="Arial"/>
          <w:sz w:val="16"/>
          <w:szCs w:val="16"/>
          <w:color w:val="auto"/>
        </w:rPr>
      </w:pPr>
      <w:r>
        <w:rPr>
          <w:rFonts w:ascii="Arial" w:cs="Arial" w:eastAsia="Arial" w:hAnsi="Arial"/>
          <w:sz w:val="16"/>
          <w:szCs w:val="16"/>
          <w:b w:val="1"/>
          <w:bCs w:val="1"/>
          <w:i w:val="1"/>
          <w:iCs w:val="1"/>
          <w:color w:val="auto"/>
        </w:rPr>
        <w:t xml:space="preserve">Has a Committed and Capable Management Team. </w:t>
      </w:r>
      <w:r>
        <w:rPr>
          <w:rFonts w:ascii="Arial" w:cs="Arial" w:eastAsia="Arial" w:hAnsi="Arial"/>
          <w:sz w:val="16"/>
          <w:szCs w:val="16"/>
          <w:color w:val="auto"/>
        </w:rPr>
        <w:t>We will seek to acquire a business with a</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professional management team whose interests are aligned with those of our investors and complement the expertise of our management team and sponsor. Where necessary, we may also look to complement and enhance the capabilities of the target business’s management team by recruiting additional talent through our network of contacts.</w:t>
      </w:r>
    </w:p>
    <w:p>
      <w:pPr>
        <w:spacing w:after="0" w:line="80" w:lineRule="exact"/>
        <w:rPr>
          <w:rFonts w:ascii="Arial" w:cs="Arial" w:eastAsia="Arial" w:hAnsi="Arial"/>
          <w:sz w:val="16"/>
          <w:szCs w:val="16"/>
          <w:color w:val="auto"/>
        </w:rPr>
      </w:pPr>
    </w:p>
    <w:p>
      <w:pPr>
        <w:ind w:left="1320" w:right="819" w:hanging="434"/>
        <w:spacing w:after="0" w:line="263" w:lineRule="auto"/>
        <w:tabs>
          <w:tab w:leader="none" w:pos="1311" w:val="left"/>
        </w:tabs>
        <w:numPr>
          <w:ilvl w:val="0"/>
          <w:numId w:val="42"/>
        </w:numPr>
        <w:rPr>
          <w:rFonts w:ascii="Arial" w:cs="Arial" w:eastAsia="Arial" w:hAnsi="Arial"/>
          <w:sz w:val="18"/>
          <w:szCs w:val="18"/>
          <w:color w:val="auto"/>
        </w:rPr>
      </w:pPr>
      <w:r>
        <w:rPr>
          <w:rFonts w:ascii="Arial" w:cs="Arial" w:eastAsia="Arial" w:hAnsi="Arial"/>
          <w:sz w:val="18"/>
          <w:szCs w:val="18"/>
          <w:b w:val="1"/>
          <w:bCs w:val="1"/>
          <w:i w:val="1"/>
          <w:iCs w:val="1"/>
          <w:color w:val="auto"/>
        </w:rPr>
        <w:t xml:space="preserve">Has the Potential to Grow Organically or Through Additional Acquisitions. </w:t>
      </w:r>
      <w:r>
        <w:rPr>
          <w:rFonts w:ascii="Arial" w:cs="Arial" w:eastAsia="Arial" w:hAnsi="Arial"/>
          <w:sz w:val="18"/>
          <w:szCs w:val="18"/>
          <w:color w:val="auto"/>
        </w:rPr>
        <w:t>We will seek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acquire a business that has the potential to grow both organically through market expansion or increased market share as well as through external acquisitions.</w:t>
      </w:r>
    </w:p>
    <w:p>
      <w:pPr>
        <w:spacing w:after="0" w:line="116"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These criteria are not intended to be exhaustive. Any evaluation relating to the merits of a particular initial business combination may be based, to the extent relevant, on these general guidelines as well as other considerations, factors and criteria that our management may deem relevant. In the event that we decide to enter into our initial business combination with a target business that does not meet the above criteria and guidelines, we will disclose that the target business does not meet the above criteria in our shareholder communications related to our initial business combination, which, as discussed in this prospectus, would be in the form of tender offer documents or proxy solicitation materials that we would file with the SEC.</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Acquisition Process</w:t>
      </w:r>
    </w:p>
    <w:p>
      <w:pPr>
        <w:spacing w:after="0" w:line="162" w:lineRule="exact"/>
        <w:rPr>
          <w:sz w:val="20"/>
          <w:szCs w:val="20"/>
          <w:color w:val="auto"/>
        </w:rPr>
      </w:pPr>
    </w:p>
    <w:p>
      <w:pPr>
        <w:ind w:left="460" w:right="539" w:firstLine="432"/>
        <w:spacing w:after="0" w:line="301" w:lineRule="auto"/>
        <w:rPr>
          <w:sz w:val="20"/>
          <w:szCs w:val="20"/>
          <w:color w:val="auto"/>
        </w:rPr>
      </w:pPr>
      <w:r>
        <w:rPr>
          <w:rFonts w:ascii="Arial" w:cs="Arial" w:eastAsia="Arial" w:hAnsi="Arial"/>
          <w:sz w:val="16"/>
          <w:szCs w:val="16"/>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 We will also utilize our operational and capital planning experience.</w:t>
      </w:r>
    </w:p>
    <w:p>
      <w:pPr>
        <w:spacing w:after="0" w:line="76"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We are not prohibited from pursuing an initial business combination with a company that is affiliated with our sponsor, officers or directors. In the event we seek to complete our initial business combination with a company that is affiliated with our sponsor, officers or directors, we, or a committee of independent directors, will obtain an opinion that our initial business combination is fair to our company from a financial point of view from either an independent investment banking firm or other independent entity that commonly renders valuation opinions or an independent accounting firm.</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1" w:name="page82"/>
    <w:bookmarkEnd w:id="81"/>
    <w:p>
      <w:pPr>
        <w:ind w:left="460" w:right="599" w:firstLine="432"/>
        <w:spacing w:after="0" w:line="293" w:lineRule="auto"/>
        <w:rPr>
          <w:sz w:val="20"/>
          <w:szCs w:val="20"/>
          <w:color w:val="auto"/>
        </w:rPr>
      </w:pPr>
      <w:r>
        <w:rPr>
          <w:rFonts w:ascii="Arial" w:cs="Arial" w:eastAsia="Arial" w:hAnsi="Arial"/>
          <w:sz w:val="16"/>
          <w:szCs w:val="16"/>
          <w:color w:val="auto"/>
        </w:rPr>
        <w:t>Members of our management team may directly or indirectly own our ordinary shares and/or private placement warrants following this offering, and, accordingly, may have a conflict of interest in determining whether a particular target business is an appropriate business with which to effectuate our initial business combination. Further, each of 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Initial Business Combination</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signing the agreement to enter into the initial business combination. If our board of directors is not able to independently determine the fair market value of the target business or businesses or we are considering an initial business combination with an affiliated entity, we will obtain an opinion with respect to the satisfaction of such criteria from an independent investment banking firm or other independent entity that commonly renders valuation opinions. We do not intend to purchase multiple businesses in unrelated industries in conjunction with our initial business combination. Subject to this requirement, our management will have virtually unrestricted flexibility in identifying and selecting one or more prospective businesses, although we will not be permitted to effectuate our initial business combination with another blank check company or a similar company with nominal operations.</w:t>
      </w:r>
    </w:p>
    <w:p>
      <w:pPr>
        <w:spacing w:after="0" w:line="111"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We anticipate structuring our initial business combination so that the post-transaction company in which our public shareholders own shares will own or acquire 100% of the equity interests or assets of the target business or businesses. We may, however, structure our initial business combination such that the post-transaction company owns or acquires less than 100% of such interests or assets of the target business in order to meet certain objectives of the prior owners of the target business, the target management team or shareholders or for other reasons, but we will only complete such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of 1940, as amended, or the Investment Company Act. Even if the post-transaction company owns or acquires 50% or more of the voting securities of the target, our shareholders prior to the business combination may collectively own a minority interest in the post-transaction company, depending on valuations ascribed to the target and us in the business combination transaction. For example, we could pursue a transaction in which we issue a substantial number of new shares in exchange for all of the outstanding capital stock of a target. In this case, we would acquire a 100% controlling interest in the target. However, as a result of the issuance of a substantial number of new shares, our shareholders immediately prior to our initial business combination could own less than a majority of our issued and outstanding shares subsequent to our initial business combination. If less than 100% of the equity interests or assets of a target business or businesses are owned or acquired by the post-transaction company, the portion of such business or businesses that is owned or acquired is what will be valued for purposes of the 80% of net assets test. If the business combination involves more than one target business, the 80% of net assets test will be based on the aggregate value of all of the target businesses and we will treat the target businesses together as the initial business combination for purposes of a tender offer or for seeking shareholder approval, as applicable. In addition, we have agreed not to enter into a definitive agreement regarding an initial business combination without the prior consent of our sponsor.</w:t>
      </w:r>
    </w:p>
    <w:p>
      <w:pPr>
        <w:spacing w:after="0" w:line="109"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To the extent we effect our initial business combination with a company or business that may be financially unstable or in its early stages of development or growth, we may be affected by numerous risks inherent in such company or business. Although our management will endeavor to evaluate the risks inherent in a particular target business, we cannot assure you that we will properly ascertain or assess all significant risk factors.</w:t>
      </w:r>
    </w:p>
    <w:p>
      <w:pPr>
        <w:spacing w:after="0" w:line="107"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will encompass, among other things, meetings with incumbent management and employees, document reviews, inspection of facilities, as well as a review of financial, operational, legal and other information which will be made available to us.</w:t>
      </w:r>
    </w:p>
    <w:p>
      <w:pPr>
        <w:spacing w:after="0" w:line="119" w:lineRule="exact"/>
        <w:rPr>
          <w:sz w:val="20"/>
          <w:szCs w:val="20"/>
          <w:color w:val="auto"/>
        </w:rPr>
      </w:pPr>
    </w:p>
    <w:p>
      <w:pPr>
        <w:ind w:left="460" w:right="499" w:firstLine="432"/>
        <w:spacing w:after="0" w:line="275"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 prospective target business with which our initial business combination is not ultimately completed will result in our incurring losses and will reduce the funds we can use to complete another business combination.</w:t>
      </w:r>
    </w:p>
    <w:p>
      <w:pPr>
        <w:sectPr>
          <w:pgSz w:w="11900" w:h="16838" w:orient="portrait"/>
          <w:cols w:equalWidth="0" w:num="1">
            <w:col w:w="9019"/>
          </w:cols>
          <w:pgMar w:left="1440" w:top="274" w:right="1440" w:bottom="1440" w:gutter="0" w:footer="0" w:header="0"/>
        </w:sectPr>
      </w:pPr>
    </w:p>
    <w:p>
      <w:pPr>
        <w:spacing w:after="0" w:line="13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2" w:name="page83"/>
    <w:bookmarkEnd w:id="82"/>
    <w:p>
      <w:pPr>
        <w:ind w:left="460"/>
        <w:spacing w:after="0"/>
        <w:rPr>
          <w:sz w:val="20"/>
          <w:szCs w:val="20"/>
          <w:color w:val="auto"/>
        </w:rPr>
      </w:pPr>
      <w:r>
        <w:rPr>
          <w:rFonts w:ascii="Arial" w:cs="Arial" w:eastAsia="Arial" w:hAnsi="Arial"/>
          <w:sz w:val="18"/>
          <w:szCs w:val="18"/>
          <w:b w:val="1"/>
          <w:bCs w:val="1"/>
          <w:color w:val="auto"/>
        </w:rPr>
        <w:t>Other Considerations</w:t>
      </w:r>
    </w:p>
    <w:p>
      <w:pPr>
        <w:spacing w:after="0" w:line="162"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are not prohibited from pursuing an initial business combination or subsequent transaction with a company that is affiliated with our sponsor, Founders, officers or directors. In the event we seek to complete our initial business combination or, subject to certain exceptions, subsequent material transactions with a company that is affiliated with our sponsor or any of our Founders, officers or directors, we, or a committee of independent directors, will obtain an opinion from an independent investment banking firm or other independent entity that commonly renders valuation opinions that such initial business combination or transaction is fair to our company from a financial point of view.</w:t>
      </w:r>
    </w:p>
    <w:p>
      <w:pPr>
        <w:spacing w:after="0" w:line="96"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We currently do not have any specific business combination under consideration. Our officers and directors have neither individually identified nor considered a target business nor have they had any substantive discussions regarding possible target businesses among themselves or with our underwriter or other advisors. Our management team is continuously made aware of potential business opportunities, one or more of which we may desire to pursue for a business combination, but we have not selected any business combination target and we have not, nor has anyone on our behalf, initiated any substantive discussions, directly or indirectly, with any business combination target.</w:t>
      </w:r>
    </w:p>
    <w:p>
      <w:pPr>
        <w:spacing w:after="0" w:line="110"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In addition, certain of our Founders, officers and directors presently have, and any of them in the future may have additional, fiduciary and contractual duties to other entities. As a result, if any of our Founders, officers or directors becomes aware of a business combination opportunity which is suitable for an entity to which he, she or it has then-current fiduciary or contractual obligations, then, subject to their fiduciary duties under Cayman Islands law, he, she or it will need to honor such fiduciary or contractual obligations to present such business combination opportunity to such entity, before we can pursue such opportunity. If these other entities decide to pursue any such opportunity, we may be precluded from pursuing the same. However, we do not expect these duties to materially affect our ability to complete our initial business combination. Our amended and restated memorandum and articles of association provide that we renounce our interest in any business combination opportunity offered to any director or officer unless such opportunity is expressly offered to such person solely in his or her capacity as a director or officer of the company and it is an opportunity that we are able to complete on a reasonable basis.</w:t>
      </w:r>
    </w:p>
    <w:p>
      <w:pPr>
        <w:spacing w:after="0" w:line="111"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Our sponsor, directors and officers may sponsor, form or participate in other blank check companies similar to ours or may pursue other business or investment ventures during the period in which we are seeking an initial business combination. Any such companies, businesses or investments may present additional conflicts of interest in pursuing an initial business combination. However, we do not believe that any such potential conflicts would materially affect our ability to complete our initial business combination. In addition, our Founders, officers and directors, are not required to commit any specified amount of time to our affairs, and, accordingly, will have conflicts of interest in allocating management time among various business activities, including identifying potential business combinations and monitoring the related due diligence.</w:t>
      </w:r>
    </w:p>
    <w:p>
      <w:pPr>
        <w:spacing w:after="0" w:line="16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Status as a Public Company</w:t>
      </w:r>
    </w:p>
    <w:p>
      <w:pPr>
        <w:spacing w:after="0" w:line="148"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We believe our structure will make us an attractive business combination partner to target businesses. As an existing public company, we offer a target business an alternative to the traditional initial public offering through a merger or other business combination with us. In a business combination transaction with us, the owners of the target business may, for example, exchange their shares of stock in the target business for our Class A ordinary shares (or shares of a new holding company) or for a combination of our Class A ordinary shares and cash, allowing us to tailor the consideration to the specific needs of the sellers. We believe target businesses will find this method a more expeditious and cost effective method to becoming a public company than the typical initial public offering. The typical initial public offering process takes a significantly longer period of time than the typical business combination transaction process, and there are significant expenses in the initial public offering process, including underwriting discounts and commissions, that may not be present to the same extent in connection with a business combination with us.</w:t>
      </w:r>
    </w:p>
    <w:p>
      <w:pPr>
        <w:spacing w:after="0" w:line="104"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Furthermore, once a proposed business combination is completed, the target business will have effectively become public, whereas an initial public offering is always subject to the underwriter’s ability to complete the offering, as well as general market conditions, which could delay or prevent the offering from occurring or have negative valuation consequences. Once public, we believe the target business would then have greater access to capital, an additional means of providing management incentives consistent with shareholders’ interests and</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83" w:name="page84"/>
    <w:bookmarkEnd w:id="83"/>
    <w:p>
      <w:pPr>
        <w:ind w:left="460" w:right="719"/>
        <w:spacing w:after="0" w:line="263" w:lineRule="auto"/>
        <w:rPr>
          <w:sz w:val="20"/>
          <w:szCs w:val="20"/>
          <w:color w:val="auto"/>
        </w:rPr>
      </w:pPr>
      <w:r>
        <w:rPr>
          <w:rFonts w:ascii="Arial" w:cs="Arial" w:eastAsia="Arial" w:hAnsi="Arial"/>
          <w:sz w:val="18"/>
          <w:szCs w:val="18"/>
          <w:color w:val="auto"/>
        </w:rPr>
        <w:t>the ability to use its shares as currency for acquisitions. Being a public company can offer further benefits by augmenting a company’s profile among potential new customers and vendors and aid in attracting talented employees.</w:t>
      </w:r>
    </w:p>
    <w:p>
      <w:pPr>
        <w:spacing w:after="0" w:line="10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While we believe that our structure and our management team’s backgrounds will make us an attractive business partner, some potential target businesses may view our status as a blank check company, including our lack of an operating history and our potential need to seek shareholder approval of any proposed initial business combination, negatively.</w:t>
      </w:r>
    </w:p>
    <w:p>
      <w:pPr>
        <w:spacing w:after="0" w:line="11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113"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95" w:lineRule="exact"/>
        <w:rPr>
          <w:sz w:val="20"/>
          <w:szCs w:val="20"/>
          <w:color w:val="auto"/>
        </w:rPr>
      </w:pPr>
    </w:p>
    <w:p>
      <w:pPr>
        <w:ind w:left="460" w:right="599" w:firstLine="432"/>
        <w:spacing w:after="0" w:line="250"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Financial Position</w:t>
      </w:r>
    </w:p>
    <w:p>
      <w:pPr>
        <w:spacing w:after="0" w:line="162" w:lineRule="exact"/>
        <w:rPr>
          <w:sz w:val="20"/>
          <w:szCs w:val="20"/>
          <w:color w:val="auto"/>
        </w:rPr>
      </w:pPr>
    </w:p>
    <w:p>
      <w:pPr>
        <w:ind w:left="460" w:right="479" w:firstLine="432"/>
        <w:spacing w:after="0" w:line="289" w:lineRule="auto"/>
        <w:rPr>
          <w:sz w:val="20"/>
          <w:szCs w:val="20"/>
          <w:color w:val="auto"/>
        </w:rPr>
      </w:pPr>
      <w:r>
        <w:rPr>
          <w:rFonts w:ascii="Arial" w:cs="Arial" w:eastAsia="Arial" w:hAnsi="Arial"/>
          <w:sz w:val="16"/>
          <w:szCs w:val="16"/>
          <w:color w:val="auto"/>
        </w:rPr>
        <w:t>With funds available for a business combination initially in the amount of $292,000,000, after payment of the estimated expenses of this offering and $10,500,000 of deferred underwriting fees (or $334,525,000 after payment of $12,075,000 of deferred underwriting fees if the underwriter’s over-allotment option is exercised in full), we offer a target business a variety of options such as creating a liquidity event for its owners, providing capital for the potential growth and expansion of its operations or strengthening its balance sheet by reducing its debt ratio. Because we are able to complete our initial business combination using our cash, debt or equity securities, or a combination of the foregoing, we have the flexibility to use the most efficient combination that will allow us to tailor the consideration to be paid to the target business to fit its needs and desires. However, we have not taken any steps to secure third-party financing and there can be no assurance it will be available to us.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Effecting Our Initial Business Combination</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General</w:t>
      </w:r>
    </w:p>
    <w:p>
      <w:pPr>
        <w:spacing w:after="0" w:line="158"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We are not presently engaged in, and we will not engage in, any operations for an indefinite period of time following this offering. We intend to effectuate our initial business combination using cash from the proceeds of this offering, the private placements of the private placement warrants, our equity, debt or a combination of these as the consideration to be paid in our initial business combination. We may seek to complete our initial business combination with a company or business that may be financially unstable or in its early stages of development or growth, which would subject us to the numerous risks inherent in such companies and businesses.</w:t>
      </w:r>
    </w:p>
    <w:p>
      <w:pPr>
        <w:spacing w:after="0" w:line="11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If our initial business combination is paid for using equity or debt securities, or not all of the funds released from the trust account are used for payment of the consideration in connection with our initial business combination or used for redemptions of our Class A ordinary shares, we may apply the balance of the cash released to us from</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4" w:name="page85"/>
    <w:bookmarkEnd w:id="84"/>
    <w:p>
      <w:pPr>
        <w:ind w:left="460" w:right="619"/>
        <w:spacing w:after="0" w:line="311" w:lineRule="auto"/>
        <w:rPr>
          <w:sz w:val="20"/>
          <w:szCs w:val="20"/>
          <w:color w:val="auto"/>
        </w:rPr>
      </w:pPr>
      <w:r>
        <w:rPr>
          <w:rFonts w:ascii="Arial" w:cs="Arial" w:eastAsia="Arial" w:hAnsi="Arial"/>
          <w:sz w:val="16"/>
          <w:szCs w:val="16"/>
          <w:color w:val="auto"/>
        </w:rPr>
        <w:t>the trust account for general corporate purposes, including for maintenance or expansion of operations of the post-transaction company, the payment of principal or interest due on indebtedness incurred in completing our initial business combination, to fund the purchase of other companies or for working capital.</w:t>
      </w:r>
    </w:p>
    <w:p>
      <w:pPr>
        <w:spacing w:after="0" w:line="68" w:lineRule="exact"/>
        <w:rPr>
          <w:sz w:val="20"/>
          <w:szCs w:val="20"/>
          <w:color w:val="auto"/>
        </w:rPr>
      </w:pPr>
    </w:p>
    <w:p>
      <w:pPr>
        <w:ind w:left="460" w:right="599" w:firstLine="432"/>
        <w:spacing w:after="0" w:line="269" w:lineRule="auto"/>
        <w:rPr>
          <w:sz w:val="20"/>
          <w:szCs w:val="20"/>
          <w:color w:val="auto"/>
        </w:rPr>
      </w:pPr>
      <w:r>
        <w:rPr>
          <w:rFonts w:ascii="Arial" w:cs="Arial" w:eastAsia="Arial" w:hAnsi="Arial"/>
          <w:sz w:val="17"/>
          <w:szCs w:val="17"/>
          <w:color w:val="auto"/>
        </w:rPr>
        <w:t>We have not selected any business combination target and we have not, nor has anyone on our behalf, initiated any substantive discussions, directly or indirectly, with any business combination target. Additionally, we have not engaged or retained any agent or other representative to identify or locate any suitable acquisition candidate, to conduct any research or take any measures, directly or indirectly, to locate or contact a target business, other than our officers and directors. Accordingly, there is no current basis for investors in this offering to evaluate the possible merits or risks of the target business with which we may ultimately complete our initial business combination. Although our management will assess the risks inherent in a particular target business with which we may combine, we cannot assure you that this assessment will result in our identifying all risks that a target business may encounter. Furthermore, some of those risks may be outside of our control, meaning that we can do nothing to control or reduce the chances that those risks will adversely affect a target business.</w:t>
      </w:r>
    </w:p>
    <w:p>
      <w:pPr>
        <w:spacing w:after="0" w:line="114"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We may need to obtain additional financing to complete our initial business combination, either because the transaction requires more cash than is available from the proceeds held in our trust account, or because we become obligated to redeem a significant number of our public shares upon completion of the business combination, in which case we may issue additional securities or incur debt in connection with such business combination. There are no prohibitions on our ability to issue securities or incur debt in connection with our initial business combination. We are not currently a party to any arrangement or understanding with any third party with respect to raising any additional funds through the sale of securities, the incurrence of debt or otherwise.</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Sources of Target Businesses</w:t>
      </w:r>
    </w:p>
    <w:p>
      <w:pPr>
        <w:spacing w:after="0" w:line="162"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We anticipate that target business candidates will be brought to our attention from various unaffiliated sources, including investment market participants, private equity groups, investment banking firms, consultants, accounting firms and large business enterprises. Target businesses may be brought to our attention by such unaffiliated sources as a result of being solicited by us through calls or mailings. These sources may also introduce us to target businesses in which they think we may be interested on an unsolicited basis, since many of these sources will have read this prospectus and know what types of businesses we are targeting. Our officers and directors, as well as their affiliates, may also bring to our attention target business candidates that they become aware of through their business contacts as a result of formal or informal inquiries or discussions they may have, as well as attending trade shows or conventions. In addition, we expect to receive a number of proprietary deal flow opportunities that would not otherwise necessarily be available to us as a result of the business relationships of our officers and directors. While we do not presently anticipate engaging the services of professional firms or other individuals that specialize in business acquisitions on any formal basis, we may engage these firms or other individuals in the future, in which event we may pay a finder’s fee, consulting fee or other compensation to be determined in an arm’s length negotiation based on the terms of the transaction. We will engage a finder only to the extent our management determines that the use of a finder may bring opportunities to us that may not otherwise be available to us or if finders approach us on an unsolicited basis with a potential transaction that our management determines is in our best interest to pursue. Payment of finder’s fees is customarily tied to completion of a transaction, in which case any such fee will be paid out of the funds held in the trust account. In no event, however, will our sponsor or any of our existing officers or directors, or any entity with which they are affiliated, be paid any finder’s fee, consulting fee or other compensation prior to, or for any services they render in order to effectuate, the completion of our initial business combination (regardless of the type of transaction that it is). We have agreed to pay an affiliate of our sponsor a total of $10,000 per month for office space, utilities and secretarial and administrative support and to reimburse our sponsor for any out-of-pocket expenses related to identifying, investigating and completing an initial business combination. Some of our officers and directors may enter into employment or consulting agreements with the post-transaction company following our initial business combination. The presence or absence of any such fees or arrangements will not be used as a criterion in our selection process of an acquisition candidate.</w:t>
      </w:r>
    </w:p>
    <w:p>
      <w:pPr>
        <w:spacing w:after="0" w:line="305"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We are not prohibited from pursuing an initial business combination with a business combination target that is affiliated with our sponsor, officers or directors, or from making the acquisition through a joint venture or other form of shared ownership with our sponsor, officers or directors. In the event we seek to complete our initial business combination with a business combination target that is affiliated with our sponsor, executive officers or directors, we, or a committee of independent directors, would obtain an opinion from an independent investment</w:t>
      </w:r>
    </w:p>
    <w:p>
      <w:pPr>
        <w:sectPr>
          <w:pgSz w:w="11900" w:h="16838" w:orient="portrait"/>
          <w:cols w:equalWidth="0" w:num="1">
            <w:col w:w="9019"/>
          </w:cols>
          <w:pgMar w:left="1440" w:top="274" w:right="1440" w:bottom="1440" w:gutter="0" w:footer="0" w:header="0"/>
        </w:sectPr>
      </w:pP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85" w:name="page86"/>
    <w:bookmarkEnd w:id="85"/>
    <w:p>
      <w:pPr>
        <w:jc w:val="both"/>
        <w:ind w:left="460" w:right="479"/>
        <w:spacing w:after="0" w:line="263" w:lineRule="auto"/>
        <w:rPr>
          <w:sz w:val="20"/>
          <w:szCs w:val="20"/>
          <w:color w:val="auto"/>
        </w:rPr>
      </w:pPr>
      <w:r>
        <w:rPr>
          <w:rFonts w:ascii="Arial" w:cs="Arial" w:eastAsia="Arial" w:hAnsi="Arial"/>
          <w:sz w:val="18"/>
          <w:szCs w:val="18"/>
          <w:color w:val="auto"/>
        </w:rPr>
        <w:t>banking firm or other independent entity that commonly renders valuation opinions, that such an initial business combination is fair to our company from a financial point of view. We are not required to obtain such an opinion in any other context.</w:t>
      </w:r>
    </w:p>
    <w:p>
      <w:pPr>
        <w:spacing w:after="0" w:line="103"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Each of our officers and directors presently has,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See “Management — Conflicts of Interest.”</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Evaluation of a Target Business and Structuring of Our Initial Business Combination</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In evaluating a prospective target business, we expect to conduct a thorough due diligence review which may encompass, among other things, meetings with incumbent management and employees, document reviews, interviews of customers and suppliers, inspection of facilities, as applicable, as well as a review of financial, operational, legal and other information which will be made available to us. If we determine to move forward with a particular target, we will proceed to structure and negotiate the terms of the business combination transaction.</w:t>
      </w:r>
    </w:p>
    <w:p>
      <w:pPr>
        <w:spacing w:after="0" w:line="125" w:lineRule="exact"/>
        <w:rPr>
          <w:sz w:val="20"/>
          <w:szCs w:val="20"/>
          <w:color w:val="auto"/>
        </w:rPr>
      </w:pPr>
    </w:p>
    <w:p>
      <w:pPr>
        <w:ind w:left="460" w:right="459" w:firstLine="432"/>
        <w:spacing w:after="0" w:line="272" w:lineRule="auto"/>
        <w:rPr>
          <w:sz w:val="20"/>
          <w:szCs w:val="20"/>
          <w:color w:val="auto"/>
        </w:rPr>
      </w:pPr>
      <w:r>
        <w:rPr>
          <w:rFonts w:ascii="Arial" w:cs="Arial" w:eastAsia="Arial" w:hAnsi="Arial"/>
          <w:sz w:val="17"/>
          <w:szCs w:val="17"/>
          <w:color w:val="auto"/>
        </w:rPr>
        <w:t>The time required to select and evaluate a target business and to structure and complete our initial business combination, and the costs associated with this process, are not currently ascertainable with any degree of certainty. Any costs incurred with respect to the identification and evaluation of, and negotiation with, a prospective target business with which our initial business combination is not ultimately completed will result in our incurring losses and will reduce the funds we can use to complete another business combination. The company will not pay any consulting fees to members of our management team, or any of their respective affiliates, for services rendered to or in connection with our initial business combination.</w:t>
      </w:r>
    </w:p>
    <w:p>
      <w:pPr>
        <w:spacing w:after="0" w:line="96" w:lineRule="exact"/>
        <w:rPr>
          <w:sz w:val="20"/>
          <w:szCs w:val="20"/>
          <w:color w:val="auto"/>
        </w:rPr>
      </w:pPr>
    </w:p>
    <w:p>
      <w:pPr>
        <w:ind w:left="460" w:right="1219" w:firstLine="432"/>
        <w:spacing w:after="0" w:line="277" w:lineRule="auto"/>
        <w:rPr>
          <w:sz w:val="20"/>
          <w:szCs w:val="20"/>
          <w:color w:val="auto"/>
        </w:rPr>
      </w:pPr>
      <w:r>
        <w:rPr>
          <w:rFonts w:ascii="Arial" w:cs="Arial" w:eastAsia="Arial" w:hAnsi="Arial"/>
          <w:sz w:val="18"/>
          <w:szCs w:val="18"/>
          <w:color w:val="auto"/>
        </w:rPr>
        <w:t>In addition, we have agreed not to enter into a definitive agreement regarding an initial business combination without the prior consent of our sponsor.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Lack of Business Diversification</w:t>
      </w:r>
    </w:p>
    <w:p>
      <w:pPr>
        <w:spacing w:after="0" w:line="162"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For an indefinite period of time after the completion of our initial business combination, the prospects for our success may depend entirely on the future performance of a single business. Unlike other entities that have the resources to complete business combinations with multiple entities in one or several industries, it is probable that we will not have the resources to diversify our operations and mitigate the risks of being in a single line of business. By completing our initial business combination with only a single entity, our lack of diversification may:</w:t>
      </w:r>
    </w:p>
    <w:p>
      <w:pPr>
        <w:spacing w:after="0" w:line="125" w:lineRule="exact"/>
        <w:rPr>
          <w:sz w:val="20"/>
          <w:szCs w:val="20"/>
          <w:color w:val="auto"/>
        </w:rPr>
      </w:pPr>
    </w:p>
    <w:p>
      <w:pPr>
        <w:ind w:left="1320" w:right="539" w:hanging="434"/>
        <w:spacing w:after="0" w:line="263"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subject us to negative economic, competitive and regulatory developments, any or all of which may have a substantial adverse impact on the particular industry in which we operate after our initial business combination; and</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43"/>
        </w:numPr>
        <w:rPr>
          <w:rFonts w:ascii="Arial" w:cs="Arial" w:eastAsia="Arial" w:hAnsi="Arial"/>
          <w:sz w:val="18"/>
          <w:szCs w:val="18"/>
          <w:color w:val="auto"/>
        </w:rPr>
      </w:pPr>
      <w:r>
        <w:rPr>
          <w:rFonts w:ascii="Arial" w:cs="Arial" w:eastAsia="Arial" w:hAnsi="Arial"/>
          <w:sz w:val="18"/>
          <w:szCs w:val="18"/>
          <w:color w:val="auto"/>
        </w:rPr>
        <w:t>cause us to depend on the marketing and sale of a single product or limited number of products or services.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Limited Ability to Evaluate the Target’s Management Team</w:t>
      </w:r>
    </w:p>
    <w:p>
      <w:pPr>
        <w:spacing w:after="0" w:line="162"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Although we intend to closely scrutinize the management of a prospective target business when evaluating the desirability of effecting our initial business combination with that business, our assessment of the target business’s management may not prove to be correct. In addition, the future management may not have the necessary skills, qualifications or abilities to manage a public company. Furthermore, the future role of members of our management team, if any, in the target business cannot presently be stated with any certainty. The determination as to whether any of the members of our management team will remain with the combined company will be made at the time of our initial business combination. While it is possible that one or more of our directors will remain associated in some capacity with us following our initial business combination, it is unlikely that any of them will devote their full efforts to our affairs subsequent to our initial business combination. Moreover, we cannot assure you that members of our management team will have significant experience or knowledge relating to the operations of the particular target business.</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6" w:name="page87"/>
    <w:bookmarkEnd w:id="86"/>
    <w:p>
      <w:pPr>
        <w:ind w:left="460" w:right="719" w:firstLine="432"/>
        <w:spacing w:after="0" w:line="286" w:lineRule="auto"/>
        <w:rPr>
          <w:sz w:val="20"/>
          <w:szCs w:val="20"/>
          <w:color w:val="auto"/>
        </w:rPr>
      </w:pPr>
      <w:r>
        <w:rPr>
          <w:rFonts w:ascii="Arial" w:cs="Arial" w:eastAsia="Arial" w:hAnsi="Arial"/>
          <w:sz w:val="17"/>
          <w:szCs w:val="17"/>
          <w:color w:val="auto"/>
        </w:rPr>
        <w:t>We cannot assure you that any of our key personnel will remain in senior management or advisory positions with the combined company. The determination as to whether any of our key personnel will remain with the combined company will be made at the time of our initial business combination.</w:t>
      </w:r>
    </w:p>
    <w:p>
      <w:pPr>
        <w:spacing w:after="0" w:line="84" w:lineRule="exact"/>
        <w:rPr>
          <w:sz w:val="20"/>
          <w:szCs w:val="20"/>
          <w:color w:val="auto"/>
        </w:rPr>
      </w:pPr>
    </w:p>
    <w:p>
      <w:pPr>
        <w:ind w:left="460" w:right="859" w:firstLine="432"/>
        <w:spacing w:after="0" w:line="259" w:lineRule="auto"/>
        <w:rPr>
          <w:sz w:val="20"/>
          <w:szCs w:val="20"/>
          <w:color w:val="auto"/>
        </w:rPr>
      </w:pPr>
      <w:r>
        <w:rPr>
          <w:rFonts w:ascii="Arial" w:cs="Arial" w:eastAsia="Arial" w:hAnsi="Arial"/>
          <w:sz w:val="18"/>
          <w:szCs w:val="18"/>
          <w:color w:val="auto"/>
        </w:rPr>
        <w:t>Following a business combination, we may seek to recruit additional managers to supplement the incumbent management of the target business. We cannot assure you that we will have the ability to recruit additional managers, or that additional managers will have the requisite skills, knowledge or experience necessary to enhance the incumbent management.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Shareholders May Not Have the Ability to Approve Our Initial Business Combination</w:t>
      </w:r>
    </w:p>
    <w:p>
      <w:pPr>
        <w:spacing w:after="0" w:line="162" w:lineRule="exact"/>
        <w:rPr>
          <w:sz w:val="20"/>
          <w:szCs w:val="20"/>
          <w:color w:val="auto"/>
        </w:rPr>
      </w:pPr>
    </w:p>
    <w:p>
      <w:pPr>
        <w:jc w:val="both"/>
        <w:ind w:left="460" w:right="719" w:firstLine="432"/>
        <w:spacing w:after="0" w:line="279" w:lineRule="auto"/>
        <w:rPr>
          <w:sz w:val="20"/>
          <w:szCs w:val="20"/>
          <w:color w:val="auto"/>
        </w:rPr>
      </w:pPr>
      <w:r>
        <w:rPr>
          <w:rFonts w:ascii="Arial" w:cs="Arial" w:eastAsia="Arial" w:hAnsi="Arial"/>
          <w:sz w:val="17"/>
          <w:szCs w:val="17"/>
          <w:color w:val="auto"/>
        </w:rPr>
        <w:t>We may conduct redemptions without a shareholder vote pursuant to the tender offer rules of the SEC subject to the provisions of our amended and restated memorandum and articles of association. However, we will seek shareholder approval if it is required by law or applicable stock exchange rule, or we may decide to seek shareholder approval for business or other legal reasons.</w:t>
      </w:r>
    </w:p>
    <w:p>
      <w:pPr>
        <w:spacing w:after="0" w:line="104" w:lineRule="exact"/>
        <w:rPr>
          <w:sz w:val="20"/>
          <w:szCs w:val="20"/>
          <w:color w:val="auto"/>
        </w:rPr>
      </w:pPr>
    </w:p>
    <w:p>
      <w:pPr>
        <w:ind w:left="460" w:right="1279" w:firstLine="432"/>
        <w:spacing w:after="0" w:line="277" w:lineRule="auto"/>
        <w:rPr>
          <w:sz w:val="20"/>
          <w:szCs w:val="20"/>
          <w:color w:val="auto"/>
        </w:rPr>
      </w:pPr>
      <w:r>
        <w:rPr>
          <w:rFonts w:ascii="Arial" w:cs="Arial" w:eastAsia="Arial" w:hAnsi="Arial"/>
          <w:sz w:val="18"/>
          <w:szCs w:val="18"/>
          <w:color w:val="auto"/>
        </w:rPr>
        <w:t>Under the NYSE’s listing rules, shareholder approval would be required for our initial business combination if, for example:</w:t>
      </w:r>
    </w:p>
    <w:p>
      <w:pPr>
        <w:spacing w:after="0" w:line="89" w:lineRule="exact"/>
        <w:rPr>
          <w:sz w:val="20"/>
          <w:szCs w:val="20"/>
          <w:color w:val="auto"/>
        </w:rPr>
      </w:pPr>
    </w:p>
    <w:p>
      <w:pPr>
        <w:ind w:left="1320" w:right="81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issue ordinary shares that will be equal to or in excess of 20% of the number of our ordinary shares then outstanding (other than in a public offering);</w:t>
      </w:r>
    </w:p>
    <w:p>
      <w:pPr>
        <w:spacing w:after="0" w:line="102" w:lineRule="exact"/>
        <w:rPr>
          <w:rFonts w:ascii="Arial" w:cs="Arial" w:eastAsia="Arial" w:hAnsi="Arial"/>
          <w:sz w:val="18"/>
          <w:szCs w:val="18"/>
          <w:color w:val="auto"/>
        </w:rPr>
      </w:pPr>
    </w:p>
    <w:p>
      <w:pPr>
        <w:ind w:left="1320" w:right="459" w:hanging="434"/>
        <w:spacing w:after="0" w:line="296" w:lineRule="auto"/>
        <w:tabs>
          <w:tab w:leader="none" w:pos="1311" w:val="left"/>
        </w:tabs>
        <w:numPr>
          <w:ilvl w:val="0"/>
          <w:numId w:val="44"/>
        </w:numPr>
        <w:rPr>
          <w:rFonts w:ascii="Arial" w:cs="Arial" w:eastAsia="Arial" w:hAnsi="Arial"/>
          <w:sz w:val="16"/>
          <w:szCs w:val="16"/>
          <w:color w:val="auto"/>
        </w:rPr>
      </w:pPr>
      <w:r>
        <w:rPr>
          <w:rFonts w:ascii="Arial" w:cs="Arial" w:eastAsia="Arial" w:hAnsi="Arial"/>
          <w:sz w:val="16"/>
          <w:szCs w:val="16"/>
          <w:color w:val="auto"/>
        </w:rPr>
        <w:t>any of our directors, officers or substantial security holders (as defined by the NYSE rules) has a 5% or greater interest, directly or indirectly, in the target business or assets to be acquired or otherwise and the present or potential issuance of ordinary shares could result in an increase in issued and outstanding ordinary shares or voting power of 1% or more (or 5% or more if the related party involved is classified as such solely because such person is a substantial security holder); or</w:t>
      </w:r>
    </w:p>
    <w:p>
      <w:pPr>
        <w:spacing w:after="0" w:line="93" w:lineRule="exact"/>
        <w:rPr>
          <w:rFonts w:ascii="Arial" w:cs="Arial" w:eastAsia="Arial" w:hAnsi="Arial"/>
          <w:sz w:val="16"/>
          <w:szCs w:val="16"/>
          <w:color w:val="auto"/>
        </w:rPr>
      </w:pPr>
    </w:p>
    <w:p>
      <w:pPr>
        <w:ind w:left="1320" w:right="999" w:hanging="434"/>
        <w:spacing w:after="0" w:line="277" w:lineRule="auto"/>
        <w:tabs>
          <w:tab w:leader="none" w:pos="1311" w:val="left"/>
        </w:tabs>
        <w:numPr>
          <w:ilvl w:val="0"/>
          <w:numId w:val="44"/>
        </w:numPr>
        <w:rPr>
          <w:rFonts w:ascii="Arial" w:cs="Arial" w:eastAsia="Arial" w:hAnsi="Arial"/>
          <w:sz w:val="18"/>
          <w:szCs w:val="18"/>
          <w:color w:val="auto"/>
        </w:rPr>
      </w:pPr>
      <w:r>
        <w:rPr>
          <w:rFonts w:ascii="Arial" w:cs="Arial" w:eastAsia="Arial" w:hAnsi="Arial"/>
          <w:sz w:val="18"/>
          <w:szCs w:val="18"/>
          <w:color w:val="auto"/>
        </w:rPr>
        <w:t>the issuance or potential issuance of ordinary shares will result in our undergoing a change of control.</w:t>
      </w:r>
    </w:p>
    <w:p>
      <w:pPr>
        <w:spacing w:after="0" w:line="89" w:lineRule="exact"/>
        <w:rPr>
          <w:sz w:val="20"/>
          <w:szCs w:val="20"/>
          <w:color w:val="auto"/>
        </w:rPr>
      </w:pPr>
    </w:p>
    <w:p>
      <w:pPr>
        <w:ind w:left="460" w:right="459" w:firstLine="432"/>
        <w:spacing w:after="0" w:line="311" w:lineRule="auto"/>
        <w:rPr>
          <w:sz w:val="20"/>
          <w:szCs w:val="20"/>
          <w:color w:val="auto"/>
        </w:rPr>
      </w:pPr>
      <w:r>
        <w:rPr>
          <w:rFonts w:ascii="Arial" w:cs="Arial" w:eastAsia="Arial" w:hAnsi="Arial"/>
          <w:sz w:val="16"/>
          <w:szCs w:val="16"/>
          <w:color w:val="auto"/>
        </w:rPr>
        <w:t>The decision as to whether we will seek shareholder approval of a proposed business combination in those instances in which shareholder approval is not required by law will be made by us, solely in our discretion, and will be based on business and legal reasons, which include a variety of factors, including, but not limited to:</w:t>
      </w:r>
    </w:p>
    <w:p>
      <w:pPr>
        <w:spacing w:after="0" w:line="81" w:lineRule="exact"/>
        <w:rPr>
          <w:sz w:val="20"/>
          <w:szCs w:val="20"/>
          <w:color w:val="auto"/>
        </w:rPr>
      </w:pPr>
    </w:p>
    <w:p>
      <w:pPr>
        <w:ind w:left="1320" w:right="959" w:hanging="434"/>
        <w:spacing w:after="0" w:line="308" w:lineRule="auto"/>
        <w:tabs>
          <w:tab w:leader="none" w:pos="1311" w:val="left"/>
        </w:tabs>
        <w:numPr>
          <w:ilvl w:val="0"/>
          <w:numId w:val="45"/>
        </w:numPr>
        <w:rPr>
          <w:rFonts w:ascii="Arial" w:cs="Arial" w:eastAsia="Arial" w:hAnsi="Arial"/>
          <w:sz w:val="17"/>
          <w:szCs w:val="17"/>
          <w:color w:val="auto"/>
        </w:rPr>
      </w:pPr>
      <w:r>
        <w:rPr>
          <w:rFonts w:ascii="Arial" w:cs="Arial" w:eastAsia="Arial" w:hAnsi="Arial"/>
          <w:sz w:val="17"/>
          <w:szCs w:val="17"/>
          <w:color w:val="auto"/>
        </w:rPr>
        <w:t>the timing of the transaction, including in the event we determine shareholder approval would require additional time and there is either not enough time to seek shareholder;</w:t>
      </w:r>
    </w:p>
    <w:p>
      <w:pPr>
        <w:spacing w:after="0" w:line="78" w:lineRule="exact"/>
        <w:rPr>
          <w:rFonts w:ascii="Arial" w:cs="Arial" w:eastAsia="Arial" w:hAnsi="Arial"/>
          <w:sz w:val="17"/>
          <w:szCs w:val="17"/>
          <w:color w:val="auto"/>
        </w:rPr>
      </w:pPr>
    </w:p>
    <w:p>
      <w:pPr>
        <w:ind w:left="1320" w:right="53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approval or doing so would place the company at a disadvantage in the transaction or result in other additional burdens on the company;</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expected cost of holding a shareholder vote;</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the risk that the shareholders would fail to approve the proposed business combination;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45"/>
        </w:numPr>
        <w:rPr>
          <w:rFonts w:ascii="Arial" w:cs="Arial" w:eastAsia="Arial" w:hAnsi="Arial"/>
          <w:sz w:val="18"/>
          <w:szCs w:val="18"/>
          <w:color w:val="auto"/>
        </w:rPr>
      </w:pPr>
      <w:r>
        <w:rPr>
          <w:rFonts w:ascii="Arial" w:cs="Arial" w:eastAsia="Arial" w:hAnsi="Arial"/>
          <w:sz w:val="18"/>
          <w:szCs w:val="18"/>
          <w:color w:val="auto"/>
        </w:rPr>
        <w:t>other time and budget constraints of the company; and</w:t>
      </w:r>
    </w:p>
    <w:p>
      <w:pPr>
        <w:spacing w:after="0" w:line="144"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45"/>
        </w:numPr>
        <w:rPr>
          <w:rFonts w:ascii="Arial" w:cs="Arial" w:eastAsia="Arial" w:hAnsi="Arial"/>
          <w:sz w:val="18"/>
          <w:szCs w:val="18"/>
          <w:color w:val="auto"/>
        </w:rPr>
      </w:pPr>
      <w:r>
        <w:rPr>
          <w:rFonts w:ascii="Arial" w:cs="Arial" w:eastAsia="Arial" w:hAnsi="Arial"/>
          <w:sz w:val="18"/>
          <w:szCs w:val="18"/>
          <w:color w:val="auto"/>
        </w:rPr>
        <w:t>additional legal complexities of a proposed business combination that would be time-consuming and burdensome to present to shareholders.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Permitted Purchases of Our Securities</w:t>
      </w:r>
    </w:p>
    <w:p>
      <w:pPr>
        <w:spacing w:after="0" w:line="162"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If we seek shareholder approval of our initial business combination and we do not conduct redemptions in connection with our initial business combination pursuant to the tender offer rules, our sponsor, directors, executive officers, advisors or their affiliates may purchase public shares or warrants in privately negotiated transactions or in the open market either prior to or following the completion of our initial business combination. However, they have no current commitments, plans or intentions to engage in such transactions and have not formulated any terms or conditions for any such transactions. None of the funds in the trust account will be used to purchase public shares or warrants in such transactions. If they engage in such transactions, they will not make any such purchases when they are in possession of any material non-public information not disclosed to the seller or if such purchases are prohibited by Regulation M under the Exchange Act.</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7" w:name="page88"/>
    <w:bookmarkEnd w:id="87"/>
    <w:p>
      <w:pPr>
        <w:ind w:left="460" w:right="639" w:firstLine="432"/>
        <w:spacing w:after="0" w:line="272" w:lineRule="auto"/>
        <w:rPr>
          <w:sz w:val="20"/>
          <w:szCs w:val="20"/>
          <w:color w:val="auto"/>
        </w:rPr>
      </w:pPr>
      <w:r>
        <w:rPr>
          <w:rFonts w:ascii="Arial" w:cs="Arial" w:eastAsia="Arial" w:hAnsi="Arial"/>
          <w:sz w:val="17"/>
          <w:szCs w:val="17"/>
          <w:color w:val="auto"/>
        </w:rPr>
        <w:t>In the event that our sponsor, directors, officers, advisors or their affiliates purchase shares in privately negotiated transactions from public shareholders who have already elected to exercise their redemption rights, such selling shareholders would be required to revoke their prior elections to redeem their shares.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96" w:lineRule="exact"/>
        <w:rPr>
          <w:sz w:val="20"/>
          <w:szCs w:val="20"/>
          <w:color w:val="auto"/>
        </w:rPr>
      </w:pPr>
    </w:p>
    <w:p>
      <w:pPr>
        <w:ind w:left="460" w:right="559" w:firstLine="432"/>
        <w:spacing w:after="0" w:line="253" w:lineRule="auto"/>
        <w:rPr>
          <w:sz w:val="20"/>
          <w:szCs w:val="20"/>
          <w:color w:val="auto"/>
        </w:rPr>
      </w:pPr>
      <w:r>
        <w:rPr>
          <w:rFonts w:ascii="Arial" w:cs="Arial" w:eastAsia="Arial" w:hAnsi="Arial"/>
          <w:sz w:val="18"/>
          <w:szCs w:val="18"/>
          <w:color w:val="auto"/>
        </w:rPr>
        <w:t>The purpose of any such purchases of shares could be to (i) vote such shares in favor of the business combination and thereby increase the likelihood of obtaining shareholder approval of the business combination or (ii) to satisfy a closing condition in an agreement with a target that requires us to have a minimum net worth or a certain amount of cash at the closing of our initial business combination, where it appears that such requirement would otherwise not be met. The purpose of any such purchases of public warrants could be to reduce the number of public warrants outstanding or to vote such warrants on any matters submitted to the warrant holders for approval in connection with our initial business combination. Any such purchases of our securities may result in the completion of our initial business combination that may not otherwise have been possible.</w:t>
      </w:r>
    </w:p>
    <w:p>
      <w:pPr>
        <w:spacing w:after="0" w:line="129"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In addition, if such purchases are made, the public “float” of our Class A ordinary shares or public warrants may be reduced and the number of beneficial holders of our securities may be reduced, which may make it difficult to maintain or obtain the quotation, listing or trading of our securities on a national securities exchange.</w:t>
      </w:r>
    </w:p>
    <w:p>
      <w:pPr>
        <w:spacing w:after="0" w:line="119"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Our sponsor, officers, directors and/or their affiliates anticipate that they may identify the shareholders with whom our sponsor, officers, directors or their affiliates may pursue privately negotiated purchases by either the shareholders contacting us directly or by our receipt of redemption requests submitted by shareholders (in the case of Class A ordinary shares) following our mailing of proxy materials in connection with our initial business combination. To the extent that our sponsor, officers, directors, advisors or their affiliates enter into a private purchase, they would identify and contact potential selling shareholders who have expressed their election to redeem their shares for a pro rata share of the trust account or vote against our initial business combination, whether or not such shareholder has already submitted a proxy with respect to our initial business combination but only if such shares have not already been voted at the shareholder meeting related to our initial business combination. Our sponsor, executive officers, directors, advisors or any of their affiliates will select which shareholders to purchase shares from based on the negotiated price and number of shares and any other factors that they may deem relevant, and will only purchase shares if such purchases comply with Regulation M under the Exchange Act and the other federal securities laws.</w:t>
      </w:r>
    </w:p>
    <w:p>
      <w:pPr>
        <w:spacing w:after="0" w:line="93"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Our sponsor, officers, directors and/or their affiliates will not make purchases of shares if the purchases would violate Section 9(a)(2) or Rule 10b-5 of the Exchange Act. Any such purchases will be reported pursuant to Section 13 and Section 16 of the Exchange Act to the extent such purchasers are subject to such reporting requirements.</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7"/>
          <w:szCs w:val="17"/>
          <w:b w:val="1"/>
          <w:bCs w:val="1"/>
          <w:color w:val="auto"/>
        </w:rPr>
        <w:t>Redemption Rights for Public Shareholders upon Completion of Our Initial Business Combination</w:t>
      </w:r>
    </w:p>
    <w:p>
      <w:pPr>
        <w:spacing w:after="0" w:line="173"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at a per-share price, payable in cash, equal to the aggregate amount then on deposit in the trust account calculated as of two business days prior to the consummation of the initial business combination, including interest earned on the funds held in the trust account and not previously released to us to pay our income taxes, if any, divided by the number of then-outstanding public shares, subject to the limitations described herein. The amount in the trust account is initially anticipated to be approximately $10.00 per public share. The per share amount we will distribute to investors who properly redeem their shares will not be reduced by the deferred underwriting commissions we will pay to the underwriter. The redemption rights will include the requirement that a beneficial holder must identify itself in order to validly redeem its shares. There will be no redemption rights upon the completion of our initial business combination with respect to our warrants. Our sponsor and each member of our management team have entered into agreements with us, pursuant to which they have agreed to waive their redemption rights with respect to any founder shares and any public shares in connection with (i) the completion of our initial business combination and (ii) a shareholder vote to approve an amendment to our amended and restated memorandum and articles of association that would affect the</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8" w:name="page89"/>
    <w:bookmarkEnd w:id="88"/>
    <w:p>
      <w:pPr>
        <w:ind w:left="460" w:right="599"/>
        <w:spacing w:after="0" w:line="311" w:lineRule="auto"/>
        <w:rPr>
          <w:sz w:val="20"/>
          <w:szCs w:val="20"/>
          <w:color w:val="auto"/>
        </w:rPr>
      </w:pPr>
      <w:r>
        <w:rPr>
          <w:rFonts w:ascii="Arial" w:cs="Arial" w:eastAsia="Arial" w:hAnsi="Arial"/>
          <w:sz w:val="16"/>
          <w:szCs w:val="16"/>
          <w:color w:val="auto"/>
        </w:rPr>
        <w:t>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Limitations on Redemptions</w:t>
      </w:r>
    </w:p>
    <w:p>
      <w:pPr>
        <w:spacing w:after="0" w:line="148" w:lineRule="exact"/>
        <w:rPr>
          <w:sz w:val="20"/>
          <w:szCs w:val="20"/>
          <w:color w:val="auto"/>
        </w:rPr>
      </w:pPr>
    </w:p>
    <w:p>
      <w:pPr>
        <w:ind w:left="460" w:right="599" w:firstLine="432"/>
        <w:spacing w:after="0" w:line="288" w:lineRule="auto"/>
        <w:rPr>
          <w:sz w:val="20"/>
          <w:szCs w:val="20"/>
          <w:color w:val="auto"/>
        </w:rPr>
      </w:pPr>
      <w:r>
        <w:rPr>
          <w:rFonts w:ascii="Arial" w:cs="Arial" w:eastAsia="Arial" w:hAnsi="Arial"/>
          <w:sz w:val="16"/>
          <w:szCs w:val="16"/>
          <w:color w:val="auto"/>
        </w:rPr>
        <w:t>Our amended and restated memorandum and articles of association will provide that in no event will we redeem our public shares in an amount that would cause our net tangible assets to be less than $5,000,001 (so that we are not subject to the SEC’s “penny stock” rules). However, the proposed business combination may require: (i) cash consideration to be paid to the target or its owners; (ii) cash to be transferred to the target for working capital or other general corporate purposes; or (iii) the retention of cash to satisfy other conditions in accordance with the terms of the proposed business combination. In the event the aggregate cash consideration we would be required to pay for all Class A ordinary shares that are validly submitted for redemption plus any amount required to satisfy cash conditions pursuant to the terms of the proposed business combination exceed the aggregate amount of cash available to us, we will not complete the business combination or redeem any shares, and all Class A ordinary shares submitted for redemption will be returned to the holders thereof.</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Manner of Conducting Redemptions</w:t>
      </w:r>
    </w:p>
    <w:p>
      <w:pPr>
        <w:spacing w:after="0" w:line="162"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We will provide our public shareholders with the opportunity to redeem all or a portion of their Class A ordinary shares upon the completion of our initial business combination either (i) in connection with a shareholder meeting called to approve the business combination or (ii) by means of a tender offer. The decision as to whether we will seek shareholder approval of a proposed business combination or conduct a tender offer will be made by us, solely in our discretion, and will be based on a variety of factors such as the timing of the transaction and whether the terms of the transaction would require us to seek shareholder approval under applicable law or stock exchange listing requirement or whether we were deemed to be a foreign private issuer (which would require a tender offer rather than seeking shareholder approval under SEC rules). Asset acquisitions and share purchases would not typically require shareholder approval while direct mergers with our company where we do not survive and any transactions where we issue more than 20% of our issued and outstanding ordinary shares or seek to amend our amended and restated memorandum and articles of association would require shareholder approval. We currently intend to conduct redemptions in connection with a shareholder vote unless shareholder approval is not required by applicable law or stock exchange listing requirement and we choose to conduct redemptions pursuant to the tender offer rules of the SEC for business or other legal reasons. So long as we obtain and maintain a listing for our securities on the NYSE, we will be required to comply with the NYSE rules.</w:t>
      </w:r>
    </w:p>
    <w:p>
      <w:pPr>
        <w:spacing w:after="0" w:line="112" w:lineRule="exact"/>
        <w:rPr>
          <w:sz w:val="20"/>
          <w:szCs w:val="20"/>
          <w:color w:val="auto"/>
        </w:rPr>
      </w:pPr>
    </w:p>
    <w:p>
      <w:pPr>
        <w:ind w:left="460" w:right="1079" w:firstLine="432"/>
        <w:spacing w:after="0" w:line="277" w:lineRule="auto"/>
        <w:rPr>
          <w:sz w:val="20"/>
          <w:szCs w:val="20"/>
          <w:color w:val="auto"/>
        </w:rPr>
      </w:pPr>
      <w:r>
        <w:rPr>
          <w:rFonts w:ascii="Arial" w:cs="Arial" w:eastAsia="Arial" w:hAnsi="Arial"/>
          <w:sz w:val="18"/>
          <w:szCs w:val="18"/>
          <w:color w:val="auto"/>
        </w:rPr>
        <w:t>If we held a shareholder vote to approve our initial business combination, we will, pursuant to our amended and restated memorandum and articles of association:</w:t>
      </w:r>
    </w:p>
    <w:p>
      <w:pPr>
        <w:spacing w:after="0" w:line="89" w:lineRule="exact"/>
        <w:rPr>
          <w:sz w:val="20"/>
          <w:szCs w:val="20"/>
          <w:color w:val="auto"/>
        </w:rPr>
      </w:pPr>
    </w:p>
    <w:p>
      <w:pPr>
        <w:jc w:val="both"/>
        <w:ind w:left="1320" w:right="519" w:hanging="434"/>
        <w:spacing w:after="0" w:line="263" w:lineRule="auto"/>
        <w:tabs>
          <w:tab w:leader="none" w:pos="1311" w:val="left"/>
        </w:tabs>
        <w:numPr>
          <w:ilvl w:val="0"/>
          <w:numId w:val="46"/>
        </w:numPr>
        <w:rPr>
          <w:rFonts w:ascii="Arial" w:cs="Arial" w:eastAsia="Arial" w:hAnsi="Arial"/>
          <w:sz w:val="18"/>
          <w:szCs w:val="18"/>
          <w:color w:val="auto"/>
        </w:rPr>
      </w:pPr>
      <w:r>
        <w:rPr>
          <w:rFonts w:ascii="Arial" w:cs="Arial" w:eastAsia="Arial" w:hAnsi="Arial"/>
          <w:sz w:val="18"/>
          <w:szCs w:val="18"/>
          <w:color w:val="auto"/>
        </w:rPr>
        <w:t>conduct the redemptions in conjunction with a proxy solicitation pursuant to Regulation 14A of the Exchange Act, which regulates the solicitation of proxies, and not pursuant to the tender offer rules; and</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46"/>
        </w:numPr>
        <w:rPr>
          <w:rFonts w:ascii="Arial" w:cs="Arial" w:eastAsia="Arial" w:hAnsi="Arial"/>
          <w:sz w:val="18"/>
          <w:szCs w:val="18"/>
          <w:color w:val="auto"/>
        </w:rPr>
      </w:pPr>
      <w:r>
        <w:rPr>
          <w:rFonts w:ascii="Arial" w:cs="Arial" w:eastAsia="Arial" w:hAnsi="Arial"/>
          <w:sz w:val="18"/>
          <w:szCs w:val="18"/>
          <w:color w:val="auto"/>
        </w:rPr>
        <w:t>file proxy materials with the SEC.</w:t>
      </w:r>
    </w:p>
    <w:p>
      <w:pPr>
        <w:spacing w:after="0" w:line="158" w:lineRule="exact"/>
        <w:rPr>
          <w:sz w:val="20"/>
          <w:szCs w:val="20"/>
          <w:color w:val="auto"/>
        </w:rPr>
      </w:pPr>
    </w:p>
    <w:p>
      <w:pPr>
        <w:ind w:left="460" w:right="899" w:firstLine="432"/>
        <w:spacing w:after="0" w:line="263" w:lineRule="auto"/>
        <w:rPr>
          <w:sz w:val="20"/>
          <w:szCs w:val="20"/>
          <w:color w:val="auto"/>
        </w:rPr>
      </w:pPr>
      <w:r>
        <w:rPr>
          <w:rFonts w:ascii="Arial" w:cs="Arial" w:eastAsia="Arial" w:hAnsi="Arial"/>
          <w:sz w:val="18"/>
          <w:szCs w:val="18"/>
          <w:color w:val="auto"/>
        </w:rPr>
        <w:t>In the event that we seek shareholder approval of our initial business combination, we will distribute proxy materials and, in connection therewith, provide our public shareholders with the redemption rights described above upon completion of the initial business combination.</w:t>
      </w:r>
    </w:p>
    <w:p>
      <w:pPr>
        <w:spacing w:after="0" w:line="103"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If we seek shareholder approval, we will complete our initial business combination only if a majority of the ordinary shares, represented in person or by proxy and entitled to vote thereon, voted at a shareholder meeting vote in favor of the business combination. In such case, our sponsor has agreed to vote its founder shares and any public shares purchased during or after this offering in favor of our initial business combination. As a result, in addition to our sponsor’s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 Each public shareholder may elect to redeem their public shares irrespective of whether they</w:t>
      </w: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89" w:name="page90"/>
    <w:bookmarkEnd w:id="89"/>
    <w:p>
      <w:pPr>
        <w:ind w:left="460" w:right="459"/>
        <w:spacing w:after="0" w:line="271" w:lineRule="auto"/>
        <w:rPr>
          <w:sz w:val="20"/>
          <w:szCs w:val="20"/>
          <w:color w:val="auto"/>
        </w:rPr>
      </w:pPr>
      <w:r>
        <w:rPr>
          <w:rFonts w:ascii="Arial" w:cs="Arial" w:eastAsia="Arial" w:hAnsi="Arial"/>
          <w:sz w:val="17"/>
          <w:szCs w:val="17"/>
          <w:color w:val="auto"/>
        </w:rPr>
        <w:t>vote for or against the proposed transaction. In addition, our sponsor and each member of our management team have entered into agreements with us, pursuant to which they have agreed to waive their redemption rights with respect to their founder shares and public shares in connection with (i) the completion of a business combination and (ii)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w:t>
      </w:r>
    </w:p>
    <w:p>
      <w:pPr>
        <w:spacing w:after="0" w:line="97"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If we conduct redemptions pursuant to the tender offer rules of the SEC, we will, pursuant to our amended and restated memorandum and articles of association:</w:t>
      </w:r>
    </w:p>
    <w:p>
      <w:pPr>
        <w:spacing w:after="0" w:line="103" w:lineRule="exact"/>
        <w:rPr>
          <w:sz w:val="20"/>
          <w:szCs w:val="20"/>
          <w:color w:val="auto"/>
        </w:rPr>
      </w:pPr>
    </w:p>
    <w:p>
      <w:pPr>
        <w:ind w:left="1320" w:right="739" w:hanging="434"/>
        <w:spacing w:after="0" w:line="277" w:lineRule="auto"/>
        <w:tabs>
          <w:tab w:leader="none" w:pos="13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conduct the redemptions pursuant to Rule 13e-4 and Regulation 14E of the Exchange Act, which regulate issuer tender offers; and</w:t>
      </w:r>
    </w:p>
    <w:p>
      <w:pPr>
        <w:spacing w:after="0" w:line="102" w:lineRule="exact"/>
        <w:rPr>
          <w:rFonts w:ascii="Arial" w:cs="Arial" w:eastAsia="Arial" w:hAnsi="Arial"/>
          <w:sz w:val="18"/>
          <w:szCs w:val="18"/>
          <w:color w:val="auto"/>
        </w:rPr>
      </w:pPr>
    </w:p>
    <w:p>
      <w:pPr>
        <w:jc w:val="both"/>
        <w:ind w:left="1320" w:right="459" w:hanging="434"/>
        <w:spacing w:after="0" w:line="259" w:lineRule="auto"/>
        <w:tabs>
          <w:tab w:leader="none" w:pos="1311" w:val="left"/>
        </w:tabs>
        <w:numPr>
          <w:ilvl w:val="0"/>
          <w:numId w:val="47"/>
        </w:numPr>
        <w:rPr>
          <w:rFonts w:ascii="Arial" w:cs="Arial" w:eastAsia="Arial" w:hAnsi="Arial"/>
          <w:sz w:val="18"/>
          <w:szCs w:val="18"/>
          <w:color w:val="auto"/>
        </w:rPr>
      </w:pPr>
      <w:r>
        <w:rPr>
          <w:rFonts w:ascii="Arial" w:cs="Arial" w:eastAsia="Arial" w:hAnsi="Arial"/>
          <w:sz w:val="18"/>
          <w:szCs w:val="18"/>
          <w:color w:val="auto"/>
        </w:rPr>
        <w:t>file tender offer documents with the SEC prior to completing our initial business combination which contain substantially the same financial and other information about the initial business combination and the redemption rights as is required under Regulation 14A of the Exchange Act, which regulates the solicitation of proxies.</w:t>
      </w:r>
    </w:p>
    <w:p>
      <w:pPr>
        <w:spacing w:after="0" w:line="106" w:lineRule="exact"/>
        <w:rPr>
          <w:sz w:val="20"/>
          <w:szCs w:val="20"/>
          <w:color w:val="auto"/>
        </w:rPr>
      </w:pPr>
    </w:p>
    <w:p>
      <w:pPr>
        <w:jc w:val="both"/>
        <w:ind w:left="460" w:right="599" w:firstLine="432"/>
        <w:spacing w:after="0" w:line="311" w:lineRule="auto"/>
        <w:rPr>
          <w:sz w:val="20"/>
          <w:szCs w:val="20"/>
          <w:color w:val="auto"/>
        </w:rPr>
      </w:pPr>
      <w:r>
        <w:rPr>
          <w:rFonts w:ascii="Arial" w:cs="Arial" w:eastAsia="Arial" w:hAnsi="Arial"/>
          <w:sz w:val="16"/>
          <w:szCs w:val="16"/>
          <w:color w:val="auto"/>
        </w:rPr>
        <w:t>Upon the public announcement of our initial business combination, we or our sponsor will terminate any plan established in accordance with Rule 10b5-1 to purchase Class A ordinary shares in the open market if we elect to redeem our public shares through a tender offer, to comply with Rule 14e-5 under the Exchange Act.</w:t>
      </w:r>
    </w:p>
    <w:p>
      <w:pPr>
        <w:spacing w:after="0" w:line="81"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In the event we conduct redemptions pursuant to the tender offer rules, our offer to redeem will remain open for at least 20 business days, in accordance with Rule 14e-1(a) under the Exchange Act, and we will not be permitted to complete our initial business combination until the expiration of the tender offer period. In addition, the tender offer will be conditioned on public shareholders not tendering more than the number of public shares we are permitted to redeem. If public shareholders tender more shares than we have offered to purchase, we will withdraw the tender offer and not complete the initial business combination.</w:t>
      </w:r>
    </w:p>
    <w:p>
      <w:pPr>
        <w:spacing w:after="0" w:line="160" w:lineRule="exact"/>
        <w:rPr>
          <w:sz w:val="20"/>
          <w:szCs w:val="20"/>
          <w:color w:val="auto"/>
        </w:rPr>
      </w:pPr>
    </w:p>
    <w:p>
      <w:pPr>
        <w:ind w:left="460" w:right="1439"/>
        <w:spacing w:after="0" w:line="282" w:lineRule="auto"/>
        <w:rPr>
          <w:sz w:val="20"/>
          <w:szCs w:val="20"/>
          <w:color w:val="auto"/>
        </w:rPr>
      </w:pPr>
      <w:r>
        <w:rPr>
          <w:rFonts w:ascii="Arial" w:cs="Arial" w:eastAsia="Arial" w:hAnsi="Arial"/>
          <w:sz w:val="18"/>
          <w:szCs w:val="18"/>
          <w:b w:val="1"/>
          <w:bCs w:val="1"/>
          <w:color w:val="auto"/>
        </w:rPr>
        <w:t>Limitation on Redemption upon Completion of Our Initial Business Combination If We Seek Shareholder Approval</w:t>
      </w:r>
    </w:p>
    <w:p>
      <w:pPr>
        <w:spacing w:after="0" w:line="9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seeking redemption rights with respect to more than an aggregate of 15% of the shares sold in this offering, which we refer to as “Excess Shares.” We believe this restriction will discourage shareholders from accumulating large blocks of shares, and subsequent attempts by such holders to use their ability to exercise their redemption rights against a proposed business combination as a means to force us or our management to purchase their shares at a significant premium to the then-current market price or on other undesirable terms. Absent this provision, a public shareholder holding more than an aggregate of 15% of the shares sold in this offering could threaten to exercise its redemption rights if such holder’s shares are not purchased by us, our sponsor or our management at a premium to the then-current market price or on other undesirable terms. By limiting our shareholders’ ability to redeem no more than 15% of the shares sold in this offering without our prior consent, we believe we will limit the ability of a small group of shareholders to unreasonably attempt to block our ability to complete our initial business combination, particularly in connection with a business combination with a target that requires as a closing condition that we have a minimum net worth or a certain amount of cash.</w:t>
      </w:r>
    </w:p>
    <w:p>
      <w:pPr>
        <w:spacing w:after="0" w:line="93" w:lineRule="exact"/>
        <w:rPr>
          <w:sz w:val="20"/>
          <w:szCs w:val="20"/>
          <w:color w:val="auto"/>
        </w:rPr>
      </w:pPr>
    </w:p>
    <w:p>
      <w:pPr>
        <w:ind w:left="460" w:right="999" w:firstLine="432"/>
        <w:spacing w:after="0" w:line="277" w:lineRule="auto"/>
        <w:rPr>
          <w:sz w:val="20"/>
          <w:szCs w:val="20"/>
          <w:color w:val="auto"/>
        </w:rPr>
      </w:pPr>
      <w:r>
        <w:rPr>
          <w:rFonts w:ascii="Arial" w:cs="Arial" w:eastAsia="Arial" w:hAnsi="Arial"/>
          <w:sz w:val="18"/>
          <w:szCs w:val="18"/>
          <w:color w:val="auto"/>
        </w:rPr>
        <w:t>However, we would not be restricting our shareholders’ ability to vote all of their shares (including Excess Shares) for or against our initial business combination.</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0" w:name="page91"/>
    <w:bookmarkEnd w:id="90"/>
    <w:p>
      <w:pPr>
        <w:ind w:left="460"/>
        <w:spacing w:after="0"/>
        <w:rPr>
          <w:sz w:val="20"/>
          <w:szCs w:val="20"/>
          <w:color w:val="auto"/>
        </w:rPr>
      </w:pPr>
      <w:r>
        <w:rPr>
          <w:rFonts w:ascii="Arial" w:cs="Arial" w:eastAsia="Arial" w:hAnsi="Arial"/>
          <w:sz w:val="18"/>
          <w:szCs w:val="18"/>
          <w:b w:val="1"/>
          <w:bCs w:val="1"/>
          <w:color w:val="auto"/>
        </w:rPr>
        <w:t>Tendering Share Certificates in Connection with a Tender Offer or Redemption Rights</w:t>
      </w:r>
    </w:p>
    <w:p>
      <w:pPr>
        <w:spacing w:after="0" w:line="162"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Public shareholders seeking to exercise their redemption rights, whether they are record holders or hold their shares in “street name,” will be required to either tender their certificates (if any) to our transfer agent prior to the date set forth in the proxy solicitation or tender offer materials, as applicable, mailed to such holders, or to deliver their shares to the transfer agent electronically using The Depository Trust Company’s DWAC (Deposit/Withdrawal At Custodian) System, at the holder’s option, in each case up to two business days prior to the initially scheduled vote to approve the business combination. The proxy solicitation or tender offer materials, as applicable, that we will furnish to holders of our public shares in connection with our initial business combination will indicate the applicable delivery requirements, which will include the requirement that a beneficial holder must identify itself in order to validly redeem its shares. Accordingly, a public shareholder would have from the time we send out our tender offer materials until the close of the tender offer period, or up to two days prior to the initially scheduled vote on the business combination if we distribute proxy materials, as applicable, to tender its shares if it wishes to seek to exercise its redemption rights. Given the relatively short period in which to exercise redemption rights, it is advisable for shareholders to use electronic delivery of their public shares.</w:t>
      </w:r>
    </w:p>
    <w:p>
      <w:pPr>
        <w:spacing w:after="0" w:line="103"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There is a nominal cost associated with the above-referenced tendering process and the act of certificating the shares or delivering them through the DWAC System. The transfer agent will typically charge the tendering broker a fee of approximately $80.00 and it would be up to the broker whether or not to pass this cost on to the redeeming holder. However, this fee would be incurred regardless of whether or not we require holders seeking to exercise redemption rights to tender their shares. The need to deliver shares is a requirement of exercising redemption rights regardless of the timing of when such delivery must be effectuated.</w:t>
      </w:r>
    </w:p>
    <w:p>
      <w:pPr>
        <w:spacing w:after="0" w:line="97"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The foregoing is different from the procedures used by many blank check companies. In order to perfect redemption rights in connection with their business combinations, many blank check companies would distribute proxy materials for the shareholders’ vote on an initial business combination, and a holder could simply vote against a proposed business combination and check a box on the proxy card indicating such holder was seeking to exercise his or her redemption rights. After the business combination was approved, the company would contact such shareholder to arrange for him or her to deliver his or her certificate to verify ownership. As a result, the shareholder then had an “option window” after the completion of the business combination during which he or she could monitor the price of the company’s shares in the market. If the price rose above the redemption price, he or she could sell his or her shares in the open market before actually delivering his or her shares to the company for cancellation. As a result, the redemption rights, to which shareholders were aware they needed to commit before the shareholder meeting, would become “option” rights surviving past the completion of the business combination until the redeeming holder delivered its certificate. The requirement for physical or electronic delivery prior to the meeting ensures that a redeeming shareholder’s election to redeem is irrevocable once the business combination is approved.</w:t>
      </w:r>
    </w:p>
    <w:p>
      <w:pPr>
        <w:spacing w:after="0" w:line="103"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Any request to redeem such shares, once made, may be withdrawn at any time up to two business days prior to the initially scheduled vote on the proposal to approve the business combination, unless otherwise agreed to by us. Furthermore, if a holder of a public share delivered its certificate in connection with an election of redemption rights and subsequently decides prior to the applicable date not to elect to exercise such rights, such holder may simply request that the transfer agent return the certificate (physically or electronically). It is anticipated that the funds to be distributed to holders of our public shares electing to redeem their shares will be distributed promptly after the completion of our initial business combination.</w:t>
      </w:r>
    </w:p>
    <w:p>
      <w:pPr>
        <w:spacing w:after="0" w:line="85"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If our initial business combination is not approved or completed for any reason, then our public shareholders who elected to exercise their redemption rights would not be entitled to redeem their shares for the applicable pro rata share of the trust account. In such case, we will promptly return any certificates delivered by public holders who elected to redeem their shares.</w:t>
      </w:r>
    </w:p>
    <w:p>
      <w:pPr>
        <w:spacing w:after="0" w:line="119" w:lineRule="exact"/>
        <w:rPr>
          <w:sz w:val="20"/>
          <w:szCs w:val="20"/>
          <w:color w:val="auto"/>
        </w:rPr>
      </w:pPr>
    </w:p>
    <w:p>
      <w:pPr>
        <w:ind w:left="460" w:right="959" w:firstLine="432"/>
        <w:spacing w:after="0" w:line="342" w:lineRule="auto"/>
        <w:rPr>
          <w:sz w:val="20"/>
          <w:szCs w:val="20"/>
          <w:color w:val="auto"/>
        </w:rPr>
      </w:pPr>
      <w:r>
        <w:rPr>
          <w:rFonts w:ascii="Arial" w:cs="Arial" w:eastAsia="Arial" w:hAnsi="Arial"/>
          <w:sz w:val="16"/>
          <w:szCs w:val="16"/>
          <w:color w:val="auto"/>
        </w:rPr>
        <w:t>If our initial proposed business combination is not completed, we may continue to try to complete a business combination with a different target until 18 months from the closing of this offering.</w:t>
      </w:r>
    </w:p>
    <w:p>
      <w:pPr>
        <w:spacing w:after="0" w:line="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1" w:name="page92"/>
    <w:bookmarkEnd w:id="91"/>
    <w:p>
      <w:pPr>
        <w:ind w:left="460"/>
        <w:spacing w:after="0"/>
        <w:rPr>
          <w:sz w:val="20"/>
          <w:szCs w:val="20"/>
          <w:color w:val="auto"/>
        </w:rPr>
      </w:pPr>
      <w:r>
        <w:rPr>
          <w:rFonts w:ascii="Arial" w:cs="Arial" w:eastAsia="Arial" w:hAnsi="Arial"/>
          <w:sz w:val="18"/>
          <w:szCs w:val="18"/>
          <w:b w:val="1"/>
          <w:bCs w:val="1"/>
          <w:color w:val="auto"/>
        </w:rPr>
        <w:t>Redemption of Public Shares and Liquidation If No Initial Business Combination</w:t>
      </w:r>
    </w:p>
    <w:p>
      <w:pPr>
        <w:spacing w:after="0" w:line="162"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Our amended and restated memorandum and articles of association will provide that we will have only 18 months from the closing of this offering to consummate an initial business combination. If we have not consummated an initial business combination within 18 months from the closing of this offering, we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There will be no redemption rights or liquidating distributions with respect to our warrants, which will expire worthless if we fail to consummate an initial business combination within 18 months from the closing of this offering.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90"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Our sponsor, directors and members of our management team have entered into agreements with us, pursuant to which they have waived their rights to liquidating distributions from the trust account with respect to their founder shares if we fail to consummate an initial business combination within 18 months from the closing of this offering. However, if our sponsor, director or members of our management team acquire public shares in or after this offering, they will be entitled to liquidating distributions from the trust account with respect to such public shares if we fail to consummate an initial business combination within 18 months from the closing of this offering.</w:t>
      </w:r>
    </w:p>
    <w:p>
      <w:pPr>
        <w:spacing w:after="0" w:line="127"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Our sponsor, executive officers, directors and director nominees have agreed, pursuant to a written agreement with us, that they will not propose any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unless we provide our public shareholders with the opportunity to redeem their public shares upon approval of any such amendment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However, we may not redeem our public shares in an amount that would cause our net tangible assets to be less than $5,000,001 (so that we are not subject to the SEC’s “penny stock” rules). If this optional redemption right is exercised with respect to an excessive number of public shares such that we cannot satisfy the net tangible asset requirement, we would not proceed with the amendment or the related redemption of our public shares at such time. This redemption right shall apply in the event of the approval of any such amendment, whether proposed by our sponsor, any executive officer, director or director nominee, or any other person.</w:t>
      </w:r>
    </w:p>
    <w:p>
      <w:pPr>
        <w:spacing w:after="0" w:line="11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We expect that all costs and expenses associated with implementing our plan of dissolution, as well as payments to any creditors, will be funded from amounts remaining out of the $2,500,000 of proceeds held outside the trust account (or $1,600,000 if the underwriter’s over-allotment option is exercised in full) plus up to $100,000 of funds from the trust account available to us to pay dissolution expenses, although we cannot assure you that there will be sufficient funds for such purpose.</w:t>
      </w:r>
    </w:p>
    <w:p>
      <w:pPr>
        <w:spacing w:after="0" w:line="107" w:lineRule="exact"/>
        <w:rPr>
          <w:sz w:val="20"/>
          <w:szCs w:val="20"/>
          <w:color w:val="auto"/>
        </w:rPr>
      </w:pPr>
    </w:p>
    <w:p>
      <w:pPr>
        <w:ind w:left="460" w:right="459" w:firstLine="432"/>
        <w:spacing w:after="0" w:line="271" w:lineRule="auto"/>
        <w:rPr>
          <w:sz w:val="20"/>
          <w:szCs w:val="20"/>
          <w:color w:val="auto"/>
        </w:rPr>
      </w:pPr>
      <w:r>
        <w:rPr>
          <w:rFonts w:ascii="Arial" w:cs="Arial" w:eastAsia="Arial" w:hAnsi="Arial"/>
          <w:sz w:val="17"/>
          <w:szCs w:val="17"/>
          <w:color w:val="auto"/>
        </w:rPr>
        <w:t>If we were to expend all of the net proceeds of this offering and the sale of the private placement warrants, other than the proceeds deposited in the trust account, and without taking into account interest, if any, earned on the trust account, the per-share redemption amount received by shareholders upon our dissolution would be $10.00. The proceeds deposited in the trust account could, however, become subject to the claims of our creditors which would have higher priority than the claims of our public shareholders. We cannot assure you that the actual per-share redemption amount received by shareholders will not be less than $10.00. While we intend to pay such amounts, if any, we cannot assure you that we will have funds sufficient to pay or provide for all creditors’ claims.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92" w:name="page93"/>
    <w:bookmarkEnd w:id="92"/>
    <w:p>
      <w:pPr>
        <w:ind w:left="460" w:right="479" w:firstLine="432"/>
        <w:spacing w:after="0" w:line="283" w:lineRule="auto"/>
        <w:rPr>
          <w:sz w:val="20"/>
          <w:szCs w:val="20"/>
          <w:color w:val="auto"/>
        </w:rPr>
      </w:pPr>
      <w:r>
        <w:rPr>
          <w:rFonts w:ascii="Arial" w:cs="Arial" w:eastAsia="Arial" w:hAnsi="Arial"/>
          <w:sz w:val="16"/>
          <w:szCs w:val="16"/>
          <w:color w:val="auto"/>
        </w:rPr>
        <w:t xml:space="preserve">Although we will seek to have all vendors, service providers, prospective target businesses and other entities with which we do business execute agreements with us waiving any right, title, interest or claim of any kind in or to any monies held in the trust account for the benefit of our public shareholders, there is no guarantee that they will execute such agreements or even if they execute such agreements that they would be prevented from bringing claims against the trust account including, but not limited, to fraudulent inducement, breach of fiduciary responsibility or other similar claims, as well as claims challenging the enforceability of the waiver, in each case in order to gain an advantage with respect to a claim against our assets, including the funds held in the trust account. If any third party refuses to execute an agreement waiving such claims to the monies held in the trust account, our management will consider whether competitive alternatives are reasonably available to the company and will only enter into an agreement with a third party that has not executed a waiver if management believes that such third party’s engagement would be in the best interest of the company given the circumstances. Examples of possible instances where we may engage a third party that refuses to execute a waiver include the engagement of a third-party consultant whose particular expertise or skills are believed by management to be significantly superior to those of other consultants that would agree to execute a waiver or in cases where management is unable to find a service provider willing to execute a waiver. Citigroup Global Markets Inc. will not execute an agreement with us waiving such claims to the monies held in the trust account. In addition, there is no guarantee that such entities will agree to waive any claims they may have in the future as a result of, or arising out of, any negotiations, contracts or agreements with us and will not seek recourse against the trust account for any reason. In order to protect the amounts held in the trust account, our sponsor has agreed that it will be liable to us if and to the extent any claims by a third party for services rendered or products sold to us (other than our independent registered public accounting firm), or a prospective target business with which we have discussed entering into a transaction agreement, reduce the amounts in the trust account to below the lesser of (i) $10.00 per public share and (ii) the actual amount per public share held in the trust account as of the date of the liquidation of the trust account if less than $10.00 per share due to reductions in the value of the trust assets, in each case net of the interest that may be withdrawn to pay our tax obligations,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such liability will not apply to any claims by a third party or prospective target business that executed a waiver of any and all rights to seek access to the trust account nor will it apply to any claims under our indemnity of the underwriter of this offering against certain liabilities, including liabilities under the Securities Act. In the event that an executed waiver is deemed to be unenforceable against a third party, our sponsor will not be responsible to the extent of any liability for such third-party claims. However, we have not asked our sponsor to reserve for such indemnification obligations, nor have we independently verified whether our sponsor has sufficient funds to satisfy its indemnity obligations and we believe that our sponsor’s only assets are securities of our company. Therefore, we cannot assure you that our sponsor would be able to satisfy those obligations. None of our officers or directors will indemnify us for claims by third parties including, without limitation, claims by vendors and prospective target businesses.</w:t>
      </w:r>
    </w:p>
    <w:p>
      <w:pPr>
        <w:spacing w:after="0" w:line="102" w:lineRule="exact"/>
        <w:rPr>
          <w:sz w:val="20"/>
          <w:szCs w:val="20"/>
          <w:color w:val="auto"/>
        </w:rPr>
      </w:pPr>
    </w:p>
    <w:p>
      <w:pPr>
        <w:ind w:left="460" w:right="579" w:firstLine="432"/>
        <w:spacing w:after="0" w:line="287" w:lineRule="auto"/>
        <w:rPr>
          <w:sz w:val="20"/>
          <w:szCs w:val="20"/>
          <w:color w:val="auto"/>
        </w:rPr>
      </w:pPr>
      <w:r>
        <w:rPr>
          <w:rFonts w:ascii="Arial" w:cs="Arial" w:eastAsia="Arial" w:hAnsi="Arial"/>
          <w:sz w:val="16"/>
          <w:szCs w:val="16"/>
          <w:color w:val="auto"/>
        </w:rPr>
        <w:t>In the event that the proceeds in the trust account are reduced below the lesser of (i) $10.00 per public share and (ii) the actual amount per public share held in the trust account as of the date of the liquidation of the trust account if less than $10.00 per share due to reductions in the value of the trust assets, in each case net of the amount of interest which may be withdrawn to pay our income tax obligations, and our sponsor asserts that it is unable to satisfy its indemnification obligations or that it has no indemnification obligations related to a particular claim, our independent directors would determine whether to take legal action against our sponsor to enforce its indemnification obligations. While we currently expect that our independent directors would take legal action on our behalf against our sponsor to enforce its indemnification obligations to us, it is possible that our independent directors in exercising their business judgment may choose not to do so in any particular instance. Accordingly, we cannot assure you that due to claims of creditors the actual value of the per-share redemption price will not be less than $10.00 per share.</w:t>
      </w:r>
    </w:p>
    <w:p>
      <w:pPr>
        <w:spacing w:after="0" w:line="104" w:lineRule="exact"/>
        <w:rPr>
          <w:sz w:val="20"/>
          <w:szCs w:val="20"/>
          <w:color w:val="auto"/>
        </w:rPr>
      </w:pPr>
    </w:p>
    <w:p>
      <w:pPr>
        <w:ind w:left="460" w:right="539" w:firstLine="432"/>
        <w:spacing w:after="0" w:line="254" w:lineRule="auto"/>
        <w:rPr>
          <w:sz w:val="20"/>
          <w:szCs w:val="20"/>
          <w:color w:val="auto"/>
        </w:rPr>
      </w:pPr>
      <w:r>
        <w:rPr>
          <w:rFonts w:ascii="Arial" w:cs="Arial" w:eastAsia="Arial" w:hAnsi="Arial"/>
          <w:sz w:val="18"/>
          <w:szCs w:val="18"/>
          <w:color w:val="auto"/>
        </w:rPr>
        <w:t>We will seek to reduce the possibility that our sponsor will have to indemnify the trust account due to claims of creditors by endeavoring to have all vendors, service providers, prospective target businesses or other entities with which we do business execute agreements with us waiving any right, title, interest or claim of any kind in or to monies held in the trust account. Our sponsor will also not be liable as to any claims under our indemnity of the underwriter of this offering against certain liabilities, including liabilities under the Securities Act. We will have access to up to $2,500,000 from the proceeds of this offering and the sale of the private placement warrants</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3" w:name="page94"/>
    <w:bookmarkEnd w:id="93"/>
    <w:p>
      <w:pPr>
        <w:ind w:left="460" w:right="519"/>
        <w:spacing w:after="0" w:line="269" w:lineRule="auto"/>
        <w:rPr>
          <w:sz w:val="20"/>
          <w:szCs w:val="20"/>
          <w:color w:val="auto"/>
        </w:rPr>
      </w:pPr>
      <w:r>
        <w:rPr>
          <w:rFonts w:ascii="Arial" w:cs="Arial" w:eastAsia="Arial" w:hAnsi="Arial"/>
          <w:sz w:val="17"/>
          <w:szCs w:val="17"/>
          <w:color w:val="auto"/>
        </w:rPr>
        <w:t>(or $1,600,000 if the underwriter’s over-allotment option is exercised in full) with which to pay any such potential claims (including costs and expenses incurred in connection with our liquidation, currently estimated to be no more than approximately $100,000). In the event that we liquidate and it is subsequently determined that the reserve for claims and liabilities is insufficient, shareholders who received funds from our trust account could be liable for claims made by creditors, however such liability will not be greater than the amount of funds from our trust account received by any such shareholder. In the event that our offering expenses exceed our estimate of $1,000,000, we may fund such excess with funds from the funds not to be held in the trust account. In such case, the amount of funds we intend to be held outside the trust account would decrease by a corresponding amount. Conversely, in the event that the offering expenses are less than our estimate of $1,000,000, the amount of funds we intend to be held outside the trust account would increase by a corresponding amount.</w:t>
      </w:r>
    </w:p>
    <w:p>
      <w:pPr>
        <w:spacing w:after="0" w:line="101" w:lineRule="exact"/>
        <w:rPr>
          <w:sz w:val="20"/>
          <w:szCs w:val="20"/>
          <w:color w:val="auto"/>
        </w:rPr>
      </w:pPr>
    </w:p>
    <w:p>
      <w:pPr>
        <w:ind w:left="460" w:right="619" w:firstLine="432"/>
        <w:spacing w:after="0" w:line="268" w:lineRule="auto"/>
        <w:rPr>
          <w:sz w:val="20"/>
          <w:szCs w:val="20"/>
          <w:color w:val="auto"/>
        </w:rPr>
      </w:pPr>
      <w:r>
        <w:rPr>
          <w:rFonts w:ascii="Arial" w:cs="Arial" w:eastAsia="Arial" w:hAnsi="Arial"/>
          <w:sz w:val="17"/>
          <w:szCs w:val="17"/>
          <w:color w:val="auto"/>
        </w:rPr>
        <w:t>If we file a bankruptcy petition or an involuntary bankruptcy petition is filed against us that is not dismissed, the proceeds held in the trust account could be subject to applicable bankruptcy law, and may be included in our bankruptcy estate and subject to the claims of third parties with priority over the claims of our shareholders. To the extent any bankruptcy claims deplete the trust account, we cannot assure you we will be able to return $10.00 per share to our public shareholders. Additionally, if we file a bankruptcy petition or an involuntary bankruptcy petition is filed against us that is not dismissed, any distributions received by shareholders could be viewed under applicable debtor/creditor and/or bankruptcy laws as either a “preferential transfer” or a “fraudulent conveyance.” As a result, a bankruptcy court could seek to recover some or all amounts received by our shareholders. Furthermore, our board of directors may be viewed as having breached its fiduciary duty to our creditors and/or may have acted in bad faith, and thereby exposing itself and our company to claims of punitive damages, by paying public shareholders from the trust account prior to addressing the claims of creditors. We cannot assure you that claims will not be brought against us for these reasons.</w:t>
      </w:r>
    </w:p>
    <w:p>
      <w:pPr>
        <w:spacing w:after="0" w:line="119"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Our public shareholders will be entitled to receive funds from the trust account only (i) in the event of the redemption of our public shares if we do not consummate an initial business combination within 18 months from the closing of this offering, (ii) in connection with a shareholder vote to amend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or (iii) if they redeem their respective shares for cash upon the completion of the initial business combination. Public shareholders who redeem their Class A ordinary shares in connection with a shareholder vote described in clause (ii) in the preceding sentence shall not be entitled to funds from the trust account upon the subsequent completion of an initial business combination or liquidation if we are unable to complete an initial business combination within 18 months from the closing of this offering, with respect to such Class A ordinary shares so redeemed. In no other circumstances will a shareholder have any right or interest of any kind to or in the trust account. In the event we seek shareholder approval in connection with our initial business combination, a shareholder’s voting in connection with the business combination alone will not result in a shareholder’s redeeming its shares to us for an applicable pro rata share of the trust account. Such shareholder must have also exercised its redemption rights described above. These provisions of our amended and restated memorandum and articles of association, like all provisions of our amended and restated memorandum and articles of association, may be amended with a shareholder vote.</w:t>
      </w:r>
    </w:p>
    <w:p>
      <w:pPr>
        <w:spacing w:after="0" w:line="1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94" w:name="page95"/>
    <w:bookmarkEnd w:id="94"/>
    <w:p>
      <w:pPr>
        <w:ind w:left="460" w:right="479"/>
        <w:spacing w:after="0" w:line="282" w:lineRule="auto"/>
        <w:rPr>
          <w:sz w:val="20"/>
          <w:szCs w:val="20"/>
          <w:color w:val="auto"/>
        </w:rPr>
      </w:pPr>
      <w:r>
        <w:rPr>
          <w:rFonts w:ascii="Arial" w:cs="Arial" w:eastAsia="Arial" w:hAnsi="Arial"/>
          <w:sz w:val="18"/>
          <w:szCs w:val="18"/>
          <w:b w:val="1"/>
          <w:bCs w:val="1"/>
          <w:color w:val="auto"/>
        </w:rPr>
        <w:t>Comparison of Redemption or Purchase Prices in Connection with Our Initial Business Combination and If We Fail to Complete Our Initial Business Combination.</w:t>
      </w:r>
    </w:p>
    <w:p>
      <w:pPr>
        <w:spacing w:after="0" w:line="98" w:lineRule="exact"/>
        <w:rPr>
          <w:sz w:val="20"/>
          <w:szCs w:val="20"/>
          <w:color w:val="auto"/>
        </w:rPr>
      </w:pPr>
    </w:p>
    <w:p>
      <w:pPr>
        <w:ind w:left="460" w:right="719" w:firstLine="432"/>
        <w:spacing w:after="0" w:line="286" w:lineRule="auto"/>
        <w:rPr>
          <w:sz w:val="20"/>
          <w:szCs w:val="20"/>
          <w:color w:val="auto"/>
        </w:rPr>
      </w:pPr>
      <w:r>
        <w:rPr>
          <w:rFonts w:ascii="Arial" w:cs="Arial" w:eastAsia="Arial" w:hAnsi="Arial"/>
          <w:sz w:val="17"/>
          <w:szCs w:val="17"/>
          <w:color w:val="auto"/>
        </w:rPr>
        <w:t>The following table compares the redemptions and other permitted purchases of public shares that may take place in connection with the completion of our initial business combination and if we have not consummated an initial business combination within 18 months from the closing of this offering.</w:t>
      </w:r>
    </w:p>
    <w:p>
      <w:pPr>
        <w:spacing w:after="0" w:line="125" w:lineRule="exact"/>
        <w:rPr>
          <w:sz w:val="20"/>
          <w:szCs w:val="20"/>
          <w:color w:val="auto"/>
        </w:rPr>
      </w:pPr>
    </w:p>
    <w:tbl>
      <w:tblPr>
        <w:tblLayout w:type="fixed"/>
        <w:tblInd w:w="3260" w:type="dxa"/>
        <w:tblCellMar>
          <w:top w:w="0" w:type="dxa"/>
          <w:left w:w="0" w:type="dxa"/>
          <w:bottom w:w="0" w:type="dxa"/>
          <w:right w:w="0" w:type="dxa"/>
        </w:tblCellMar>
      </w:tblP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Redemptions in</w:t>
            </w:r>
          </w:p>
        </w:tc>
        <w:tc>
          <w:tcPr>
            <w:tcW w:w="19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Connection with</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4"/>
              </w:rPr>
              <w:t>Other Permitted</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Redemptions if We Fail</w:t>
            </w:r>
          </w:p>
        </w:tc>
      </w:t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Our Initial Business</w:t>
            </w:r>
          </w:p>
        </w:tc>
        <w:tc>
          <w:tcPr>
            <w:tcW w:w="194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Purchases of Public</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to Complete an Initial</w:t>
            </w:r>
          </w:p>
        </w:tc>
      </w:tr>
      <w:tr>
        <w:trPr>
          <w:trHeight w:val="210"/>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Combination</w:t>
            </w:r>
          </w:p>
        </w:tc>
        <w:tc>
          <w:tcPr>
            <w:tcW w:w="194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Shares by Our Affiliates</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Business Combination</w:t>
            </w:r>
          </w:p>
        </w:tc>
      </w:tr>
    </w:tbl>
    <w:p>
      <w:pPr>
        <w:spacing w:after="0" w:line="28" w:lineRule="exact"/>
        <w:rPr>
          <w:sz w:val="20"/>
          <w:szCs w:val="20"/>
          <w:color w:val="auto"/>
        </w:rPr>
      </w:pPr>
    </w:p>
    <w:p>
      <w:pPr>
        <w:sectPr>
          <w:pgSz w:w="11900" w:h="16838" w:orient="portrait"/>
          <w:cols w:equalWidth="0" w:num="1">
            <w:col w:w="9019"/>
          </w:cols>
          <w:pgMar w:left="1440" w:top="337" w:right="1440" w:bottom="1440" w:gutter="0" w:footer="0" w:header="0"/>
        </w:sectPr>
      </w:pPr>
    </w:p>
    <w:p>
      <w:pPr>
        <w:ind w:left="460"/>
        <w:spacing w:after="0"/>
        <w:rPr>
          <w:sz w:val="20"/>
          <w:szCs w:val="20"/>
          <w:color w:val="auto"/>
        </w:rPr>
      </w:pPr>
      <w:r>
        <w:rPr>
          <w:rFonts w:ascii="Arial" w:cs="Arial" w:eastAsia="Arial" w:hAnsi="Arial"/>
          <w:sz w:val="16"/>
          <w:szCs w:val="16"/>
          <w:b w:val="1"/>
          <w:bCs w:val="1"/>
          <w:color w:val="auto"/>
        </w:rPr>
        <w:t xml:space="preserve">Calculation of redemption price  </w:t>
      </w:r>
      <w:r>
        <w:rPr>
          <w:rFonts w:ascii="Arial" w:cs="Arial" w:eastAsia="Arial" w:hAnsi="Arial"/>
          <w:sz w:val="16"/>
          <w:szCs w:val="16"/>
          <w:color w:val="auto"/>
        </w:rPr>
        <w:t>Redemptions at the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-104775</wp:posOffset>
            </wp:positionV>
            <wp:extent cx="1165860" cy="889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165860" cy="8890"/>
                    </a:xfrm>
                    <a:prstGeom prst="rect">
                      <a:avLst/>
                    </a:prstGeom>
                    <a:noFill/>
                  </pic:spPr>
                </pic:pic>
              </a:graphicData>
            </a:graphic>
          </wp:anchor>
        </w:drawing>
      </w:r>
    </w:p>
    <w:p>
      <w:pPr>
        <w:spacing w:after="0" w:line="44"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of our 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may be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made pursuant to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tender offer or in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connection with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 vote.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redemption price will be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same whether we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conduct redemptions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pursuant to a tender offer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or in connection with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 vote. In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either case, our public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shareholders may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redeem their public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shares for cash equal to</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aggregate amount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then on deposit in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trust account calculated</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as of two business days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prior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consummation of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(which is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initially anticipated to be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$10.00 per share),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including interest earned</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on the funds held in the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trust account and not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previously released to us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to pay our income taxes,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if any, divided by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number of the then-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outstanding public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shares, subject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limitation that no</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redemptions will take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place if all of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redemptions would cause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our net tangible assets to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be less than $5,000,001</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and any limitations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(including, but not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limited, to cash</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requirements) agreed to</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 connection with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negotiation of terms of a</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proposed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w:t>
      </w:r>
    </w:p>
    <w:p>
      <w:pPr>
        <w:spacing w:after="0" w:line="20" w:lineRule="exact"/>
        <w:rPr>
          <w:sz w:val="20"/>
          <w:szCs w:val="20"/>
          <w:color w:val="auto"/>
        </w:rPr>
      </w:pPr>
      <w:r>
        <w:rPr>
          <w:sz w:val="20"/>
          <w:szCs w:val="20"/>
          <w:color w:val="auto"/>
        </w:rPr>
        <w:br w:type="column"/>
      </w:r>
    </w:p>
    <w:p>
      <w:pPr>
        <w:spacing w:after="0" w:line="283" w:lineRule="auto"/>
        <w:rPr>
          <w:sz w:val="20"/>
          <w:szCs w:val="20"/>
          <w:color w:val="auto"/>
        </w:rPr>
      </w:pPr>
      <w:r>
        <w:rPr>
          <w:rFonts w:ascii="Arial" w:cs="Arial" w:eastAsia="Arial" w:hAnsi="Arial"/>
          <w:sz w:val="16"/>
          <w:szCs w:val="16"/>
          <w:color w:val="auto"/>
        </w:rPr>
        <w:t>If we seek shareholder approval of our initial business combination, our sponsor, directors, officers, advisors or their affiliates may purchase shares in privately negotiated transactions or in the open market either prior to or following completion of our initial business combination. There is no limit to the prices that our sponsor, directors, officers, advisors or their affiliates may pay in these transactions. If they engage in such transactions, they will not make any such purchases when they are in possession of any material nonpublic information not disclosed to the seller or if such purchases are prohibited by Regulation M under the Exchange Act. We do not currently anticipate that such purchases, if any, would constitute a tender offer subject to the tender offer rules under the Exchange Act or a going-private transaction subject to the going-private rules under the Exchange Act; however, if the purchasers determine at the time of any such purchases that the purchases are subject to such rules, the purchasers will comply with such rules.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-6749415</wp:posOffset>
            </wp:positionV>
            <wp:extent cx="108902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499"/>
        <w:spacing w:after="0" w:line="284" w:lineRule="auto"/>
        <w:rPr>
          <w:sz w:val="20"/>
          <w:szCs w:val="20"/>
          <w:color w:val="auto"/>
        </w:rPr>
      </w:pPr>
      <w:r>
        <w:rPr>
          <w:rFonts w:ascii="Arial" w:cs="Arial" w:eastAsia="Arial" w:hAnsi="Arial"/>
          <w:sz w:val="16"/>
          <w:szCs w:val="16"/>
          <w:color w:val="auto"/>
        </w:rPr>
        <w:t>If we have not consummated an initial business combination within 18 months from the closing of this offering, we will redeem all public shares at a per-share price, payable in cash, equal to the aggregate amount, then on deposit in the trust account (which is initially anticipated to be $10.00 per share), including interest earned on the funds held in the trust account and not previously released to us to pay our income taxes, if any, (less up to $100,000 of interest to pay dissolution expenses) divided by the number of the then-outstanding public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-3593465</wp:posOffset>
            </wp:positionV>
            <wp:extent cx="1122680"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1122680" cy="8890"/>
                    </a:xfrm>
                    <a:prstGeom prst="rect">
                      <a:avLst/>
                    </a:prstGeom>
                    <a:noFill/>
                  </pic:spPr>
                </pic:pic>
              </a:graphicData>
            </a:graphic>
          </wp:anchor>
        </w:drawing>
      </w:r>
    </w:p>
    <w:p>
      <w:pPr>
        <w:spacing w:after="0" w:line="5344" w:lineRule="exact"/>
        <w:rPr>
          <w:sz w:val="20"/>
          <w:szCs w:val="20"/>
          <w:color w:val="auto"/>
        </w:rPr>
      </w:pPr>
    </w:p>
    <w:p>
      <w:pPr>
        <w:sectPr>
          <w:pgSz w:w="11900" w:h="16838" w:orient="portrait"/>
          <w:cols w:equalWidth="0" w:num="3">
            <w:col w:w="4860" w:space="120"/>
            <w:col w:w="1720" w:space="80"/>
            <w:col w:w="2239"/>
          </w:cols>
          <w:pgMar w:left="1440" w:top="337" w:right="1440"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95" w:name="page96"/>
    <w:bookmarkEnd w:id="95"/>
    <w:tbl>
      <w:tblPr>
        <w:tblLayout w:type="fixed"/>
        <w:tblInd w:w="3260" w:type="dxa"/>
        <w:tblCellMar>
          <w:top w:w="0" w:type="dxa"/>
          <w:left w:w="0" w:type="dxa"/>
          <w:bottom w:w="0" w:type="dxa"/>
          <w:right w:w="0" w:type="dxa"/>
        </w:tblCellMar>
      </w:tblP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Redemptions in</w:t>
            </w:r>
          </w:p>
        </w:tc>
        <w:tc>
          <w:tcPr>
            <w:tcW w:w="194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Connection with</w:t>
            </w:r>
          </w:p>
        </w:tc>
        <w:tc>
          <w:tcPr>
            <w:tcW w:w="1940" w:type="dxa"/>
            <w:vAlign w:val="bottom"/>
          </w:tcPr>
          <w:p>
            <w:pPr>
              <w:jc w:val="center"/>
              <w:spacing w:after="0"/>
              <w:rPr>
                <w:sz w:val="20"/>
                <w:szCs w:val="20"/>
                <w:color w:val="auto"/>
              </w:rPr>
            </w:pPr>
            <w:r>
              <w:rPr>
                <w:rFonts w:ascii="Arial" w:cs="Arial" w:eastAsia="Arial" w:hAnsi="Arial"/>
                <w:sz w:val="16"/>
                <w:szCs w:val="16"/>
                <w:b w:val="1"/>
                <w:bCs w:val="1"/>
                <w:color w:val="auto"/>
                <w:w w:val="94"/>
              </w:rPr>
              <w:t>Other Permitted</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1"/>
              </w:rPr>
              <w:t>Redemptions if We Fail</w:t>
            </w:r>
          </w:p>
        </w:tc>
      </w:tr>
      <w:tr>
        <w:trPr>
          <w:trHeight w:val="203"/>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Our Initial Business</w:t>
            </w:r>
          </w:p>
        </w:tc>
        <w:tc>
          <w:tcPr>
            <w:tcW w:w="194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Purchases of Public</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to Complete an Initial</w:t>
            </w:r>
          </w:p>
        </w:tc>
      </w:tr>
      <w:tr>
        <w:trPr>
          <w:trHeight w:val="210"/>
        </w:trPr>
        <w:tc>
          <w:tcPr>
            <w:tcW w:w="1560" w:type="dxa"/>
            <w:vAlign w:val="bottom"/>
          </w:tcPr>
          <w:p>
            <w:pPr>
              <w:jc w:val="center"/>
              <w:ind w:right="99"/>
              <w:spacing w:after="0"/>
              <w:rPr>
                <w:sz w:val="20"/>
                <w:szCs w:val="20"/>
                <w:color w:val="auto"/>
              </w:rPr>
            </w:pPr>
            <w:r>
              <w:rPr>
                <w:rFonts w:ascii="Arial" w:cs="Arial" w:eastAsia="Arial" w:hAnsi="Arial"/>
                <w:sz w:val="16"/>
                <w:szCs w:val="16"/>
                <w:b w:val="1"/>
                <w:bCs w:val="1"/>
                <w:color w:val="auto"/>
                <w:w w:val="91"/>
              </w:rPr>
              <w:t>Combination</w:t>
            </w:r>
          </w:p>
        </w:tc>
        <w:tc>
          <w:tcPr>
            <w:tcW w:w="1940" w:type="dxa"/>
            <w:vAlign w:val="bottom"/>
          </w:tcPr>
          <w:p>
            <w:pPr>
              <w:jc w:val="center"/>
              <w:ind w:left="19"/>
              <w:spacing w:after="0"/>
              <w:rPr>
                <w:sz w:val="20"/>
                <w:szCs w:val="20"/>
                <w:color w:val="auto"/>
              </w:rPr>
            </w:pPr>
            <w:r>
              <w:rPr>
                <w:rFonts w:ascii="Arial" w:cs="Arial" w:eastAsia="Arial" w:hAnsi="Arial"/>
                <w:sz w:val="16"/>
                <w:szCs w:val="16"/>
                <w:b w:val="1"/>
                <w:bCs w:val="1"/>
                <w:color w:val="auto"/>
                <w:w w:val="92"/>
              </w:rPr>
              <w:t>Shares by Our Affiliates</w:t>
            </w:r>
          </w:p>
        </w:tc>
        <w:tc>
          <w:tcPr>
            <w:tcW w:w="1720" w:type="dxa"/>
            <w:vAlign w:val="bottom"/>
          </w:tcPr>
          <w:p>
            <w:pPr>
              <w:jc w:val="center"/>
              <w:ind w:left="19"/>
              <w:spacing w:after="0"/>
              <w:rPr>
                <w:sz w:val="20"/>
                <w:szCs w:val="20"/>
                <w:color w:val="auto"/>
              </w:rPr>
            </w:pPr>
            <w:r>
              <w:rPr>
                <w:rFonts w:ascii="Arial" w:cs="Arial" w:eastAsia="Arial" w:hAnsi="Arial"/>
                <w:sz w:val="16"/>
                <w:szCs w:val="16"/>
                <w:b w:val="1"/>
                <w:bCs w:val="1"/>
                <w:color w:val="auto"/>
                <w:w w:val="88"/>
              </w:rPr>
              <w:t>Business Combination</w:t>
            </w:r>
          </w:p>
        </w:tc>
      </w:tr>
    </w:tbl>
    <w:p>
      <w:pPr>
        <w:spacing w:after="0" w:line="28" w:lineRule="exact"/>
        <w:rPr>
          <w:sz w:val="20"/>
          <w:szCs w:val="20"/>
          <w:color w:val="auto"/>
        </w:rPr>
      </w:pPr>
    </w:p>
    <w:p>
      <w:pPr>
        <w:sectPr>
          <w:pgSz w:w="11900" w:h="16838" w:orient="portrait"/>
          <w:cols w:equalWidth="0" w:num="1">
            <w:col w:w="9019"/>
          </w:cols>
          <w:pgMar w:left="1440" w:top="301" w:right="1440" w:bottom="1440" w:gutter="0" w:footer="0" w:header="0"/>
        </w:sectPr>
      </w:pPr>
    </w:p>
    <w:p>
      <w:pPr>
        <w:ind w:left="640" w:right="280" w:hanging="179"/>
        <w:spacing w:after="0" w:line="347" w:lineRule="auto"/>
        <w:rPr>
          <w:sz w:val="20"/>
          <w:szCs w:val="20"/>
          <w:color w:val="auto"/>
        </w:rPr>
      </w:pPr>
      <w:r>
        <w:rPr>
          <w:rFonts w:ascii="Arial" w:cs="Arial" w:eastAsia="Arial" w:hAnsi="Arial"/>
          <w:sz w:val="16"/>
          <w:szCs w:val="16"/>
          <w:b w:val="1"/>
          <w:bCs w:val="1"/>
          <w:color w:val="auto"/>
        </w:rPr>
        <w:t>Impact to remaining shareholders</w:t>
      </w:r>
    </w:p>
    <w:p>
      <w:pPr>
        <w:spacing w:after="0" w:line="20" w:lineRule="exact"/>
        <w:rPr>
          <w:sz w:val="20"/>
          <w:szCs w:val="20"/>
          <w:color w:val="auto"/>
        </w:rPr>
      </w:pPr>
      <w:r>
        <w:rPr>
          <w:sz w:val="20"/>
          <w:szCs w:val="20"/>
          <w:color w:val="auto"/>
        </w:rPr>
        <w:br w:type="column"/>
      </w:r>
    </w:p>
    <w:p>
      <w:pPr>
        <w:spacing w:after="0" w:line="287" w:lineRule="auto"/>
        <w:rPr>
          <w:sz w:val="20"/>
          <w:szCs w:val="20"/>
          <w:color w:val="auto"/>
        </w:rPr>
      </w:pPr>
      <w:r>
        <w:rPr>
          <w:rFonts w:ascii="Arial" w:cs="Arial" w:eastAsia="Arial" w:hAnsi="Arial"/>
          <w:sz w:val="16"/>
          <w:szCs w:val="16"/>
          <w:color w:val="auto"/>
        </w:rPr>
        <w:t>The redemptions in connection with our initial business combination will reduce the book value per share for our remaining shareholders, who will bear the burden of the deferred underwriting commissions and taxes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-1535430</wp:posOffset>
            </wp:positionV>
            <wp:extent cx="116586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310" w:lineRule="auto"/>
        <w:rPr>
          <w:sz w:val="20"/>
          <w:szCs w:val="20"/>
          <w:color w:val="auto"/>
        </w:rPr>
      </w:pPr>
      <w:r>
        <w:rPr>
          <w:rFonts w:ascii="Arial" w:cs="Arial" w:eastAsia="Arial" w:hAnsi="Arial"/>
          <w:sz w:val="15"/>
          <w:szCs w:val="15"/>
          <w:color w:val="auto"/>
        </w:rPr>
        <w:t>If the permitted purchases described above are made, there would be no impact to our remaining shareholders because the purchase price would not be paid by 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-1271905</wp:posOffset>
            </wp:positionV>
            <wp:extent cx="108902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108902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ind w:right="599"/>
        <w:spacing w:after="0" w:line="287" w:lineRule="auto"/>
        <w:rPr>
          <w:sz w:val="20"/>
          <w:szCs w:val="20"/>
          <w:color w:val="auto"/>
        </w:rPr>
      </w:pPr>
      <w:r>
        <w:rPr>
          <w:rFonts w:ascii="Arial" w:cs="Arial" w:eastAsia="Arial" w:hAnsi="Arial"/>
          <w:sz w:val="16"/>
          <w:szCs w:val="16"/>
          <w:color w:val="auto"/>
        </w:rPr>
        <w:t>The redemption of our public shares if we fail to complete our initial business combination will reduce the book value per share for the shares held by our sponsor, who will be our only remaining shareholder after such redemptions.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-1535430</wp:posOffset>
            </wp:positionV>
            <wp:extent cx="112268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4">
            <w:col w:w="2320" w:space="720"/>
            <w:col w:w="1760" w:space="180"/>
            <w:col w:w="1600" w:space="200"/>
            <w:col w:w="2239"/>
          </w:cols>
          <w:pgMar w:left="1440" w:top="301" w:right="1440" w:bottom="1440" w:gutter="0" w:footer="0" w:header="0"/>
          <w:type w:val="continuous"/>
        </w:sectPr>
      </w:pPr>
    </w:p>
    <w:p>
      <w:pPr>
        <w:spacing w:after="0" w:line="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Comparison of This Offering to Those of Blank Check Companies Subject to Rule 419</w:t>
      </w:r>
    </w:p>
    <w:p>
      <w:pPr>
        <w:spacing w:after="0" w:line="162" w:lineRule="exact"/>
        <w:rPr>
          <w:sz w:val="20"/>
          <w:szCs w:val="20"/>
          <w:color w:val="auto"/>
        </w:rPr>
      </w:pPr>
    </w:p>
    <w:p>
      <w:pPr>
        <w:ind w:left="460" w:right="459" w:firstLine="432"/>
        <w:spacing w:after="0" w:line="257" w:lineRule="auto"/>
        <w:rPr>
          <w:sz w:val="20"/>
          <w:szCs w:val="20"/>
          <w:color w:val="auto"/>
        </w:rPr>
      </w:pPr>
      <w:r>
        <w:rPr>
          <w:rFonts w:ascii="Arial" w:cs="Arial" w:eastAsia="Arial" w:hAnsi="Arial"/>
          <w:sz w:val="18"/>
          <w:szCs w:val="18"/>
          <w:color w:val="auto"/>
        </w:rPr>
        <w:t>The following table compares the terms of this offering to the terms of an offering by a blank check company subject to the provisions of Rule 419. This comparison assumes that the gross proceeds, underwriting commissions and underwriting expenses of our offering would be identical to those of an offering undertaken by a company subject to Rule 419, and that the underwriter will not exercise its over-allotment option. None of the provisions of Rule 419 apply to our offering.</w:t>
      </w:r>
    </w:p>
    <w:p>
      <w:pPr>
        <w:spacing w:after="0" w:line="148" w:lineRule="exact"/>
        <w:rPr>
          <w:sz w:val="20"/>
          <w:szCs w:val="20"/>
          <w:color w:val="auto"/>
        </w:rPr>
      </w:pPr>
    </w:p>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type w:val="continuous"/>
        </w:sectPr>
      </w:pPr>
    </w:p>
    <w:p>
      <w:pPr>
        <w:spacing w:after="0" w:line="95" w:lineRule="exact"/>
        <w:rPr>
          <w:sz w:val="20"/>
          <w:szCs w:val="20"/>
          <w:color w:val="auto"/>
        </w:r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Escrow of offering proceeds</w:t>
      </w:r>
      <w:r>
        <w:rPr>
          <w:sz w:val="20"/>
          <w:szCs w:val="20"/>
          <w:color w:val="auto"/>
        </w:rPr>
        <w:tab/>
      </w:r>
      <w:r>
        <w:rPr>
          <w:rFonts w:ascii="Arial" w:cs="Arial" w:eastAsia="Arial" w:hAnsi="Arial"/>
          <w:sz w:val="16"/>
          <w:szCs w:val="16"/>
          <w:color w:val="auto"/>
        </w:rPr>
        <w:t>$300,000,000 of the net proceeds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-119380</wp:posOffset>
            </wp:positionV>
            <wp:extent cx="169735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this offering and the sale of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private placement warrants will be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deposited into a trust account located</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in the United States with Continental</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Stock Transfer &amp; Trust Company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acting as trustee.</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99"/>
        <w:spacing w:after="0" w:line="288" w:lineRule="auto"/>
        <w:rPr>
          <w:sz w:val="20"/>
          <w:szCs w:val="20"/>
          <w:color w:val="auto"/>
        </w:rPr>
      </w:pPr>
      <w:r>
        <w:rPr>
          <w:rFonts w:ascii="Arial" w:cs="Arial" w:eastAsia="Arial" w:hAnsi="Arial"/>
          <w:sz w:val="16"/>
          <w:szCs w:val="16"/>
          <w:color w:val="auto"/>
        </w:rPr>
        <w:t>$255,150,000 of the offering proceeds, representing the gross proceeds of this offering, would be required to be deposited into either an escrow account with an insured depositary institution or in a separate bank account established by a broker-dealer in which the broker-dealer acts as trustee for persons having the beneficial interests in the account.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-1400810</wp:posOffset>
            </wp:positionV>
            <wp:extent cx="17487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137" w:lineRule="exact"/>
        <w:rPr>
          <w:sz w:val="20"/>
          <w:szCs w:val="20"/>
          <w:color w:val="auto"/>
        </w:rPr>
      </w:pPr>
    </w:p>
    <w:p>
      <w:pPr>
        <w:sectPr>
          <w:pgSz w:w="11900" w:h="16838" w:orient="portrait"/>
          <w:cols w:equalWidth="0" w:num="2">
            <w:col w:w="5700" w:space="100"/>
            <w:col w:w="3219"/>
          </w:cols>
          <w:pgMar w:left="1440" w:top="301" w:right="1440" w:bottom="1440" w:gutter="0" w:footer="0" w:header="0"/>
          <w:type w:val="continuous"/>
        </w:sect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Investment of net proceeds</w:t>
      </w:r>
      <w:r>
        <w:rPr>
          <w:sz w:val="20"/>
          <w:szCs w:val="20"/>
          <w:color w:val="auto"/>
        </w:rPr>
        <w:tab/>
      </w:r>
      <w:r>
        <w:rPr>
          <w:rFonts w:ascii="Arial" w:cs="Arial" w:eastAsia="Arial" w:hAnsi="Arial"/>
          <w:sz w:val="16"/>
          <w:szCs w:val="16"/>
          <w:color w:val="auto"/>
        </w:rPr>
        <w:t>$300,000,000 of the net proceeds of</w:t>
      </w:r>
    </w:p>
    <w:p>
      <w:pPr>
        <w:spacing w:after="0" w:line="27"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this offering and the sale of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private placement warrants held in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trust will be invested only in U.S.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government treasury obligations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with a maturity of 185 days or less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or in money market funds meeting</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certain conditions under Rule 2a-7</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under the Investment Company Act</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which invest only in direct U.S.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government treasury obligations.</w:t>
      </w:r>
    </w:p>
    <w:p>
      <w:pPr>
        <w:spacing w:after="0" w:line="20" w:lineRule="exact"/>
        <w:rPr>
          <w:sz w:val="20"/>
          <w:szCs w:val="20"/>
          <w:color w:val="auto"/>
        </w:rPr>
      </w:pPr>
      <w:r>
        <w:rPr>
          <w:sz w:val="20"/>
          <w:szCs w:val="20"/>
          <w:color w:val="auto"/>
        </w:rPr>
        <w:br w:type="column"/>
      </w:r>
    </w:p>
    <w:p>
      <w:pPr>
        <w:ind w:right="459"/>
        <w:spacing w:after="0" w:line="290" w:lineRule="auto"/>
        <w:rPr>
          <w:sz w:val="20"/>
          <w:szCs w:val="20"/>
          <w:color w:val="auto"/>
        </w:rPr>
      </w:pPr>
      <w:r>
        <w:rPr>
          <w:rFonts w:ascii="Arial" w:cs="Arial" w:eastAsia="Arial" w:hAnsi="Arial"/>
          <w:sz w:val="16"/>
          <w:szCs w:val="16"/>
          <w:color w:val="auto"/>
        </w:rPr>
        <w:t>Proceeds could be invested only in specified securities such as a money market fund meeting conditions of the Investment Company Act or in securities that are direct obligations of, or obligations guaranteed as to principal or interest by, the United States.</w:t>
      </w:r>
    </w:p>
    <w:p>
      <w:pPr>
        <w:spacing w:after="0" w:line="782" w:lineRule="exact"/>
        <w:rPr>
          <w:sz w:val="20"/>
          <w:szCs w:val="20"/>
          <w:color w:val="auto"/>
        </w:rPr>
      </w:pPr>
    </w:p>
    <w:p>
      <w:pPr>
        <w:sectPr>
          <w:pgSz w:w="11900" w:h="16838" w:orient="portrait"/>
          <w:cols w:equalWidth="0" w:num="2">
            <w:col w:w="5620" w:space="180"/>
            <w:col w:w="3219"/>
          </w:cols>
          <w:pgMar w:left="1440" w:top="301" w:right="1440" w:bottom="1440" w:gutter="0" w:footer="0" w:header="0"/>
          <w:type w:val="continuous"/>
        </w:sectPr>
      </w:pPr>
    </w:p>
    <w:p>
      <w:pPr>
        <w:ind w:left="640" w:hanging="179"/>
        <w:spacing w:after="0" w:line="282" w:lineRule="auto"/>
        <w:rPr>
          <w:sz w:val="20"/>
          <w:szCs w:val="20"/>
          <w:color w:val="auto"/>
        </w:rPr>
      </w:pPr>
      <w:r>
        <w:rPr>
          <w:rFonts w:ascii="Arial" w:cs="Arial" w:eastAsia="Arial" w:hAnsi="Arial"/>
          <w:sz w:val="18"/>
          <w:szCs w:val="18"/>
          <w:b w:val="1"/>
          <w:bCs w:val="1"/>
          <w:color w:val="auto"/>
        </w:rPr>
        <w:t>Receipt of interest on escrowed funds</w:t>
      </w:r>
    </w:p>
    <w:p>
      <w:pPr>
        <w:spacing w:after="0" w:line="20" w:lineRule="exact"/>
        <w:rPr>
          <w:sz w:val="20"/>
          <w:szCs w:val="20"/>
          <w:color w:val="auto"/>
        </w:rPr>
      </w:pPr>
      <w:r>
        <w:rPr>
          <w:sz w:val="20"/>
          <w:szCs w:val="20"/>
          <w:color w:val="auto"/>
        </w:rPr>
        <w:br w:type="column"/>
      </w:r>
    </w:p>
    <w:p>
      <w:pPr>
        <w:ind w:left="8" w:right="60"/>
        <w:spacing w:after="0" w:line="286" w:lineRule="auto"/>
        <w:rPr>
          <w:sz w:val="20"/>
          <w:szCs w:val="20"/>
          <w:color w:val="auto"/>
        </w:rPr>
      </w:pPr>
      <w:r>
        <w:rPr>
          <w:rFonts w:ascii="Arial" w:cs="Arial" w:eastAsia="Arial" w:hAnsi="Arial"/>
          <w:sz w:val="16"/>
          <w:szCs w:val="16"/>
          <w:color w:val="auto"/>
        </w:rPr>
        <w:t>Interest income (if any) on proceeds from the trust account to be paid to shareholders is reduced by (i) any income taxes paid or payable and</w:t>
      </w:r>
    </w:p>
    <w:p>
      <w:pPr>
        <w:spacing w:after="0" w:line="1" w:lineRule="exact"/>
        <w:rPr>
          <w:sz w:val="20"/>
          <w:szCs w:val="20"/>
          <w:color w:val="auto"/>
        </w:rPr>
      </w:pPr>
    </w:p>
    <w:p>
      <w:pPr>
        <w:ind w:left="8" w:hanging="8"/>
        <w:spacing w:after="0" w:line="251" w:lineRule="auto"/>
        <w:tabs>
          <w:tab w:leader="none" w:pos="272" w:val="left"/>
        </w:tabs>
        <w:numPr>
          <w:ilvl w:val="0"/>
          <w:numId w:val="48"/>
        </w:numPr>
        <w:rPr>
          <w:rFonts w:ascii="Arial" w:cs="Arial" w:eastAsia="Arial" w:hAnsi="Arial"/>
          <w:sz w:val="18"/>
          <w:szCs w:val="18"/>
          <w:color w:val="auto"/>
        </w:rPr>
      </w:pPr>
      <w:r>
        <w:rPr>
          <w:rFonts w:ascii="Arial" w:cs="Arial" w:eastAsia="Arial" w:hAnsi="Arial"/>
          <w:sz w:val="18"/>
          <w:szCs w:val="18"/>
          <w:color w:val="auto"/>
        </w:rPr>
        <w:t>in the event of our liquidation for failure to complete our initial business combination within the allotted time, up to $100,000 of net interest that may be released to us should we have no or insufficient working capital to fund the costs and expenses of our dissolution and liquidation.</w:t>
      </w:r>
    </w:p>
    <w:p>
      <w:pPr>
        <w:spacing w:after="0" w:line="20" w:lineRule="exact"/>
        <w:rPr>
          <w:sz w:val="20"/>
          <w:szCs w:val="20"/>
          <w:color w:val="auto"/>
        </w:rPr>
      </w:pPr>
      <w:r>
        <w:rPr>
          <w:sz w:val="20"/>
          <w:szCs w:val="20"/>
          <w:color w:val="auto"/>
        </w:rPr>
        <w:br w:type="column"/>
      </w:r>
    </w:p>
    <w:p>
      <w:pPr>
        <w:ind w:right="579"/>
        <w:spacing w:after="0" w:line="272" w:lineRule="auto"/>
        <w:rPr>
          <w:sz w:val="20"/>
          <w:szCs w:val="20"/>
          <w:color w:val="auto"/>
        </w:rPr>
      </w:pPr>
      <w:r>
        <w:rPr>
          <w:rFonts w:ascii="Arial" w:cs="Arial" w:eastAsia="Arial" w:hAnsi="Arial"/>
          <w:sz w:val="17"/>
          <w:szCs w:val="17"/>
          <w:color w:val="auto"/>
        </w:rPr>
        <w:t>Interest income on funds in escrow account would be held for the sole benefit of investors, unless and only after the funds held in escrow were released to us in connection with our completion of a business combination.</w:t>
      </w:r>
    </w:p>
    <w:p>
      <w:pPr>
        <w:spacing w:after="0" w:line="1475" w:lineRule="exact"/>
        <w:rPr>
          <w:sz w:val="20"/>
          <w:szCs w:val="20"/>
          <w:color w:val="auto"/>
        </w:rPr>
      </w:pPr>
    </w:p>
    <w:p>
      <w:pPr>
        <w:sectPr>
          <w:pgSz w:w="11900" w:h="16838" w:orient="portrait"/>
          <w:cols w:equalWidth="0" w:num="3">
            <w:col w:w="2840" w:space="192"/>
            <w:col w:w="2668" w:space="100"/>
            <w:col w:w="3219"/>
          </w:cols>
          <w:pgMar w:left="1440" w:top="301" w:right="1440" w:bottom="1440" w:gutter="0" w:footer="0" w:header="0"/>
          <w:type w:val="continuous"/>
        </w:sectPr>
      </w:pPr>
    </w:p>
    <w:p>
      <w:pPr>
        <w:spacing w:after="0" w:line="1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6" w:name="page97"/>
    <w:bookmarkEnd w:id="96"/>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sectPr>
      </w:pPr>
    </w:p>
    <w:p>
      <w:pPr>
        <w:spacing w:after="0" w:line="95" w:lineRule="exact"/>
        <w:rPr>
          <w:sz w:val="20"/>
          <w:szCs w:val="20"/>
          <w:color w:val="auto"/>
        </w:rPr>
      </w:pPr>
    </w:p>
    <w:p>
      <w:pPr>
        <w:ind w:left="640" w:hanging="179"/>
        <w:spacing w:after="0" w:line="347" w:lineRule="auto"/>
        <w:rPr>
          <w:sz w:val="20"/>
          <w:szCs w:val="20"/>
          <w:color w:val="auto"/>
        </w:rPr>
      </w:pPr>
      <w:r>
        <w:rPr>
          <w:rFonts w:ascii="Arial" w:cs="Arial" w:eastAsia="Arial" w:hAnsi="Arial"/>
          <w:sz w:val="16"/>
          <w:szCs w:val="16"/>
          <w:b w:val="1"/>
          <w:bCs w:val="1"/>
          <w:color w:val="auto"/>
        </w:rPr>
        <w:t>Limitation on fair value or net assets of target business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left="220"/>
        <w:spacing w:after="0"/>
        <w:rPr>
          <w:sz w:val="20"/>
          <w:szCs w:val="20"/>
          <w:color w:val="auto"/>
        </w:rPr>
      </w:pPr>
      <w:r>
        <w:rPr>
          <w:rFonts w:ascii="Arial" w:cs="Arial" w:eastAsia="Arial" w:hAnsi="Arial"/>
          <w:sz w:val="15"/>
          <w:szCs w:val="15"/>
          <w:b w:val="1"/>
          <w:bCs w:val="1"/>
          <w:color w:val="auto"/>
        </w:rPr>
        <w:t>Trading of securities issued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Exercise of the warrants</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Our initial business combination must occur with one or more target businesses that together have an aggregate fair market value of at least 80% of our assets held in the trust account (excluding the amount of deferred underwriting discounts held in trust and taxes payable on the income earned on the trust account) at the time of the agreement to enter into the initial business combination.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-1535430</wp:posOffset>
            </wp:positionV>
            <wp:extent cx="169735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25" w:lineRule="exact"/>
        <w:rPr>
          <w:sz w:val="20"/>
          <w:szCs w:val="20"/>
          <w:color w:val="auto"/>
        </w:rPr>
      </w:pPr>
    </w:p>
    <w:p>
      <w:pPr>
        <w:spacing w:after="0" w:line="282" w:lineRule="auto"/>
        <w:rPr>
          <w:sz w:val="20"/>
          <w:szCs w:val="20"/>
          <w:color w:val="auto"/>
        </w:rPr>
      </w:pPr>
      <w:r>
        <w:rPr>
          <w:rFonts w:ascii="Arial" w:cs="Arial" w:eastAsia="Arial" w:hAnsi="Arial"/>
          <w:sz w:val="16"/>
          <w:szCs w:val="16"/>
          <w:color w:val="auto"/>
        </w:rPr>
        <w:t>The units are expected to begin trading on or promptly after the date of this prospectus. The Class A ordinary shares and warrants comprising the units will begin separate trading on the 52</w:t>
      </w:r>
      <w:r>
        <w:rPr>
          <w:rFonts w:ascii="Arial" w:cs="Arial" w:eastAsia="Arial" w:hAnsi="Arial"/>
          <w:sz w:val="18"/>
          <w:szCs w:val="18"/>
          <w:color w:val="auto"/>
          <w:vertAlign w:val="superscript"/>
        </w:rPr>
        <w:t>nd</w:t>
      </w:r>
      <w:r>
        <w:rPr>
          <w:rFonts w:ascii="Arial" w:cs="Arial" w:eastAsia="Arial" w:hAnsi="Arial"/>
          <w:sz w:val="16"/>
          <w:szCs w:val="16"/>
          <w:color w:val="auto"/>
        </w:rPr>
        <w:t xml:space="preserve"> day following the date of this prospectus (or if such day is not a business day, the immediately succeeding business day) unless Citigroup Global Markets Inc. informs us of its decision to allow earlier separate trading, subject to our having filed the Current Report on Form 8-K described below and having issued a press release announcing when such separate trading will begin. We will file the Current Report on Form 8-K promptly after the closing of this offering. If the over-allotment option is exercised following the initial filing of such Current Report on Form 8-K, a second or amended Current Report on Form 8-K will be filed to provide updated financial information to reflect the exercise of the over-allotment option.</w:t>
      </w:r>
    </w:p>
    <w:p>
      <w:pPr>
        <w:spacing w:after="0" w:line="117" w:lineRule="exact"/>
        <w:rPr>
          <w:sz w:val="20"/>
          <w:szCs w:val="20"/>
          <w:color w:val="auto"/>
        </w:rPr>
      </w:pPr>
    </w:p>
    <w:p>
      <w:pPr>
        <w:spacing w:after="0" w:line="301" w:lineRule="auto"/>
        <w:rPr>
          <w:sz w:val="20"/>
          <w:szCs w:val="20"/>
          <w:color w:val="auto"/>
        </w:rPr>
      </w:pPr>
      <w:r>
        <w:rPr>
          <w:rFonts w:ascii="Arial" w:cs="Arial" w:eastAsia="Arial" w:hAnsi="Arial"/>
          <w:sz w:val="16"/>
          <w:szCs w:val="16"/>
          <w:color w:val="auto"/>
        </w:rPr>
        <w:t>The units will automatically separate into their component parts and will not be traded after completion of our initial business combination.</w:t>
      </w:r>
    </w:p>
    <w:p>
      <w:pPr>
        <w:spacing w:after="0" w:line="117" w:lineRule="exact"/>
        <w:rPr>
          <w:sz w:val="20"/>
          <w:szCs w:val="20"/>
          <w:color w:val="auto"/>
        </w:rPr>
      </w:pPr>
    </w:p>
    <w:p>
      <w:pPr>
        <w:ind w:right="80"/>
        <w:spacing w:after="0" w:line="275" w:lineRule="auto"/>
        <w:rPr>
          <w:sz w:val="20"/>
          <w:szCs w:val="20"/>
          <w:color w:val="auto"/>
        </w:rPr>
      </w:pPr>
      <w:r>
        <w:rPr>
          <w:rFonts w:ascii="Arial" w:cs="Arial" w:eastAsia="Arial" w:hAnsi="Arial"/>
          <w:sz w:val="17"/>
          <w:szCs w:val="17"/>
          <w:color w:val="auto"/>
        </w:rPr>
        <w:t>The warrants cannot be exercised until the later of 30 days after the completion of our initial business combination or twelve months from the closing of this offering.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jc w:val="both"/>
        <w:ind w:right="519"/>
        <w:spacing w:after="0" w:line="311" w:lineRule="auto"/>
        <w:rPr>
          <w:sz w:val="20"/>
          <w:szCs w:val="20"/>
          <w:color w:val="auto"/>
        </w:rPr>
      </w:pPr>
      <w:r>
        <w:rPr>
          <w:rFonts w:ascii="Arial" w:cs="Arial" w:eastAsia="Arial" w:hAnsi="Arial"/>
          <w:sz w:val="16"/>
          <w:szCs w:val="16"/>
          <w:color w:val="auto"/>
        </w:rPr>
        <w:t>The fair value or net assets of a target business must represent at least 80% of the maximum offering proceeds.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-452755</wp:posOffset>
            </wp:positionV>
            <wp:extent cx="17487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right="479"/>
        <w:spacing w:after="0" w:line="272" w:lineRule="auto"/>
        <w:rPr>
          <w:sz w:val="20"/>
          <w:szCs w:val="20"/>
          <w:color w:val="auto"/>
        </w:rPr>
      </w:pPr>
      <w:r>
        <w:rPr>
          <w:rFonts w:ascii="Arial" w:cs="Arial" w:eastAsia="Arial" w:hAnsi="Arial"/>
          <w:sz w:val="17"/>
          <w:szCs w:val="17"/>
          <w:color w:val="auto"/>
        </w:rPr>
        <w:t>No trading of the units or the underlying Class A ordinary shares and warrants would be permitted until the completion of a business combination. During this period, the securities would be held in the escrow or trust account.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right="499"/>
        <w:spacing w:after="0" w:line="293" w:lineRule="auto"/>
        <w:rPr>
          <w:sz w:val="20"/>
          <w:szCs w:val="20"/>
          <w:color w:val="auto"/>
        </w:rPr>
      </w:pPr>
      <w:r>
        <w:rPr>
          <w:rFonts w:ascii="Arial" w:cs="Arial" w:eastAsia="Arial" w:hAnsi="Arial"/>
          <w:sz w:val="16"/>
          <w:szCs w:val="16"/>
          <w:color w:val="auto"/>
        </w:rPr>
        <w:t>The warrants could be exercised prior to the completion of a business combination, but securities received and cash paid in connection with the exercise would be deposited in the escrow or trust account.</w:t>
      </w:r>
    </w:p>
    <w:p>
      <w:pPr>
        <w:spacing w:after="0" w:line="178" w:lineRule="exact"/>
        <w:rPr>
          <w:sz w:val="20"/>
          <w:szCs w:val="20"/>
          <w:color w:val="auto"/>
        </w:rPr>
      </w:pPr>
    </w:p>
    <w:p>
      <w:pPr>
        <w:sectPr>
          <w:pgSz w:w="11900" w:h="16838" w:orient="portrait"/>
          <w:cols w:equalWidth="0" w:num="3">
            <w:col w:w="2780" w:space="260"/>
            <w:col w:w="2660" w:space="100"/>
            <w:col w:w="3219"/>
          </w:cols>
          <w:pgMar w:left="1440" w:top="301" w:right="1440" w:bottom="1440" w:gutter="0" w:footer="0" w:header="0"/>
          <w:type w:val="continuous"/>
        </w:sectPr>
      </w:pPr>
    </w:p>
    <w:p>
      <w:pPr>
        <w:jc w:val="center"/>
        <w:spacing w:after="0"/>
        <w:rPr>
          <w:sz w:val="20"/>
          <w:szCs w:val="20"/>
          <w:color w:val="auto"/>
        </w:rPr>
      </w:pPr>
      <w:r>
        <w:rPr>
          <w:rFonts w:ascii="Arial" w:cs="Arial" w:eastAsia="Arial" w:hAnsi="Arial"/>
          <w:sz w:val="16"/>
          <w:szCs w:val="16"/>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97" w:name="page98"/>
    <w:bookmarkEnd w:id="97"/>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sectPr>
      </w:pPr>
    </w:p>
    <w:p>
      <w:pPr>
        <w:spacing w:after="0" w:line="95" w:lineRule="exact"/>
        <w:rPr>
          <w:sz w:val="20"/>
          <w:szCs w:val="20"/>
          <w:color w:val="auto"/>
        </w:r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Election to remain an investor</w:t>
      </w:r>
      <w:r>
        <w:rPr>
          <w:sz w:val="20"/>
          <w:szCs w:val="20"/>
          <w:color w:val="auto"/>
        </w:rPr>
        <w:tab/>
      </w:r>
      <w:r>
        <w:rPr>
          <w:rFonts w:ascii="Arial" w:cs="Arial" w:eastAsia="Arial" w:hAnsi="Arial"/>
          <w:sz w:val="16"/>
          <w:szCs w:val="16"/>
          <w:color w:val="auto"/>
        </w:rPr>
        <w:t>We will provide our public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-119380</wp:posOffset>
            </wp:positionV>
            <wp:extent cx="169735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shareholders with the opportunity to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redeem their public shares for cash</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at a per share price equal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aggregate amount then on deposit in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the trust account calculated as of two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business days prior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consummation of our initial business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including interest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earned on the funds held in the trust</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account and not previously released</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to us to pay our income taxes, if any,</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divided by the number of the then-</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outstanding public shares, upon the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completion of our 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subject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limitations described herein. We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may not be required by law to hold a</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 vote. If we are not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required by law and do not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otherwise decide to hold a</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shareholder vote, we will, pursuant</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to our amended and restated</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memorandum and articles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association, conduct the redemptions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pursuant to the tender offer rules of</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the SEC and file tender offer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documents with the SEC which will</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contain substantially the same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financial and other information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about the 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and the redemption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rights as is required under the SEC’s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proxy rules. If, however, we hold a</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shareholder vote, we will, like many</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blank check companies, offer to</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redeem shares in conjunction with a</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proxy solicitation pursuant to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proxy rules and not pursuant to the</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tender offer rules. If we seek</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shareholder approval, we will</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complete our initial business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combination only if a majority of the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ordinary shares, represented in</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person or by proxy and entitled to</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vote thereon, voted at a shareholder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meeting vote in favor of the business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combination. Additionally, each</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public shareholder may elect to</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redeem their public shares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irrespective of whether they vote for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or against the proposed transaction.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Our amended and restated</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memorandum and articles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association will require that at least</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five days’ notice will be given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any such shareholder meeting.</w:t>
      </w:r>
    </w:p>
    <w:p>
      <w:pPr>
        <w:spacing w:after="0" w:line="2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59"/>
        <w:spacing w:after="0" w:line="282" w:lineRule="auto"/>
        <w:rPr>
          <w:sz w:val="20"/>
          <w:szCs w:val="20"/>
          <w:color w:val="auto"/>
        </w:rPr>
      </w:pPr>
      <w:r>
        <w:rPr>
          <w:rFonts w:ascii="Arial" w:cs="Arial" w:eastAsia="Arial" w:hAnsi="Arial"/>
          <w:sz w:val="16"/>
          <w:szCs w:val="16"/>
          <w:color w:val="auto"/>
        </w:rPr>
        <w:t>A prospectus containing information pertaining to the business combination required by the SEC would be sent to each investor. Each investor would be given the opportunity to notify the company in writing, within a period of no less than 20 business days and no more than 45 business days from the effective date of a post-effective amendment to the company’s registration statement, to decide if he, she or it elects to remain a shareholder of the company or require the return of his, her or its investment. If the company has not received the notification by the end of the 45</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business day, funds and interest or dividends, if any, held in the trust or escrow account are automatically returned to the shareholder. Unless a sufficient number of investors elect to remain investors, all funds on deposit in the escrow account must be returned to all of the investors and none of the securities are issued.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-3448050</wp:posOffset>
            </wp:positionV>
            <wp:extent cx="17487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ectPr>
          <w:pgSz w:w="11900" w:h="16838" w:orient="portrait"/>
          <w:cols w:equalWidth="0" w:num="2">
            <w:col w:w="5700" w:space="100"/>
            <w:col w:w="3219"/>
          </w:cols>
          <w:pgMar w:left="1440" w:top="301" w:right="1440" w:bottom="1440" w:gutter="0" w:footer="0" w:header="0"/>
          <w:type w:val="continuous"/>
        </w:sectPr>
      </w:pPr>
    </w:p>
    <w:bookmarkStart w:id="98" w:name="page99"/>
    <w:bookmarkEnd w:id="98"/>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sectPr>
      </w:pPr>
    </w:p>
    <w:p>
      <w:pPr>
        <w:spacing w:after="0" w:line="95" w:lineRule="exact"/>
        <w:rPr>
          <w:sz w:val="20"/>
          <w:szCs w:val="20"/>
          <w:color w:val="auto"/>
        </w:rPr>
      </w:pPr>
    </w:p>
    <w:p>
      <w:pPr>
        <w:ind w:left="460"/>
        <w:spacing w:after="0"/>
        <w:tabs>
          <w:tab w:leader="none" w:pos="3020" w:val="left"/>
        </w:tabs>
        <w:rPr>
          <w:sz w:val="20"/>
          <w:szCs w:val="20"/>
          <w:color w:val="auto"/>
        </w:rPr>
      </w:pPr>
      <w:r>
        <w:rPr>
          <w:rFonts w:ascii="Arial" w:cs="Arial" w:eastAsia="Arial" w:hAnsi="Arial"/>
          <w:sz w:val="18"/>
          <w:szCs w:val="18"/>
          <w:b w:val="1"/>
          <w:bCs w:val="1"/>
          <w:color w:val="auto"/>
        </w:rPr>
        <w:t>Business combination deadline</w:t>
      </w:r>
      <w:r>
        <w:rPr>
          <w:sz w:val="20"/>
          <w:szCs w:val="20"/>
          <w:color w:val="auto"/>
        </w:rPr>
        <w:tab/>
      </w:r>
      <w:r>
        <w:rPr>
          <w:rFonts w:ascii="Arial" w:cs="Arial" w:eastAsia="Arial" w:hAnsi="Arial"/>
          <w:sz w:val="16"/>
          <w:szCs w:val="16"/>
          <w:color w:val="auto"/>
        </w:rPr>
        <w:t>If we have not consummated 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1925320</wp:posOffset>
            </wp:positionH>
            <wp:positionV relativeFrom="paragraph">
              <wp:posOffset>-119380</wp:posOffset>
            </wp:positionV>
            <wp:extent cx="169735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initial business combination within</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18 months from the closing of this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offering, we will (i) cease all</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operations except for the purpose of</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winding up; (ii) as promptly as</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reasonably possible but not more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than ten business days thereafter,</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redeem 100% of the public shares, at</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a per-share price, payable in cash,</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equal to the aggregate amount then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on deposit in the trust account,</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including interest earned on the</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funds held in the trust account and</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not previously released to us to pay</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our income taxes, if any, (less up to</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$100,000 of interest to pay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dissolution expenses) divided by the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number of the then-outstanding</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public shares, which redemption will</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completely extinguish public</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shareholders’ rights as shareholders</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(including the right to receive further</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liquidation distributions, if any); and</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(iii) as promptly as reasonably</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possible following such redemption,</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subject to the approval of our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remaining shareholders and our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board of directors, liquidate and</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dissolve, subject in the case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clauses (ii) and (iii) to our</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obligations under Cayman Islands</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law to provide for claims of</w:t>
      </w:r>
    </w:p>
    <w:p>
      <w:pPr>
        <w:spacing w:after="0" w:line="9" w:lineRule="exact"/>
        <w:rPr>
          <w:sz w:val="20"/>
          <w:szCs w:val="20"/>
          <w:color w:val="auto"/>
        </w:rPr>
      </w:pPr>
    </w:p>
    <w:p>
      <w:pPr>
        <w:ind w:left="3040"/>
        <w:spacing w:after="0"/>
        <w:rPr>
          <w:sz w:val="20"/>
          <w:szCs w:val="20"/>
          <w:color w:val="auto"/>
        </w:rPr>
      </w:pPr>
      <w:r>
        <w:rPr>
          <w:rFonts w:ascii="Arial" w:cs="Arial" w:eastAsia="Arial" w:hAnsi="Arial"/>
          <w:sz w:val="17"/>
          <w:szCs w:val="17"/>
          <w:color w:val="auto"/>
        </w:rPr>
        <w:t>creditors and in all cases subject to</w:t>
      </w:r>
    </w:p>
    <w:p>
      <w:pPr>
        <w:spacing w:after="0" w:line="21" w:lineRule="exact"/>
        <w:rPr>
          <w:sz w:val="20"/>
          <w:szCs w:val="20"/>
          <w:color w:val="auto"/>
        </w:rPr>
      </w:pPr>
    </w:p>
    <w:p>
      <w:pPr>
        <w:ind w:left="3040"/>
        <w:spacing w:after="0"/>
        <w:rPr>
          <w:sz w:val="20"/>
          <w:szCs w:val="20"/>
          <w:color w:val="auto"/>
        </w:rPr>
      </w:pPr>
      <w:r>
        <w:rPr>
          <w:rFonts w:ascii="Arial" w:cs="Arial" w:eastAsia="Arial" w:hAnsi="Arial"/>
          <w:sz w:val="16"/>
          <w:szCs w:val="16"/>
          <w:color w:val="auto"/>
        </w:rPr>
        <w:t>the other requirements of applicable</w:t>
      </w:r>
    </w:p>
    <w:p>
      <w:pPr>
        <w:spacing w:after="0" w:line="32" w:lineRule="exact"/>
        <w:rPr>
          <w:sz w:val="20"/>
          <w:szCs w:val="20"/>
          <w:color w:val="auto"/>
        </w:rPr>
      </w:pPr>
    </w:p>
    <w:p>
      <w:pPr>
        <w:ind w:left="3040"/>
        <w:spacing w:after="0"/>
        <w:rPr>
          <w:sz w:val="20"/>
          <w:szCs w:val="20"/>
          <w:color w:val="auto"/>
        </w:rPr>
      </w:pPr>
      <w:r>
        <w:rPr>
          <w:rFonts w:ascii="Arial" w:cs="Arial" w:eastAsia="Arial" w:hAnsi="Arial"/>
          <w:sz w:val="18"/>
          <w:szCs w:val="18"/>
          <w:color w:val="auto"/>
        </w:rPr>
        <w:t>law.</w:t>
      </w:r>
    </w:p>
    <w:p>
      <w:pPr>
        <w:spacing w:after="0" w:line="224"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519"/>
        <w:spacing w:after="0" w:line="255" w:lineRule="auto"/>
        <w:rPr>
          <w:sz w:val="20"/>
          <w:szCs w:val="20"/>
          <w:color w:val="auto"/>
        </w:rPr>
      </w:pPr>
      <w:r>
        <w:rPr>
          <w:rFonts w:ascii="Arial" w:cs="Arial" w:eastAsia="Arial" w:hAnsi="Arial"/>
          <w:sz w:val="18"/>
          <w:szCs w:val="18"/>
          <w:color w:val="auto"/>
        </w:rPr>
        <w:t>If an acquisition has not been completed within 18 months after the effective date of the company’s registration statement, funds held in the trust or escrow account are returned to investors.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-836930</wp:posOffset>
            </wp:positionV>
            <wp:extent cx="17487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ectPr>
          <w:pgSz w:w="11900" w:h="16838" w:orient="portrait"/>
          <w:cols w:equalWidth="0" w:num="2">
            <w:col w:w="5700" w:space="100"/>
            <w:col w:w="3219"/>
          </w:cols>
          <w:pgMar w:left="1440" w:top="301" w:right="1440" w:bottom="1440" w:gutter="0" w:footer="0" w:header="0"/>
          <w:type w:val="continuous"/>
        </w:sectPr>
      </w:pPr>
    </w:p>
    <w:bookmarkStart w:id="99" w:name="page100"/>
    <w:bookmarkEnd w:id="99"/>
    <w:p>
      <w:pPr>
        <w:ind w:left="3580"/>
        <w:spacing w:after="0"/>
        <w:tabs>
          <w:tab w:leader="none" w:pos="6000" w:val="left"/>
        </w:tabs>
        <w:rPr>
          <w:sz w:val="20"/>
          <w:szCs w:val="20"/>
          <w:color w:val="auto"/>
        </w:rPr>
      </w:pPr>
      <w:r>
        <w:rPr>
          <w:rFonts w:ascii="Arial" w:cs="Arial" w:eastAsia="Arial" w:hAnsi="Arial"/>
          <w:sz w:val="16"/>
          <w:szCs w:val="16"/>
          <w:b w:val="1"/>
          <w:bCs w:val="1"/>
          <w:color w:val="auto"/>
        </w:rPr>
        <w:t>Terms of Our Offering</w:t>
      </w:r>
      <w:r>
        <w:rPr>
          <w:sz w:val="20"/>
          <w:szCs w:val="20"/>
          <w:color w:val="auto"/>
        </w:rPr>
        <w:tab/>
      </w:r>
      <w:r>
        <w:rPr>
          <w:rFonts w:ascii="Arial" w:cs="Arial" w:eastAsia="Arial" w:hAnsi="Arial"/>
          <w:sz w:val="14"/>
          <w:szCs w:val="14"/>
          <w:b w:val="1"/>
          <w:bCs w:val="1"/>
          <w:color w:val="auto"/>
        </w:rPr>
        <w:t>Terms Under a Rule 419 Offering</w:t>
      </w:r>
    </w:p>
    <w:p>
      <w:pPr>
        <w:sectPr>
          <w:pgSz w:w="11900" w:h="16838" w:orient="portrait"/>
          <w:cols w:equalWidth="0" w:num="1">
            <w:col w:w="9019"/>
          </w:cols>
          <w:pgMar w:left="1440" w:top="301" w:right="1440" w:bottom="1440" w:gutter="0" w:footer="0" w:header="0"/>
        </w:sectPr>
      </w:pPr>
    </w:p>
    <w:p>
      <w:pPr>
        <w:spacing w:after="0" w:line="95" w:lineRule="exact"/>
        <w:rPr>
          <w:sz w:val="20"/>
          <w:szCs w:val="20"/>
          <w:color w:val="auto"/>
        </w:rPr>
      </w:pPr>
    </w:p>
    <w:p>
      <w:pPr>
        <w:ind w:left="460"/>
        <w:spacing w:after="0"/>
        <w:rPr>
          <w:sz w:val="20"/>
          <w:szCs w:val="20"/>
          <w:color w:val="auto"/>
        </w:rPr>
      </w:pPr>
      <w:r>
        <w:rPr>
          <w:rFonts w:ascii="Arial" w:cs="Arial" w:eastAsia="Arial" w:hAnsi="Arial"/>
          <w:sz w:val="15"/>
          <w:szCs w:val="15"/>
          <w:b w:val="1"/>
          <w:bCs w:val="1"/>
          <w:color w:val="auto"/>
        </w:rPr>
        <w:t>Release of funds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Competition</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left="8" w:right="20"/>
        <w:spacing w:after="0" w:line="296" w:lineRule="auto"/>
        <w:rPr>
          <w:sz w:val="20"/>
          <w:szCs w:val="20"/>
          <w:color w:val="auto"/>
        </w:rPr>
      </w:pPr>
      <w:r>
        <w:rPr>
          <w:rFonts w:ascii="Arial" w:cs="Arial" w:eastAsia="Arial" w:hAnsi="Arial"/>
          <w:sz w:val="16"/>
          <w:szCs w:val="16"/>
          <w:color w:val="auto"/>
        </w:rPr>
        <w:t>Except for the withdrawal of interest income (if any) to pay our income taxes, if any, none of the funds held in trust will be released from the trust account until the earliest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-719455</wp:posOffset>
            </wp:positionV>
            <wp:extent cx="169735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74" w:lineRule="exact"/>
        <w:rPr>
          <w:sz w:val="20"/>
          <w:szCs w:val="20"/>
          <w:color w:val="auto"/>
        </w:rPr>
      </w:pPr>
    </w:p>
    <w:p>
      <w:pPr>
        <w:ind w:left="8" w:right="440" w:hanging="8"/>
        <w:spacing w:after="0" w:line="308" w:lineRule="auto"/>
        <w:tabs>
          <w:tab w:leader="none" w:pos="223" w:val="left"/>
        </w:tabs>
        <w:numPr>
          <w:ilvl w:val="0"/>
          <w:numId w:val="49"/>
        </w:numPr>
        <w:rPr>
          <w:rFonts w:ascii="Arial" w:cs="Arial" w:eastAsia="Arial" w:hAnsi="Arial"/>
          <w:sz w:val="17"/>
          <w:szCs w:val="17"/>
          <w:color w:val="auto"/>
        </w:rPr>
      </w:pPr>
      <w:r>
        <w:rPr>
          <w:rFonts w:ascii="Arial" w:cs="Arial" w:eastAsia="Arial" w:hAnsi="Arial"/>
          <w:sz w:val="17"/>
          <w:szCs w:val="17"/>
          <w:color w:val="auto"/>
        </w:rPr>
        <w:t>the completion of our initial business combination;</w:t>
      </w:r>
    </w:p>
    <w:p>
      <w:pPr>
        <w:spacing w:after="0" w:line="78" w:lineRule="exact"/>
        <w:rPr>
          <w:rFonts w:ascii="Arial" w:cs="Arial" w:eastAsia="Arial" w:hAnsi="Arial"/>
          <w:sz w:val="17"/>
          <w:szCs w:val="17"/>
          <w:color w:val="auto"/>
        </w:rPr>
      </w:pPr>
    </w:p>
    <w:p>
      <w:pPr>
        <w:ind w:left="8" w:right="20" w:hanging="8"/>
        <w:spacing w:after="0" w:line="255" w:lineRule="auto"/>
        <w:tabs>
          <w:tab w:leader="none" w:pos="272"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redemption of our public shares if we have not consummated an initial business combination within 18 months from the closing of this offering, subject to applicable law; or</w:t>
      </w:r>
    </w:p>
    <w:p>
      <w:pPr>
        <w:spacing w:after="0" w:line="111" w:lineRule="exact"/>
        <w:rPr>
          <w:rFonts w:ascii="Arial" w:cs="Arial" w:eastAsia="Arial" w:hAnsi="Arial"/>
          <w:sz w:val="18"/>
          <w:szCs w:val="18"/>
          <w:color w:val="auto"/>
        </w:rPr>
      </w:pPr>
    </w:p>
    <w:p>
      <w:pPr>
        <w:ind w:left="8" w:hanging="8"/>
        <w:spacing w:after="0" w:line="285" w:lineRule="auto"/>
        <w:tabs>
          <w:tab w:leader="none" w:pos="322" w:val="left"/>
        </w:tabs>
        <w:numPr>
          <w:ilvl w:val="0"/>
          <w:numId w:val="49"/>
        </w:numPr>
        <w:rPr>
          <w:rFonts w:ascii="Arial" w:cs="Arial" w:eastAsia="Arial" w:hAnsi="Arial"/>
          <w:sz w:val="16"/>
          <w:szCs w:val="16"/>
          <w:color w:val="auto"/>
        </w:rPr>
      </w:pPr>
      <w:r>
        <w:rPr>
          <w:rFonts w:ascii="Arial" w:cs="Arial" w:eastAsia="Arial" w:hAnsi="Arial"/>
          <w:sz w:val="16"/>
          <w:szCs w:val="16"/>
          <w:color w:val="auto"/>
        </w:rPr>
        <w:t>the redemption of our public shares properly submitted in connection with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w:t>
      </w:r>
    </w:p>
    <w:p>
      <w:pPr>
        <w:spacing w:after="0" w:line="20" w:lineRule="exact"/>
        <w:rPr>
          <w:sz w:val="20"/>
          <w:szCs w:val="20"/>
          <w:color w:val="auto"/>
        </w:rPr>
      </w:pPr>
      <w:r>
        <w:rPr>
          <w:sz w:val="20"/>
          <w:szCs w:val="20"/>
          <w:color w:val="auto"/>
        </w:rPr>
        <w:br w:type="column"/>
      </w:r>
    </w:p>
    <w:p>
      <w:pPr>
        <w:spacing w:after="0" w:line="93" w:lineRule="exact"/>
        <w:rPr>
          <w:sz w:val="20"/>
          <w:szCs w:val="20"/>
          <w:color w:val="auto"/>
        </w:rPr>
      </w:pPr>
    </w:p>
    <w:p>
      <w:pPr>
        <w:ind w:right="479"/>
        <w:spacing w:after="0" w:line="273" w:lineRule="auto"/>
        <w:rPr>
          <w:sz w:val="20"/>
          <w:szCs w:val="20"/>
          <w:color w:val="auto"/>
        </w:rPr>
      </w:pPr>
      <w:r>
        <w:rPr>
          <w:rFonts w:ascii="Arial" w:cs="Arial" w:eastAsia="Arial" w:hAnsi="Arial"/>
          <w:sz w:val="17"/>
          <w:szCs w:val="17"/>
          <w:color w:val="auto"/>
        </w:rPr>
        <w:t>The proceeds held in the escrow account are not released until the earlier of the completion of a business combination or the failure to effect a business combination within the allotted time.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-845820</wp:posOffset>
            </wp:positionV>
            <wp:extent cx="17487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748790" cy="8255"/>
                    </a:xfrm>
                    <a:prstGeom prst="rect">
                      <a:avLst/>
                    </a:prstGeom>
                    <a:noFill/>
                  </pic:spPr>
                </pic:pic>
              </a:graphicData>
            </a:graphic>
          </wp:anchor>
        </w:drawing>
      </w:r>
    </w:p>
    <w:p>
      <w:pPr>
        <w:spacing w:after="0" w:line="5983" w:lineRule="exact"/>
        <w:rPr>
          <w:sz w:val="20"/>
          <w:szCs w:val="20"/>
          <w:color w:val="auto"/>
        </w:rPr>
      </w:pPr>
    </w:p>
    <w:p>
      <w:pPr>
        <w:sectPr>
          <w:pgSz w:w="11900" w:h="16838" w:orient="portrait"/>
          <w:cols w:equalWidth="0" w:num="3">
            <w:col w:w="2312" w:space="720"/>
            <w:col w:w="2668" w:space="100"/>
            <w:col w:w="3219"/>
          </w:cols>
          <w:pgMar w:left="1440" w:top="301" w:right="1440" w:bottom="1440" w:gutter="0" w:footer="0" w:header="0"/>
          <w:type w:val="continuous"/>
        </w:sectPr>
      </w:pPr>
    </w:p>
    <w:p>
      <w:pPr>
        <w:ind w:left="460" w:right="499" w:firstLine="432"/>
        <w:spacing w:after="0" w:line="287" w:lineRule="auto"/>
        <w:rPr>
          <w:sz w:val="20"/>
          <w:szCs w:val="20"/>
          <w:color w:val="auto"/>
        </w:rPr>
      </w:pPr>
      <w:r>
        <w:rPr>
          <w:rFonts w:ascii="Arial" w:cs="Arial" w:eastAsia="Arial" w:hAnsi="Arial"/>
          <w:sz w:val="16"/>
          <w:szCs w:val="16"/>
          <w:color w:val="auto"/>
        </w:rPr>
        <w:t>In identifying, evaluating and selecting a target business for our initial business combination, we may encounter intense competition from other entities having a business objective similar to ours, including other blank check companies, private equity groups and leveraged buyout funds, public companies, operating businesses seeking strategic acquisitions. Many of these entities are well established and have extensive experience identifying and effecting business combinations directly or through affiliates. Moreover, many of these competitors possess greater financial, technical, human and other resources than us. Our ability to acquire larger target businesses will be limited by our available financial resources. This inherent limitation gives others an advantage in pursuing the acquisition of a target business. Furthermore, our obligation to pay cash in connection with our public shareholders who exercise their redemption rights may reduce the resources available to us for our initial business combination and our outstanding warrants, and the future dilution they potentially represent, may not be viewed favorably by certain target businesses. Either of these factors may place us at a competitive disadvantage in successfully negotiating an initial business combination.</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Facilities</w:t>
      </w:r>
    </w:p>
    <w:p>
      <w:pPr>
        <w:spacing w:after="0" w:line="162"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We currently maintain our executive offices at 1601 Bryan Street, Suite 4141, Dallas, Texas 75201. The cost for our use of this space is included in the $10,000 per month fee we will pay to an affiliate of our sponsor for office space, administrative and support services. We consider our current office space adequate for our current operations.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01" w:right="1440" w:bottom="1440" w:gutter="0" w:footer="0" w:header="0"/>
          <w:type w:val="continuous"/>
        </w:sectPr>
      </w:pPr>
    </w:p>
    <w:bookmarkStart w:id="100" w:name="page101"/>
    <w:bookmarkEnd w:id="100"/>
    <w:p>
      <w:pPr>
        <w:ind w:left="460"/>
        <w:spacing w:after="0"/>
        <w:rPr>
          <w:sz w:val="20"/>
          <w:szCs w:val="20"/>
          <w:color w:val="auto"/>
        </w:rPr>
      </w:pPr>
      <w:r>
        <w:rPr>
          <w:rFonts w:ascii="Arial" w:cs="Arial" w:eastAsia="Arial" w:hAnsi="Arial"/>
          <w:sz w:val="18"/>
          <w:szCs w:val="18"/>
          <w:b w:val="1"/>
          <w:bCs w:val="1"/>
          <w:color w:val="auto"/>
        </w:rPr>
        <w:t>Employees</w:t>
      </w:r>
    </w:p>
    <w:p>
      <w:pPr>
        <w:spacing w:after="0" w:line="162"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We currently have three executive officers. These individuals are not obligated to devote any specific number of hours to our matters but they intend to devote as much of their time as they deem necessary to our affairs until we have completed our initial business combination. The amount of time they will devote in any time period will vary based on whether a target business has been selected for our initial business combination and the stage of the business combination process we are in. We do not intend to have any full time employees prior to the completion of our initial business combination.</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Periodic Reporting and Financial Information</w:t>
      </w:r>
    </w:p>
    <w:p>
      <w:pPr>
        <w:spacing w:after="0" w:line="148"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We will register our units, Class A ordinary shares and warrants under the Exchange Act and have reporting obligations, including the requirement that we file annual, quarterly and current reports with the SEC. In accordance with the requirements of the Exchange Act, our annual reports will contain financial statements audited and reported on by our independent registered public accountants.</w:t>
      </w:r>
    </w:p>
    <w:p>
      <w:pPr>
        <w:spacing w:after="0" w:line="104" w:lineRule="exact"/>
        <w:rPr>
          <w:sz w:val="20"/>
          <w:szCs w:val="20"/>
          <w:color w:val="auto"/>
        </w:rPr>
      </w:pPr>
    </w:p>
    <w:p>
      <w:pPr>
        <w:ind w:left="460" w:right="519" w:firstLine="432"/>
        <w:spacing w:after="0" w:line="268" w:lineRule="auto"/>
        <w:rPr>
          <w:sz w:val="20"/>
          <w:szCs w:val="20"/>
          <w:color w:val="auto"/>
        </w:rPr>
      </w:pPr>
      <w:r>
        <w:rPr>
          <w:rFonts w:ascii="Arial" w:cs="Arial" w:eastAsia="Arial" w:hAnsi="Arial"/>
          <w:sz w:val="17"/>
          <w:szCs w:val="17"/>
          <w:color w:val="auto"/>
        </w:rPr>
        <w:t>We will provide shareholders with audited financial statements of the prospective target business as part of the proxy solicitation or tender offer materials, as applicable, sent to shareholders. These financial statements may be required to be prepared in accordance with, or reconciled to, GAAP, or IFRS, depending on the circumstances, and the historical financial statements may be required to be audited in accordance with the standards of the PCAOB. These financial statement requirements may limit the pool of potential target businesses we may acquire because some targets may be unable to provide such statements in time for us to disclose such statements in accordance with federal proxy rules and complete our initial business combination within the prescribed time frame. We cannot assure you that any particular target business identified by us as a potential acquisition candidate will have financial statements prepared in accordance with the requirements outlined above, or that the potential target business will be able to prepare its financial statements in accordance with the requirements outlined above. To the extent that these requirements cannot be met, we may not be able to acquire the proposed target business. While this may limit the pool of potential acquisition candidates, we do not believe that this limitation will be material.</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We will be required to evaluate our internal control procedures for the fiscal year ending December 31,</w:t>
      </w:r>
    </w:p>
    <w:p>
      <w:pPr>
        <w:spacing w:after="0" w:line="46" w:lineRule="exact"/>
        <w:rPr>
          <w:sz w:val="20"/>
          <w:szCs w:val="20"/>
          <w:color w:val="auto"/>
        </w:rPr>
      </w:pPr>
    </w:p>
    <w:p>
      <w:pPr>
        <w:ind w:left="460" w:right="559"/>
        <w:spacing w:after="0" w:line="252" w:lineRule="auto"/>
        <w:rPr>
          <w:sz w:val="20"/>
          <w:szCs w:val="20"/>
          <w:color w:val="auto"/>
        </w:rPr>
      </w:pPr>
      <w:r>
        <w:rPr>
          <w:rFonts w:ascii="Arial" w:cs="Arial" w:eastAsia="Arial" w:hAnsi="Arial"/>
          <w:sz w:val="18"/>
          <w:szCs w:val="18"/>
          <w:color w:val="auto"/>
        </w:rPr>
        <w:t>2021 as required by the Sarbanes-Oxley Act. Only in the event we are deemed to be a large accelerated filer or an accelerated filer and no longer qualify as an emerging growth company, will we be required to comply with the independent registered public accounting firm attestation requirement on our internal control over financial reporting. A target business may not be in compliance with the provisions of the Sarbanes-Oxley Act regarding adequacy of their internal controls. The development of the internal controls of any such entity to achieve compliance with the Sarbanes-Oxley Act may increase the time and costs necessary to complete any such acquisition.</w:t>
      </w:r>
    </w:p>
    <w:p>
      <w:pPr>
        <w:spacing w:after="0" w:line="111"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Prior to the date of this prospectus, we will file a Registration Statement on Form 8-A with the SEC to voluntarily register our securities under Section 12 of the Exchange Act. As a result, we will be subject to the rules and regulations promulgated under the Exchange Act. We have no current intention of filing a Form 15 to suspend our reporting or other obligations under the Exchange Act prior or subsequent to the consummation of our initial business combination.</w:t>
      </w:r>
    </w:p>
    <w:p>
      <w:pPr>
        <w:spacing w:after="0" w:line="120"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We are a Cayman Islands exempted company. Exempted companies are Cayman Islands companies conducting business mainly outside the Cayman Islands and, as such, are exempted from complying with certain provisions of the Companies Law. As an exempted company, we have applied for and expect to receive, after the effectiveness of the registration statement of which this prospectus forms a part, a tax exemption undertaking from the Cayman Islands government that, in accordance with Section 6 of the Tax Concessions Law (2020 Revision) of the Cayman Islands, for a period of 20 years from the date of the undertaking, no law which is enacted in the Cayman Islands imposing any tax to be levied on profits, income, gains or appreciations will apply to us or our operations and, in addition, that no tax to be levied on profits, income, gains or appreciations or which is in the nature of estate duty or inheritance tax will be payable (i) on or in respect of our shares, debentures or other obligations or (ii) by way of the withholding in whole or in part of a payment of dividend or other distribution of income or capital by us to our shareholders or a payment of principal or interest or other sums due under a debenture or other obligation of us.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1" w:name="page102"/>
    <w:bookmarkEnd w:id="101"/>
    <w:p>
      <w:pPr>
        <w:ind w:left="460" w:right="479" w:firstLine="432"/>
        <w:spacing w:after="0" w:line="289" w:lineRule="auto"/>
        <w:rPr>
          <w:sz w:val="20"/>
          <w:szCs w:val="20"/>
          <w:color w:val="auto"/>
        </w:rPr>
      </w:pPr>
      <w:r>
        <w:rPr>
          <w:rFonts w:ascii="Arial" w:cs="Arial" w:eastAsia="Arial" w:hAnsi="Arial"/>
          <w:sz w:val="16"/>
          <w:szCs w:val="16"/>
          <w:color w:val="auto"/>
        </w:rPr>
        <w:t>We are an “emerging growth company,” as defined in Section 2(a) of the Securities Act, as modified by the JOBS Act. As such, we are eligible to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of 2002, or the Sarbanes-Oxley Act, reduced disclosure obligations regarding executive compensation in our periodic reports and proxy statements, and exemptions from the requirements of holding a non-binding advisory vote on executive compensation and shareholder approval of any golden parachute payments not previously approved. If some investors find our securities less attractive as a result, there may be a less active trading market for our securities and the prices of our securities may be more volatile.</w:t>
      </w:r>
    </w:p>
    <w:p>
      <w:pPr>
        <w:spacing w:after="0" w:line="85"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In addition, Section 107 of the JOBS Act also provides that an “emerging growth company” can take advantage of the extended transition period provided in Section 7(a)(2)(B) of the Securities Act for complying with new or revised accounting standards. In other words, an “emerging growth company” can delay the adoption of certain accounting standards until those standards would otherwise apply to private companies. We intend to take advantage of the benefits of this extended transition period.</w:t>
      </w:r>
    </w:p>
    <w:p>
      <w:pPr>
        <w:spacing w:after="0" w:line="109" w:lineRule="exact"/>
        <w:rPr>
          <w:sz w:val="20"/>
          <w:szCs w:val="20"/>
          <w:color w:val="auto"/>
        </w:rPr>
      </w:pPr>
    </w:p>
    <w:p>
      <w:pPr>
        <w:ind w:left="460" w:right="599" w:firstLine="432"/>
        <w:spacing w:after="0" w:line="250" w:lineRule="auto"/>
        <w:rPr>
          <w:sz w:val="20"/>
          <w:szCs w:val="20"/>
          <w:color w:val="auto"/>
        </w:rPr>
      </w:pPr>
      <w:r>
        <w:rPr>
          <w:rFonts w:ascii="Arial" w:cs="Arial" w:eastAsia="Arial" w:hAnsi="Arial"/>
          <w:sz w:val="18"/>
          <w:szCs w:val="18"/>
          <w:color w:val="auto"/>
        </w:rPr>
        <w:t>We will remain an emerging growth company until the earlier of (1) the last day of the fiscal year (a) following the fifth anniversary of the completion of this offering, (b) in which we have total annual gross revenue of at least $1.07 billion, or (c) in which we are deemed to be a large accelerated filer, which means the market value of our Class A ordinary shares that are held by non-affiliates exceeds $700 million as of the prior June 30</w:t>
      </w:r>
      <w:r>
        <w:rPr>
          <w:rFonts w:ascii="Arial" w:cs="Arial" w:eastAsia="Arial" w:hAnsi="Arial"/>
          <w:sz w:val="20"/>
          <w:szCs w:val="20"/>
          <w:color w:val="auto"/>
          <w:vertAlign w:val="superscript"/>
        </w:rPr>
        <w:t>th</w:t>
      </w:r>
      <w:r>
        <w:rPr>
          <w:rFonts w:ascii="Arial" w:cs="Arial" w:eastAsia="Arial" w:hAnsi="Arial"/>
          <w:sz w:val="18"/>
          <w:szCs w:val="18"/>
          <w:color w:val="auto"/>
        </w:rPr>
        <w:t>, and (2) the date on which we have issued more than $1.0 billion in non-convertible debt during the prior three-year period.</w:t>
      </w:r>
    </w:p>
    <w:p>
      <w:pPr>
        <w:spacing w:after="0" w:line="127"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Additionally, we are a “smaller reporting company” as defined in Item 10(f)(1) of Regulation S-K. Smaller reporting companies may take advantage of certain reduced disclosure obligations, including, among other things, providing only two years of audited financial statements. We will remain a smaller reporting company until the last day of any fiscal year for so long as either (1) the market value of our ordinary shares held by non-affiliates did not exceed $250 million as of the prior June 30, or (2) our annual revenues did not exceed $100 million during such completed fiscal year and the market value of our ordinary shares held by non-affiliates did not exceed $700 million as of the prior June 30.</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Legal Proceedings</w:t>
      </w:r>
    </w:p>
    <w:p>
      <w:pPr>
        <w:spacing w:after="0" w:line="148"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There is no material litigation, arbitration or governmental proceeding currently pending against us or any members of our management team in their capacity as such.</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2" w:name="page103"/>
    <w:bookmarkEnd w:id="102"/>
    <w:p>
      <w:pPr>
        <w:jc w:val="center"/>
        <w:spacing w:after="0"/>
        <w:rPr>
          <w:sz w:val="20"/>
          <w:szCs w:val="20"/>
          <w:color w:val="auto"/>
        </w:rPr>
      </w:pPr>
      <w:r>
        <w:rPr>
          <w:rFonts w:ascii="Arial" w:cs="Arial" w:eastAsia="Arial" w:hAnsi="Arial"/>
          <w:sz w:val="18"/>
          <w:szCs w:val="18"/>
          <w:b w:val="1"/>
          <w:bCs w:val="1"/>
          <w:color w:val="auto"/>
        </w:rPr>
        <w:t>MANAGEMENT</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Officers, Directors and Director Nominees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Our officers, directors and director nominees are as follows:</w:t>
      </w:r>
    </w:p>
    <w:p>
      <w:pPr>
        <w:spacing w:after="0" w:line="226"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600" w:type="dxa"/>
            <w:vAlign w:val="bottom"/>
            <w:gridSpan w:val="2"/>
          </w:tcPr>
          <w:p>
            <w:pPr>
              <w:spacing w:after="0"/>
              <w:rPr>
                <w:sz w:val="20"/>
                <w:szCs w:val="20"/>
                <w:color w:val="auto"/>
              </w:rPr>
            </w:pPr>
            <w:r>
              <w:rPr>
                <w:rFonts w:ascii="Arial" w:cs="Arial" w:eastAsia="Arial" w:hAnsi="Arial"/>
                <w:sz w:val="16"/>
                <w:szCs w:val="16"/>
                <w:b w:val="1"/>
                <w:bCs w:val="1"/>
                <w:color w:val="auto"/>
              </w:rPr>
              <w:t>Name</w:t>
            </w:r>
          </w:p>
        </w:tc>
        <w:tc>
          <w:tcPr>
            <w:tcW w:w="62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2"/>
              </w:rPr>
              <w:t>Age</w:t>
            </w:r>
          </w:p>
        </w:tc>
        <w:tc>
          <w:tcPr>
            <w:tcW w:w="4880" w:type="dxa"/>
            <w:vAlign w:val="bottom"/>
          </w:tcPr>
          <w:p>
            <w:pPr>
              <w:spacing w:after="0"/>
              <w:rPr>
                <w:sz w:val="20"/>
                <w:szCs w:val="20"/>
                <w:color w:val="auto"/>
              </w:rPr>
            </w:pPr>
            <w:r>
              <w:rPr>
                <w:rFonts w:ascii="Arial" w:cs="Arial" w:eastAsia="Arial" w:hAnsi="Arial"/>
                <w:sz w:val="16"/>
                <w:szCs w:val="16"/>
                <w:b w:val="1"/>
                <w:bCs w:val="1"/>
                <w:color w:val="auto"/>
              </w:rPr>
              <w:t>Position</w:t>
            </w:r>
          </w:p>
        </w:tc>
      </w:tr>
      <w:tr>
        <w:trPr>
          <w:trHeight w:val="46"/>
        </w:trPr>
        <w:tc>
          <w:tcPr>
            <w:tcW w:w="250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4880" w:type="dxa"/>
            <w:vAlign w:val="bottom"/>
            <w:tcBorders>
              <w:bottom w:val="single" w:sz="8" w:color="auto"/>
            </w:tcBorders>
          </w:tcPr>
          <w:p>
            <w:pPr>
              <w:spacing w:after="0"/>
              <w:rPr>
                <w:sz w:val="4"/>
                <w:szCs w:val="4"/>
                <w:color w:val="auto"/>
              </w:rPr>
            </w:pPr>
          </w:p>
        </w:tc>
      </w:tr>
      <w:tr>
        <w:trPr>
          <w:trHeight w:val="224"/>
        </w:trPr>
        <w:tc>
          <w:tcPr>
            <w:tcW w:w="2500" w:type="dxa"/>
            <w:vAlign w:val="bottom"/>
          </w:tcPr>
          <w:p>
            <w:pPr>
              <w:spacing w:after="0"/>
              <w:rPr>
                <w:sz w:val="20"/>
                <w:szCs w:val="20"/>
                <w:color w:val="auto"/>
              </w:rPr>
            </w:pPr>
            <w:r>
              <w:rPr>
                <w:rFonts w:ascii="Arial" w:cs="Arial" w:eastAsia="Arial" w:hAnsi="Arial"/>
                <w:sz w:val="18"/>
                <w:szCs w:val="18"/>
                <w:color w:val="auto"/>
              </w:rPr>
              <w:t>Scott Leonard</w:t>
            </w:r>
          </w:p>
        </w:tc>
        <w:tc>
          <w:tcPr>
            <w:tcW w:w="100" w:type="dxa"/>
            <w:vAlign w:val="bottom"/>
          </w:tcPr>
          <w:p>
            <w:pPr>
              <w:spacing w:after="0"/>
              <w:rPr>
                <w:sz w:val="19"/>
                <w:szCs w:val="19"/>
                <w:color w:val="auto"/>
              </w:rPr>
            </w:pP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9"/>
                <w:szCs w:val="19"/>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Executive Officer and Director</w:t>
            </w: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Scott Honour</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Chairman</w:t>
            </w: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David Quiram</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Rick Gaenzle</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55</w:t>
            </w:r>
          </w:p>
        </w:tc>
        <w:tc>
          <w:tcPr>
            <w:tcW w:w="1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84"/>
        </w:trPr>
        <w:tc>
          <w:tcPr>
            <w:tcW w:w="2600" w:type="dxa"/>
            <w:vAlign w:val="bottom"/>
            <w:gridSpan w:val="2"/>
          </w:tcPr>
          <w:p>
            <w:pPr>
              <w:spacing w:after="0"/>
              <w:rPr>
                <w:sz w:val="20"/>
                <w:szCs w:val="20"/>
                <w:color w:val="auto"/>
              </w:rPr>
            </w:pPr>
            <w:r>
              <w:rPr>
                <w:rFonts w:ascii="Arial" w:cs="Arial" w:eastAsia="Arial" w:hAnsi="Arial"/>
                <w:sz w:val="18"/>
                <w:szCs w:val="18"/>
                <w:color w:val="auto"/>
              </w:rPr>
              <w:t>Isaac Barchas</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53</w:t>
            </w:r>
          </w:p>
        </w:tc>
        <w:tc>
          <w:tcPr>
            <w:tcW w:w="1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 Nominee</w:t>
            </w:r>
          </w:p>
        </w:tc>
      </w:tr>
      <w:tr>
        <w:trPr>
          <w:trHeight w:val="283"/>
        </w:trPr>
        <w:tc>
          <w:tcPr>
            <w:tcW w:w="2600" w:type="dxa"/>
            <w:vAlign w:val="bottom"/>
            <w:gridSpan w:val="2"/>
          </w:tcPr>
          <w:p>
            <w:pPr>
              <w:spacing w:after="0"/>
              <w:rPr>
                <w:sz w:val="20"/>
                <w:szCs w:val="20"/>
                <w:color w:val="auto"/>
              </w:rPr>
            </w:pPr>
            <w:r>
              <w:rPr>
                <w:rFonts w:ascii="Arial" w:cs="Arial" w:eastAsia="Arial" w:hAnsi="Arial"/>
                <w:sz w:val="18"/>
                <w:szCs w:val="18"/>
                <w:color w:val="auto"/>
              </w:rPr>
              <w:t>Justin Kelly</w:t>
            </w:r>
          </w:p>
        </w:tc>
        <w:tc>
          <w:tcPr>
            <w:tcW w:w="520" w:type="dxa"/>
            <w:vAlign w:val="bottom"/>
          </w:tcPr>
          <w:p>
            <w:pPr>
              <w:jc w:val="center"/>
              <w:spacing w:after="0"/>
              <w:rPr>
                <w:sz w:val="20"/>
                <w:szCs w:val="20"/>
                <w:color w:val="auto"/>
              </w:rPr>
            </w:pPr>
            <w:r>
              <w:rPr>
                <w:rFonts w:ascii="Arial" w:cs="Arial" w:eastAsia="Arial" w:hAnsi="Arial"/>
                <w:sz w:val="18"/>
                <w:szCs w:val="18"/>
                <w:color w:val="auto"/>
                <w:w w:val="89"/>
              </w:rPr>
              <w:t>49</w:t>
            </w:r>
          </w:p>
        </w:tc>
        <w:tc>
          <w:tcPr>
            <w:tcW w:w="100" w:type="dxa"/>
            <w:vAlign w:val="bottom"/>
          </w:tcPr>
          <w:p>
            <w:pPr>
              <w:spacing w:after="0"/>
              <w:rPr>
                <w:sz w:val="24"/>
                <w:szCs w:val="24"/>
                <w:color w:val="auto"/>
              </w:rPr>
            </w:pPr>
          </w:p>
        </w:tc>
        <w:tc>
          <w:tcPr>
            <w:tcW w:w="4880" w:type="dxa"/>
            <w:vAlign w:val="bottom"/>
          </w:tcPr>
          <w:p>
            <w:pPr>
              <w:spacing w:after="0"/>
              <w:rPr>
                <w:sz w:val="20"/>
                <w:szCs w:val="20"/>
                <w:color w:val="auto"/>
              </w:rPr>
            </w:pPr>
            <w:r>
              <w:rPr>
                <w:rFonts w:ascii="Arial" w:cs="Arial" w:eastAsia="Arial" w:hAnsi="Arial"/>
                <w:sz w:val="18"/>
                <w:szCs w:val="18"/>
                <w:color w:val="auto"/>
              </w:rPr>
              <w:t>Director Nominee</w:t>
            </w:r>
          </w:p>
        </w:tc>
      </w:tr>
    </w:tbl>
    <w:p>
      <w:pPr>
        <w:spacing w:after="0" w:line="202" w:lineRule="exact"/>
        <w:rPr>
          <w:sz w:val="20"/>
          <w:szCs w:val="20"/>
          <w:color w:val="auto"/>
        </w:rPr>
      </w:pPr>
    </w:p>
    <w:p>
      <w:pPr>
        <w:ind w:left="460" w:right="499" w:firstLine="432"/>
        <w:spacing w:after="0" w:line="267" w:lineRule="auto"/>
        <w:rPr>
          <w:sz w:val="20"/>
          <w:szCs w:val="20"/>
          <w:color w:val="auto"/>
        </w:rPr>
      </w:pPr>
      <w:r>
        <w:rPr>
          <w:rFonts w:ascii="Arial" w:cs="Arial" w:eastAsia="Arial" w:hAnsi="Arial"/>
          <w:sz w:val="17"/>
          <w:szCs w:val="17"/>
          <w:color w:val="auto"/>
        </w:rPr>
        <w:t>Scott Leonard serves as our Chief Executive Officer and on our board of directors. Mr. Leonard has over 15 years of experience leading highly successful business transformations and transitions. Mr. Leonard also has deep expertise over the past 8 years driving decarbonization through technology adoption, product lifecycle management and development and industrial demand destruction. Mr. Leonard has held various roles at both public and private companies including Chief Executive Officer, Chief Financial Officer, Chief Restructuring Officer and Independent Director. Previously, Mr. Leonard served as Chief Financial Officer/Chief Restructuring Officer at GenOn Energy from 2017 until 2018, and Chief Executive Officer of GenOn Mid-Atlantic LLC in 2018. From 2014 to 2016, Mr. Leonard was at Hewlett Packard Enterprise (NYSE: HPE), where he served as the Senior Vice President of Global Commercial Functions for the Enterprise Services business. Prior to that, Mr. Leonard served as Deputy Executive Director, Chief Strategy &amp; Administrative Officer for the Texas Department of Transportation from 2012 to 2014. From 2005 to 2012, Mr. Leonard held positions as Senior Vice President, Performance Improvement and Vice President, Corporate Planning at TXU Corp. and it’s successor Energy Future Holdings Corp. Mr. Leonard previously served on the board of directors of NRG REMA, LLC and Lonestar II Generation Holdings. Earlier in his career, Mr. Leonard was with McKinsey &amp; Co. as a management consultant and Donaldson Lufkin &amp; Jenrette as an investment banker. In addition, Mr. Leonard serves as a manager of our sponsor. Mr. Leonard earned a B.S. with Highest Honors from Georgia Tech, and an M.B.A. with Distinction from The Kellogg Graduate School of Management at Northwestern.</w:t>
      </w:r>
    </w:p>
    <w:p>
      <w:pPr>
        <w:spacing w:after="0" w:line="122" w:lineRule="exact"/>
        <w:rPr>
          <w:sz w:val="20"/>
          <w:szCs w:val="20"/>
          <w:color w:val="auto"/>
        </w:rPr>
      </w:pPr>
    </w:p>
    <w:p>
      <w:pPr>
        <w:ind w:left="460" w:right="579" w:firstLine="432"/>
        <w:spacing w:after="0" w:line="283" w:lineRule="auto"/>
        <w:rPr>
          <w:sz w:val="20"/>
          <w:szCs w:val="20"/>
          <w:color w:val="auto"/>
        </w:rPr>
      </w:pPr>
      <w:r>
        <w:rPr>
          <w:rFonts w:ascii="Arial" w:cs="Arial" w:eastAsia="Arial" w:hAnsi="Arial"/>
          <w:sz w:val="16"/>
          <w:szCs w:val="16"/>
          <w:color w:val="auto"/>
        </w:rPr>
        <w:t>Scott Honour serves as the Chairman of our board of directors. Mr. Honour has over 30 years of private equity investment experience and has been involved in over 100 transactions totaling over $20 billion in transaction value. Mr. Honour is Managing Partner of Northern Pacific Group (“NPG”), a private equity firm, which he co-founded in 2012. Prior to that, Mr. Honour was at The Gores Group, a Los Angeles based private equity firm, for 10 years, serving as Senior Managing Director and one of the firm’s top executives. During his time at The Gores Group, the firm raised four funds, totaling $4 billion in aggregate, and made over 35 investments. Mr. Honour also served on the investment committee for The Gores Group. Prior to joining The Gores Group, Mr. Honour was a Managing Director at UBS Investment Bank from 2000 to 2002 and was an investment banker at Donaldson, Lufkin &amp; Jenrette from 1991 to 2000. Mr. Honour began his career at Trammell Crow Company in 1988. Mr. Honour has served on the board of directors of numerous public and private companies including Solar Spectrum Holdings LLC, Anthem Sports &amp; Entertainment Inc., 1</w:t>
      </w:r>
      <w:r>
        <w:rPr>
          <w:rFonts w:ascii="Arial" w:cs="Arial" w:eastAsia="Arial" w:hAnsi="Arial"/>
          <w:sz w:val="18"/>
          <w:szCs w:val="18"/>
          <w:color w:val="auto"/>
          <w:vertAlign w:val="superscript"/>
        </w:rPr>
        <w:t>st</w:t>
      </w:r>
      <w:r>
        <w:rPr>
          <w:rFonts w:ascii="Arial" w:cs="Arial" w:eastAsia="Arial" w:hAnsi="Arial"/>
          <w:sz w:val="16"/>
          <w:szCs w:val="16"/>
          <w:color w:val="auto"/>
        </w:rPr>
        <w:t xml:space="preserve"> Choice Delivery, LLC, United Language Group, Inc., Renters Warehouse LLC, Real Dolmen (REM:BB) and Westwood One, Inc. (formerly Nasdaq: WWON), and is a co-founder of Titan CNG LLC and YapStone Inc. In addition, Mr. Honour serves as a manager of our sponsor. Mr. Honour earned a B.S. and B.A., </w:t>
      </w:r>
      <w:r>
        <w:rPr>
          <w:rFonts w:ascii="Arial" w:cs="Arial" w:eastAsia="Arial" w:hAnsi="Arial"/>
          <w:sz w:val="16"/>
          <w:szCs w:val="16"/>
          <w:i w:val="1"/>
          <w:iCs w:val="1"/>
          <w:color w:val="auto"/>
        </w:rPr>
        <w:t>cum laude</w:t>
      </w:r>
      <w:r>
        <w:rPr>
          <w:rFonts w:ascii="Arial" w:cs="Arial" w:eastAsia="Arial" w:hAnsi="Arial"/>
          <w:sz w:val="16"/>
          <w:szCs w:val="16"/>
          <w:color w:val="auto"/>
        </w:rPr>
        <w:t>, in Business Administration and Economics from Pepperdine University and an M.B.A. in Finance and Marketing from the Wharton School of the University of Pennsylvania.</w:t>
      </w:r>
    </w:p>
    <w:p>
      <w:pPr>
        <w:spacing w:after="0" w:line="106" w:lineRule="exact"/>
        <w:rPr>
          <w:sz w:val="20"/>
          <w:szCs w:val="20"/>
          <w:color w:val="auto"/>
        </w:rPr>
      </w:pPr>
    </w:p>
    <w:p>
      <w:pPr>
        <w:ind w:left="460" w:right="579" w:firstLine="432"/>
        <w:spacing w:after="0" w:line="269" w:lineRule="auto"/>
        <w:rPr>
          <w:sz w:val="20"/>
          <w:szCs w:val="20"/>
          <w:color w:val="auto"/>
        </w:rPr>
      </w:pPr>
      <w:r>
        <w:rPr>
          <w:rFonts w:ascii="Arial" w:cs="Arial" w:eastAsia="Arial" w:hAnsi="Arial"/>
          <w:sz w:val="17"/>
          <w:szCs w:val="17"/>
          <w:color w:val="auto"/>
        </w:rPr>
        <w:t>David Quiram serves as our Chief Financial Officer. Dr. Quiram has over 20 years of leadership experience in technology, strategy and finance organizations with a deep understanding of the chemicals, emerging technology, bioscience and energy sectors. Previously, Dr. Quiram served as Head of Financial Planning and Analysis and Tax at GenOn Energy (“GenOn”) from 2017 until 2019 where he was responsible for standing up the financial and administrative functions of GenOn as a stand-alone entity from NRG Energy Inc. (NYSE: NRG). Prior to that, Dr. Quiram served as Head of Investments for Enterprise Services of Hewlett Packard Enterprise (NYSE: HPE) from 2014 until 2017 where he directed investments into products and services. From 2010 to 2014, Dr. Quiram was with Accenture (NYSE: ACN) as a Senior Manager in their Strategy practice focused on transforming utilities, independent power producers, and energy retailers. From 2006 to 2009, Dr. Quiram worked at multiple roles at TXU Energy starting in finance and later served as Vice President of Retail Pricing and Procurement where he led the</w:t>
      </w:r>
    </w:p>
    <w:p>
      <w:pPr>
        <w:sectPr>
          <w:pgSz w:w="11900" w:h="16838" w:orient="portrait"/>
          <w:cols w:equalWidth="0" w:num="1">
            <w:col w:w="9019"/>
          </w:cols>
          <w:pgMar w:left="1440" w:top="337" w:right="1440" w:bottom="1440" w:gutter="0" w:footer="0" w:header="0"/>
        </w:sectPr>
      </w:pPr>
    </w:p>
    <w:p>
      <w:pPr>
        <w:spacing w:after="0" w:line="14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03" w:name="page104"/>
    <w:bookmarkEnd w:id="103"/>
    <w:p>
      <w:pPr>
        <w:ind w:left="460" w:right="659"/>
        <w:spacing w:after="0" w:line="291" w:lineRule="auto"/>
        <w:rPr>
          <w:sz w:val="20"/>
          <w:szCs w:val="20"/>
          <w:color w:val="auto"/>
        </w:rPr>
      </w:pPr>
      <w:r>
        <w:rPr>
          <w:rFonts w:ascii="Arial" w:cs="Arial" w:eastAsia="Arial" w:hAnsi="Arial"/>
          <w:sz w:val="16"/>
          <w:szCs w:val="16"/>
          <w:color w:val="auto"/>
        </w:rPr>
        <w:t>pricing and hedging for TXU Energy’s retail portfolio. Dr. Quiram began his career at McKinsey &amp; Co where he worked as an Engagement Manager from 2001 until 2005, and as a Research Scientist at DuPont (NYSE:</w:t>
      </w:r>
    </w:p>
    <w:p>
      <w:pPr>
        <w:ind w:left="460" w:right="619" w:hanging="6"/>
        <w:spacing w:after="0" w:line="255" w:lineRule="auto"/>
        <w:tabs>
          <w:tab w:leader="none" w:pos="825" w:val="left"/>
        </w:tabs>
        <w:numPr>
          <w:ilvl w:val="0"/>
          <w:numId w:val="50"/>
        </w:numPr>
        <w:rPr>
          <w:rFonts w:ascii="Arial" w:cs="Arial" w:eastAsia="Arial" w:hAnsi="Arial"/>
          <w:sz w:val="18"/>
          <w:szCs w:val="18"/>
          <w:color w:val="auto"/>
        </w:rPr>
      </w:pPr>
      <w:r>
        <w:rPr>
          <w:rFonts w:ascii="Arial" w:cs="Arial" w:eastAsia="Arial" w:hAnsi="Arial"/>
          <w:sz w:val="18"/>
          <w:szCs w:val="18"/>
          <w:color w:val="auto"/>
        </w:rPr>
        <w:t>from 1998 to 2001. Dr. Quiram earned a B.S. in Chemical Engineering with Highest Distinction from the University of Virginia, and an M.S. and Ph.D. in Chemical Engineering from the Massachusetts Institute of Technology.</w:t>
      </w:r>
    </w:p>
    <w:p>
      <w:pPr>
        <w:spacing w:after="0" w:line="8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Rick Gaenzle has agreed to serve on our board of directors. Mr. Gaenzle has over 30 years of private equity investment and corporate finance experience; he is the founder and currently serves as a Managing Director of Gilbert Global Equity Capital, L.L.C., the principal investment advisor to Gilbert Global Equity Partners, L.P. and related entities, a $1.2 billion leveraged buyout and private equity fund. Mr. Gaenzle has spent the last twenty-eight years at Gilbert Global and its predecessor entity, completing over 110 direct equity investments, co-investments and add-on acquisitions for portfolio companies. Previously, Mr. Gaenzle was a Principal of Soros Capital L.P., the principal venture capital and leveraged equity entity of the Quantum Group of Funds and a principal advisor to Quantum Industrial Holdings Ltd. Prior to joining Soros Capital, Mr. Gaenzle held various positions at PaineWebber Inc. Mr. Gaenzle currently serves as a Senior Advisor to Impact Delta, an impact-investing and impact-measurement advisory firm; an Operating Partner of NPG; and Chairman of Lake Street Homes, a single-family rental investment vehicle. Mr. Gaenzle holds a B.A. from Hartwick College and an M.B.A. from Fordham University.</w:t>
      </w:r>
    </w:p>
    <w:p>
      <w:pPr>
        <w:spacing w:after="0" w:line="71"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Isaac Barchas has agreed to serve on our board of directors. Mr. Barchas is the President and Chief Executive Officer of Research Bridge Partners (“RBP”), a socially-driven investment company, which he founded in 2016. RBP uses both concessionary and nonconcessionary investment to create startup companies based on university research and advance those companies into the venture capital markets. Prior to founding RBP, Mr. Barchas led the Austin Technology Incubator (“ATI”) at The University of Texas at Austin from 2006 to 2016. ATI’s Clean Energy Incubator was the first university clean tech incubation program in the United States. During Mr. Barchas’ leadership, ATI companies raised over $1 billion in the capital markets. Mr. Barchas joined the university from McKinsey &amp; Co., where he worked in the Chicago, Sydney, Auckland, and Dallas offices, from 1996 to 2006 and served on the leadership teams of McKinsey’s North American Healthcare Practice and Global Organization Practice. Mr. Barchas has served on multiple private company boards and on philanthropic boards including Pecan Street Inc., the largest analytically-focused clean energy and climate data consortium in the United States, where he was a founding board member. Mr. Barchas earned a J.D. (honors) and M.A. (Century Fellowship) from The University of Chicago. He received an A.B. from Stanford University (honors and Phi Beta Kappa).</w:t>
      </w:r>
    </w:p>
    <w:p>
      <w:pPr>
        <w:spacing w:after="0" w:line="76"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Justin Kelly has agreed to serve on our board of directors. Mr. Kelly is currently the Chief Executive Officer and Chief Investment Officer of Winslow Capital Management, LLC (“Winslow Capital”), Nuveen’s center of excellence for growth investing. Mr. Kelly also serves as lead portfolio manager on the firm’s flagship U.S. Large Cap Growth Strategy. Mr. Kelly has been with Winslow Capital for over two decades and has transformed the firm from a single strategy, niche investment firm to a thought leader globally in growth equity investing with four strategies. Prior to joining Winslow Capital in 1999, Mr. Kelly was an equity analyst at Investment Advisors in Minneapolis. Prior to that, Mr. Kelly worked at Prudential Bache, from 1993 to 1996 as Investment Banker, and Salomon Brothers, from 1996 to 1997 as Investment Banker. Mr. Kelly earned a B.S. in Finance/Investments from Babson College.</w:t>
      </w:r>
    </w:p>
    <w:p>
      <w:pPr>
        <w:spacing w:after="0" w:line="13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Number and Terms of Office of Officers and Directors</w:t>
      </w:r>
    </w:p>
    <w:p>
      <w:pPr>
        <w:spacing w:after="0" w:line="121" w:lineRule="exact"/>
        <w:rPr>
          <w:sz w:val="20"/>
          <w:szCs w:val="20"/>
          <w:color w:val="auto"/>
        </w:rPr>
      </w:pPr>
    </w:p>
    <w:p>
      <w:pPr>
        <w:ind w:left="460" w:right="539" w:firstLine="432"/>
        <w:spacing w:after="0" w:line="253" w:lineRule="auto"/>
        <w:rPr>
          <w:sz w:val="20"/>
          <w:szCs w:val="20"/>
          <w:color w:val="auto"/>
        </w:rPr>
      </w:pPr>
      <w:r>
        <w:rPr>
          <w:rFonts w:ascii="Arial" w:cs="Arial" w:eastAsia="Arial" w:hAnsi="Arial"/>
          <w:sz w:val="18"/>
          <w:szCs w:val="18"/>
          <w:color w:val="auto"/>
        </w:rPr>
        <w:t>Our board of directors is divided into three classes, with only one class of directors being elected in each year, and with each class (except for those directors appointed prior to our first annual meeting of shareholders) serving a three-year term. In accordance with the NYSE corporate governance requirements, we are not required to hold an annual meeting until one year after our first fiscal year end following our listing on the NYSE. The term of office of the first class of directors, consisting of Rick Gaenzle, will expire at our first annual meeting of shareholders. The term of office of the second class of directors, consisting of Isaac Barchas and Justin Kelly, will expire at our second annual meeting of shareholders. The term of office of the third class of directors, consisting of Scott Leonard and Scott Honour, will expire at our third annual meeting of shareholders.</w:t>
      </w:r>
    </w:p>
    <w:p>
      <w:pPr>
        <w:spacing w:after="0" w:line="88" w:lineRule="exact"/>
        <w:rPr>
          <w:sz w:val="20"/>
          <w:szCs w:val="20"/>
          <w:color w:val="auto"/>
        </w:rPr>
      </w:pPr>
    </w:p>
    <w:p>
      <w:pPr>
        <w:ind w:left="460" w:right="619" w:firstLine="432"/>
        <w:spacing w:after="0" w:line="259" w:lineRule="auto"/>
        <w:rPr>
          <w:sz w:val="20"/>
          <w:szCs w:val="20"/>
          <w:color w:val="auto"/>
        </w:rPr>
      </w:pPr>
      <w:r>
        <w:rPr>
          <w:rFonts w:ascii="Arial" w:cs="Arial" w:eastAsia="Arial" w:hAnsi="Arial"/>
          <w:sz w:val="18"/>
          <w:szCs w:val="18"/>
          <w:color w:val="auto"/>
        </w:rPr>
        <w:t>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79"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Pursuant to an agreement to be entered into on or prior to the closing of this offering, our sponsor, upon and following consummation of an initial business combination, will be entitled to nominate three individuals for election to our board of directors, as long as the sponsor holds any securities covered by the registration and shareholder rights agreement.</w:t>
      </w:r>
    </w:p>
    <w:p>
      <w:pPr>
        <w:sectPr>
          <w:pgSz w:w="11900" w:h="16838" w:orient="portrait"/>
          <w:cols w:equalWidth="0" w:num="1">
            <w:col w:w="9019"/>
          </w:cols>
          <w:pgMar w:left="1440" w:top="274" w:right="1440" w:bottom="1440" w:gutter="0" w:footer="0" w:header="0"/>
        </w:sectPr>
      </w:pP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4" w:name="page105"/>
    <w:bookmarkEnd w:id="104"/>
    <w:p>
      <w:pPr>
        <w:ind w:left="460" w:right="539" w:firstLine="432"/>
        <w:spacing w:after="0" w:line="293" w:lineRule="auto"/>
        <w:rPr>
          <w:sz w:val="20"/>
          <w:szCs w:val="20"/>
          <w:color w:val="auto"/>
        </w:rPr>
      </w:pPr>
      <w:r>
        <w:rPr>
          <w:rFonts w:ascii="Arial" w:cs="Arial" w:eastAsia="Arial" w:hAnsi="Arial"/>
          <w:sz w:val="16"/>
          <w:szCs w:val="16"/>
          <w:color w:val="auto"/>
        </w:rPr>
        <w:t>Our officers are appointed by the board of directors and serve at the discretion of the board of directors, rather than for specific terms of office. Our board of directors is authorized to appoint persons to the offices set forth in our amended and restated memorandum and articles of association as it deems appropriate. Our amended and restated memorandum and articles of association will provide that our officers may consist of one or more chairman of the board, chief executive officer, president, chief financial officer, vice presidents, secretary, treasurer and such other offices as may be determined by the board of directors.</w:t>
      </w:r>
    </w:p>
    <w:p>
      <w:pPr>
        <w:spacing w:after="0" w:line="16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Director Independence</w:t>
      </w:r>
    </w:p>
    <w:p>
      <w:pPr>
        <w:spacing w:after="0" w:line="148" w:lineRule="exact"/>
        <w:rPr>
          <w:sz w:val="20"/>
          <w:szCs w:val="20"/>
          <w:color w:val="auto"/>
        </w:rPr>
      </w:pPr>
    </w:p>
    <w:p>
      <w:pPr>
        <w:ind w:left="460" w:right="839" w:firstLine="432"/>
        <w:spacing w:after="0" w:line="259" w:lineRule="auto"/>
        <w:rPr>
          <w:sz w:val="20"/>
          <w:szCs w:val="20"/>
          <w:color w:val="auto"/>
        </w:rPr>
      </w:pPr>
      <w:r>
        <w:rPr>
          <w:rFonts w:ascii="Arial" w:cs="Arial" w:eastAsia="Arial" w:hAnsi="Arial"/>
          <w:sz w:val="18"/>
          <w:szCs w:val="18"/>
          <w:color w:val="auto"/>
        </w:rPr>
        <w:t>NYSE listing standards require that a majority of our board of directors be independent. Our board of directors has determined that Rick Gaenzle, Isaac Barchas and Justin Kelly are “independent directors” as defined in the NYSE listing standards. Our independent directors will have regularly scheduled meetings at which only independent directors are present.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Executive Officer and Director Compensation</w:t>
      </w:r>
    </w:p>
    <w:p>
      <w:pPr>
        <w:spacing w:after="0" w:line="162"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None of our executive officers or directors have received any cash compensation for services rendered to us. Commencing on the date that our securities are first listed on the NYSE through the earlier of consummation of our initial business combination and our liquidation, we will reimburse an affiliate of our sponsor for office space, secretarial and administrative services provided to us in the amount of $10,000 per month. In addition, our sponsor, executive officers and directors, or any of their respective affiliates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executive officers or directors, or our or their affiliates. Any such payments prior to an initial business combination will be made using funds held outside the trust account. Other than quarterly audit committee review of such reimbursements, we do not expect to have any additional controls in place governing our reimbursement payments to our directors and executive officers for their out-of-pocket expenses incurred in connection with our activities on our behalf in connection with identifying and consummating an initial business combination. Other than these payments and reimbursements, no compensation of any kind, including finder’s and consulting fees, will be paid by the company to our sponsor, executive officers and directors, or any of their respective affiliates, prior to completion of our initial business combination.</w:t>
      </w:r>
    </w:p>
    <w:p>
      <w:pPr>
        <w:spacing w:after="0" w:line="11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After the completion of our initial business combination, directors or members of our management team who remain with us may be paid consulting or management fees from the combined company. All of these fees will be fully disclosed to shareholders, to the extent then known, in the proxy solicitation materials or tender offer materials furnished to our shareholders in connection with a proposed business combination. We have not established any limit on the amount of such fees that may be paid by the combined company to our directors or members of management. It is unlikely the amount of such compensation will be known at the time of the proposed business combination, because the directors of the post-combination business will be responsible for determining executive officer and director compensation. Any compensation to be paid to our executive officers will be determined, or recommended to the board of directors for determination, either by a compensation committee constituted solely by independent directors or by a majority of the independent directors on our board of directors.</w:t>
      </w:r>
    </w:p>
    <w:p>
      <w:pPr>
        <w:spacing w:after="0" w:line="101" w:lineRule="exact"/>
        <w:rPr>
          <w:sz w:val="20"/>
          <w:szCs w:val="20"/>
          <w:color w:val="auto"/>
        </w:rPr>
      </w:pPr>
    </w:p>
    <w:p>
      <w:pPr>
        <w:ind w:left="460" w:right="639" w:firstLine="432"/>
        <w:spacing w:after="0" w:line="289" w:lineRule="auto"/>
        <w:rPr>
          <w:sz w:val="20"/>
          <w:szCs w:val="20"/>
          <w:color w:val="auto"/>
        </w:rPr>
      </w:pPr>
      <w:r>
        <w:rPr>
          <w:rFonts w:ascii="Arial" w:cs="Arial" w:eastAsia="Arial" w:hAnsi="Arial"/>
          <w:sz w:val="16"/>
          <w:szCs w:val="16"/>
          <w:color w:val="auto"/>
        </w:rPr>
        <w:t>We do not intend to take any action to ensure that members of our management team maintain their positions with us after the consummation of our initial business combination, although it is possible that some or all of our executive officers and directors may negotiate employment or consulting arrangements to remain with us after our initial business combination. The existence or terms of any such employment or consulting arrangements to retain their positions with us may influence our management’s motivation in identifying or selecting a target business but we do not believe that the ability of our management to remain with us after the consummation of our initial business combination will be a determining factor in our decision to proceed with any potential business combination. We are not party to any agreements with our executive officers and directors that provide for benefits upon termination of employment.</w:t>
      </w: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5" w:name="page106"/>
    <w:bookmarkEnd w:id="105"/>
    <w:p>
      <w:pPr>
        <w:ind w:left="460"/>
        <w:spacing w:after="0"/>
        <w:rPr>
          <w:sz w:val="20"/>
          <w:szCs w:val="20"/>
          <w:color w:val="auto"/>
        </w:rPr>
      </w:pPr>
      <w:r>
        <w:rPr>
          <w:rFonts w:ascii="Arial" w:cs="Arial" w:eastAsia="Arial" w:hAnsi="Arial"/>
          <w:sz w:val="18"/>
          <w:szCs w:val="18"/>
          <w:b w:val="1"/>
          <w:bCs w:val="1"/>
          <w:color w:val="auto"/>
        </w:rPr>
        <w:t>Committees of the Board of Directors</w:t>
      </w:r>
    </w:p>
    <w:p>
      <w:pPr>
        <w:spacing w:after="0" w:line="162"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Upon the effectiveness of the registration statement of which this prospectus forms a part, our board of directors will have three standing committees: an audit committee, a nominating committee and a compensation committee. Subject to phase-in rules and a limited exception, the rules of the NYSE and Rule 10A-3 of the Exchange Act require that the audit committee of a listed company be comprised solely of independent directors. Subject to phase-in rules and a limited exception, the rules of the NYSE require that the compensation committee and the nominating committee of a listed company be comprised solely of independent directors.</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Audit Committee</w:t>
      </w:r>
    </w:p>
    <w:p>
      <w:pPr>
        <w:spacing w:after="0" w:line="144"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an audit committee of the board of directors. Rick Gaenzle, Isaac Barchas and Justin Kelly will serve as members of our audit committee. Our board of directors has determined that each of Rick Gaenzle, Isaac Barchas and Justin Kelly are independent under the NYSE listing standards and applicable SEC rules. Rick Gaenzle will serve as the Chairman of the audit committee. Each member of the audit committee is financially literate and our board of directors has determined that Rick Gaenzle qualifies as an “audit committee financial expert” as defined in applicable SEC rules.</w:t>
      </w:r>
    </w:p>
    <w:p>
      <w:pPr>
        <w:spacing w:after="0" w:line="12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The audit committee is responsible for:</w:t>
      </w:r>
    </w:p>
    <w:p>
      <w:pPr>
        <w:spacing w:after="0" w:line="158" w:lineRule="exact"/>
        <w:rPr>
          <w:sz w:val="20"/>
          <w:szCs w:val="20"/>
          <w:color w:val="auto"/>
        </w:rPr>
      </w:pPr>
    </w:p>
    <w:p>
      <w:pPr>
        <w:ind w:left="1320" w:right="879" w:hanging="434"/>
        <w:spacing w:after="0" w:line="277" w:lineRule="auto"/>
        <w:tabs>
          <w:tab w:leader="none" w:pos="13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meeting with our independent registered public accounting firm regarding, among other issues, audits, and adequacy of our accounting and control systems;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monitoring the independence of the independent registered public accounting firm;</w:t>
      </w:r>
    </w:p>
    <w:p>
      <w:pPr>
        <w:spacing w:after="0" w:line="157" w:lineRule="exact"/>
        <w:rPr>
          <w:rFonts w:ascii="Arial" w:cs="Arial" w:eastAsia="Arial" w:hAnsi="Arial"/>
          <w:sz w:val="18"/>
          <w:szCs w:val="18"/>
          <w:color w:val="auto"/>
        </w:rPr>
      </w:pPr>
    </w:p>
    <w:p>
      <w:pPr>
        <w:ind w:left="1320" w:right="719" w:hanging="434"/>
        <w:spacing w:after="0" w:line="308" w:lineRule="auto"/>
        <w:tabs>
          <w:tab w:leader="none" w:pos="1311" w:val="left"/>
        </w:tabs>
        <w:numPr>
          <w:ilvl w:val="0"/>
          <w:numId w:val="51"/>
        </w:numPr>
        <w:rPr>
          <w:rFonts w:ascii="Arial" w:cs="Arial" w:eastAsia="Arial" w:hAnsi="Arial"/>
          <w:sz w:val="17"/>
          <w:szCs w:val="17"/>
          <w:color w:val="auto"/>
        </w:rPr>
      </w:pPr>
      <w:r>
        <w:rPr>
          <w:rFonts w:ascii="Arial" w:cs="Arial" w:eastAsia="Arial" w:hAnsi="Arial"/>
          <w:sz w:val="17"/>
          <w:szCs w:val="17"/>
          <w:color w:val="auto"/>
        </w:rPr>
        <w:t>verifying the rotation of the lead (or coordinating) audit partner having primary responsibility for the audit and the audit partner responsible for reviewing the audit as required by law;</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inquiring and discussing with management our compliance with applicable laws and regulations;</w:t>
      </w:r>
    </w:p>
    <w:p>
      <w:pPr>
        <w:spacing w:after="0" w:line="155" w:lineRule="exact"/>
        <w:rPr>
          <w:rFonts w:ascii="Arial" w:cs="Arial" w:eastAsia="Arial" w:hAnsi="Arial"/>
          <w:sz w:val="17"/>
          <w:szCs w:val="17"/>
          <w:color w:val="auto"/>
        </w:rPr>
      </w:pPr>
    </w:p>
    <w:p>
      <w:pPr>
        <w:ind w:left="1320" w:right="779" w:hanging="434"/>
        <w:spacing w:after="0" w:line="263" w:lineRule="auto"/>
        <w:tabs>
          <w:tab w:leader="none" w:pos="13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pre-approving all audit services and permitted non-audit services to be performed by our independent registered public accounting firm, including the fees and terms of the services to be performed;</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51"/>
        </w:numPr>
        <w:rPr>
          <w:rFonts w:ascii="Arial" w:cs="Arial" w:eastAsia="Arial" w:hAnsi="Arial"/>
          <w:sz w:val="18"/>
          <w:szCs w:val="18"/>
          <w:color w:val="auto"/>
        </w:rPr>
      </w:pPr>
      <w:r>
        <w:rPr>
          <w:rFonts w:ascii="Arial" w:cs="Arial" w:eastAsia="Arial" w:hAnsi="Arial"/>
          <w:sz w:val="18"/>
          <w:szCs w:val="18"/>
          <w:color w:val="auto"/>
        </w:rPr>
        <w:t>appointing or replacing the independent registered public accounting firm;</w:t>
      </w:r>
    </w:p>
    <w:p>
      <w:pPr>
        <w:spacing w:after="0" w:line="157" w:lineRule="exact"/>
        <w:rPr>
          <w:rFonts w:ascii="Arial" w:cs="Arial" w:eastAsia="Arial" w:hAnsi="Arial"/>
          <w:sz w:val="18"/>
          <w:szCs w:val="18"/>
          <w:color w:val="auto"/>
        </w:rPr>
      </w:pPr>
    </w:p>
    <w:p>
      <w:pPr>
        <w:ind w:left="1320" w:right="639" w:hanging="434"/>
        <w:spacing w:after="0" w:line="259" w:lineRule="auto"/>
        <w:tabs>
          <w:tab w:leader="none" w:pos="13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determining the compensation and oversight of the work of the independent registered public accounting firm (including resolution of disagreements between management and the independent auditor regarding financial reporting) for the purpose of preparing or issuing an audit report or related work;</w:t>
      </w:r>
    </w:p>
    <w:p>
      <w:pPr>
        <w:spacing w:after="0" w:line="105" w:lineRule="exact"/>
        <w:rPr>
          <w:rFonts w:ascii="Arial" w:cs="Arial" w:eastAsia="Arial" w:hAnsi="Arial"/>
          <w:sz w:val="18"/>
          <w:szCs w:val="18"/>
          <w:color w:val="auto"/>
        </w:rPr>
      </w:pPr>
    </w:p>
    <w:p>
      <w:pPr>
        <w:ind w:left="1320" w:right="619" w:hanging="434"/>
        <w:spacing w:after="0" w:line="263" w:lineRule="auto"/>
        <w:tabs>
          <w:tab w:leader="none" w:pos="13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establishing procedures for the receipt, retention and treatment of complaints received by us regarding accounting, internal accounting controls or reports which raise material issues regarding our financial statements or accounting policies;</w:t>
      </w:r>
    </w:p>
    <w:p>
      <w:pPr>
        <w:spacing w:after="0" w:line="116" w:lineRule="exact"/>
        <w:rPr>
          <w:rFonts w:ascii="Arial" w:cs="Arial" w:eastAsia="Arial" w:hAnsi="Arial"/>
          <w:sz w:val="18"/>
          <w:szCs w:val="18"/>
          <w:color w:val="auto"/>
        </w:rPr>
      </w:pPr>
    </w:p>
    <w:p>
      <w:pPr>
        <w:ind w:left="1320" w:right="539" w:hanging="434"/>
        <w:spacing w:after="0" w:line="263" w:lineRule="auto"/>
        <w:tabs>
          <w:tab w:leader="none" w:pos="13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monitoring compliance on a quarterly basis with the terms of this offering and, if any noncompliance is identified, immediately taking all action necessary to rectify such noncompliance or otherwise causing compliance with the terms of this offering; and</w:t>
      </w:r>
    </w:p>
    <w:p>
      <w:pPr>
        <w:spacing w:after="0" w:line="116" w:lineRule="exact"/>
        <w:rPr>
          <w:rFonts w:ascii="Arial" w:cs="Arial" w:eastAsia="Arial" w:hAnsi="Arial"/>
          <w:sz w:val="18"/>
          <w:szCs w:val="18"/>
          <w:color w:val="auto"/>
        </w:rPr>
      </w:pPr>
    </w:p>
    <w:p>
      <w:pPr>
        <w:ind w:left="1320" w:right="479" w:hanging="434"/>
        <w:spacing w:after="0" w:line="259" w:lineRule="auto"/>
        <w:tabs>
          <w:tab w:leader="none" w:pos="1311" w:val="left"/>
        </w:tabs>
        <w:numPr>
          <w:ilvl w:val="0"/>
          <w:numId w:val="51"/>
        </w:numPr>
        <w:rPr>
          <w:rFonts w:ascii="Arial" w:cs="Arial" w:eastAsia="Arial" w:hAnsi="Arial"/>
          <w:sz w:val="18"/>
          <w:szCs w:val="18"/>
          <w:color w:val="auto"/>
        </w:rPr>
      </w:pPr>
      <w:r>
        <w:rPr>
          <w:rFonts w:ascii="Arial" w:cs="Arial" w:eastAsia="Arial" w:hAnsi="Arial"/>
          <w:sz w:val="18"/>
          <w:szCs w:val="18"/>
          <w:color w:val="auto"/>
        </w:rPr>
        <w:t>reviewing and approving all payments made to our existing shareholders, executive officers or directors and their respective affiliates. Any payments made to members of our audit committee will be reviewed and approved by our board of directors, with the interested director or directors abstaining from such review and approval.</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Nominating Committee</w:t>
      </w:r>
    </w:p>
    <w:p>
      <w:pPr>
        <w:spacing w:after="0" w:line="144" w:lineRule="exact"/>
        <w:rPr>
          <w:sz w:val="20"/>
          <w:szCs w:val="20"/>
          <w:color w:val="auto"/>
        </w:rPr>
      </w:pPr>
    </w:p>
    <w:p>
      <w:pPr>
        <w:ind w:left="460" w:right="579" w:firstLine="432"/>
        <w:spacing w:after="0" w:line="255"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nominating committee of our board of directors. The members of our nominating committee will be Rick Gaenzle, Isaac Barchas and Justin Kelly, and Isaac Barchas will serve as chairman of the nominating committee. Under the NYSE listing standards, we are required to have a nominating committee composed entirely of independent directors. Our board of directors has determined that each of Rick Gaenzle, Isaac Barchas and Justin Kelly are independent.</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06" w:name="page107"/>
    <w:bookmarkEnd w:id="106"/>
    <w:p>
      <w:pPr>
        <w:jc w:val="both"/>
        <w:ind w:left="460" w:right="479" w:firstLine="432"/>
        <w:spacing w:after="0" w:line="263" w:lineRule="auto"/>
        <w:rPr>
          <w:sz w:val="20"/>
          <w:szCs w:val="20"/>
          <w:color w:val="auto"/>
        </w:rPr>
      </w:pPr>
      <w:r>
        <w:rPr>
          <w:rFonts w:ascii="Arial" w:cs="Arial" w:eastAsia="Arial" w:hAnsi="Arial"/>
          <w:sz w:val="18"/>
          <w:szCs w:val="18"/>
          <w:color w:val="auto"/>
        </w:rPr>
        <w:t>The nominating committee is responsible for overseeing the selection of persons to be nominated to serve on our board of directors. The nominating committee considers persons identified by its members, management, shareholders, investment bankers and others.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Guidelines for Selecting Director Nominees</w:t>
      </w:r>
    </w:p>
    <w:p>
      <w:pPr>
        <w:spacing w:after="0" w:line="144"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guidelines for selecting nominees, which will be specified in a charter to be adopted by us, generally will provide that persons to be nominated:</w:t>
      </w:r>
    </w:p>
    <w:p>
      <w:pPr>
        <w:spacing w:after="0" w:line="103" w:lineRule="exact"/>
        <w:rPr>
          <w:sz w:val="20"/>
          <w:szCs w:val="20"/>
          <w:color w:val="auto"/>
        </w:rPr>
      </w:pPr>
    </w:p>
    <w:p>
      <w:pPr>
        <w:ind w:left="1320" w:right="919" w:hanging="434"/>
        <w:spacing w:after="0" w:line="277" w:lineRule="auto"/>
        <w:tabs>
          <w:tab w:leader="none" w:pos="1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should have demonstrated notable or significant achievements in business, education or public service;</w:t>
      </w:r>
    </w:p>
    <w:p>
      <w:pPr>
        <w:spacing w:after="0" w:line="102" w:lineRule="exact"/>
        <w:rPr>
          <w:rFonts w:ascii="Arial" w:cs="Arial" w:eastAsia="Arial" w:hAnsi="Arial"/>
          <w:sz w:val="18"/>
          <w:szCs w:val="18"/>
          <w:color w:val="auto"/>
        </w:rPr>
      </w:pPr>
    </w:p>
    <w:p>
      <w:pPr>
        <w:ind w:left="1320" w:right="1279" w:hanging="434"/>
        <w:spacing w:after="0" w:line="263" w:lineRule="auto"/>
        <w:tabs>
          <w:tab w:leader="none" w:pos="1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should possess the requisite intelligence, education and experience to make a significant contribution to the board of directors and bring a range of skills, diverse perspectives and backgrounds to its deliberations; and</w:t>
      </w:r>
    </w:p>
    <w:p>
      <w:pPr>
        <w:spacing w:after="0" w:line="102" w:lineRule="exact"/>
        <w:rPr>
          <w:rFonts w:ascii="Arial" w:cs="Arial" w:eastAsia="Arial" w:hAnsi="Arial"/>
          <w:sz w:val="18"/>
          <w:szCs w:val="18"/>
          <w:color w:val="auto"/>
        </w:rPr>
      </w:pPr>
    </w:p>
    <w:p>
      <w:pPr>
        <w:ind w:left="1320" w:right="639" w:hanging="434"/>
        <w:spacing w:after="0" w:line="277" w:lineRule="auto"/>
        <w:tabs>
          <w:tab w:leader="none" w:pos="1311" w:val="left"/>
        </w:tabs>
        <w:numPr>
          <w:ilvl w:val="0"/>
          <w:numId w:val="52"/>
        </w:numPr>
        <w:rPr>
          <w:rFonts w:ascii="Arial" w:cs="Arial" w:eastAsia="Arial" w:hAnsi="Arial"/>
          <w:sz w:val="18"/>
          <w:szCs w:val="18"/>
          <w:color w:val="auto"/>
        </w:rPr>
      </w:pPr>
      <w:r>
        <w:rPr>
          <w:rFonts w:ascii="Arial" w:cs="Arial" w:eastAsia="Arial" w:hAnsi="Arial"/>
          <w:sz w:val="18"/>
          <w:szCs w:val="18"/>
          <w:color w:val="auto"/>
        </w:rPr>
        <w:t>should have the highest ethical standards, a strong sense of professionalism and intense dedication to serving the interests of the shareholders.</w:t>
      </w:r>
    </w:p>
    <w:p>
      <w:pPr>
        <w:spacing w:after="0" w:line="103" w:lineRule="exact"/>
        <w:rPr>
          <w:sz w:val="20"/>
          <w:szCs w:val="20"/>
          <w:color w:val="auto"/>
        </w:rPr>
      </w:pPr>
    </w:p>
    <w:p>
      <w:pPr>
        <w:ind w:left="460" w:right="559" w:firstLine="432"/>
        <w:spacing w:after="0" w:line="254" w:lineRule="auto"/>
        <w:rPr>
          <w:sz w:val="20"/>
          <w:szCs w:val="20"/>
          <w:color w:val="auto"/>
        </w:rPr>
      </w:pPr>
      <w:r>
        <w:rPr>
          <w:rFonts w:ascii="Arial" w:cs="Arial" w:eastAsia="Arial" w:hAnsi="Arial"/>
          <w:sz w:val="18"/>
          <w:szCs w:val="18"/>
          <w:color w:val="auto"/>
        </w:rPr>
        <w:t>The nominating committee will consider a number of qualifications relating to management and leadership experience, background and integrity and professionalism in evaluating a person’s candidacy for membership on the board of directors. The nominating committee may require certain skills or attributes, such as financial or accounting experience, to meet specific board needs that arise from time to time and will also consider the overall experience and makeup of its members to obtain a broad and diverse mix of board members. The nominating committee does not distinguish among nominees recommended by shareholders and other persons.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w:t>
      </w:r>
    </w:p>
    <w:p>
      <w:pPr>
        <w:spacing w:after="0" w:line="158"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Upon the effectiveness of the registration statement of which this prospectus forms a part, we will establish a compensation committee of our board of directors. The members of our compensation committee will be Rick Gaenzle, Isaac Barchas and Justin Kelly, and Justin Kelly will serve as chairman of the compensation committee.</w:t>
      </w:r>
    </w:p>
    <w:p>
      <w:pPr>
        <w:spacing w:after="0" w:line="106"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Under the NYSE listing standards, we are required to have a compensation committee composed entirely of independent directors. Our board of directors has determined that each of Rick Gaenzle, Isaac Barchas and Justin Kelly are independent. We will adopt a compensation committee charter, which will detail the principal functions of the compensation committee, including:</w:t>
      </w:r>
    </w:p>
    <w:p>
      <w:pPr>
        <w:spacing w:after="0" w:line="119" w:lineRule="exact"/>
        <w:rPr>
          <w:sz w:val="20"/>
          <w:szCs w:val="20"/>
          <w:color w:val="auto"/>
        </w:rPr>
      </w:pPr>
    </w:p>
    <w:p>
      <w:pPr>
        <w:ind w:left="1320" w:right="519" w:hanging="434"/>
        <w:spacing w:after="0" w:line="259"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approving on an annual basis the corporate goals and objectives relevant to our Chief Executive Officer’s compensation, evaluating our Chief Executive Officer’s performance in light of such goals and objectives and determining and approving the remuneration (if any) of our Chief Executive Officer based on such evaluation;</w:t>
      </w:r>
    </w:p>
    <w:p>
      <w:pPr>
        <w:spacing w:after="0" w:line="119"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and approving the compensation of all of our other Section 16 executive officers;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8"/>
          <w:szCs w:val="18"/>
          <w:color w:val="auto"/>
        </w:rPr>
      </w:pPr>
      <w:r>
        <w:rPr>
          <w:rFonts w:ascii="Arial" w:cs="Arial" w:eastAsia="Arial" w:hAnsi="Arial"/>
          <w:sz w:val="18"/>
          <w:szCs w:val="18"/>
          <w:color w:val="auto"/>
        </w:rPr>
        <w:t>reviewing our executive compensation policies and plans;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implementing and administering our incentive compensation equity-based remuneration plans;</w:t>
      </w:r>
    </w:p>
    <w:p>
      <w:pPr>
        <w:spacing w:after="0" w:line="169" w:lineRule="exact"/>
        <w:rPr>
          <w:rFonts w:ascii="Arial" w:cs="Arial" w:eastAsia="Arial" w:hAnsi="Arial"/>
          <w:sz w:val="17"/>
          <w:szCs w:val="17"/>
          <w:color w:val="auto"/>
        </w:rPr>
      </w:pPr>
    </w:p>
    <w:p>
      <w:pPr>
        <w:ind w:left="1320" w:right="1199" w:hanging="434"/>
        <w:spacing w:after="0" w:line="277"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assisting management in complying with our proxy statement and annual report disclosure requirements;</w:t>
      </w:r>
    </w:p>
    <w:p>
      <w:pPr>
        <w:spacing w:after="0" w:line="89"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53"/>
        </w:numPr>
        <w:rPr>
          <w:rFonts w:ascii="Arial" w:cs="Arial" w:eastAsia="Arial" w:hAnsi="Arial"/>
          <w:sz w:val="18"/>
          <w:szCs w:val="18"/>
          <w:color w:val="auto"/>
        </w:rPr>
      </w:pPr>
      <w:r>
        <w:rPr>
          <w:rFonts w:ascii="Arial" w:cs="Arial" w:eastAsia="Arial" w:hAnsi="Arial"/>
          <w:sz w:val="18"/>
          <w:szCs w:val="18"/>
          <w:color w:val="auto"/>
        </w:rPr>
        <w:t>approving all special perquisites, special cash payments and other special compensation and benefit arrangements for our executive officers and employees;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producing a report on executive compensation to be included in our annual proxy statement; and</w:t>
      </w:r>
    </w:p>
    <w:p>
      <w:pPr>
        <w:spacing w:after="0" w:line="180" w:lineRule="exact"/>
        <w:rPr>
          <w:rFonts w:ascii="Arial" w:cs="Arial" w:eastAsia="Arial" w:hAnsi="Arial"/>
          <w:sz w:val="16"/>
          <w:szCs w:val="16"/>
          <w:color w:val="auto"/>
        </w:rPr>
      </w:pPr>
    </w:p>
    <w:p>
      <w:pPr>
        <w:ind w:left="1300" w:hanging="414"/>
        <w:spacing w:after="0"/>
        <w:tabs>
          <w:tab w:leader="none" w:pos="1300" w:val="left"/>
        </w:tabs>
        <w:numPr>
          <w:ilvl w:val="0"/>
          <w:numId w:val="53"/>
        </w:numPr>
        <w:rPr>
          <w:rFonts w:ascii="Arial" w:cs="Arial" w:eastAsia="Arial" w:hAnsi="Arial"/>
          <w:sz w:val="16"/>
          <w:szCs w:val="16"/>
          <w:color w:val="auto"/>
        </w:rPr>
      </w:pPr>
      <w:r>
        <w:rPr>
          <w:rFonts w:ascii="Arial" w:cs="Arial" w:eastAsia="Arial" w:hAnsi="Arial"/>
          <w:sz w:val="16"/>
          <w:szCs w:val="16"/>
          <w:color w:val="auto"/>
        </w:rPr>
        <w:t>reviewing, evaluating and recommending changes, if appropriate, to the remuneration for directors.</w:t>
      </w:r>
    </w:p>
    <w:p>
      <w:pPr>
        <w:spacing w:after="0" w:line="167" w:lineRule="exact"/>
        <w:rPr>
          <w:sz w:val="20"/>
          <w:szCs w:val="20"/>
          <w:color w:val="auto"/>
        </w:rPr>
      </w:pPr>
    </w:p>
    <w:p>
      <w:pPr>
        <w:jc w:val="both"/>
        <w:ind w:left="460" w:right="559" w:firstLine="432"/>
        <w:spacing w:after="0" w:line="311" w:lineRule="auto"/>
        <w:rPr>
          <w:sz w:val="20"/>
          <w:szCs w:val="20"/>
          <w:color w:val="auto"/>
        </w:rPr>
      </w:pPr>
      <w:r>
        <w:rPr>
          <w:rFonts w:ascii="Arial" w:cs="Arial" w:eastAsia="Arial" w:hAnsi="Arial"/>
          <w:sz w:val="16"/>
          <w:szCs w:val="16"/>
          <w:color w:val="auto"/>
        </w:rPr>
        <w:t>The charter will also provide that the compensation committee may, in its sole discretion, retain or obtain the advice of a compensation consultant, legal counsel or other adviser and will be directly responsible for the appointment, compensation and oversight of the work of any such adviser. However, before engaging or</w:t>
      </w:r>
    </w:p>
    <w:p>
      <w:pPr>
        <w:spacing w:after="0" w:line="1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7" w:name="page108"/>
    <w:bookmarkEnd w:id="107"/>
    <w:p>
      <w:pPr>
        <w:jc w:val="both"/>
        <w:ind w:left="460" w:right="499"/>
        <w:spacing w:after="0" w:line="263" w:lineRule="auto"/>
        <w:rPr>
          <w:sz w:val="20"/>
          <w:szCs w:val="20"/>
          <w:color w:val="auto"/>
        </w:rPr>
      </w:pPr>
      <w:r>
        <w:rPr>
          <w:rFonts w:ascii="Arial" w:cs="Arial" w:eastAsia="Arial" w:hAnsi="Arial"/>
          <w:sz w:val="18"/>
          <w:szCs w:val="18"/>
          <w:color w:val="auto"/>
        </w:rPr>
        <w:t>receiving advice from a compensation consultant, external legal counsel or any other adviser, the compensation committee will consider the independence of each such adviser, including the factors required by the NYSE and the SEC.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Compensation Committee Interlocks and Insider Participation</w:t>
      </w:r>
    </w:p>
    <w:p>
      <w:pPr>
        <w:spacing w:after="0" w:line="144" w:lineRule="exact"/>
        <w:rPr>
          <w:sz w:val="20"/>
          <w:szCs w:val="20"/>
          <w:color w:val="auto"/>
        </w:rPr>
      </w:pPr>
    </w:p>
    <w:p>
      <w:pPr>
        <w:jc w:val="both"/>
        <w:ind w:left="460" w:right="519" w:firstLine="432"/>
        <w:spacing w:after="0" w:line="342" w:lineRule="auto"/>
        <w:rPr>
          <w:sz w:val="20"/>
          <w:szCs w:val="20"/>
          <w:color w:val="auto"/>
        </w:rPr>
      </w:pPr>
      <w:r>
        <w:rPr>
          <w:rFonts w:ascii="Arial" w:cs="Arial" w:eastAsia="Arial" w:hAnsi="Arial"/>
          <w:sz w:val="16"/>
          <w:szCs w:val="16"/>
          <w:color w:val="auto"/>
        </w:rPr>
        <w:t>None of our executive officers currently serves, and in the past year has not served, as a member of the compensation committee of any entity that has one or more executive officers serving on our board of directors.</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Code of Ethics</w:t>
      </w:r>
    </w:p>
    <w:p>
      <w:pPr>
        <w:spacing w:after="0" w:line="162"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Upon the effectiveness of the registration statement of which this prospectus forms a part, we will have adopted a Code of Ethics applicable to our directors, officers and employees. A copy of the Code of Ethics will be provided without charge upon request from us. We intend to disclose any amendments to or waivers of certain provisions of our Code of Ethics in a Current Report on Form 8-K.</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Conflicts of Interest</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Under Cayman Islands law, directors and officers owe the following fiduciary duties:</w:t>
      </w:r>
    </w:p>
    <w:p>
      <w:pPr>
        <w:spacing w:after="0" w:line="144" w:lineRule="exact"/>
        <w:rPr>
          <w:sz w:val="20"/>
          <w:szCs w:val="20"/>
          <w:color w:val="auto"/>
        </w:rPr>
      </w:pPr>
    </w:p>
    <w:p>
      <w:pPr>
        <w:ind w:left="1320" w:right="899" w:hanging="434"/>
        <w:spacing w:after="0" w:line="277" w:lineRule="auto"/>
        <w:tabs>
          <w:tab w:leader="none" w:pos="13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duty to act in good faith in what the director or officer believes to be in the best interests of the company as a whole;</w:t>
      </w:r>
    </w:p>
    <w:p>
      <w:pPr>
        <w:spacing w:after="0" w:line="102" w:lineRule="exact"/>
        <w:rPr>
          <w:rFonts w:ascii="Arial" w:cs="Arial" w:eastAsia="Arial" w:hAnsi="Arial"/>
          <w:sz w:val="18"/>
          <w:szCs w:val="18"/>
          <w:color w:val="auto"/>
        </w:rPr>
      </w:pPr>
    </w:p>
    <w:p>
      <w:pPr>
        <w:ind w:left="1320" w:right="979" w:hanging="434"/>
        <w:spacing w:after="0" w:line="277" w:lineRule="auto"/>
        <w:tabs>
          <w:tab w:leader="none" w:pos="13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duty to exercise powers for the purposes for which those powers were conferred and not for a collateral purpose;</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directors should not improperly fetter the exercise of future discretion;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duty to exercise powers fairly as between different sections of shareholders;</w:t>
      </w:r>
    </w:p>
    <w:p>
      <w:pPr>
        <w:spacing w:after="0" w:line="157" w:lineRule="exact"/>
        <w:rPr>
          <w:rFonts w:ascii="Arial" w:cs="Arial" w:eastAsia="Arial" w:hAnsi="Arial"/>
          <w:sz w:val="18"/>
          <w:szCs w:val="18"/>
          <w:color w:val="auto"/>
        </w:rPr>
      </w:pPr>
    </w:p>
    <w:p>
      <w:pPr>
        <w:ind w:left="1320" w:right="1079" w:hanging="434"/>
        <w:spacing w:after="0" w:line="277" w:lineRule="auto"/>
        <w:tabs>
          <w:tab w:leader="none" w:pos="1311"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duty not to put themselves in a position in which there is a conflict between their duty to the company and their personal interests;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4"/>
        </w:numPr>
        <w:rPr>
          <w:rFonts w:ascii="Arial" w:cs="Arial" w:eastAsia="Arial" w:hAnsi="Arial"/>
          <w:sz w:val="18"/>
          <w:szCs w:val="18"/>
          <w:color w:val="auto"/>
        </w:rPr>
      </w:pPr>
      <w:r>
        <w:rPr>
          <w:rFonts w:ascii="Arial" w:cs="Arial" w:eastAsia="Arial" w:hAnsi="Arial"/>
          <w:sz w:val="18"/>
          <w:szCs w:val="18"/>
          <w:color w:val="auto"/>
        </w:rPr>
        <w:t>duty to exercise independent judgment.</w:t>
      </w:r>
    </w:p>
    <w:p>
      <w:pPr>
        <w:spacing w:after="0" w:line="144" w:lineRule="exact"/>
        <w:rPr>
          <w:sz w:val="20"/>
          <w:szCs w:val="20"/>
          <w:color w:val="auto"/>
        </w:rPr>
      </w:pPr>
    </w:p>
    <w:p>
      <w:pPr>
        <w:ind w:left="460" w:right="639" w:firstLine="432"/>
        <w:spacing w:after="0" w:line="301" w:lineRule="auto"/>
        <w:rPr>
          <w:sz w:val="20"/>
          <w:szCs w:val="20"/>
          <w:color w:val="auto"/>
        </w:rPr>
      </w:pPr>
      <w:r>
        <w:rPr>
          <w:rFonts w:ascii="Arial" w:cs="Arial" w:eastAsia="Arial" w:hAnsi="Arial"/>
          <w:sz w:val="16"/>
          <w:szCs w:val="16"/>
          <w:color w:val="auto"/>
        </w:rPr>
        <w:t>In addition to the above, directors also owe a duty of care which is not fiduciary in nature. This duty has been defined as a requirement to act as a reasonably diligent person having both the general knowledge, skill and experience that may reasonably be expected of a person carrying out the same functions as are carried out by that director in relation to the company and the general knowledge skill and experience of that director.</w:t>
      </w:r>
    </w:p>
    <w:p>
      <w:pPr>
        <w:spacing w:after="0" w:line="90" w:lineRule="exact"/>
        <w:rPr>
          <w:sz w:val="20"/>
          <w:szCs w:val="20"/>
          <w:color w:val="auto"/>
        </w:rPr>
      </w:pPr>
    </w:p>
    <w:p>
      <w:pPr>
        <w:ind w:left="460" w:right="659" w:firstLine="432"/>
        <w:spacing w:after="0" w:line="255" w:lineRule="auto"/>
        <w:rPr>
          <w:sz w:val="20"/>
          <w:szCs w:val="20"/>
          <w:color w:val="auto"/>
        </w:rPr>
      </w:pPr>
      <w:r>
        <w:rPr>
          <w:rFonts w:ascii="Arial" w:cs="Arial" w:eastAsia="Arial" w:hAnsi="Arial"/>
          <w:sz w:val="18"/>
          <w:szCs w:val="18"/>
          <w:color w:val="auto"/>
        </w:rPr>
        <w:t>As set out above, directors have a duty not to put themselves in a position of conflict and this includes a duty not to engage in self-dealing, or to otherwise benefit as a result of their position. However, in some instances what would otherwise be a breach of this duty can be forgiven and/or authorized in advance by the shareholders provided that there is full disclosure by the directors. This can be done by way of permission granted in the amended and restated memorandum and articles of association or alternatively by shareholder approval at general meetings.</w:t>
      </w:r>
    </w:p>
    <w:p>
      <w:pPr>
        <w:spacing w:after="0" w:line="125"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Certain of our officers and directors presently have, and any of them in the future may have, additional, fiduciary or contractual obligations to other entities, including entities that are affiliates of our sponsor, pursuant to which such officer or director is or will be required to present a business combination opportunity to such entity. Accordingly, if any of our officers or directors becomes aware of a business combination opportunity which is suitable for an entity to which he or she has then-current fiduciary or contractual obligations, he or she will honor his or her fiduciary or contractual obligations to present such business combination opportunity to such entity, subject to their fiduciary duties under Cayman Islands law. We do not believe, however, that the fiduciary duties or contractual obligations of our officers or directors will materially affect our ability to complete our initial business combination.</w:t>
      </w:r>
    </w:p>
    <w:p>
      <w:pPr>
        <w:spacing w:after="0" w:line="1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08" w:name="page109"/>
    <w:bookmarkEnd w:id="108"/>
    <w:p>
      <w:pPr>
        <w:ind w:left="460" w:right="819" w:firstLine="432"/>
        <w:spacing w:after="0" w:line="308" w:lineRule="auto"/>
        <w:rPr>
          <w:sz w:val="20"/>
          <w:szCs w:val="20"/>
          <w:color w:val="auto"/>
        </w:rPr>
      </w:pPr>
      <w:r>
        <w:rPr>
          <w:rFonts w:ascii="Arial" w:cs="Arial" w:eastAsia="Arial" w:hAnsi="Arial"/>
          <w:sz w:val="17"/>
          <w:szCs w:val="17"/>
          <w:color w:val="auto"/>
        </w:rPr>
        <w:t>Below is a table summarizing the entities to which our executive officers and directors currently have fiduciary duties, contractual obligations or other material management relationships:</w:t>
      </w:r>
    </w:p>
    <w:p>
      <w:pPr>
        <w:spacing w:after="0" w:line="147"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740" w:type="dxa"/>
            <w:vAlign w:val="bottom"/>
          </w:tcPr>
          <w:p>
            <w:pPr>
              <w:spacing w:after="0"/>
              <w:rPr>
                <w:sz w:val="20"/>
                <w:szCs w:val="20"/>
                <w:color w:val="auto"/>
              </w:rPr>
            </w:pPr>
            <w:r>
              <w:rPr>
                <w:rFonts w:ascii="Arial" w:cs="Arial" w:eastAsia="Arial" w:hAnsi="Arial"/>
                <w:sz w:val="16"/>
                <w:szCs w:val="16"/>
                <w:b w:val="1"/>
                <w:bCs w:val="1"/>
                <w:color w:val="auto"/>
              </w:rPr>
              <w:t>Individual</w:t>
            </w:r>
          </w:p>
        </w:tc>
        <w:tc>
          <w:tcPr>
            <w:tcW w:w="100" w:type="dxa"/>
            <w:vAlign w:val="bottom"/>
          </w:tcPr>
          <w:p>
            <w:pPr>
              <w:spacing w:after="0"/>
              <w:rPr>
                <w:sz w:val="18"/>
                <w:szCs w:val="18"/>
                <w:color w:val="auto"/>
              </w:rPr>
            </w:pPr>
          </w:p>
        </w:tc>
        <w:tc>
          <w:tcPr>
            <w:tcW w:w="3040" w:type="dxa"/>
            <w:vAlign w:val="bottom"/>
            <w:gridSpan w:val="2"/>
          </w:tcPr>
          <w:p>
            <w:pPr>
              <w:ind w:left="1260"/>
              <w:spacing w:after="0"/>
              <w:rPr>
                <w:sz w:val="20"/>
                <w:szCs w:val="20"/>
                <w:color w:val="auto"/>
              </w:rPr>
            </w:pPr>
            <w:r>
              <w:rPr>
                <w:rFonts w:ascii="Arial" w:cs="Arial" w:eastAsia="Arial" w:hAnsi="Arial"/>
                <w:sz w:val="16"/>
                <w:szCs w:val="16"/>
                <w:b w:val="1"/>
                <w:bCs w:val="1"/>
                <w:color w:val="auto"/>
              </w:rPr>
              <w:t>Entity</w:t>
            </w:r>
          </w:p>
        </w:tc>
        <w:tc>
          <w:tcPr>
            <w:tcW w:w="1300" w:type="dxa"/>
            <w:vAlign w:val="bottom"/>
          </w:tcPr>
          <w:p>
            <w:pPr>
              <w:ind w:left="60"/>
              <w:spacing w:after="0"/>
              <w:rPr>
                <w:sz w:val="20"/>
                <w:szCs w:val="20"/>
                <w:color w:val="auto"/>
              </w:rPr>
            </w:pPr>
            <w:r>
              <w:rPr>
                <w:rFonts w:ascii="Arial" w:cs="Arial" w:eastAsia="Arial" w:hAnsi="Arial"/>
                <w:sz w:val="16"/>
                <w:szCs w:val="16"/>
                <w:b w:val="1"/>
                <w:bCs w:val="1"/>
                <w:color w:val="auto"/>
                <w:w w:val="91"/>
              </w:rPr>
              <w:t>Entity’s Business</w:t>
            </w:r>
          </w:p>
        </w:tc>
        <w:tc>
          <w:tcPr>
            <w:tcW w:w="100" w:type="dxa"/>
            <w:vAlign w:val="bottom"/>
          </w:tcPr>
          <w:p>
            <w:pPr>
              <w:spacing w:after="0"/>
              <w:rPr>
                <w:sz w:val="18"/>
                <w:szCs w:val="18"/>
                <w:color w:val="auto"/>
              </w:rPr>
            </w:pPr>
          </w:p>
        </w:tc>
        <w:tc>
          <w:tcPr>
            <w:tcW w:w="1820" w:type="dxa"/>
            <w:vAlign w:val="bottom"/>
          </w:tcPr>
          <w:p>
            <w:pPr>
              <w:ind w:left="540"/>
              <w:spacing w:after="0"/>
              <w:rPr>
                <w:sz w:val="20"/>
                <w:szCs w:val="20"/>
                <w:color w:val="auto"/>
              </w:rPr>
            </w:pPr>
            <w:r>
              <w:rPr>
                <w:rFonts w:ascii="Arial" w:cs="Arial" w:eastAsia="Arial" w:hAnsi="Arial"/>
                <w:sz w:val="16"/>
                <w:szCs w:val="16"/>
                <w:b w:val="1"/>
                <w:bCs w:val="1"/>
                <w:color w:val="auto"/>
              </w:rPr>
              <w:t>Affiliation</w:t>
            </w:r>
          </w:p>
        </w:tc>
        <w:tc>
          <w:tcPr>
            <w:tcW w:w="0" w:type="dxa"/>
            <w:vAlign w:val="bottom"/>
          </w:tcPr>
          <w:p>
            <w:pPr>
              <w:spacing w:after="0"/>
              <w:rPr>
                <w:sz w:val="1"/>
                <w:szCs w:val="1"/>
                <w:color w:val="auto"/>
              </w:rPr>
            </w:pPr>
          </w:p>
        </w:tc>
      </w:tr>
      <w:tr>
        <w:trPr>
          <w:trHeight w:val="47"/>
        </w:trPr>
        <w:tc>
          <w:tcPr>
            <w:tcW w:w="17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294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300" w:type="dxa"/>
            <w:vAlign w:val="bottom"/>
            <w:tcBorders>
              <w:bottom w:val="single" w:sz="8" w:color="auto"/>
            </w:tcBorders>
          </w:tcPr>
          <w:p>
            <w:pPr>
              <w:spacing w:after="0"/>
              <w:rPr>
                <w:sz w:val="4"/>
                <w:szCs w:val="4"/>
                <w:color w:val="auto"/>
              </w:rPr>
            </w:pPr>
          </w:p>
        </w:tc>
        <w:tc>
          <w:tcPr>
            <w:tcW w:w="100" w:type="dxa"/>
            <w:vAlign w:val="bottom"/>
            <w:vMerge w:val="restart"/>
          </w:tcPr>
          <w:p>
            <w:pPr>
              <w:spacing w:after="0"/>
              <w:rPr>
                <w:sz w:val="4"/>
                <w:szCs w:val="4"/>
                <w:color w:val="auto"/>
              </w:rPr>
            </w:pPr>
          </w:p>
        </w:tc>
        <w:tc>
          <w:tcPr>
            <w:tcW w:w="18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1740" w:type="dxa"/>
            <w:vAlign w:val="bottom"/>
          </w:tcPr>
          <w:p>
            <w:pPr>
              <w:spacing w:after="0"/>
              <w:rPr>
                <w:sz w:val="20"/>
                <w:szCs w:val="20"/>
                <w:color w:val="auto"/>
              </w:rPr>
            </w:pPr>
            <w:r>
              <w:rPr>
                <w:rFonts w:ascii="Arial" w:cs="Arial" w:eastAsia="Arial" w:hAnsi="Arial"/>
                <w:sz w:val="18"/>
                <w:szCs w:val="18"/>
                <w:color w:val="auto"/>
              </w:rPr>
              <w:t>Scott Leonard</w:t>
            </w:r>
          </w:p>
        </w:tc>
        <w:tc>
          <w:tcPr>
            <w:tcW w:w="100" w:type="dxa"/>
            <w:vAlign w:val="bottom"/>
            <w:vMerge w:val="continue"/>
          </w:tcPr>
          <w:p>
            <w:pPr>
              <w:spacing w:after="0"/>
              <w:rPr>
                <w:sz w:val="19"/>
                <w:szCs w:val="19"/>
                <w:color w:val="auto"/>
              </w:rPr>
            </w:pPr>
          </w:p>
        </w:tc>
        <w:tc>
          <w:tcPr>
            <w:tcW w:w="2940" w:type="dxa"/>
            <w:vAlign w:val="bottom"/>
          </w:tcPr>
          <w:p>
            <w:pPr>
              <w:spacing w:after="0"/>
              <w:rPr>
                <w:sz w:val="20"/>
                <w:szCs w:val="20"/>
                <w:color w:val="auto"/>
              </w:rPr>
            </w:pPr>
            <w:r>
              <w:rPr>
                <w:rFonts w:ascii="Arial" w:cs="Arial" w:eastAsia="Arial" w:hAnsi="Arial"/>
                <w:sz w:val="18"/>
                <w:szCs w:val="18"/>
                <w:color w:val="auto"/>
              </w:rPr>
              <w:t>Lonestar II Generation Holdings</w:t>
            </w:r>
          </w:p>
        </w:tc>
        <w:tc>
          <w:tcPr>
            <w:tcW w:w="100" w:type="dxa"/>
            <w:vAlign w:val="bottom"/>
            <w:vMerge w:val="continue"/>
          </w:tcPr>
          <w:p>
            <w:pPr>
              <w:spacing w:after="0"/>
              <w:rPr>
                <w:sz w:val="19"/>
                <w:szCs w:val="19"/>
                <w:color w:val="auto"/>
              </w:rPr>
            </w:pPr>
          </w:p>
        </w:tc>
        <w:tc>
          <w:tcPr>
            <w:tcW w:w="1300" w:type="dxa"/>
            <w:vAlign w:val="bottom"/>
          </w:tcPr>
          <w:p>
            <w:pPr>
              <w:spacing w:after="0"/>
              <w:rPr>
                <w:sz w:val="20"/>
                <w:szCs w:val="20"/>
                <w:color w:val="auto"/>
              </w:rPr>
            </w:pPr>
            <w:r>
              <w:rPr>
                <w:rFonts w:ascii="Arial" w:cs="Arial" w:eastAsia="Arial" w:hAnsi="Arial"/>
                <w:sz w:val="18"/>
                <w:szCs w:val="18"/>
                <w:color w:val="auto"/>
              </w:rPr>
              <w:t>Energy</w:t>
            </w:r>
          </w:p>
        </w:tc>
        <w:tc>
          <w:tcPr>
            <w:tcW w:w="100" w:type="dxa"/>
            <w:vAlign w:val="bottom"/>
            <w:vMerge w:val="continue"/>
          </w:tcPr>
          <w:p>
            <w:pPr>
              <w:spacing w:after="0"/>
              <w:rPr>
                <w:sz w:val="19"/>
                <w:szCs w:val="19"/>
                <w:color w:val="auto"/>
              </w:rPr>
            </w:pPr>
          </w:p>
        </w:tc>
        <w:tc>
          <w:tcPr>
            <w:tcW w:w="1820" w:type="dxa"/>
            <w:vAlign w:val="bottom"/>
          </w:tcPr>
          <w:p>
            <w:pPr>
              <w:spacing w:after="0"/>
              <w:rPr>
                <w:sz w:val="20"/>
                <w:szCs w:val="20"/>
                <w:color w:val="auto"/>
              </w:rPr>
            </w:pPr>
            <w:r>
              <w:rPr>
                <w:rFonts w:ascii="Arial" w:cs="Arial" w:eastAsia="Arial" w:hAnsi="Arial"/>
                <w:sz w:val="18"/>
                <w:szCs w:val="18"/>
                <w:color w:val="auto"/>
              </w:rPr>
              <w:t>Board Member</w:t>
            </w:r>
          </w:p>
        </w:tc>
        <w:tc>
          <w:tcPr>
            <w:tcW w:w="0" w:type="dxa"/>
            <w:vAlign w:val="bottom"/>
          </w:tcPr>
          <w:p>
            <w:pPr>
              <w:spacing w:after="0"/>
              <w:rPr>
                <w:sz w:val="1"/>
                <w:szCs w:val="1"/>
                <w:color w:val="auto"/>
              </w:rPr>
            </w:pPr>
          </w:p>
        </w:tc>
      </w:tr>
      <w:tr>
        <w:trPr>
          <w:trHeight w:val="241"/>
        </w:trPr>
        <w:tc>
          <w:tcPr>
            <w:tcW w:w="1740" w:type="dxa"/>
            <w:vAlign w:val="bottom"/>
          </w:tcPr>
          <w:p>
            <w:pPr>
              <w:spacing w:after="0"/>
              <w:rPr>
                <w:sz w:val="20"/>
                <w:szCs w:val="20"/>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Sustainable Opportunities</w:t>
            </w:r>
          </w:p>
        </w:tc>
        <w:tc>
          <w:tcPr>
            <w:tcW w:w="1300" w:type="dxa"/>
            <w:vAlign w:val="bottom"/>
          </w:tcPr>
          <w:p>
            <w:pPr>
              <w:spacing w:after="0"/>
              <w:rPr>
                <w:sz w:val="20"/>
                <w:szCs w:val="20"/>
                <w:color w:val="auto"/>
              </w:rPr>
            </w:pPr>
            <w:r>
              <w:rPr>
                <w:rFonts w:ascii="Arial" w:cs="Arial" w:eastAsia="Arial" w:hAnsi="Arial"/>
                <w:sz w:val="18"/>
                <w:szCs w:val="18"/>
                <w:color w:val="auto"/>
              </w:rPr>
              <w:t>Holding</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Holdings LLC</w:t>
            </w:r>
          </w:p>
        </w:tc>
        <w:tc>
          <w:tcPr>
            <w:tcW w:w="1300" w:type="dxa"/>
            <w:vAlign w:val="bottom"/>
          </w:tcPr>
          <w:p>
            <w:pPr>
              <w:spacing w:after="0"/>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05"/>
        </w:trPr>
        <w:tc>
          <w:tcPr>
            <w:tcW w:w="1740" w:type="dxa"/>
            <w:vAlign w:val="bottom"/>
          </w:tcPr>
          <w:p>
            <w:pPr>
              <w:spacing w:after="0"/>
              <w:rPr>
                <w:sz w:val="20"/>
                <w:szCs w:val="20"/>
                <w:color w:val="auto"/>
              </w:rPr>
            </w:pPr>
            <w:r>
              <w:rPr>
                <w:rFonts w:ascii="Arial" w:cs="Arial" w:eastAsia="Arial" w:hAnsi="Arial"/>
                <w:sz w:val="18"/>
                <w:szCs w:val="18"/>
                <w:color w:val="auto"/>
              </w:rPr>
              <w:t>Scott Honour</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Northern Pacific Group</w:t>
            </w:r>
          </w:p>
        </w:tc>
        <w:tc>
          <w:tcPr>
            <w:tcW w:w="1300" w:type="dxa"/>
            <w:vAlign w:val="bottom"/>
          </w:tcPr>
          <w:p>
            <w:pPr>
              <w:spacing w:after="0"/>
              <w:rPr>
                <w:sz w:val="20"/>
                <w:szCs w:val="20"/>
                <w:color w:val="auto"/>
              </w:rPr>
            </w:pPr>
            <w:r>
              <w:rPr>
                <w:rFonts w:ascii="Arial" w:cs="Arial" w:eastAsia="Arial" w:hAnsi="Arial"/>
                <w:sz w:val="18"/>
                <w:szCs w:val="18"/>
                <w:color w:val="auto"/>
              </w:rPr>
              <w:t>Private Equity</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Managing Partner</w:t>
            </w:r>
          </w:p>
        </w:tc>
        <w:tc>
          <w:tcPr>
            <w:tcW w:w="0" w:type="dxa"/>
            <w:vAlign w:val="bottom"/>
          </w:tcPr>
          <w:p>
            <w:pPr>
              <w:spacing w:after="0"/>
              <w:rPr>
                <w:sz w:val="1"/>
                <w:szCs w:val="1"/>
                <w:color w:val="auto"/>
              </w:rPr>
            </w:pPr>
          </w:p>
        </w:tc>
      </w:tr>
      <w:tr>
        <w:trPr>
          <w:trHeight w:val="242"/>
        </w:trPr>
        <w:tc>
          <w:tcPr>
            <w:tcW w:w="1740" w:type="dxa"/>
            <w:vAlign w:val="bottom"/>
          </w:tcPr>
          <w:p>
            <w:pPr>
              <w:spacing w:after="0"/>
              <w:rPr>
                <w:sz w:val="21"/>
                <w:szCs w:val="21"/>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EVO Transportation &amp;</w:t>
            </w:r>
          </w:p>
        </w:tc>
        <w:tc>
          <w:tcPr>
            <w:tcW w:w="1300" w:type="dxa"/>
            <w:vAlign w:val="bottom"/>
          </w:tcPr>
          <w:p>
            <w:pPr>
              <w:spacing w:after="0"/>
              <w:rPr>
                <w:sz w:val="20"/>
                <w:szCs w:val="20"/>
                <w:color w:val="auto"/>
              </w:rPr>
            </w:pPr>
            <w:r>
              <w:rPr>
                <w:rFonts w:ascii="Arial" w:cs="Arial" w:eastAsia="Arial" w:hAnsi="Arial"/>
                <w:sz w:val="18"/>
                <w:szCs w:val="18"/>
                <w:color w:val="auto"/>
              </w:rPr>
              <w:t>Transportation</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Board Member</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Energy Services Inc.</w:t>
            </w:r>
          </w:p>
        </w:tc>
        <w:tc>
          <w:tcPr>
            <w:tcW w:w="1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2"/>
        </w:trPr>
        <w:tc>
          <w:tcPr>
            <w:tcW w:w="1740" w:type="dxa"/>
            <w:vAlign w:val="bottom"/>
          </w:tcPr>
          <w:p>
            <w:pPr>
              <w:spacing w:after="0"/>
              <w:rPr>
                <w:sz w:val="21"/>
                <w:szCs w:val="21"/>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Sustainable Opportunities Holdings</w:t>
            </w:r>
          </w:p>
        </w:tc>
        <w:tc>
          <w:tcPr>
            <w:tcW w:w="1300" w:type="dxa"/>
            <w:vAlign w:val="bottom"/>
          </w:tcPr>
          <w:p>
            <w:pPr>
              <w:spacing w:after="0"/>
              <w:rPr>
                <w:sz w:val="20"/>
                <w:szCs w:val="20"/>
                <w:color w:val="auto"/>
              </w:rPr>
            </w:pPr>
            <w:r>
              <w:rPr>
                <w:rFonts w:ascii="Arial" w:cs="Arial" w:eastAsia="Arial" w:hAnsi="Arial"/>
                <w:sz w:val="18"/>
                <w:szCs w:val="18"/>
                <w:color w:val="auto"/>
              </w:rPr>
              <w:t>Holding</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Manager</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LLC</w:t>
            </w:r>
          </w:p>
        </w:tc>
        <w:tc>
          <w:tcPr>
            <w:tcW w:w="1300" w:type="dxa"/>
            <w:vAlign w:val="bottom"/>
          </w:tcPr>
          <w:p>
            <w:pPr>
              <w:spacing w:after="0"/>
              <w:rPr>
                <w:sz w:val="20"/>
                <w:szCs w:val="20"/>
                <w:color w:val="auto"/>
              </w:rPr>
            </w:pPr>
            <w:r>
              <w:rPr>
                <w:rFonts w:ascii="Arial" w:cs="Arial" w:eastAsia="Arial" w:hAnsi="Arial"/>
                <w:sz w:val="18"/>
                <w:szCs w:val="18"/>
                <w:color w:val="auto"/>
              </w:rPr>
              <w:t>Company</w:t>
            </w:r>
          </w:p>
        </w:tc>
        <w:tc>
          <w:tcPr>
            <w:tcW w:w="100" w:type="dxa"/>
            <w:vAlign w:val="bottom"/>
          </w:tcPr>
          <w:p>
            <w:pPr>
              <w:spacing w:after="0"/>
              <w:rPr>
                <w:sz w:val="20"/>
                <w:szCs w:val="20"/>
                <w:color w:val="auto"/>
              </w:rPr>
            </w:pPr>
          </w:p>
        </w:tc>
        <w:tc>
          <w:tcPr>
            <w:tcW w:w="18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1740" w:type="dxa"/>
            <w:vAlign w:val="bottom"/>
          </w:tcPr>
          <w:p>
            <w:pPr>
              <w:spacing w:after="0"/>
              <w:rPr>
                <w:sz w:val="20"/>
                <w:szCs w:val="20"/>
                <w:color w:val="auto"/>
              </w:rPr>
            </w:pPr>
            <w:r>
              <w:rPr>
                <w:rFonts w:ascii="Arial" w:cs="Arial" w:eastAsia="Arial" w:hAnsi="Arial"/>
                <w:sz w:val="18"/>
                <w:szCs w:val="18"/>
                <w:color w:val="auto"/>
              </w:rPr>
              <w:t>Rick Gaenzle</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Gilbert Global Equity Capital, L.L.C.</w:t>
            </w:r>
          </w:p>
        </w:tc>
        <w:tc>
          <w:tcPr>
            <w:tcW w:w="1300" w:type="dxa"/>
            <w:vAlign w:val="bottom"/>
          </w:tcPr>
          <w:p>
            <w:pPr>
              <w:spacing w:after="0"/>
              <w:rPr>
                <w:sz w:val="20"/>
                <w:szCs w:val="20"/>
                <w:color w:val="auto"/>
              </w:rPr>
            </w:pPr>
            <w:r>
              <w:rPr>
                <w:rFonts w:ascii="Arial" w:cs="Arial" w:eastAsia="Arial" w:hAnsi="Arial"/>
                <w:sz w:val="18"/>
                <w:szCs w:val="18"/>
                <w:color w:val="auto"/>
              </w:rPr>
              <w:t>Private Equity</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w w:val="96"/>
              </w:rPr>
              <w:t>Founder and Managing</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Director</w:t>
            </w:r>
          </w:p>
        </w:tc>
        <w:tc>
          <w:tcPr>
            <w:tcW w:w="0" w:type="dxa"/>
            <w:vAlign w:val="bottom"/>
          </w:tcPr>
          <w:p>
            <w:pPr>
              <w:spacing w:after="0"/>
              <w:rPr>
                <w:sz w:val="1"/>
                <w:szCs w:val="1"/>
                <w:color w:val="auto"/>
              </w:rPr>
            </w:pPr>
          </w:p>
        </w:tc>
      </w:tr>
      <w:tr>
        <w:trPr>
          <w:trHeight w:val="256"/>
        </w:trPr>
        <w:tc>
          <w:tcPr>
            <w:tcW w:w="1740" w:type="dxa"/>
            <w:vAlign w:val="bottom"/>
          </w:tcPr>
          <w:p>
            <w:pPr>
              <w:spacing w:after="0"/>
              <w:rPr>
                <w:sz w:val="22"/>
                <w:szCs w:val="22"/>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Impact Delta</w:t>
            </w:r>
          </w:p>
        </w:tc>
        <w:tc>
          <w:tcPr>
            <w:tcW w:w="1300" w:type="dxa"/>
            <w:vAlign w:val="bottom"/>
          </w:tcPr>
          <w:p>
            <w:pPr>
              <w:spacing w:after="0"/>
              <w:rPr>
                <w:sz w:val="20"/>
                <w:szCs w:val="20"/>
                <w:color w:val="auto"/>
              </w:rPr>
            </w:pPr>
            <w:r>
              <w:rPr>
                <w:rFonts w:ascii="Arial" w:cs="Arial" w:eastAsia="Arial" w:hAnsi="Arial"/>
                <w:sz w:val="18"/>
                <w:szCs w:val="18"/>
                <w:color w:val="auto"/>
              </w:rPr>
              <w:t>Advisory</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Senior Advisor</w:t>
            </w:r>
          </w:p>
        </w:tc>
        <w:tc>
          <w:tcPr>
            <w:tcW w:w="0" w:type="dxa"/>
            <w:vAlign w:val="bottom"/>
          </w:tcPr>
          <w:p>
            <w:pPr>
              <w:spacing w:after="0"/>
              <w:rPr>
                <w:sz w:val="1"/>
                <w:szCs w:val="1"/>
                <w:color w:val="auto"/>
              </w:rPr>
            </w:pPr>
          </w:p>
        </w:tc>
      </w:tr>
      <w:tr>
        <w:trPr>
          <w:trHeight w:val="284"/>
        </w:trPr>
        <w:tc>
          <w:tcPr>
            <w:tcW w:w="1740" w:type="dxa"/>
            <w:vAlign w:val="bottom"/>
          </w:tcPr>
          <w:p>
            <w:pPr>
              <w:spacing w:after="0"/>
              <w:rPr>
                <w:sz w:val="24"/>
                <w:szCs w:val="24"/>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Northern Pacific Group</w:t>
            </w:r>
          </w:p>
        </w:tc>
        <w:tc>
          <w:tcPr>
            <w:tcW w:w="1300" w:type="dxa"/>
            <w:vAlign w:val="bottom"/>
          </w:tcPr>
          <w:p>
            <w:pPr>
              <w:spacing w:after="0"/>
              <w:rPr>
                <w:sz w:val="20"/>
                <w:szCs w:val="20"/>
                <w:color w:val="auto"/>
              </w:rPr>
            </w:pPr>
            <w:r>
              <w:rPr>
                <w:rFonts w:ascii="Arial" w:cs="Arial" w:eastAsia="Arial" w:hAnsi="Arial"/>
                <w:sz w:val="18"/>
                <w:szCs w:val="18"/>
                <w:color w:val="auto"/>
              </w:rPr>
              <w:t>Private Equity</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Operating Partner</w:t>
            </w:r>
          </w:p>
        </w:tc>
        <w:tc>
          <w:tcPr>
            <w:tcW w:w="0" w:type="dxa"/>
            <w:vAlign w:val="bottom"/>
          </w:tcPr>
          <w:p>
            <w:pPr>
              <w:spacing w:after="0"/>
              <w:rPr>
                <w:sz w:val="1"/>
                <w:szCs w:val="1"/>
                <w:color w:val="auto"/>
              </w:rPr>
            </w:pPr>
          </w:p>
        </w:tc>
      </w:tr>
      <w:tr>
        <w:trPr>
          <w:trHeight w:val="283"/>
        </w:trPr>
        <w:tc>
          <w:tcPr>
            <w:tcW w:w="1740" w:type="dxa"/>
            <w:vAlign w:val="bottom"/>
          </w:tcPr>
          <w:p>
            <w:pPr>
              <w:spacing w:after="0"/>
              <w:rPr>
                <w:sz w:val="24"/>
                <w:szCs w:val="24"/>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Lake Street Homes</w:t>
            </w:r>
          </w:p>
        </w:tc>
        <w:tc>
          <w:tcPr>
            <w:tcW w:w="1300" w:type="dxa"/>
            <w:vAlign w:val="bottom"/>
          </w:tcPr>
          <w:p>
            <w:pPr>
              <w:spacing w:after="0"/>
              <w:rPr>
                <w:sz w:val="20"/>
                <w:szCs w:val="20"/>
                <w:color w:val="auto"/>
              </w:rPr>
            </w:pPr>
            <w:r>
              <w:rPr>
                <w:rFonts w:ascii="Arial" w:cs="Arial" w:eastAsia="Arial" w:hAnsi="Arial"/>
                <w:sz w:val="18"/>
                <w:szCs w:val="18"/>
                <w:color w:val="auto"/>
              </w:rPr>
              <w:t>Investment</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Chairman</w:t>
            </w:r>
          </w:p>
        </w:tc>
        <w:tc>
          <w:tcPr>
            <w:tcW w:w="0" w:type="dxa"/>
            <w:vAlign w:val="bottom"/>
          </w:tcPr>
          <w:p>
            <w:pPr>
              <w:spacing w:after="0"/>
              <w:rPr>
                <w:sz w:val="1"/>
                <w:szCs w:val="1"/>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Isaac Barchas</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Research Bridge Partners</w:t>
            </w:r>
          </w:p>
        </w:tc>
        <w:tc>
          <w:tcPr>
            <w:tcW w:w="1300" w:type="dxa"/>
            <w:vAlign w:val="bottom"/>
          </w:tcPr>
          <w:p>
            <w:pPr>
              <w:spacing w:after="0"/>
              <w:rPr>
                <w:sz w:val="20"/>
                <w:szCs w:val="20"/>
                <w:color w:val="auto"/>
              </w:rPr>
            </w:pPr>
            <w:r>
              <w:rPr>
                <w:rFonts w:ascii="Arial" w:cs="Arial" w:eastAsia="Arial" w:hAnsi="Arial"/>
                <w:sz w:val="18"/>
                <w:szCs w:val="18"/>
                <w:color w:val="auto"/>
              </w:rPr>
              <w:t>Investment</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President and Chief</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Executive Officer</w:t>
            </w:r>
          </w:p>
        </w:tc>
        <w:tc>
          <w:tcPr>
            <w:tcW w:w="0" w:type="dxa"/>
            <w:vAlign w:val="bottom"/>
          </w:tcPr>
          <w:p>
            <w:pPr>
              <w:spacing w:after="0"/>
              <w:rPr>
                <w:sz w:val="1"/>
                <w:szCs w:val="1"/>
                <w:color w:val="auto"/>
              </w:rPr>
            </w:pPr>
          </w:p>
        </w:tc>
      </w:tr>
      <w:tr>
        <w:trPr>
          <w:trHeight w:val="257"/>
        </w:trPr>
        <w:tc>
          <w:tcPr>
            <w:tcW w:w="1740" w:type="dxa"/>
            <w:vAlign w:val="bottom"/>
          </w:tcPr>
          <w:p>
            <w:pPr>
              <w:spacing w:after="0"/>
              <w:rPr>
                <w:sz w:val="22"/>
                <w:szCs w:val="22"/>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Novosteo, Inc.</w:t>
            </w:r>
          </w:p>
        </w:tc>
        <w:tc>
          <w:tcPr>
            <w:tcW w:w="1300" w:type="dxa"/>
            <w:vAlign w:val="bottom"/>
          </w:tcPr>
          <w:p>
            <w:pPr>
              <w:spacing w:after="0"/>
              <w:rPr>
                <w:sz w:val="20"/>
                <w:szCs w:val="20"/>
                <w:color w:val="auto"/>
              </w:rPr>
            </w:pPr>
            <w:r>
              <w:rPr>
                <w:rFonts w:ascii="Arial" w:cs="Arial" w:eastAsia="Arial" w:hAnsi="Arial"/>
                <w:sz w:val="18"/>
                <w:szCs w:val="18"/>
                <w:color w:val="auto"/>
              </w:rPr>
              <w:t>Pharmaceutical</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Board Member</w:t>
            </w:r>
          </w:p>
        </w:tc>
        <w:tc>
          <w:tcPr>
            <w:tcW w:w="0" w:type="dxa"/>
            <w:vAlign w:val="bottom"/>
          </w:tcPr>
          <w:p>
            <w:pPr>
              <w:spacing w:after="0"/>
              <w:rPr>
                <w:sz w:val="1"/>
                <w:szCs w:val="1"/>
                <w:color w:val="auto"/>
              </w:rPr>
            </w:pPr>
          </w:p>
        </w:tc>
      </w:tr>
      <w:tr>
        <w:trPr>
          <w:trHeight w:val="283"/>
        </w:trPr>
        <w:tc>
          <w:tcPr>
            <w:tcW w:w="1740" w:type="dxa"/>
            <w:vAlign w:val="bottom"/>
          </w:tcPr>
          <w:p>
            <w:pPr>
              <w:spacing w:after="0"/>
              <w:rPr>
                <w:sz w:val="24"/>
                <w:szCs w:val="24"/>
                <w:color w:val="auto"/>
              </w:rPr>
            </w:pP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MorphImmune, Inc.</w:t>
            </w:r>
          </w:p>
        </w:tc>
        <w:tc>
          <w:tcPr>
            <w:tcW w:w="1300" w:type="dxa"/>
            <w:vAlign w:val="bottom"/>
          </w:tcPr>
          <w:p>
            <w:pPr>
              <w:spacing w:after="0"/>
              <w:rPr>
                <w:sz w:val="20"/>
                <w:szCs w:val="20"/>
                <w:color w:val="auto"/>
              </w:rPr>
            </w:pPr>
            <w:r>
              <w:rPr>
                <w:rFonts w:ascii="Arial" w:cs="Arial" w:eastAsia="Arial" w:hAnsi="Arial"/>
                <w:sz w:val="18"/>
                <w:szCs w:val="18"/>
                <w:color w:val="auto"/>
              </w:rPr>
              <w:t>Pharmaceutical</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Board Member</w:t>
            </w:r>
          </w:p>
        </w:tc>
        <w:tc>
          <w:tcPr>
            <w:tcW w:w="0" w:type="dxa"/>
            <w:vAlign w:val="bottom"/>
          </w:tcPr>
          <w:p>
            <w:pPr>
              <w:spacing w:after="0"/>
              <w:rPr>
                <w:sz w:val="1"/>
                <w:szCs w:val="1"/>
                <w:color w:val="auto"/>
              </w:rPr>
            </w:pPr>
          </w:p>
        </w:tc>
      </w:tr>
      <w:tr>
        <w:trPr>
          <w:trHeight w:val="418"/>
        </w:trPr>
        <w:tc>
          <w:tcPr>
            <w:tcW w:w="1740" w:type="dxa"/>
            <w:vAlign w:val="bottom"/>
          </w:tcPr>
          <w:p>
            <w:pPr>
              <w:spacing w:after="0"/>
              <w:rPr>
                <w:sz w:val="20"/>
                <w:szCs w:val="20"/>
                <w:color w:val="auto"/>
              </w:rPr>
            </w:pPr>
            <w:r>
              <w:rPr>
                <w:rFonts w:ascii="Arial" w:cs="Arial" w:eastAsia="Arial" w:hAnsi="Arial"/>
                <w:sz w:val="18"/>
                <w:szCs w:val="18"/>
                <w:color w:val="auto"/>
              </w:rPr>
              <w:t>Justin Kelly</w:t>
            </w:r>
          </w:p>
        </w:tc>
        <w:tc>
          <w:tcPr>
            <w:tcW w:w="3140" w:type="dxa"/>
            <w:vAlign w:val="bottom"/>
            <w:gridSpan w:val="3"/>
          </w:tcPr>
          <w:p>
            <w:pPr>
              <w:ind w:left="100"/>
              <w:spacing w:after="0"/>
              <w:rPr>
                <w:sz w:val="20"/>
                <w:szCs w:val="20"/>
                <w:color w:val="auto"/>
              </w:rPr>
            </w:pPr>
            <w:r>
              <w:rPr>
                <w:rFonts w:ascii="Arial" w:cs="Arial" w:eastAsia="Arial" w:hAnsi="Arial"/>
                <w:sz w:val="18"/>
                <w:szCs w:val="18"/>
                <w:color w:val="auto"/>
              </w:rPr>
              <w:t>Winslow Capital Management, LLC</w:t>
            </w:r>
          </w:p>
        </w:tc>
        <w:tc>
          <w:tcPr>
            <w:tcW w:w="1300" w:type="dxa"/>
            <w:vAlign w:val="bottom"/>
          </w:tcPr>
          <w:p>
            <w:pPr>
              <w:spacing w:after="0"/>
              <w:rPr>
                <w:sz w:val="20"/>
                <w:szCs w:val="20"/>
                <w:color w:val="auto"/>
              </w:rPr>
            </w:pPr>
            <w:r>
              <w:rPr>
                <w:rFonts w:ascii="Arial" w:cs="Arial" w:eastAsia="Arial" w:hAnsi="Arial"/>
                <w:sz w:val="18"/>
                <w:szCs w:val="18"/>
                <w:color w:val="auto"/>
              </w:rPr>
              <w:t>Investment</w:t>
            </w: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w w:val="98"/>
              </w:rPr>
              <w:t>Chief Executive Officer</w:t>
            </w:r>
          </w:p>
        </w:tc>
        <w:tc>
          <w:tcPr>
            <w:tcW w:w="0" w:type="dxa"/>
            <w:vAlign w:val="bottom"/>
          </w:tcPr>
          <w:p>
            <w:pPr>
              <w:spacing w:after="0"/>
              <w:rPr>
                <w:sz w:val="1"/>
                <w:szCs w:val="1"/>
                <w:color w:val="auto"/>
              </w:rPr>
            </w:pPr>
          </w:p>
        </w:tc>
      </w:tr>
      <w:tr>
        <w:trPr>
          <w:trHeight w:val="216"/>
        </w:trPr>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and Chief Investment</w:t>
            </w:r>
          </w:p>
        </w:tc>
        <w:tc>
          <w:tcPr>
            <w:tcW w:w="0" w:type="dxa"/>
            <w:vAlign w:val="bottom"/>
          </w:tcPr>
          <w:p>
            <w:pPr>
              <w:spacing w:after="0"/>
              <w:rPr>
                <w:sz w:val="1"/>
                <w:szCs w:val="1"/>
                <w:color w:val="auto"/>
              </w:rPr>
            </w:pPr>
          </w:p>
        </w:tc>
      </w:tr>
      <w:tr>
        <w:trPr>
          <w:trHeight w:val="230"/>
        </w:trPr>
        <w:tc>
          <w:tcPr>
            <w:tcW w:w="17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1920" w:type="dxa"/>
            <w:vAlign w:val="bottom"/>
            <w:gridSpan w:val="2"/>
          </w:tcPr>
          <w:p>
            <w:pPr>
              <w:ind w:left="100"/>
              <w:spacing w:after="0"/>
              <w:rPr>
                <w:sz w:val="20"/>
                <w:szCs w:val="20"/>
                <w:color w:val="auto"/>
              </w:rPr>
            </w:pPr>
            <w:r>
              <w:rPr>
                <w:rFonts w:ascii="Arial" w:cs="Arial" w:eastAsia="Arial" w:hAnsi="Arial"/>
                <w:sz w:val="18"/>
                <w:szCs w:val="18"/>
                <w:color w:val="auto"/>
              </w:rPr>
              <w:t>Officer</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left="880"/>
        <w:spacing w:after="0"/>
        <w:rPr>
          <w:sz w:val="20"/>
          <w:szCs w:val="20"/>
          <w:color w:val="auto"/>
        </w:rPr>
      </w:pPr>
      <w:r>
        <w:rPr>
          <w:rFonts w:ascii="Arial" w:cs="Arial" w:eastAsia="Arial" w:hAnsi="Arial"/>
          <w:sz w:val="18"/>
          <w:szCs w:val="18"/>
          <w:color w:val="auto"/>
        </w:rPr>
        <w:t>Potential investors should also be aware of the following other potential conflicts of interest:</w:t>
      </w:r>
    </w:p>
    <w:p>
      <w:pPr>
        <w:spacing w:after="0" w:line="158" w:lineRule="exact"/>
        <w:rPr>
          <w:sz w:val="20"/>
          <w:szCs w:val="20"/>
          <w:color w:val="auto"/>
        </w:rPr>
      </w:pPr>
    </w:p>
    <w:p>
      <w:pPr>
        <w:ind w:left="1320" w:right="539" w:hanging="434"/>
        <w:spacing w:after="0" w:line="272" w:lineRule="auto"/>
        <w:tabs>
          <w:tab w:leader="none" w:pos="1311" w:val="left"/>
        </w:tabs>
        <w:numPr>
          <w:ilvl w:val="0"/>
          <w:numId w:val="55"/>
        </w:numPr>
        <w:rPr>
          <w:rFonts w:ascii="Arial" w:cs="Arial" w:eastAsia="Arial" w:hAnsi="Arial"/>
          <w:sz w:val="17"/>
          <w:szCs w:val="17"/>
          <w:color w:val="auto"/>
        </w:rPr>
      </w:pPr>
      <w:r>
        <w:rPr>
          <w:rFonts w:ascii="Arial" w:cs="Arial" w:eastAsia="Arial" w:hAnsi="Arial"/>
          <w:sz w:val="17"/>
          <w:szCs w:val="17"/>
          <w:color w:val="auto"/>
        </w:rPr>
        <w:t>Our executive officers and directors are not required to, and will not, commit their full time to our affairs, which may result in a conflict of interest in allocating their time between our operations and our search for a business combination and their other businesses. We do not intend to have any full-time employees prior to the completion of our initial business combination. Each of our executive officers is engaged in several other business endeavors for which he may be entitled to substantial compensation, and our executive officers are not obligated to contribute any specific number of hours per week to our affairs.</w:t>
      </w:r>
    </w:p>
    <w:p>
      <w:pPr>
        <w:spacing w:after="0" w:line="109" w:lineRule="exact"/>
        <w:rPr>
          <w:rFonts w:ascii="Arial" w:cs="Arial" w:eastAsia="Arial" w:hAnsi="Arial"/>
          <w:sz w:val="17"/>
          <w:szCs w:val="17"/>
          <w:color w:val="auto"/>
        </w:rPr>
      </w:pPr>
    </w:p>
    <w:p>
      <w:pPr>
        <w:ind w:left="1320" w:right="719" w:hanging="434"/>
        <w:spacing w:after="0" w:line="263" w:lineRule="auto"/>
        <w:tabs>
          <w:tab w:leader="none" w:pos="1311" w:val="left"/>
        </w:tabs>
        <w:numPr>
          <w:ilvl w:val="0"/>
          <w:numId w:val="55"/>
        </w:numPr>
        <w:rPr>
          <w:rFonts w:ascii="Arial" w:cs="Arial" w:eastAsia="Arial" w:hAnsi="Arial"/>
          <w:sz w:val="18"/>
          <w:szCs w:val="18"/>
          <w:color w:val="auto"/>
        </w:rPr>
      </w:pPr>
      <w:r>
        <w:rPr>
          <w:rFonts w:ascii="Arial" w:cs="Arial" w:eastAsia="Arial" w:hAnsi="Arial"/>
          <w:sz w:val="18"/>
          <w:szCs w:val="18"/>
          <w:color w:val="auto"/>
        </w:rPr>
        <w:t>Our sponsor subscribed for founder shares prior to the date of this prospectus and will purchase private placement warrants in a transaction that will close simultaneously with the closing of this offering.</w:t>
      </w:r>
    </w:p>
    <w:p>
      <w:pPr>
        <w:spacing w:after="0" w:line="102" w:lineRule="exact"/>
        <w:rPr>
          <w:rFonts w:ascii="Arial" w:cs="Arial" w:eastAsia="Arial" w:hAnsi="Arial"/>
          <w:sz w:val="18"/>
          <w:szCs w:val="18"/>
          <w:color w:val="auto"/>
        </w:rPr>
      </w:pPr>
    </w:p>
    <w:p>
      <w:pPr>
        <w:ind w:left="1320" w:right="479" w:hanging="434"/>
        <w:spacing w:after="0" w:line="283" w:lineRule="auto"/>
        <w:tabs>
          <w:tab w:leader="none" w:pos="1311" w:val="left"/>
        </w:tabs>
        <w:numPr>
          <w:ilvl w:val="0"/>
          <w:numId w:val="55"/>
        </w:numPr>
        <w:rPr>
          <w:rFonts w:ascii="Arial" w:cs="Arial" w:eastAsia="Arial" w:hAnsi="Arial"/>
          <w:sz w:val="16"/>
          <w:szCs w:val="16"/>
          <w:color w:val="auto"/>
        </w:rPr>
      </w:pPr>
      <w:r>
        <w:rPr>
          <w:rFonts w:ascii="Arial" w:cs="Arial" w:eastAsia="Arial" w:hAnsi="Arial"/>
          <w:sz w:val="16"/>
          <w:szCs w:val="16"/>
          <w:color w:val="auto"/>
        </w:rPr>
        <w:t>Our sponsor and each member of our management team have entered into agreements with us, pursuant to which they have agreed to waive their redemption rights with respect to their founder shares and public shares in connection with (i) the completion of our initial business combination and (ii)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Additionally, our sponsor has agreed to waive its rights to liquidating distributions from the trust account with respect to its founder shares if we fail to complete our initial business combination within the prescribed time frame. If we do not consummate an initial business combination within the prescribed time frame, the private placement warrants will expire worthless. Except as described herein, our sponsor and our directors and executive officers have agreed not to transfer, assign or sell any of their founder shares until the earliest of (A) one year after the completion of our initial business combination or</w:t>
      </w:r>
    </w:p>
    <w:p>
      <w:pPr>
        <w:spacing w:after="0" w:line="1" w:lineRule="exact"/>
        <w:rPr>
          <w:rFonts w:ascii="Arial" w:cs="Arial" w:eastAsia="Arial" w:hAnsi="Arial"/>
          <w:sz w:val="16"/>
          <w:szCs w:val="16"/>
          <w:color w:val="auto"/>
        </w:rPr>
      </w:pPr>
    </w:p>
    <w:p>
      <w:pPr>
        <w:ind w:left="1320" w:right="499"/>
        <w:spacing w:after="0" w:line="270" w:lineRule="auto"/>
        <w:rPr>
          <w:rFonts w:ascii="Arial" w:cs="Arial" w:eastAsia="Arial" w:hAnsi="Arial"/>
          <w:sz w:val="16"/>
          <w:szCs w:val="16"/>
          <w:color w:val="auto"/>
        </w:rPr>
      </w:pPr>
      <w:r>
        <w:rPr>
          <w:rFonts w:ascii="Arial" w:cs="Arial" w:eastAsia="Arial" w:hAnsi="Arial"/>
          <w:sz w:val="17"/>
          <w:szCs w:val="17"/>
          <w:color w:val="auto"/>
        </w:rPr>
        <w:t>(B) subsequent to our initial business combination, (x)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that results in all of our shareholders having the right to exchange their ordinary</w:t>
      </w:r>
    </w:p>
    <w:p>
      <w:pPr>
        <w:sectPr>
          <w:pgSz w:w="11900" w:h="16838" w:orient="portrait"/>
          <w:cols w:equalWidth="0" w:num="1">
            <w:col w:w="9019"/>
          </w:cols>
          <w:pgMar w:left="1440" w:top="274" w:right="1440" w:bottom="1440" w:gutter="0" w:footer="0" w:header="0"/>
        </w:sectPr>
      </w:pP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09" w:name="page110"/>
    <w:bookmarkEnd w:id="109"/>
    <w:p>
      <w:pPr>
        <w:ind w:left="1320" w:right="539"/>
        <w:spacing w:after="0" w:line="296" w:lineRule="auto"/>
        <w:rPr>
          <w:sz w:val="20"/>
          <w:szCs w:val="20"/>
          <w:color w:val="auto"/>
        </w:rPr>
      </w:pPr>
      <w:r>
        <w:rPr>
          <w:rFonts w:ascii="Arial" w:cs="Arial" w:eastAsia="Arial" w:hAnsi="Arial"/>
          <w:sz w:val="16"/>
          <w:szCs w:val="16"/>
          <w:color w:val="auto"/>
        </w:rPr>
        <w:t>shares for cash, securities or other property. The private placement warrants will not be transferable until 30 days following the completion of our initial business combination. Because each of our executive officers and director nominees will own ordinary shares or warrants directly or indirectly, they may have a conflict of interest in determining whether a particular target business is an appropriate business with which to effectuate our initial business combination.</w:t>
      </w:r>
    </w:p>
    <w:p>
      <w:pPr>
        <w:spacing w:after="0" w:line="80" w:lineRule="exact"/>
        <w:rPr>
          <w:sz w:val="20"/>
          <w:szCs w:val="20"/>
          <w:color w:val="auto"/>
        </w:rPr>
      </w:pPr>
    </w:p>
    <w:p>
      <w:pPr>
        <w:ind w:left="1320" w:right="499" w:hanging="434"/>
        <w:spacing w:after="0" w:line="311" w:lineRule="auto"/>
        <w:tabs>
          <w:tab w:leader="none" w:pos="1311" w:val="left"/>
        </w:tabs>
        <w:numPr>
          <w:ilvl w:val="0"/>
          <w:numId w:val="56"/>
        </w:numPr>
        <w:rPr>
          <w:rFonts w:ascii="Arial" w:cs="Arial" w:eastAsia="Arial" w:hAnsi="Arial"/>
          <w:sz w:val="16"/>
          <w:szCs w:val="16"/>
          <w:color w:val="auto"/>
        </w:rPr>
      </w:pPr>
      <w:r>
        <w:rPr>
          <w:rFonts w:ascii="Arial" w:cs="Arial" w:eastAsia="Arial" w:hAnsi="Arial"/>
          <w:sz w:val="16"/>
          <w:szCs w:val="16"/>
          <w:color w:val="auto"/>
        </w:rPr>
        <w:t>Our officers and directors may have a conflict of interest with respect to evaluating a particular business combination if the retention or resignation of any such officers and directors is included by a target business as a condition to any agreement with respect to our initial business combination.</w:t>
      </w:r>
    </w:p>
    <w:p>
      <w:pPr>
        <w:spacing w:after="0" w:line="81"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We are not prohibited from pursuing an initial business combination with a business combination target that is affiliated with our sponsor, officers or directors or making the acquisition through a joint venture or other form of shared ownership with our sponsor, officers or directors. In the event we seek to complete our initial business combination with an business combination target that is affiliated with our sponsor, executive officers or directors, we, or a committee of independent directors, would obtain an opinion from an independent investment banking or another independent entity that commonly renders valuation opinions, that such initial business combination is fair to our company from a financial point of view. We are not required to obtain such an opinion in any other context. Furthermore, in no event will our sponsor or any of our existing officers or directors, or any of their respective affiliates, be paid by the company any finder’s fee, consulting fee or other compensation prior to, or for any services they render in order to effectuate, the completion of our initial business combination. Further, commencing on the date our securities are first listed on the NYSE, we will also reimburse an affiliate of our sponsor for office space, secretarial and administrative services provided to us in the amount of $10,000 per month.</w:t>
      </w:r>
    </w:p>
    <w:p>
      <w:pPr>
        <w:spacing w:after="0" w:line="119" w:lineRule="exact"/>
        <w:rPr>
          <w:sz w:val="20"/>
          <w:szCs w:val="20"/>
          <w:color w:val="auto"/>
        </w:rPr>
      </w:pPr>
    </w:p>
    <w:p>
      <w:pPr>
        <w:ind w:left="880"/>
        <w:spacing w:after="0"/>
        <w:rPr>
          <w:sz w:val="20"/>
          <w:szCs w:val="20"/>
          <w:color w:val="auto"/>
        </w:rPr>
      </w:pPr>
      <w:r>
        <w:rPr>
          <w:rFonts w:ascii="Arial" w:cs="Arial" w:eastAsia="Arial" w:hAnsi="Arial"/>
          <w:sz w:val="18"/>
          <w:szCs w:val="18"/>
          <w:color w:val="auto"/>
        </w:rPr>
        <w:t>We cannot assure you that any of the above mentioned conflicts will be resolved in our favor.</w:t>
      </w:r>
    </w:p>
    <w:p>
      <w:pPr>
        <w:spacing w:after="0" w:line="144" w:lineRule="exact"/>
        <w:rPr>
          <w:sz w:val="20"/>
          <w:szCs w:val="20"/>
          <w:color w:val="auto"/>
        </w:rPr>
      </w:pPr>
    </w:p>
    <w:p>
      <w:pPr>
        <w:ind w:left="460" w:right="579" w:firstLine="432"/>
        <w:spacing w:after="0" w:line="311" w:lineRule="auto"/>
        <w:rPr>
          <w:sz w:val="20"/>
          <w:szCs w:val="20"/>
          <w:color w:val="auto"/>
        </w:rPr>
      </w:pPr>
      <w:r>
        <w:rPr>
          <w:rFonts w:ascii="Arial" w:cs="Arial" w:eastAsia="Arial" w:hAnsi="Arial"/>
          <w:sz w:val="16"/>
          <w:szCs w:val="16"/>
          <w:color w:val="auto"/>
        </w:rPr>
        <w:t>In the event that we submit our initial business combination to our public shareholders for a vote, our sponsor, our Founders and each member of our management team have agreed to vote their founder shares and any public shares purchased during or after this offering in favor of our initial business combination.</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Limitation on Liability and Indemnification of Officers and Directors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expect to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27"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14" w:lineRule="exact"/>
        <w:rPr>
          <w:sz w:val="20"/>
          <w:szCs w:val="20"/>
          <w:color w:val="auto"/>
        </w:rPr>
      </w:pPr>
    </w:p>
    <w:p>
      <w:pPr>
        <w:ind w:left="460" w:right="519" w:firstLine="432"/>
        <w:spacing w:after="0" w:line="255" w:lineRule="auto"/>
        <w:rPr>
          <w:sz w:val="20"/>
          <w:szCs w:val="20"/>
          <w:color w:val="auto"/>
        </w:rPr>
      </w:pPr>
      <w:r>
        <w:rPr>
          <w:rFonts w:ascii="Arial" w:cs="Arial" w:eastAsia="Arial" w:hAnsi="Arial"/>
          <w:sz w:val="18"/>
          <w:szCs w:val="18"/>
          <w:color w:val="auto"/>
        </w:rPr>
        <w:t>Our indemnification obligations may discourage shareholders from bringing a lawsuit against our officers or directors for breach of their fiduciary duty. These provisions also may have the effect of reducing the likelihood of derivative litigation against our officers and directors, even though such an action, if successful, might otherwise benefit us and our shareholders. Furthermore, a shareholder’s investment may be adversely affected to the extent we pay the costs of settlement and damage awards against our officers and directors pursuant to these indemnification provisions.</w:t>
      </w:r>
    </w:p>
    <w:p>
      <w:pPr>
        <w:spacing w:after="0" w:line="125" w:lineRule="exact"/>
        <w:rPr>
          <w:sz w:val="20"/>
          <w:szCs w:val="20"/>
          <w:color w:val="auto"/>
        </w:rPr>
      </w:pPr>
    </w:p>
    <w:p>
      <w:pPr>
        <w:ind w:left="460" w:right="559" w:firstLine="432"/>
        <w:spacing w:after="0" w:line="277" w:lineRule="auto"/>
        <w:rPr>
          <w:sz w:val="20"/>
          <w:szCs w:val="20"/>
          <w:color w:val="auto"/>
        </w:rPr>
      </w:pPr>
      <w:r>
        <w:rPr>
          <w:rFonts w:ascii="Arial" w:cs="Arial" w:eastAsia="Arial" w:hAnsi="Arial"/>
          <w:sz w:val="18"/>
          <w:szCs w:val="18"/>
          <w:color w:val="auto"/>
        </w:rPr>
        <w:t>We believe that these provisions, the insurance and the indemnity agreements are necessary to attract and retain talented and experienced officers and directors.</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0" w:name="page111"/>
    <w:bookmarkEnd w:id="110"/>
    <w:p>
      <w:pPr>
        <w:jc w:val="center"/>
        <w:spacing w:after="0"/>
        <w:rPr>
          <w:sz w:val="20"/>
          <w:szCs w:val="20"/>
          <w:color w:val="auto"/>
        </w:rPr>
      </w:pPr>
      <w:r>
        <w:rPr>
          <w:rFonts w:ascii="Arial" w:cs="Arial" w:eastAsia="Arial" w:hAnsi="Arial"/>
          <w:sz w:val="18"/>
          <w:szCs w:val="18"/>
          <w:b w:val="1"/>
          <w:bCs w:val="1"/>
          <w:color w:val="auto"/>
        </w:rPr>
        <w:t>PRINCIPAL SHAREHOLDERS</w:t>
      </w:r>
    </w:p>
    <w:p>
      <w:pPr>
        <w:spacing w:after="0" w:line="162"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The following table sets forth information regarding the beneficial ownership of our ordinary shares as of the date of this prospectus, and as adjusted to reflect the sale of our Class A ordinary shares included in the units offered by this prospectus, and assuming no purchase of units in this offering, by:</w:t>
      </w:r>
    </w:p>
    <w:p>
      <w:pPr>
        <w:spacing w:after="0" w:line="84" w:lineRule="exact"/>
        <w:rPr>
          <w:sz w:val="20"/>
          <w:szCs w:val="20"/>
          <w:color w:val="auto"/>
        </w:rPr>
      </w:pPr>
    </w:p>
    <w:p>
      <w:pPr>
        <w:ind w:left="1320" w:right="559" w:hanging="434"/>
        <w:spacing w:after="0" w:line="277" w:lineRule="auto"/>
        <w:tabs>
          <w:tab w:leader="none" w:pos="13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person known by us to be the beneficial owner of more than 5% of our issued and outstanding ordinary shares;</w:t>
      </w:r>
    </w:p>
    <w:p>
      <w:pPr>
        <w:spacing w:after="0" w:line="102" w:lineRule="exact"/>
        <w:rPr>
          <w:rFonts w:ascii="Arial" w:cs="Arial" w:eastAsia="Arial" w:hAnsi="Arial"/>
          <w:sz w:val="18"/>
          <w:szCs w:val="18"/>
          <w:color w:val="auto"/>
        </w:rPr>
      </w:pPr>
    </w:p>
    <w:p>
      <w:pPr>
        <w:ind w:left="1320" w:right="919" w:hanging="434"/>
        <w:spacing w:after="0" w:line="277" w:lineRule="auto"/>
        <w:tabs>
          <w:tab w:leader="none" w:pos="1311" w:val="left"/>
        </w:tabs>
        <w:numPr>
          <w:ilvl w:val="0"/>
          <w:numId w:val="57"/>
        </w:numPr>
        <w:rPr>
          <w:rFonts w:ascii="Arial" w:cs="Arial" w:eastAsia="Arial" w:hAnsi="Arial"/>
          <w:sz w:val="18"/>
          <w:szCs w:val="18"/>
          <w:color w:val="auto"/>
        </w:rPr>
      </w:pPr>
      <w:r>
        <w:rPr>
          <w:rFonts w:ascii="Arial" w:cs="Arial" w:eastAsia="Arial" w:hAnsi="Arial"/>
          <w:sz w:val="18"/>
          <w:szCs w:val="18"/>
          <w:color w:val="auto"/>
        </w:rPr>
        <w:t>each of our executive officers, directors and director nominees that beneficially owns ordinary shares; and</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all our executive officers and directors as a group.</w:t>
      </w:r>
    </w:p>
    <w:p>
      <w:pPr>
        <w:spacing w:after="0" w:line="144"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Unless otherwise indicated, we believe that all persons named in the table have sole voting and investment power with respect to all of our ordinary shares beneficially owned by them. The following table does not reflect record or beneficial ownership of the private placement warrants as these warrants are not exercisable within 60 days of the date of this prospectus.</w:t>
      </w:r>
    </w:p>
    <w:p>
      <w:pPr>
        <w:spacing w:after="0" w:line="119" w:lineRule="exact"/>
        <w:rPr>
          <w:sz w:val="20"/>
          <w:szCs w:val="20"/>
          <w:color w:val="auto"/>
        </w:rPr>
      </w:pPr>
    </w:p>
    <w:p>
      <w:pPr>
        <w:ind w:left="460" w:right="479" w:firstLine="432"/>
        <w:spacing w:after="0" w:line="270" w:lineRule="auto"/>
        <w:rPr>
          <w:sz w:val="20"/>
          <w:szCs w:val="20"/>
          <w:color w:val="auto"/>
        </w:rPr>
      </w:pPr>
      <w:r>
        <w:rPr>
          <w:rFonts w:ascii="Arial" w:cs="Arial" w:eastAsia="Arial" w:hAnsi="Arial"/>
          <w:sz w:val="17"/>
          <w:szCs w:val="17"/>
          <w:color w:val="auto"/>
        </w:rPr>
        <w:t>On December 31, 2019, the sponsor paid $25,000, or approximately $0.003 per share, to cover certain of our offering costs in consideration of 8,625,000 Class B ordinary shares, par value $0.0001. In March 2020, our sponsor transferred 30,000 founder shares to each of our independent directors. These 90,000 shares shall not be subject to forfeiture in the event the underwriter’s over-allotment option is not exercised. Prior to the initial investment in the company of $25,000 by the sponsor, the company had no assets, tangible or intangible. The per share price of the founder shares was determined by dividing the amount contributed to the company by the number of founder shares issued. The post-offering percentages in the following table assume that the underwriter does not exercise its over-allotment option and that there are 37,500,000 ordinary shares issued and outstanding after this offering.</w:t>
      </w:r>
    </w:p>
    <w:p>
      <w:pPr>
        <w:spacing w:after="0" w:line="141" w:lineRule="exact"/>
        <w:rPr>
          <w:sz w:val="20"/>
          <w:szCs w:val="20"/>
          <w:color w:val="auto"/>
        </w:rPr>
      </w:pPr>
    </w:p>
    <w:tbl>
      <w:tblPr>
        <w:tblLayout w:type="fixed"/>
        <w:tblInd w:w="460" w:type="dxa"/>
        <w:tblCellMar>
          <w:top w:w="0" w:type="dxa"/>
          <w:left w:w="0" w:type="dxa"/>
          <w:bottom w:w="0" w:type="dxa"/>
          <w:right w:w="0" w:type="dxa"/>
        </w:tblCellMar>
      </w:tblPr>
      <w:tr>
        <w:trPr>
          <w:trHeight w:val="203"/>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Approximate Percentage of</w:t>
            </w:r>
          </w:p>
        </w:tc>
        <w:tc>
          <w:tcPr>
            <w:tcW w:w="0" w:type="dxa"/>
            <w:vAlign w:val="bottom"/>
          </w:tcPr>
          <w:p>
            <w:pPr>
              <w:spacing w:after="0"/>
              <w:rPr>
                <w:sz w:val="1"/>
                <w:szCs w:val="1"/>
                <w:color w:val="auto"/>
              </w:rPr>
            </w:pPr>
          </w:p>
        </w:tc>
      </w:tr>
      <w:tr>
        <w:trPr>
          <w:trHeight w:val="210"/>
        </w:trPr>
        <w:tc>
          <w:tcPr>
            <w:tcW w:w="4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vMerge w:val="restart"/>
          </w:tcPr>
          <w:p>
            <w:pPr>
              <w:jc w:val="center"/>
              <w:ind w:right="80"/>
              <w:spacing w:after="0"/>
              <w:rPr>
                <w:sz w:val="20"/>
                <w:szCs w:val="20"/>
                <w:color w:val="auto"/>
              </w:rPr>
            </w:pPr>
            <w:r>
              <w:rPr>
                <w:rFonts w:ascii="Arial" w:cs="Arial" w:eastAsia="Arial" w:hAnsi="Arial"/>
                <w:sz w:val="16"/>
                <w:szCs w:val="16"/>
                <w:b w:val="1"/>
                <w:bCs w:val="1"/>
                <w:color w:val="auto"/>
                <w:w w:val="92"/>
              </w:rPr>
              <w:t>Number of</w:t>
            </w:r>
          </w:p>
        </w:tc>
        <w:tc>
          <w:tcPr>
            <w:tcW w:w="254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Issued and Outstanding</w:t>
            </w:r>
          </w:p>
        </w:tc>
        <w:tc>
          <w:tcPr>
            <w:tcW w:w="0" w:type="dxa"/>
            <w:vAlign w:val="bottom"/>
          </w:tcPr>
          <w:p>
            <w:pPr>
              <w:spacing w:after="0"/>
              <w:rPr>
                <w:sz w:val="1"/>
                <w:szCs w:val="1"/>
                <w:color w:val="auto"/>
              </w:rPr>
            </w:pPr>
          </w:p>
        </w:tc>
      </w:tr>
      <w:tr>
        <w:trPr>
          <w:trHeight w:val="46"/>
        </w:trPr>
        <w:tc>
          <w:tcPr>
            <w:tcW w:w="42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2540" w:type="dxa"/>
            <w:vAlign w:val="bottom"/>
            <w:gridSpan w:val="3"/>
            <w:vMerge w:val="restart"/>
          </w:tcPr>
          <w:p>
            <w:pPr>
              <w:jc w:val="center"/>
              <w:spacing w:after="0"/>
              <w:rPr>
                <w:sz w:val="20"/>
                <w:szCs w:val="20"/>
                <w:color w:val="auto"/>
              </w:rPr>
            </w:pPr>
            <w:r>
              <w:rPr>
                <w:rFonts w:ascii="Arial" w:cs="Arial" w:eastAsia="Arial" w:hAnsi="Arial"/>
                <w:sz w:val="16"/>
                <w:szCs w:val="16"/>
                <w:b w:val="1"/>
                <w:bCs w:val="1"/>
                <w:color w:val="auto"/>
                <w:w w:val="93"/>
              </w:rPr>
              <w:t>Ordinary Shares</w:t>
            </w:r>
          </w:p>
        </w:tc>
        <w:tc>
          <w:tcPr>
            <w:tcW w:w="0" w:type="dxa"/>
            <w:vAlign w:val="bottom"/>
          </w:tcPr>
          <w:p>
            <w:pPr>
              <w:spacing w:after="0"/>
              <w:rPr>
                <w:sz w:val="1"/>
                <w:szCs w:val="1"/>
                <w:color w:val="auto"/>
              </w:rPr>
            </w:pPr>
          </w:p>
        </w:tc>
      </w:tr>
      <w:tr>
        <w:trPr>
          <w:trHeight w:val="208"/>
        </w:trPr>
        <w:tc>
          <w:tcPr>
            <w:tcW w:w="4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6"/>
              </w:rPr>
              <w:t>Shares</w:t>
            </w:r>
          </w:p>
        </w:tc>
        <w:tc>
          <w:tcPr>
            <w:tcW w:w="2540" w:type="dxa"/>
            <w:vAlign w:val="bottom"/>
            <w:tcBorders>
              <w:bottom w:val="single" w:sz="8" w:color="auto"/>
            </w:tcBorders>
            <w:gridSpan w:val="3"/>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2"/>
        </w:trPr>
        <w:tc>
          <w:tcPr>
            <w:tcW w:w="4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20" w:type="dxa"/>
            <w:vAlign w:val="bottom"/>
            <w:gridSpan w:val="2"/>
          </w:tcPr>
          <w:p>
            <w:pPr>
              <w:jc w:val="center"/>
              <w:ind w:right="80"/>
              <w:spacing w:after="0" w:line="182" w:lineRule="exact"/>
              <w:rPr>
                <w:sz w:val="20"/>
                <w:szCs w:val="20"/>
                <w:color w:val="auto"/>
              </w:rPr>
            </w:pPr>
            <w:r>
              <w:rPr>
                <w:rFonts w:ascii="Arial" w:cs="Arial" w:eastAsia="Arial" w:hAnsi="Arial"/>
                <w:sz w:val="16"/>
                <w:szCs w:val="16"/>
                <w:b w:val="1"/>
                <w:bCs w:val="1"/>
                <w:color w:val="auto"/>
                <w:w w:val="92"/>
              </w:rPr>
              <w:t>Beneficially</w:t>
            </w:r>
          </w:p>
        </w:tc>
        <w:tc>
          <w:tcPr>
            <w:tcW w:w="1260" w:type="dxa"/>
            <w:vAlign w:val="bottom"/>
            <w:gridSpan w:val="2"/>
          </w:tcPr>
          <w:p>
            <w:pPr>
              <w:jc w:val="center"/>
              <w:ind w:right="120"/>
              <w:spacing w:after="0" w:line="182" w:lineRule="exact"/>
              <w:rPr>
                <w:sz w:val="20"/>
                <w:szCs w:val="20"/>
                <w:color w:val="auto"/>
              </w:rPr>
            </w:pPr>
            <w:r>
              <w:rPr>
                <w:rFonts w:ascii="Arial" w:cs="Arial" w:eastAsia="Arial" w:hAnsi="Arial"/>
                <w:sz w:val="16"/>
                <w:szCs w:val="16"/>
                <w:b w:val="1"/>
                <w:bCs w:val="1"/>
                <w:color w:val="auto"/>
                <w:w w:val="90"/>
              </w:rPr>
              <w:t>Before</w:t>
            </w:r>
          </w:p>
        </w:tc>
        <w:tc>
          <w:tcPr>
            <w:tcW w:w="1280" w:type="dxa"/>
            <w:vAlign w:val="bottom"/>
          </w:tcPr>
          <w:p>
            <w:pPr>
              <w:jc w:val="right"/>
              <w:ind w:right="372"/>
              <w:spacing w:after="0" w:line="182" w:lineRule="exact"/>
              <w:rPr>
                <w:sz w:val="20"/>
                <w:szCs w:val="20"/>
                <w:color w:val="auto"/>
              </w:rPr>
            </w:pPr>
            <w:r>
              <w:rPr>
                <w:rFonts w:ascii="Arial" w:cs="Arial" w:eastAsia="Arial" w:hAnsi="Arial"/>
                <w:sz w:val="16"/>
                <w:szCs w:val="16"/>
                <w:b w:val="1"/>
                <w:bCs w:val="1"/>
                <w:color w:val="auto"/>
              </w:rPr>
              <w:t>After</w:t>
            </w:r>
          </w:p>
        </w:tc>
        <w:tc>
          <w:tcPr>
            <w:tcW w:w="0" w:type="dxa"/>
            <w:vAlign w:val="bottom"/>
          </w:tcPr>
          <w:p>
            <w:pPr>
              <w:spacing w:after="0"/>
              <w:rPr>
                <w:sz w:val="1"/>
                <w:szCs w:val="1"/>
                <w:color w:val="auto"/>
              </w:rPr>
            </w:pPr>
          </w:p>
        </w:tc>
      </w:tr>
      <w:tr>
        <w:trPr>
          <w:trHeight w:val="253"/>
        </w:trPr>
        <w:tc>
          <w:tcPr>
            <w:tcW w:w="4240" w:type="dxa"/>
            <w:vAlign w:val="bottom"/>
          </w:tcPr>
          <w:p>
            <w:pPr>
              <w:spacing w:after="0"/>
              <w:rPr>
                <w:sz w:val="20"/>
                <w:szCs w:val="20"/>
                <w:color w:val="auto"/>
              </w:rPr>
            </w:pPr>
            <w:r>
              <w:rPr>
                <w:rFonts w:ascii="Arial" w:cs="Arial" w:eastAsia="Arial" w:hAnsi="Arial"/>
                <w:sz w:val="16"/>
                <w:szCs w:val="16"/>
                <w:b w:val="1"/>
                <w:bCs w:val="1"/>
                <w:color w:val="auto"/>
              </w:rPr>
              <w:t>Name and Address of Beneficial Owner</w:t>
            </w:r>
            <w:r>
              <w:rPr>
                <w:rFonts w:ascii="Arial" w:cs="Arial" w:eastAsia="Arial" w:hAnsi="Arial"/>
                <w:sz w:val="18"/>
                <w:szCs w:val="18"/>
                <w:b w:val="1"/>
                <w:bCs w:val="1"/>
                <w:color w:val="auto"/>
                <w:vertAlign w:val="superscript"/>
              </w:rPr>
              <w:t>(1)</w:t>
            </w:r>
          </w:p>
        </w:tc>
        <w:tc>
          <w:tcPr>
            <w:tcW w:w="100" w:type="dxa"/>
            <w:vAlign w:val="bottom"/>
          </w:tcPr>
          <w:p>
            <w:pPr>
              <w:spacing w:after="0"/>
              <w:rPr>
                <w:sz w:val="21"/>
                <w:szCs w:val="21"/>
                <w:color w:val="auto"/>
              </w:rPr>
            </w:pPr>
          </w:p>
        </w:tc>
        <w:tc>
          <w:tcPr>
            <w:tcW w:w="12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1"/>
              </w:rPr>
              <w:t>Owned</w:t>
            </w:r>
            <w:r>
              <w:rPr>
                <w:rFonts w:ascii="Arial" w:cs="Arial" w:eastAsia="Arial" w:hAnsi="Arial"/>
                <w:sz w:val="18"/>
                <w:szCs w:val="18"/>
                <w:b w:val="1"/>
                <w:bCs w:val="1"/>
                <w:color w:val="auto"/>
                <w:w w:val="91"/>
                <w:vertAlign w:val="superscript"/>
              </w:rPr>
              <w:t>(2)</w:t>
            </w:r>
          </w:p>
        </w:tc>
        <w:tc>
          <w:tcPr>
            <w:tcW w:w="126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3"/>
              </w:rPr>
              <w:t>Offering</w:t>
            </w:r>
          </w:p>
        </w:tc>
        <w:tc>
          <w:tcPr>
            <w:tcW w:w="1280" w:type="dxa"/>
            <w:vAlign w:val="bottom"/>
          </w:tcPr>
          <w:p>
            <w:pPr>
              <w:jc w:val="right"/>
              <w:ind w:right="252"/>
              <w:spacing w:after="0"/>
              <w:rPr>
                <w:sz w:val="20"/>
                <w:szCs w:val="20"/>
                <w:color w:val="auto"/>
              </w:rPr>
            </w:pPr>
            <w:r>
              <w:rPr>
                <w:rFonts w:ascii="Arial" w:cs="Arial" w:eastAsia="Arial" w:hAnsi="Arial"/>
                <w:sz w:val="16"/>
                <w:szCs w:val="16"/>
                <w:b w:val="1"/>
                <w:bCs w:val="1"/>
                <w:color w:val="auto"/>
              </w:rPr>
              <w:t>Offering</w:t>
            </w:r>
          </w:p>
        </w:tc>
        <w:tc>
          <w:tcPr>
            <w:tcW w:w="0" w:type="dxa"/>
            <w:vAlign w:val="bottom"/>
          </w:tcPr>
          <w:p>
            <w:pPr>
              <w:spacing w:after="0"/>
              <w:rPr>
                <w:sz w:val="1"/>
                <w:szCs w:val="1"/>
                <w:color w:val="auto"/>
              </w:rPr>
            </w:pPr>
          </w:p>
        </w:tc>
      </w:tr>
      <w:tr>
        <w:trPr>
          <w:trHeight w:val="268"/>
        </w:trPr>
        <w:tc>
          <w:tcPr>
            <w:tcW w:w="42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4"/>
              </w:rPr>
              <w:t>Sustainable Opportunities Holdings LLC (our sponsor)</w:t>
            </w:r>
            <w:r>
              <w:rPr>
                <w:rFonts w:ascii="Arial" w:cs="Arial" w:eastAsia="Arial" w:hAnsi="Arial"/>
                <w:sz w:val="20"/>
                <w:szCs w:val="20"/>
                <w:color w:val="auto"/>
                <w:w w:val="94"/>
                <w:vertAlign w:val="superscript"/>
              </w:rPr>
              <w:t>(3)</w:t>
            </w:r>
          </w:p>
        </w:tc>
        <w:tc>
          <w:tcPr>
            <w:tcW w:w="100" w:type="dxa"/>
            <w:vAlign w:val="bottom"/>
            <w:tcBorders>
              <w:top w:val="single" w:sz="8" w:color="CCEEFF"/>
            </w:tcBorders>
            <w:shd w:val="clear" w:color="auto" w:fill="CCEEFF"/>
          </w:tcPr>
          <w:p>
            <w:pPr>
              <w:spacing w:after="0"/>
              <w:rPr>
                <w:sz w:val="23"/>
                <w:szCs w:val="23"/>
                <w:color w:val="auto"/>
              </w:rPr>
            </w:pPr>
          </w:p>
        </w:tc>
        <w:tc>
          <w:tcPr>
            <w:tcW w:w="1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8,535,000</w:t>
            </w:r>
            <w:r>
              <w:rPr>
                <w:rFonts w:ascii="Arial" w:cs="Arial" w:eastAsia="Arial" w:hAnsi="Arial"/>
                <w:sz w:val="20"/>
                <w:szCs w:val="20"/>
                <w:color w:val="auto"/>
                <w:vertAlign w:val="superscript"/>
              </w:rPr>
              <w:t>(4)</w:t>
            </w:r>
          </w:p>
        </w:tc>
        <w:tc>
          <w:tcPr>
            <w:tcW w:w="80" w:type="dxa"/>
            <w:vAlign w:val="bottom"/>
            <w:tcBorders>
              <w:top w:val="single" w:sz="8" w:color="CCEEFF"/>
            </w:tcBorders>
            <w:shd w:val="clear" w:color="auto" w:fill="CCEEFF"/>
          </w:tcPr>
          <w:p>
            <w:pPr>
              <w:spacing w:after="0"/>
              <w:rPr>
                <w:sz w:val="23"/>
                <w:szCs w:val="23"/>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80" w:type="dxa"/>
            <w:vAlign w:val="bottom"/>
            <w:tcBorders>
              <w:top w:val="single" w:sz="8" w:color="CCEEFF"/>
            </w:tcBorders>
            <w:shd w:val="clear" w:color="auto" w:fill="CCEEFF"/>
          </w:tcPr>
          <w:p>
            <w:pPr>
              <w:spacing w:after="0"/>
              <w:rPr>
                <w:sz w:val="23"/>
                <w:szCs w:val="23"/>
                <w:color w:val="auto"/>
              </w:rPr>
            </w:pPr>
          </w:p>
        </w:tc>
        <w:tc>
          <w:tcPr>
            <w:tcW w:w="12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83"/>
        </w:trPr>
        <w:tc>
          <w:tcPr>
            <w:tcW w:w="4240" w:type="dxa"/>
            <w:vAlign w:val="bottom"/>
          </w:tcPr>
          <w:p>
            <w:pPr>
              <w:spacing w:after="0"/>
              <w:rPr>
                <w:sz w:val="20"/>
                <w:szCs w:val="20"/>
                <w:color w:val="auto"/>
              </w:rPr>
            </w:pPr>
            <w:r>
              <w:rPr>
                <w:rFonts w:ascii="Arial" w:cs="Arial" w:eastAsia="Arial" w:hAnsi="Arial"/>
                <w:sz w:val="18"/>
                <w:szCs w:val="18"/>
                <w:color w:val="auto"/>
              </w:rPr>
              <w:t>Scott Leonard</w:t>
            </w:r>
            <w:r>
              <w:rPr>
                <w:rFonts w:ascii="Arial" w:cs="Arial" w:eastAsia="Arial" w:hAnsi="Arial"/>
                <w:sz w:val="20"/>
                <w:szCs w:val="20"/>
                <w:color w:val="auto"/>
                <w:vertAlign w:val="superscript"/>
              </w:rPr>
              <w:t>(3)</w:t>
            </w:r>
          </w:p>
        </w:tc>
        <w:tc>
          <w:tcPr>
            <w:tcW w:w="1240" w:type="dxa"/>
            <w:vAlign w:val="bottom"/>
            <w:gridSpan w:val="2"/>
          </w:tcPr>
          <w:p>
            <w:pPr>
              <w:jc w:val="right"/>
              <w:spacing w:after="0"/>
              <w:rPr>
                <w:sz w:val="20"/>
                <w:szCs w:val="20"/>
                <w:color w:val="auto"/>
              </w:rPr>
            </w:pPr>
            <w:r>
              <w:rPr>
                <w:rFonts w:ascii="Arial" w:cs="Arial" w:eastAsia="Arial" w:hAnsi="Arial"/>
                <w:sz w:val="18"/>
                <w:szCs w:val="18"/>
                <w:color w:val="auto"/>
              </w:rPr>
              <w:t>8,535,000</w:t>
            </w:r>
            <w:r>
              <w:rPr>
                <w:rFonts w:ascii="Arial" w:cs="Arial" w:eastAsia="Arial" w:hAnsi="Arial"/>
                <w:sz w:val="20"/>
                <w:szCs w:val="20"/>
                <w:color w:val="auto"/>
                <w:vertAlign w:val="superscript"/>
              </w:rPr>
              <w:t>(4)</w:t>
            </w:r>
          </w:p>
        </w:tc>
        <w:tc>
          <w:tcPr>
            <w:tcW w:w="8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99.0%</w:t>
            </w:r>
          </w:p>
        </w:tc>
        <w:tc>
          <w:tcPr>
            <w:tcW w:w="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84"/>
        </w:trPr>
        <w:tc>
          <w:tcPr>
            <w:tcW w:w="4240" w:type="dxa"/>
            <w:vAlign w:val="bottom"/>
            <w:shd w:val="clear" w:color="auto" w:fill="CCEEFF"/>
          </w:tcPr>
          <w:p>
            <w:pPr>
              <w:spacing w:after="0"/>
              <w:rPr>
                <w:sz w:val="20"/>
                <w:szCs w:val="20"/>
                <w:color w:val="auto"/>
              </w:rPr>
            </w:pPr>
            <w:r>
              <w:rPr>
                <w:rFonts w:ascii="Arial" w:cs="Arial" w:eastAsia="Arial" w:hAnsi="Arial"/>
                <w:sz w:val="18"/>
                <w:szCs w:val="18"/>
                <w:color w:val="auto"/>
              </w:rPr>
              <w:t>Scott Honour</w:t>
            </w:r>
            <w:r>
              <w:rPr>
                <w:rFonts w:ascii="Arial" w:cs="Arial" w:eastAsia="Arial" w:hAnsi="Arial"/>
                <w:sz w:val="20"/>
                <w:szCs w:val="20"/>
                <w:color w:val="auto"/>
                <w:vertAlign w:val="superscript"/>
              </w:rPr>
              <w:t>(3)</w:t>
            </w:r>
          </w:p>
        </w:tc>
        <w:tc>
          <w:tcPr>
            <w:tcW w:w="1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8,535,000</w:t>
            </w:r>
            <w:r>
              <w:rPr>
                <w:rFonts w:ascii="Arial" w:cs="Arial" w:eastAsia="Arial" w:hAnsi="Arial"/>
                <w:sz w:val="20"/>
                <w:szCs w:val="20"/>
                <w:color w:val="auto"/>
                <w:vertAlign w:val="superscript"/>
              </w:rPr>
              <w:t>(4)</w:t>
            </w:r>
          </w:p>
        </w:tc>
        <w:tc>
          <w:tcPr>
            <w:tcW w:w="80" w:type="dxa"/>
            <w:vAlign w:val="bottom"/>
            <w:shd w:val="clear" w:color="auto" w:fill="CCEEFF"/>
          </w:tcPr>
          <w:p>
            <w:pPr>
              <w:spacing w:after="0"/>
              <w:rPr>
                <w:sz w:val="24"/>
                <w:szCs w:val="2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99.0%</w:t>
            </w:r>
          </w:p>
        </w:tc>
        <w:tc>
          <w:tcPr>
            <w:tcW w:w="8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19.8%</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David Quiram</w:t>
            </w:r>
          </w:p>
        </w:tc>
        <w:tc>
          <w:tcPr>
            <w:tcW w:w="10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Rick Gaenzle</w:t>
            </w:r>
          </w:p>
        </w:tc>
        <w:tc>
          <w:tcPr>
            <w:tcW w:w="124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30,000</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240" w:type="dxa"/>
            <w:vAlign w:val="bottom"/>
          </w:tcPr>
          <w:p>
            <w:pPr>
              <w:spacing w:after="0"/>
              <w:rPr>
                <w:sz w:val="20"/>
                <w:szCs w:val="20"/>
                <w:color w:val="auto"/>
              </w:rPr>
            </w:pPr>
            <w:r>
              <w:rPr>
                <w:rFonts w:ascii="Arial" w:cs="Arial" w:eastAsia="Arial" w:hAnsi="Arial"/>
                <w:sz w:val="18"/>
                <w:szCs w:val="18"/>
                <w:color w:val="auto"/>
              </w:rPr>
              <w:t>Isaac Barchas</w:t>
            </w:r>
          </w:p>
        </w:tc>
        <w:tc>
          <w:tcPr>
            <w:tcW w:w="1240" w:type="dxa"/>
            <w:vAlign w:val="bottom"/>
            <w:gridSpan w:val="2"/>
          </w:tcPr>
          <w:p>
            <w:pPr>
              <w:jc w:val="right"/>
              <w:ind w:right="56"/>
              <w:spacing w:after="0"/>
              <w:rPr>
                <w:sz w:val="20"/>
                <w:szCs w:val="20"/>
                <w:color w:val="auto"/>
              </w:rPr>
            </w:pPr>
            <w:r>
              <w:rPr>
                <w:rFonts w:ascii="Arial" w:cs="Arial" w:eastAsia="Arial" w:hAnsi="Arial"/>
                <w:sz w:val="18"/>
                <w:szCs w:val="18"/>
                <w:color w:val="auto"/>
              </w:rPr>
              <w:t>30,000</w:t>
            </w:r>
          </w:p>
        </w:tc>
        <w:tc>
          <w:tcPr>
            <w:tcW w:w="80" w:type="dxa"/>
            <w:vAlign w:val="bottom"/>
          </w:tcPr>
          <w:p>
            <w:pPr>
              <w:spacing w:after="0"/>
              <w:rPr>
                <w:sz w:val="21"/>
                <w:szCs w:val="21"/>
                <w:color w:val="auto"/>
              </w:rPr>
            </w:pPr>
          </w:p>
        </w:tc>
        <w:tc>
          <w:tcPr>
            <w:tcW w:w="1180" w:type="dxa"/>
            <w:vAlign w:val="bottom"/>
          </w:tcPr>
          <w:p>
            <w:pPr>
              <w:jc w:val="right"/>
              <w:ind w:right="93"/>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1280" w:type="dxa"/>
            <w:vAlign w:val="bottom"/>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0"/>
        </w:trPr>
        <w:tc>
          <w:tcPr>
            <w:tcW w:w="4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1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3"/>
        </w:trPr>
        <w:tc>
          <w:tcPr>
            <w:tcW w:w="42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Justin Kelly</w:t>
            </w:r>
          </w:p>
        </w:tc>
        <w:tc>
          <w:tcPr>
            <w:tcW w:w="1240" w:type="dxa"/>
            <w:vAlign w:val="bottom"/>
            <w:tcBorders>
              <w:bottom w:val="single" w:sz="8" w:color="CCEEFF"/>
            </w:tcBorders>
            <w:gridSpan w:val="2"/>
            <w:shd w:val="clear" w:color="auto" w:fill="CCEEFF"/>
          </w:tcPr>
          <w:p>
            <w:pPr>
              <w:jc w:val="right"/>
              <w:ind w:right="56"/>
              <w:spacing w:after="0"/>
              <w:rPr>
                <w:sz w:val="20"/>
                <w:szCs w:val="20"/>
                <w:color w:val="auto"/>
              </w:rPr>
            </w:pPr>
            <w:r>
              <w:rPr>
                <w:rFonts w:ascii="Arial" w:cs="Arial" w:eastAsia="Arial" w:hAnsi="Arial"/>
                <w:sz w:val="18"/>
                <w:szCs w:val="18"/>
                <w:color w:val="auto"/>
              </w:rPr>
              <w:t>30,000</w:t>
            </w:r>
          </w:p>
        </w:tc>
        <w:tc>
          <w:tcPr>
            <w:tcW w:w="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shd w:val="clear" w:color="auto" w:fill="CCEEFF"/>
          </w:tcPr>
          <w:p>
            <w:pPr>
              <w:jc w:val="right"/>
              <w:ind w:right="93"/>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CCEEFF"/>
            </w:tcBorders>
            <w:shd w:val="clear" w:color="auto" w:fill="CCEEFF"/>
          </w:tcPr>
          <w:p>
            <w:pPr>
              <w:spacing w:after="0"/>
              <w:rPr>
                <w:sz w:val="22"/>
                <w:szCs w:val="22"/>
                <w:color w:val="auto"/>
              </w:rPr>
            </w:pPr>
          </w:p>
        </w:tc>
        <w:tc>
          <w:tcPr>
            <w:tcW w:w="128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4240" w:type="dxa"/>
            <w:vAlign w:val="bottom"/>
          </w:tcPr>
          <w:p>
            <w:pPr>
              <w:spacing w:after="0" w:line="201" w:lineRule="exact"/>
              <w:rPr>
                <w:sz w:val="20"/>
                <w:szCs w:val="20"/>
                <w:color w:val="auto"/>
              </w:rPr>
            </w:pPr>
            <w:r>
              <w:rPr>
                <w:rFonts w:ascii="Arial" w:cs="Arial" w:eastAsia="Arial" w:hAnsi="Arial"/>
                <w:sz w:val="18"/>
                <w:szCs w:val="18"/>
                <w:color w:val="auto"/>
                <w:w w:val="96"/>
              </w:rPr>
              <w:t>All officers, directors and director nominees as a group</w:t>
            </w:r>
          </w:p>
        </w:tc>
        <w:tc>
          <w:tcPr>
            <w:tcW w:w="1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240" w:type="dxa"/>
            <w:vAlign w:val="bottom"/>
          </w:tcPr>
          <w:p>
            <w:pPr>
              <w:ind w:left="180"/>
              <w:spacing w:after="0"/>
              <w:rPr>
                <w:sz w:val="20"/>
                <w:szCs w:val="20"/>
                <w:color w:val="auto"/>
              </w:rPr>
            </w:pPr>
            <w:r>
              <w:rPr>
                <w:rFonts w:ascii="Arial" w:cs="Arial" w:eastAsia="Arial" w:hAnsi="Arial"/>
                <w:sz w:val="18"/>
                <w:szCs w:val="18"/>
                <w:color w:val="auto"/>
              </w:rPr>
              <w:t>(six individuals)</w:t>
            </w:r>
          </w:p>
        </w:tc>
        <w:tc>
          <w:tcPr>
            <w:tcW w:w="1240" w:type="dxa"/>
            <w:vAlign w:val="bottom"/>
            <w:gridSpan w:val="2"/>
          </w:tcPr>
          <w:p>
            <w:pPr>
              <w:jc w:val="right"/>
              <w:ind w:right="56"/>
              <w:spacing w:after="0"/>
              <w:rPr>
                <w:sz w:val="20"/>
                <w:szCs w:val="20"/>
                <w:color w:val="auto"/>
              </w:rPr>
            </w:pPr>
            <w:r>
              <w:rPr>
                <w:rFonts w:ascii="Arial" w:cs="Arial" w:eastAsia="Arial" w:hAnsi="Arial"/>
                <w:sz w:val="18"/>
                <w:szCs w:val="18"/>
                <w:color w:val="auto"/>
              </w:rPr>
              <w:t>8,625,000</w:t>
            </w:r>
          </w:p>
        </w:tc>
        <w:tc>
          <w:tcPr>
            <w:tcW w:w="8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100%</w:t>
            </w:r>
          </w:p>
        </w:tc>
        <w:tc>
          <w:tcPr>
            <w:tcW w:w="8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bl>
    <w:p>
      <w:pPr>
        <w:spacing w:after="0" w:line="8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60" w:hanging="406"/>
        <w:spacing w:after="0"/>
        <w:tabs>
          <w:tab w:leader="none" w:pos="860" w:val="left"/>
        </w:tabs>
        <w:numPr>
          <w:ilvl w:val="0"/>
          <w:numId w:val="58"/>
        </w:numPr>
        <w:rPr>
          <w:rFonts w:ascii="Arial" w:cs="Arial" w:eastAsia="Arial" w:hAnsi="Arial"/>
          <w:sz w:val="16"/>
          <w:szCs w:val="16"/>
          <w:color w:val="auto"/>
        </w:rPr>
      </w:pPr>
      <w:r>
        <w:rPr>
          <w:rFonts w:ascii="Arial" w:cs="Arial" w:eastAsia="Arial" w:hAnsi="Arial"/>
          <w:sz w:val="16"/>
          <w:szCs w:val="16"/>
          <w:color w:val="auto"/>
        </w:rPr>
        <w:t>Less than one percent.</w:t>
      </w:r>
    </w:p>
    <w:p>
      <w:pPr>
        <w:spacing w:after="0" w:line="22" w:lineRule="exact"/>
        <w:rPr>
          <w:sz w:val="20"/>
          <w:szCs w:val="20"/>
          <w:color w:val="auto"/>
        </w:rPr>
      </w:pPr>
    </w:p>
    <w:p>
      <w:pPr>
        <w:ind w:left="880" w:right="739" w:hanging="426"/>
        <w:spacing w:after="0" w:line="264" w:lineRule="auto"/>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Unless otherwise noted, the business address of each of our shareholders is 1601 Bryan Street, Suite 4141, Dallas, Texas 75201.</w:t>
      </w:r>
    </w:p>
    <w:p>
      <w:pPr>
        <w:jc w:val="both"/>
        <w:ind w:left="880" w:right="479" w:hanging="426"/>
        <w:spacing w:after="0" w:line="264" w:lineRule="auto"/>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Interests shown consist solely of founder shares, classified as Class B ordinary shares. Such shares will automatically convert into Class A ordinary shares at the time of our initial business combination as described in the section entitled “Description of Securities.”</w:t>
      </w:r>
    </w:p>
    <w:p>
      <w:pPr>
        <w:ind w:left="880" w:right="779" w:hanging="426"/>
        <w:spacing w:after="0" w:line="281" w:lineRule="auto"/>
        <w:tabs>
          <w:tab w:leader="none" w:pos="880" w:val="left"/>
        </w:tabs>
        <w:numPr>
          <w:ilvl w:val="0"/>
          <w:numId w:val="59"/>
        </w:numPr>
        <w:rPr>
          <w:rFonts w:ascii="Arial" w:cs="Arial" w:eastAsia="Arial" w:hAnsi="Arial"/>
          <w:sz w:val="15"/>
          <w:szCs w:val="15"/>
          <w:color w:val="auto"/>
        </w:rPr>
      </w:pPr>
      <w:r>
        <w:rPr>
          <w:rFonts w:ascii="Arial" w:cs="Arial" w:eastAsia="Arial" w:hAnsi="Arial"/>
          <w:sz w:val="15"/>
          <w:szCs w:val="15"/>
          <w:color w:val="auto"/>
        </w:rPr>
        <w:t>Scott Leonard and Scott Honour are the managers of our sponsor and share voting and dispositive power over the securities held by our sponsor and therefore each may be deemed to be a beneficial owner thereof.</w:t>
      </w:r>
    </w:p>
    <w:p>
      <w:pPr>
        <w:spacing w:after="0" w:line="1" w:lineRule="exact"/>
        <w:rPr>
          <w:rFonts w:ascii="Arial" w:cs="Arial" w:eastAsia="Arial" w:hAnsi="Arial"/>
          <w:sz w:val="15"/>
          <w:szCs w:val="15"/>
          <w:color w:val="auto"/>
        </w:rPr>
      </w:pPr>
    </w:p>
    <w:p>
      <w:pPr>
        <w:ind w:left="880" w:right="539" w:hanging="426"/>
        <w:spacing w:after="0" w:line="288" w:lineRule="auto"/>
        <w:tabs>
          <w:tab w:leader="none" w:pos="8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Includes up to 1,125,000 founder shares that will be surrendered to us for no consideration by our sponsor depending on the extent to which the underwriter’s over-allotment option is exercised.</w:t>
      </w:r>
    </w:p>
    <w:p>
      <w:pPr>
        <w:spacing w:after="0" w:line="90" w:lineRule="exact"/>
        <w:rPr>
          <w:sz w:val="20"/>
          <w:szCs w:val="20"/>
          <w:color w:val="auto"/>
        </w:rPr>
      </w:pPr>
    </w:p>
    <w:p>
      <w:pPr>
        <w:ind w:left="460" w:right="539" w:firstLine="432"/>
        <w:spacing w:after="0" w:line="291" w:lineRule="auto"/>
        <w:rPr>
          <w:sz w:val="20"/>
          <w:szCs w:val="20"/>
          <w:color w:val="auto"/>
        </w:rPr>
      </w:pPr>
      <w:r>
        <w:rPr>
          <w:rFonts w:ascii="Arial" w:cs="Arial" w:eastAsia="Arial" w:hAnsi="Arial"/>
          <w:sz w:val="16"/>
          <w:szCs w:val="16"/>
          <w:color w:val="auto"/>
        </w:rPr>
        <w:t>Immediately after this offering, our sponsor will beneficially own 20% of the then issued and outstanding ordinary shares (assuming they do not purchase any units in this offering) and will have the right to elect all of our directors prior to our initial business combination. Holders of our public shares will not have the right to elect any directors to our board of directors prior to our initial business combination. Because of this ownership block, our sponsor may be able to effectively influence the outcome of all other matters requiring approval by our shareholders, including amendments to our amended and restated memorandum and articles of association and approval of significant corporate transactions including our initial business combination.</w:t>
      </w:r>
    </w:p>
    <w:p>
      <w:pPr>
        <w:sectPr>
          <w:pgSz w:w="11900" w:h="16838" w:orient="portrait"/>
          <w:cols w:equalWidth="0" w:num="1">
            <w:col w:w="9019"/>
          </w:cols>
          <w:pgMar w:left="1440" w:top="337" w:right="1440" w:bottom="1440" w:gutter="0" w:footer="0" w:header="0"/>
        </w:sectPr>
      </w:pPr>
    </w:p>
    <w:p>
      <w:pPr>
        <w:spacing w:after="0" w:line="13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11" w:name="page112"/>
    <w:bookmarkEnd w:id="111"/>
    <w:p>
      <w:pPr>
        <w:ind w:left="460" w:right="879" w:firstLine="432"/>
        <w:spacing w:after="0" w:line="263" w:lineRule="auto"/>
        <w:rPr>
          <w:sz w:val="20"/>
          <w:szCs w:val="20"/>
          <w:color w:val="auto"/>
        </w:rPr>
      </w:pPr>
      <w:r>
        <w:rPr>
          <w:rFonts w:ascii="Arial" w:cs="Arial" w:eastAsia="Arial" w:hAnsi="Arial"/>
          <w:sz w:val="18"/>
          <w:szCs w:val="18"/>
          <w:color w:val="auto"/>
        </w:rPr>
        <w:t>Our sponsor has agreed (a) to vote any founder shares owned by it in favor of any proposed business combination and (b) not to redeem any founder shares in connection with a shareholder vote to approve a proposed initial business combination.</w:t>
      </w:r>
    </w:p>
    <w:p>
      <w:pPr>
        <w:spacing w:after="0" w:line="103" w:lineRule="exact"/>
        <w:rPr>
          <w:sz w:val="20"/>
          <w:szCs w:val="20"/>
          <w:color w:val="auto"/>
        </w:rPr>
      </w:pPr>
    </w:p>
    <w:p>
      <w:pPr>
        <w:ind w:left="880"/>
        <w:spacing w:after="0"/>
        <w:rPr>
          <w:sz w:val="20"/>
          <w:szCs w:val="20"/>
          <w:color w:val="auto"/>
        </w:rPr>
      </w:pPr>
      <w:r>
        <w:rPr>
          <w:rFonts w:ascii="Arial" w:cs="Arial" w:eastAsia="Arial" w:hAnsi="Arial"/>
          <w:sz w:val="17"/>
          <w:szCs w:val="17"/>
          <w:color w:val="auto"/>
        </w:rPr>
        <w:t>Our sponsor is deemed to be our “promoter” as such term is defined under the federal securities laws.</w:t>
      </w:r>
    </w:p>
    <w:p>
      <w:pPr>
        <w:spacing w:after="0" w:line="23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Transfers of Founder Shares and Private Placement Warrants</w:t>
      </w:r>
    </w:p>
    <w:p>
      <w:pPr>
        <w:spacing w:after="0" w:line="162" w:lineRule="exact"/>
        <w:rPr>
          <w:sz w:val="20"/>
          <w:szCs w:val="20"/>
          <w:color w:val="auto"/>
        </w:rPr>
      </w:pPr>
    </w:p>
    <w:p>
      <w:pPr>
        <w:ind w:left="460" w:right="559" w:firstLine="432"/>
        <w:spacing w:after="0" w:line="285" w:lineRule="auto"/>
        <w:rPr>
          <w:sz w:val="20"/>
          <w:szCs w:val="20"/>
          <w:color w:val="auto"/>
        </w:rPr>
      </w:pPr>
      <w:r>
        <w:rPr>
          <w:rFonts w:ascii="Arial" w:cs="Arial" w:eastAsia="Arial" w:hAnsi="Arial"/>
          <w:sz w:val="16"/>
          <w:szCs w:val="16"/>
          <w:color w:val="auto"/>
        </w:rPr>
        <w:t>The founder shares, private placement warrants and any Class A ordinary shares issued upon conversion or exercise thereof are each subject to transfer restrictions pursuant to lock-up provisions in the agreements entered into by our sponsor and management team. Our sponsor and each member of our management team have agreed not to transfer, assign or sell any of their founder shares until the earliest of (a) one year after the completion of our initial business combination and (b) upon consummation of our initial business combination,</w:t>
      </w:r>
    </w:p>
    <w:p>
      <w:pPr>
        <w:spacing w:after="0" w:line="2" w:lineRule="exact"/>
        <w:rPr>
          <w:sz w:val="20"/>
          <w:szCs w:val="20"/>
          <w:color w:val="auto"/>
        </w:rPr>
      </w:pPr>
    </w:p>
    <w:p>
      <w:pPr>
        <w:ind w:left="460" w:right="479" w:hanging="6"/>
        <w:spacing w:after="0" w:line="281" w:lineRule="auto"/>
        <w:tabs>
          <w:tab w:leader="none" w:pos="715" w:val="left"/>
        </w:tabs>
        <w:numPr>
          <w:ilvl w:val="0"/>
          <w:numId w:val="60"/>
        </w:numPr>
        <w:rPr>
          <w:rFonts w:ascii="Arial" w:cs="Arial" w:eastAsia="Arial" w:hAnsi="Arial"/>
          <w:sz w:val="16"/>
          <w:szCs w:val="16"/>
          <w:color w:val="auto"/>
        </w:rPr>
      </w:pPr>
      <w:r>
        <w:rPr>
          <w:rFonts w:ascii="Arial" w:cs="Arial" w:eastAsia="Arial" w:hAnsi="Arial"/>
          <w:sz w:val="16"/>
          <w:szCs w:val="16"/>
          <w:color w:val="auto"/>
        </w:rPr>
        <w:t>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or (y) the date on which we complete a liquidation, merger, share exchange or other similar transaction after our initial business combination that results in all of our shareholders having the right to exchange their Class A ordinary shares for cash, securities or other property. The private placement warrants and the respective Class A ordinary shares underlying such warrants are not transferable or salable until 30 days after the completion of our initial business combination. The foregoing restrictions are not applicable to transfers (a) to our officers or directors, any affiliates or family members of any of our officers or directors, any members or partners of our sponsor or their affiliates, any affiliates of our sponsor, or any employees of such affiliates; (b) in the case of an individual, by gift to a member of one of the individual’s immediate family or to a trust, the beneficiary of which is a member of the individual’s immediate family, an affiliate of such person or to a charitable organization; (c) in the case of an individual, by virtue of laws of descent and distribution upon death of the individual; (d) in the case of an individual, pursuant to a qualified domestic relations order; (e) by private sales or transfers made in connection with the consummation of a business combination at prices no greater than the price at which the founder shares, private placement warrants or Class A ordinary shares, as applicable, were originally purchased; (f) by virtue of our sponsor’s organizational documents upon liquidation or dissolution of our sponsor; (g) to the Company for no value for cancellation in connection with the consummation of our initial business combination; (h) in the event of our liquidation prior to the completion of our initial business combination; or</w:t>
      </w:r>
    </w:p>
    <w:p>
      <w:pPr>
        <w:spacing w:after="0" w:line="11" w:lineRule="exact"/>
        <w:rPr>
          <w:rFonts w:ascii="Arial" w:cs="Arial" w:eastAsia="Arial" w:hAnsi="Arial"/>
          <w:sz w:val="16"/>
          <w:szCs w:val="16"/>
          <w:color w:val="auto"/>
        </w:rPr>
      </w:pPr>
    </w:p>
    <w:p>
      <w:pPr>
        <w:ind w:left="460" w:right="559" w:hanging="6"/>
        <w:spacing w:after="0" w:line="270" w:lineRule="auto"/>
        <w:tabs>
          <w:tab w:leader="none" w:pos="675" w:val="left"/>
        </w:tabs>
        <w:numPr>
          <w:ilvl w:val="0"/>
          <w:numId w:val="61"/>
        </w:numPr>
        <w:rPr>
          <w:rFonts w:ascii="Arial" w:cs="Arial" w:eastAsia="Arial" w:hAnsi="Arial"/>
          <w:sz w:val="17"/>
          <w:szCs w:val="17"/>
          <w:color w:val="auto"/>
        </w:rPr>
      </w:pPr>
      <w:r>
        <w:rPr>
          <w:rFonts w:ascii="Arial" w:cs="Arial" w:eastAsia="Arial" w:hAnsi="Arial"/>
          <w:sz w:val="17"/>
          <w:szCs w:val="17"/>
          <w:color w:val="auto"/>
        </w:rPr>
        <w:t xml:space="preserve">in the event of our completion of a liquidation, merger, share exchange or other similar transaction which results in all of our shareholders having the right to exchange their Class A ordinary shares for cash, securities or other property subsequent to our completion of our initial business combination; </w:t>
      </w:r>
      <w:r>
        <w:rPr>
          <w:rFonts w:ascii="Arial" w:cs="Arial" w:eastAsia="Arial" w:hAnsi="Arial"/>
          <w:sz w:val="17"/>
          <w:szCs w:val="17"/>
          <w:i w:val="1"/>
          <w:iCs w:val="1"/>
          <w:color w:val="auto"/>
        </w:rPr>
        <w:t>provided</w:t>
      </w:r>
      <w:r>
        <w:rPr>
          <w:rFonts w:ascii="Arial" w:cs="Arial" w:eastAsia="Arial" w:hAnsi="Arial"/>
          <w:sz w:val="17"/>
          <w:szCs w:val="17"/>
          <w:color w:val="auto"/>
        </w:rPr>
        <w:t>, however, that in the case of clauses (a) through (f), except with the prior written consent of the Company, these permitted transferees must enter into a written agreement agreeing to be bound by these transfer restrictions and the other restrictions contained in the letter agreements.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8"/>
          <w:szCs w:val="18"/>
          <w:b w:val="1"/>
          <w:bCs w:val="1"/>
          <w:color w:val="auto"/>
        </w:rPr>
        <w:t>CERTAIN RELATIONSHIPS AND RELATED PARTY TRANSACTIONS</w:t>
      </w:r>
    </w:p>
    <w:p>
      <w:pPr>
        <w:spacing w:after="0" w:line="162"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On December 31, 2019, the sponsor paid $25,000, or approximately $0.003 per share, to cover certain of our offering costs in consideration of 8,625,000 Class B ordinary shares, par value $0.0001. In March 2020, our sponsor transferred 30,000 founder shares to each of our independent directors. These 90,000 shares shall not be subject to forfeiture in the event the underwriter’s over-allotment option is not exercised. The number of founder shares issued was determined based on the expectation that such founder shares would represent 20% of the issued and outstanding shares upon completion of this offering. If we further increase or decrease the size of the offering, we will effect a share capitalization or a share surrender or other appropriate mechanism, as applicable, with respect to our Class B ordinary shares immediately prior to the consummation of the offering in such amount as to maintain the ownership of our sponsor (and its permitted transferees, if any) at 20% of the issued and outstanding ordinary shares upon the consummation of this offering. Up to 1,125,000 founder shares are subject to forfeiture by our sponsor depending on the extent to which the underwriter’s over-allotment option is exercised. The founder shares (including the Class A ordinary shares issuable upon exercise thereof) may not, subject to certain limited exceptions, be transferred, assigned or sold by the holder.</w:t>
      </w:r>
    </w:p>
    <w:p>
      <w:pPr>
        <w:spacing w:after="0" w:line="66" w:lineRule="exact"/>
        <w:rPr>
          <w:sz w:val="20"/>
          <w:szCs w:val="20"/>
          <w:color w:val="auto"/>
        </w:rPr>
      </w:pPr>
    </w:p>
    <w:p>
      <w:pPr>
        <w:ind w:left="460" w:right="659" w:firstLine="432"/>
        <w:spacing w:after="0" w:line="254" w:lineRule="auto"/>
        <w:rPr>
          <w:sz w:val="20"/>
          <w:szCs w:val="20"/>
          <w:color w:val="auto"/>
        </w:rPr>
      </w:pPr>
      <w:r>
        <w:rPr>
          <w:rFonts w:ascii="Arial" w:cs="Arial" w:eastAsia="Arial" w:hAnsi="Arial"/>
          <w:sz w:val="18"/>
          <w:szCs w:val="18"/>
          <w:color w:val="auto"/>
        </w:rPr>
        <w:t>Our sponsor has committed, pursuant to a written agreement, to purchase an aggregate of 9,500,000 private placement warrants for a purchase price of $1.00 per whole warrant in a private placement that will occur simultaneously with the closing of this offering. As such, our sponsor’s interest in this transaction is valued at $9,500,000. Each private placement warrant entitles the holder to purchase one share of our Class A ordinary shares at $11.50 per share. The private placement warrants (including the Class A ordinary shares issuable upon exercise thereof) may not, subject to certain limited exceptions, be transferred, assigned or sold by the holder.</w:t>
      </w:r>
    </w:p>
    <w:p>
      <w:pPr>
        <w:spacing w:after="0" w:line="87"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As more fully discussed in the section of this prospectus entitled “Management — Conflicts of Interest,” if any of our officers or directors becomes aware of a business combination opportunity that falls within the line of business of any entity to which he or she has then-current fiduciary or contractual obligations, he or she will honor his or her fiduciary or contractual obligations to present such opportunity to such entity. Our officers and directors currently have certain relevant fiduciary duties or contractual obligations that may take priority over their duties to us.</w:t>
      </w:r>
    </w:p>
    <w:p>
      <w:pPr>
        <w:spacing w:after="0" w:line="84"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We currently maintain our executive offices at 1601 Bryan Street, Suite 4141, Dallas, Texas 75201. The cost for our use of this space is included in the $10,000 per month fee we will pay to an affiliate of our sponsor for office space, administrative and support services, commencing on the date that our securities are first listed on the NYSE. Upon completion of our initial business combination or our liquidation, we will cease paying these monthly fees.</w:t>
      </w:r>
    </w:p>
    <w:p>
      <w:pPr>
        <w:spacing w:after="0" w:line="80"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No compensation of any kind, including finder’s and consulting fees, will be paid to our sponsor, officers and directors, or any of their respective affiliates, for services rendered prior to or in connection with the completion of an initial business combination. However, these individuals will be reimbursed for any out-of-pocket expenses incurred in connection with activities on our behalf such as identifying potential target businesses and performing due diligence on suitable business combinations. Our audit committee will review on a quarterly basis all payments that were made to our sponsor, officers, directors or our or their affiliates and will determine which expenses and the amount of expenses that will be reimbursed. There is no cap or ceiling on the reimbursement of out-of-pocket expenses incurred by such persons in connection with activities on our behalf.</w:t>
      </w:r>
    </w:p>
    <w:p>
      <w:pPr>
        <w:spacing w:after="0" w:line="57"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Prior to the consummation of this offering, our sponsor has agreed to loan us up to $300,000 to be used for a portion of the expenses of this offering. These loans are non-interest bearing, unsecured and are due at the earlier of June 30, 2020 or the closing of this offering. The loan will be repaid upon the closing of this offering out of the offering proceeds not held in the trust account.</w:t>
      </w:r>
    </w:p>
    <w:p>
      <w:pPr>
        <w:spacing w:after="0" w:line="79"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In addition, in order to finance transaction costs in connection with an intended initial business combination, our sponsor or an affiliate of our sponsor or certain of our officers and directors may, but are not obligated to, loan us funds as may be required. If we complete an initial business combination, we would repay such loaned amounts. In the event that the initial business combination does not close, we may use a portion of the working capital held outside the trust account to repay such loaned amounts but no proceeds from our trust account would be used for such repayment. Up to $1,500,000 of such loans may be convertible into warrants at a price of $1.00 per warrant at the option of the lender. The warrants would be identical to the private placement warrants, including as to exercise price, exercisability and exercise period. The terms of such loans by our officers and directors, if any, have not been determined and no written agreements exist with respect to such loans. We do not expect to seek loans from parties other than our sponsor or an affiliate of our sponsor as we do not believe third parties will be willing to loan such funds and provide a waiver against any and all rights to seek access to funds in our trust account.</w:t>
      </w:r>
    </w:p>
    <w:p>
      <w:pPr>
        <w:sectPr>
          <w:pgSz w:w="11900" w:h="16838" w:orient="portrait"/>
          <w:cols w:equalWidth="0" w:num="1">
            <w:col w:w="9019"/>
          </w:cols>
          <w:pgMar w:left="1440" w:top="337" w:right="1440" w:bottom="1440" w:gutter="0" w:footer="0" w:header="0"/>
        </w:sectPr>
      </w:pP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13" w:name="page114"/>
    <w:bookmarkEnd w:id="113"/>
    <w:p>
      <w:pPr>
        <w:ind w:left="460" w:right="639" w:firstLine="432"/>
        <w:spacing w:after="0" w:line="272" w:lineRule="auto"/>
        <w:rPr>
          <w:sz w:val="20"/>
          <w:szCs w:val="20"/>
          <w:color w:val="auto"/>
        </w:rPr>
      </w:pPr>
      <w:r>
        <w:rPr>
          <w:rFonts w:ascii="Arial" w:cs="Arial" w:eastAsia="Arial" w:hAnsi="Arial"/>
          <w:sz w:val="17"/>
          <w:szCs w:val="17"/>
          <w:color w:val="auto"/>
        </w:rPr>
        <w:t>After our initial business combination, members of our management team who remain with us may be paid consulting, management or other fees from the combined company with any and all amounts being fully disclosed to our shareholders, to the extent then known, in the tender offer or proxy solicitation materials, as applicable, furnished to our shareholders. It is unlikely the amount of such compensation will be known at the time of distribution of such tender offer materials or at the time of a shareholder meeting held to consider our initial business combination, as applicable, as it will be up to the directors of the post-combination business to determine executive and director compensation.</w:t>
      </w:r>
    </w:p>
    <w:p>
      <w:pPr>
        <w:spacing w:after="0" w:line="96"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will enter into a registration and shareholder rights agreement pursuant to which our sponsor will be entitled to certain registration rights with respect to the private placement warrants, the warrants issuable upon conversion of working capital loans (if any) and the Class A ordinary shares issuable upon exercise of the foregoing and upon conversion of the founder shares, and, upon consummation of our initial business combination, to nominate three individuals for election to our board of directors, as long as the sponsor holds any securities covered by the registration and shareholder rights agreement, which is described under the section of this prospectus entitled “Description of Securities — Registration and Shareholder Rights.”</w:t>
      </w:r>
    </w:p>
    <w:p>
      <w:pPr>
        <w:spacing w:after="0" w:line="99"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have agreed with our sponsor that, prior to the consummation of an initial business combination, we may not, without the consent of our sponsor, issue any additional equity securities.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Policy for Approval of Related Party Transactions</w:t>
      </w:r>
    </w:p>
    <w:p>
      <w:pPr>
        <w:spacing w:after="0" w:line="162"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audit committee of our board of directors will adopt a charter, providing for the review, approval and/or ratification of “related party transactions,” which are those transactions required to be disclosed pursuant to Item 404 of Regulation S-K as promulgated by the SEC, by the audit committee. At its meetings, the audit committee shall be provided with the details of each new, existing, or proposed related party transaction, including the terms of the transaction, any contractual restrictions that the company has already committed to, the business purpose of the transaction, and the benefits of the transaction to the company and to the relevant related party. Any member of the committee who has an interest in the related party transaction under review by the committee shall abstain from voting on the approval of the related party transaction, but may, if so requested by the chairman of the committee, participate in some or all of the committee’s discussions of the related party transaction. Upon completion of its review of the related party transaction, the committee may determine to permit or to prohibit the related party transaction.</w:t>
      </w:r>
    </w:p>
    <w:p>
      <w:pPr>
        <w:spacing w:after="0" w:line="14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4" w:name="page115"/>
    <w:bookmarkEnd w:id="114"/>
    <w:p>
      <w:pPr>
        <w:jc w:val="center"/>
        <w:ind w:right="19"/>
        <w:spacing w:after="0"/>
        <w:rPr>
          <w:sz w:val="20"/>
          <w:szCs w:val="20"/>
          <w:color w:val="auto"/>
        </w:rPr>
      </w:pPr>
      <w:r>
        <w:rPr>
          <w:rFonts w:ascii="Arial" w:cs="Arial" w:eastAsia="Arial" w:hAnsi="Arial"/>
          <w:sz w:val="18"/>
          <w:szCs w:val="18"/>
          <w:b w:val="1"/>
          <w:bCs w:val="1"/>
          <w:color w:val="auto"/>
        </w:rPr>
        <w:t>DESCRIPTION OF SECURITIES</w:t>
      </w:r>
    </w:p>
    <w:p>
      <w:pPr>
        <w:spacing w:after="0" w:line="162" w:lineRule="exact"/>
        <w:rPr>
          <w:sz w:val="20"/>
          <w:szCs w:val="20"/>
          <w:color w:val="auto"/>
        </w:rPr>
      </w:pPr>
    </w:p>
    <w:p>
      <w:pPr>
        <w:ind w:left="460" w:right="599" w:firstLine="432"/>
        <w:spacing w:after="0" w:line="271" w:lineRule="auto"/>
        <w:rPr>
          <w:sz w:val="20"/>
          <w:szCs w:val="20"/>
          <w:color w:val="auto"/>
        </w:rPr>
      </w:pPr>
      <w:r>
        <w:rPr>
          <w:rFonts w:ascii="Arial" w:cs="Arial" w:eastAsia="Arial" w:hAnsi="Arial"/>
          <w:sz w:val="17"/>
          <w:szCs w:val="17"/>
          <w:color w:val="auto"/>
        </w:rPr>
        <w:t>We are a Cayman Islands exempted company and our affairs will be governed by our amended and restated memorandum and articles of association, the Companies Law and the common law of the Cayman Islands. Pursuant to our amended and restated memorandum and articles of association, which will be adopted prior to the consummation of this offering, we will be authorized to issue 300,000,000 Class A ordinary shares and 30,000,000 Class B ordinary shares, as well as 1,000,000 preference shares, $0.0001 par value each. The following description summarizes certain terms of our shares as set out more particularly in our amended and restated memorandum and articles of association. Because it is only a summary, it may not contain all the information that is important to you.</w:t>
      </w:r>
    </w:p>
    <w:p>
      <w:pPr>
        <w:spacing w:after="0" w:line="17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Units</w:t>
      </w:r>
    </w:p>
    <w:p>
      <w:pPr>
        <w:spacing w:after="0" w:line="14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Each unit has an offering price of $10.00 and consists of one Class A ordinary share and one-half of one warrant. Each whole warrant entitles the holder thereof to purchase one Class A ordinary share at a price of $11.50 per share, subject to adjustment as described in this prospectus. Pursuant to the warrant agreement, a warrant holder may exercise its warrants only for a whole number of the company’s Class A ordinary shares. This means only a whole warrant may be exercised at any given time by a warrant holder. No fractional warrants will be issued upon separation of the units and only whole warrants will trade. Accordingly, unless you purchase at least two units, you will not be able to receive or trade a whole warrant.</w:t>
      </w:r>
    </w:p>
    <w:p>
      <w:pPr>
        <w:spacing w:after="0" w:line="99" w:lineRule="exact"/>
        <w:rPr>
          <w:sz w:val="20"/>
          <w:szCs w:val="20"/>
          <w:color w:val="auto"/>
        </w:rPr>
      </w:pPr>
    </w:p>
    <w:p>
      <w:pPr>
        <w:ind w:left="460" w:right="519" w:firstLine="432"/>
        <w:spacing w:after="0" w:line="266" w:lineRule="auto"/>
        <w:rPr>
          <w:sz w:val="20"/>
          <w:szCs w:val="20"/>
          <w:color w:val="auto"/>
        </w:rPr>
      </w:pPr>
      <w:r>
        <w:rPr>
          <w:rFonts w:ascii="Arial" w:cs="Arial" w:eastAsia="Arial" w:hAnsi="Arial"/>
          <w:sz w:val="17"/>
          <w:szCs w:val="17"/>
          <w:color w:val="auto"/>
        </w:rPr>
        <w:t>The Class A ordinary shares and warrants comprising the units are expected to begin separate trading on the 52</w:t>
      </w:r>
      <w:r>
        <w:rPr>
          <w:rFonts w:ascii="Arial" w:cs="Arial" w:eastAsia="Arial" w:hAnsi="Arial"/>
          <w:sz w:val="19"/>
          <w:szCs w:val="19"/>
          <w:color w:val="auto"/>
          <w:vertAlign w:val="superscript"/>
        </w:rPr>
        <w:t>nd</w:t>
      </w:r>
      <w:r>
        <w:rPr>
          <w:rFonts w:ascii="Arial" w:cs="Arial" w:eastAsia="Arial" w:hAnsi="Arial"/>
          <w:sz w:val="17"/>
          <w:szCs w:val="17"/>
          <w:color w:val="auto"/>
        </w:rPr>
        <w:t xml:space="preserve"> day following the date of this prospectus unless (or if such day is not a business day, the immediately succeeding business day) Citigroup Global Markets Inc. informs us of its decision to allow earlier separate trading, subject to our having filed the Current Report on Form 8-K described below and having issued a press release announcing when such separate trading will begin. Once the Class A ordinary shares and warrants commence separate trading, holders will have the option to continue to hold units or separate their units into the component securities. Holders will need to have their brokers contact our transfer agent in order to separate the units into Class A ordinary shares and warrants.</w:t>
      </w:r>
    </w:p>
    <w:p>
      <w:pPr>
        <w:spacing w:after="0" w:line="118"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In no event will the Class A ordinary shares and warrants be traded separately until we have filed with the SEC a Current Report on Form 8-K which includes an audited balance sheet reflecting our receipt of the gross proceeds of this offering. We will file a Current Report on Form 8-K which includes this audited balance sheet upon the completion of this offering. If the underwriter’s over-allotment option is exercised following the initial filing of such Current Report on Form 8-K, a second or amended Current Report on Form 8-K will be filed to provide updated financial information to reflect the exercise of the underwriter’s over-allotment option.</w:t>
      </w:r>
    </w:p>
    <w:p>
      <w:pPr>
        <w:spacing w:after="0" w:line="83" w:lineRule="exact"/>
        <w:rPr>
          <w:sz w:val="20"/>
          <w:szCs w:val="20"/>
          <w:color w:val="auto"/>
        </w:rPr>
      </w:pPr>
    </w:p>
    <w:p>
      <w:pPr>
        <w:ind w:left="460" w:right="619" w:firstLine="432"/>
        <w:spacing w:after="0" w:line="277" w:lineRule="auto"/>
        <w:rPr>
          <w:sz w:val="20"/>
          <w:szCs w:val="20"/>
          <w:color w:val="auto"/>
        </w:rPr>
      </w:pPr>
      <w:r>
        <w:rPr>
          <w:rFonts w:ascii="Arial" w:cs="Arial" w:eastAsia="Arial" w:hAnsi="Arial"/>
          <w:sz w:val="18"/>
          <w:szCs w:val="18"/>
          <w:color w:val="auto"/>
        </w:rPr>
        <w:t>Additionally, the units will automatically separate into their component parts and will not be traded after completion of our initial business combination.</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Ordinary Shares</w:t>
      </w:r>
    </w:p>
    <w:p>
      <w:pPr>
        <w:spacing w:after="0" w:line="162"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Prior to the date of this prospectus, there were 8,625,000 Class B ordinary shares issued and outstanding, all of which were held of record by our sponsor, so that our sponsor will own 20% of our issued and outstanding shares after this offering (assuming our sponsor does not purchase any units in this offering). Upon the closing of this offering, 37,500,000 of our ordinary shares will be outstanding (assuming no exercise of the underwriter’s over-allotment option) including:</w:t>
      </w:r>
    </w:p>
    <w:p>
      <w:pPr>
        <w:spacing w:after="0" w:line="120" w:lineRule="exact"/>
        <w:rPr>
          <w:sz w:val="20"/>
          <w:szCs w:val="20"/>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30,000,000 Class A ordinary shares underlying the units issued as part of this offering; and</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2"/>
        </w:numPr>
        <w:rPr>
          <w:rFonts w:ascii="Arial" w:cs="Arial" w:eastAsia="Arial" w:hAnsi="Arial"/>
          <w:sz w:val="18"/>
          <w:szCs w:val="18"/>
          <w:color w:val="auto"/>
        </w:rPr>
      </w:pPr>
      <w:r>
        <w:rPr>
          <w:rFonts w:ascii="Arial" w:cs="Arial" w:eastAsia="Arial" w:hAnsi="Arial"/>
          <w:sz w:val="18"/>
          <w:szCs w:val="18"/>
          <w:color w:val="auto"/>
        </w:rPr>
        <w:t>7,500,000 Class B ordinary shares held by our sponsor.</w:t>
      </w:r>
    </w:p>
    <w:p>
      <w:pPr>
        <w:spacing w:after="0" w:line="158"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If we increase or decrease the size of this offering, we will effect a share capitalization or share compulsory redemption or redemption or other appropriate mechanism, as applicable, with respect to our Class B ordinary shares immediately prior to the consummation of this offering in such amount as to maintain the ownership of our sponsor (and its permitted transferees, if any) at 20% of our issued and outstanding ordinary shares upon the consummation of this offering.</w:t>
      </w: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15" w:name="page116"/>
    <w:bookmarkEnd w:id="115"/>
    <w:p>
      <w:pPr>
        <w:ind w:left="460" w:right="479" w:firstLine="432"/>
        <w:spacing w:after="0" w:line="267" w:lineRule="auto"/>
        <w:rPr>
          <w:sz w:val="20"/>
          <w:szCs w:val="20"/>
          <w:color w:val="auto"/>
        </w:rPr>
      </w:pPr>
      <w:r>
        <w:rPr>
          <w:rFonts w:ascii="Arial" w:cs="Arial" w:eastAsia="Arial" w:hAnsi="Arial"/>
          <w:sz w:val="17"/>
          <w:szCs w:val="17"/>
          <w:color w:val="auto"/>
        </w:rPr>
        <w:t>Ordinary shareholders of record are entitled to one vote for each share held on all matters to be voted on by shareholders. Holders of Class A ordinary shares and holders of Class B ordinary shares will vote together as a single class on all matters submitted to a vote of our shareholders except as required by law. Unless specified in our amended and restated memorandum and articles of association, or as required by applicable provisions of the Companies Law or applicable stock exchange rules, the affirmative vote of a majority of our ordinary shares that are voted is required to approve any such matter voted on by our shareholders. Approval of certain actions will require a special resolution under Cayman Islands law, being the affirmative vote of at least two-thirds of our ordinary shares that are voted, and pursuant to our amended and restated memorandum and articles of association; such actions include amending our amended and restated memorandum and articles of association and approving a statutory merger or consolidation with another company. Our board of directors is divided into three classes, each of which will generally serve for a term of three years with only one class of directors being elected in each year. There is no cumulative voting with respect to the election of directors, with the result that the holders of more than 50% of the shares voted for the election of directors can elect all of the directors. Our shareholders are entitled to receive ratable dividends when, as and if declared by the board of directors out of funds legally available therefor. 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w:t>
      </w:r>
    </w:p>
    <w:p>
      <w:pPr>
        <w:spacing w:after="0" w:line="107"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Because our amended and restated memorandum and articles of association will authorize the issuance of up to 300,000,000 Class A ordinary shares, if we were to enter into a business combination, we may (depending on the terms of such a business combination) be required to increase the number of Class A ordinary shares which we will be authorized to issue at the same time as our shareholders vote on the business combination to the extent we seek shareholder approval in connection with our initial business combination.</w:t>
      </w:r>
    </w:p>
    <w:p>
      <w:pPr>
        <w:spacing w:after="0" w:line="94" w:lineRule="exact"/>
        <w:rPr>
          <w:sz w:val="20"/>
          <w:szCs w:val="20"/>
          <w:color w:val="auto"/>
        </w:rPr>
      </w:pPr>
    </w:p>
    <w:p>
      <w:pPr>
        <w:ind w:left="460" w:right="559" w:firstLine="432"/>
        <w:spacing w:after="0" w:line="288" w:lineRule="auto"/>
        <w:rPr>
          <w:sz w:val="20"/>
          <w:szCs w:val="20"/>
          <w:color w:val="auto"/>
        </w:rPr>
      </w:pPr>
      <w:r>
        <w:rPr>
          <w:rFonts w:ascii="Arial" w:cs="Arial" w:eastAsia="Arial" w:hAnsi="Arial"/>
          <w:sz w:val="16"/>
          <w:szCs w:val="16"/>
          <w:color w:val="auto"/>
        </w:rPr>
        <w:t>Our board of directors is divided into three classes with only one class of directors being elected in each year and each class (except for those directors appointed prior to our first annual meeting of shareholders) serving a three-year term. In accordance with the NYSE corporate governance requirements, we are not required to hold an annual meeting until one year after our first fiscal year end following our listing on the NYSE. There is no requirement under the Companies Law for us to hold annual or general meetings or elect directors. We may not hold an annual meeting of shareholders to elect new directors prior to the consummation of our initial business combination. Prior to the completion of an initial business combination, any vacancy on the board of directors may be filled by a nominee chosen by holders of a majority of our founder shares. In addition, prior to the completion of an initial business combination, holders of a majority of our founder shares may remove a member of the board of directors for any reason.</w:t>
      </w:r>
    </w:p>
    <w:p>
      <w:pPr>
        <w:spacing w:after="0" w:line="101" w:lineRule="exact"/>
        <w:rPr>
          <w:sz w:val="20"/>
          <w:szCs w:val="20"/>
          <w:color w:val="auto"/>
        </w:rPr>
      </w:pPr>
    </w:p>
    <w:p>
      <w:pPr>
        <w:ind w:left="460" w:right="499" w:firstLine="432"/>
        <w:spacing w:after="0" w:line="283" w:lineRule="auto"/>
        <w:rPr>
          <w:sz w:val="20"/>
          <w:szCs w:val="20"/>
          <w:color w:val="auto"/>
        </w:rPr>
      </w:pPr>
      <w:r>
        <w:rPr>
          <w:rFonts w:ascii="Arial" w:cs="Arial" w:eastAsia="Arial" w:hAnsi="Arial"/>
          <w:sz w:val="16"/>
          <w:szCs w:val="16"/>
          <w:color w:val="auto"/>
        </w:rPr>
        <w:t>We will provide our public shareholders with the opportunity to redeem all or a portion of their public shares upon the completion of our initial business combination at a per-share price, payable in cash, equal to the aggregate amount then on deposit in the trust account calculated as of two business days prior to the consummation of our initial business combination, including interest earned on the funds held in the trust account and not previously released to us to pay our income taxes, if any, divided by the number of the then-outstanding public shares, subject to the limitations described herein. The amount in the trust account is initially anticipated to be $10.00 per public share. The per share amount we will distribute to investors who properly redeem their shares will not be reduced by the deferred underwriting commissions we will pay to the underwriter. The redemption rights will include the requirement that a beneficial owner must identify itself in order to valid redeem its shares. Our sponsor and each member of our management team have entered into agreements with us, pursuant to which they have agreed to waive their redemption rights with respect to their founder shares and public shares in connection with (i) the completion of our initial business combination and</w:t>
      </w:r>
    </w:p>
    <w:p>
      <w:pPr>
        <w:spacing w:after="0" w:line="3" w:lineRule="exact"/>
        <w:rPr>
          <w:sz w:val="20"/>
          <w:szCs w:val="20"/>
          <w:color w:val="auto"/>
        </w:rPr>
      </w:pPr>
    </w:p>
    <w:p>
      <w:pPr>
        <w:ind w:left="460" w:right="519" w:hanging="6"/>
        <w:spacing w:after="0" w:line="267" w:lineRule="auto"/>
        <w:tabs>
          <w:tab w:leader="none" w:pos="725" w:val="left"/>
        </w:tabs>
        <w:numPr>
          <w:ilvl w:val="0"/>
          <w:numId w:val="63"/>
        </w:numPr>
        <w:rPr>
          <w:rFonts w:ascii="Arial" w:cs="Arial" w:eastAsia="Arial" w:hAnsi="Arial"/>
          <w:sz w:val="17"/>
          <w:szCs w:val="17"/>
          <w:color w:val="auto"/>
        </w:rPr>
      </w:pPr>
      <w:r>
        <w:rPr>
          <w:rFonts w:ascii="Arial" w:cs="Arial" w:eastAsia="Arial" w:hAnsi="Arial"/>
          <w:sz w:val="17"/>
          <w:szCs w:val="17"/>
          <w:color w:val="auto"/>
        </w:rPr>
        <w:t>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Unlike many blank check companies that hold shareholder votes and conduct proxy solicitations in conjunction with their initial business combinations and provide for related redemptions of public shares for cash upon completion of such initial business combinations even when a vote is not required by law, if a shareholder vote is not required by law and we do not decide to hold a shareholder vote for business or other legal reasons, we will, pursuant to our amended and restated memorandum and articles of association, conduct the redemptions pursuant to the tender offer rules of the SEC, and file tender offer documents</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6" w:name="page117"/>
    <w:bookmarkEnd w:id="116"/>
    <w:p>
      <w:pPr>
        <w:ind w:left="460" w:right="459"/>
        <w:spacing w:after="0" w:line="268" w:lineRule="auto"/>
        <w:rPr>
          <w:sz w:val="20"/>
          <w:szCs w:val="20"/>
          <w:color w:val="auto"/>
        </w:rPr>
      </w:pPr>
      <w:r>
        <w:rPr>
          <w:rFonts w:ascii="Arial" w:cs="Arial" w:eastAsia="Arial" w:hAnsi="Arial"/>
          <w:sz w:val="17"/>
          <w:szCs w:val="17"/>
          <w:color w:val="auto"/>
        </w:rPr>
        <w:t>with the SEC prior to completing our initial business combination. Our amended and restated memorandum and articles of association will require these tender offer documents to contain substantially the same financial and other information about the initial business combination and the redemption rights as is required under the SEC’s proxy rules. If, however, a shareholder approval of the transaction is required by law, or we decide to obtain shareholder approval for business or other legal reasons, we will, like many blank check companies, offer to redeem shares in conjunction with a proxy solicitation pursuant to the proxy rules and not pursuant to the tender offer rules. If we seek shareholder approval, we will complete our initial business combination only if a majority of the ordinary shares, represented in person or by proxy and entitled to vote thereon, voted at a shareholder meeting vote in favor of the initial business combination. However, the participation of our sponsor, officers, directors, advisors or their affiliates in privately-negotiated transactions (as described in this prospectus), if any, could result in the approval of our initial business combination even if a majority of our public shareholders vote, or indicate their intention to vote, against such initial business combination. For purposes of seeking approval of the majority of our issued and outstanding ordinary shares, non-votes will have no effect on the approval of our initial business combination once a quorum is obtained. Our amended and restated memorandum and articles of association will require that at least five days’ notice will be given of any shareholder meeting.</w:t>
      </w:r>
    </w:p>
    <w:p>
      <w:pPr>
        <w:spacing w:after="0" w:line="99"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If we seek shareholder approval of our initial business combination and we do not conduct redemptions in connection with our initial business combination pursuant to the tender offer rules, our amended and restated memorandum and articles of association will provide that a public shareholder, together with any affiliate of such shareholder or any other person with whom such shareholder is acting in concert or as a “group” (as defined under Section 13 of the Exchange Act), will be restricted from redeeming its shares with respect to Excess Shares. However, we would not be restricting our shareholders’ ability to vote all of their shares (including Excess Shares) for or against our initial business combination. Our shareholders’ inability to redeem the Excess Shares will reduce their influence over our ability to complete our initial business combination, and such shareholders could suffer a material loss in their investment if they sell such Excess Shares on the open market. Additionally, such shareholders will not receive redemption distributions with respect to the Excess Shares if we complete our initial business combination. And, as a result, such shareholders will continue to hold that number of shares exceeding 15% and, in order to dispose such shares would be required to sell their shares in open market transactions, potentially at a loss.</w:t>
      </w:r>
    </w:p>
    <w:p>
      <w:pPr>
        <w:spacing w:after="0" w:line="106"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If we seek shareholder approval, we will complete our initial business combination only if a majority of the ordinary shares, represented in person or by proxy and entitled to vote thereon, voted at a shareholder meeting, are voted in favor of the business combination. In such case, our sponsor and each member of our management team have agreed to vote their founder shares and any public shares purchased during or after this offering in favor of our initial business combination. As a result, in addition to our initial shareholders’ founder shares, we would need 11,250,001, or 37.5% (assuming all issued and outstanding shares are voted and the over-allotment option is not exercised), or 1,875,001, or 6.25% (assuming only the minimum number of shares representing a quorum are voted and the over-allotment option is not exercised), of the 30,000,000 public shares sold in this offering to be voted in favor of an initial business combination in order to have our initial business combination approved. Additionally, each public shareholder may elect to redeem their public shares irrespective of whether they vote for or against the proposed transaction.</w:t>
      </w:r>
    </w:p>
    <w:p>
      <w:pPr>
        <w:spacing w:after="0" w:line="104"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Pursuant to our amended and restated memorandum and articles of association, if we have not consummated an initial business combination within 18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subject to applicable law;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 Our sponsor and members of our management team have entered into agreements with us, pursuant to which they have agreed to waive their rights to liquidating distributions from the trust account with respect to their founder shares if we fail to consummate an initial business combination within 18 months from the closing of this offering. However, if our sponsor or members of our management team acquire public shares in or after this offering, they will be entitled to liquidating distributions from the trust account with respect to such</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7" w:name="page118"/>
    <w:bookmarkEnd w:id="117"/>
    <w:p>
      <w:pPr>
        <w:ind w:left="460" w:right="619"/>
        <w:spacing w:after="0" w:line="275" w:lineRule="auto"/>
        <w:rPr>
          <w:sz w:val="20"/>
          <w:szCs w:val="20"/>
          <w:color w:val="auto"/>
        </w:rPr>
      </w:pPr>
      <w:r>
        <w:rPr>
          <w:rFonts w:ascii="Arial" w:cs="Arial" w:eastAsia="Arial" w:hAnsi="Arial"/>
          <w:sz w:val="17"/>
          <w:szCs w:val="17"/>
          <w:color w:val="auto"/>
        </w:rPr>
        <w:t>public shares if we fail to complete our initial business combination within the prescribed time period. Our amended and restated memorandum and articles of association will provide that, if we wind up for any other reason prior to the consummation of our initial business combination, we will follow the foregoing procedures with respect to the liquidation of the trust account as promptly as reasonably possible but not more than ten business days thereafter, subject to applicable Cayman Islands law.</w:t>
      </w:r>
    </w:p>
    <w:p>
      <w:pPr>
        <w:spacing w:after="0" w:line="95"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In the event of a liquidation, dissolution or winding up of the company after a business combination, our shareholders are entitled to share ratably in all assets remaining available for distribution to them after payment of liabilities and after provision is made for each class of shares, if any, having preference over the ordinary shares. Our shareholders have no preemptive or other subscription rights. There are no sinking fund provisions applicable to the ordinary shares, except that we will provide our public shareholders with the opportunity to redeem their public shares for cash at a per share price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upon the completion of our initial business combination, subject to the limitations described herein.</w:t>
      </w:r>
    </w:p>
    <w:p>
      <w:pPr>
        <w:spacing w:after="0" w:line="18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Founder Shares</w:t>
      </w:r>
    </w:p>
    <w:p>
      <w:pPr>
        <w:spacing w:after="0" w:line="162"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The founder shares are designated as Class B ordinary shares and, except as described below, are identical to the Class A ordinary shares included in the units being sold in this offering, and holders of founder shares have the same shareholder rights as public shareholders, except that (i) the founder shares are subject to certain transfer restrictions, as described in more detail below; (ii) our sponsor, officers and directors have entered into agreements with us, pursuant to which they have agreed (A) to waive their redemption rights with respect to their founder shares and public shares in connection with the completion of our initial business combination, (B) to waive their redemption rights with respect to their founder shares and public shares in connection with a shareholder vote to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and (C) to waive their rights to liquidating distributions from the trust account with respect to its founder shares if we fail to consummate an initial business combination within 18 months from the closing of this offering, although it will be entitled to liquidating distributions from the trust account with respect to any public shares it holds if we fail to complete our initial business combination within such time period; (iii) the founder shares will automatically convert into Class A ordinary shares at the time of our initial business combination as described herein; and (iv) prior to the completion of our initial business combination, only our founder shares will have the right to vote on the election of our directors. If we submit our initial business combination to our public shareholders for a vote, our sponsor, our Founders and each member of our management team have agreed to vote their founder shares and any public shares purchased during or after this offering in favor of our initial business combination.</w:t>
      </w:r>
    </w:p>
    <w:p>
      <w:pPr>
        <w:spacing w:after="0" w:line="112"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The founder shares will automatically convert into Class A ordinary shares on the day of the consummation of our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this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our sponsor upon conversion of working capital loans. In no event will the Class B ordinary shares convert into Class A ordinary shares at a rate of less than one-to-one.</w:t>
      </w:r>
    </w:p>
    <w:p>
      <w:pPr>
        <w:spacing w:after="0" w:line="101"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Except as described herein, our sponsor and our directors and executive officers have agreed not to transfer, assign or sell any of their founder shares until (a) one year after the completion of our initial business combination, or (b) the date on which we complete a liquidation, merger, share exchange or other similar transaction after our initial business combination that results in all of our shareholders having the right to exchange their Class A ordinary shares for cash, securities or other property. Any permitted transferees will be subject to the same restrictions and</w:t>
      </w:r>
    </w:p>
    <w:p>
      <w:pPr>
        <w:spacing w:after="0" w:line="16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8" w:name="page119"/>
    <w:bookmarkEnd w:id="118"/>
    <w:p>
      <w:pPr>
        <w:ind w:left="460" w:right="699"/>
        <w:spacing w:after="0" w:line="255" w:lineRule="auto"/>
        <w:rPr>
          <w:sz w:val="20"/>
          <w:szCs w:val="20"/>
          <w:color w:val="auto"/>
        </w:rPr>
      </w:pPr>
      <w:r>
        <w:rPr>
          <w:rFonts w:ascii="Arial" w:cs="Arial" w:eastAsia="Arial" w:hAnsi="Arial"/>
          <w:sz w:val="18"/>
          <w:szCs w:val="18"/>
          <w:color w:val="auto"/>
        </w:rPr>
        <w:t>other agreements of our sponsor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11"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Prior to our initial business combination, only holders of our founder shares will have the right to vote on the election of directors. Holders of our public shares will not be entitled to vote on the election of directors during such time. In addition, prior to the completion of an initial business combination, holders of a majority of our founder shares may remove a member of the board of directors for any reason. These provisions of our amended and restated memorandum and articles of association may only be amended by a special resolution passed by not less than two-thirds of our ordinary shares who attend and vote at our shareholder meeting which shall include the affirmative vote of a simple majority of our Class B ordinary shares. With respect to any other matter submitted to a vote of our shareholders, including any vote in connection with our initial business combination, except as required by law, holders of our founder shares and holders of our public shares will vote together as a single class, with each share entitling the holder to one vote.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Register of Members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7"/>
          <w:szCs w:val="17"/>
          <w:color w:val="auto"/>
        </w:rPr>
        <w:t>Under Cayman Islands law, we must keep a register of members and there will be entered therein:</w:t>
      </w:r>
    </w:p>
    <w:p>
      <w:pPr>
        <w:spacing w:after="0" w:line="169" w:lineRule="exact"/>
        <w:rPr>
          <w:sz w:val="20"/>
          <w:szCs w:val="20"/>
          <w:color w:val="auto"/>
        </w:rPr>
      </w:pPr>
    </w:p>
    <w:p>
      <w:pPr>
        <w:jc w:val="both"/>
        <w:ind w:left="1320" w:right="539" w:hanging="434"/>
        <w:spacing w:after="0" w:line="263" w:lineRule="auto"/>
        <w:tabs>
          <w:tab w:leader="none" w:pos="1311"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names and addresses of the members, a statement of the shares held by each member, and of the amount paid or agreed to be considered as paid, on the shares of each member and the voting rights of shares;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on which the name of any person was entered on the register as a member;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4"/>
        </w:numPr>
        <w:rPr>
          <w:rFonts w:ascii="Arial" w:cs="Arial" w:eastAsia="Arial" w:hAnsi="Arial"/>
          <w:sz w:val="18"/>
          <w:szCs w:val="18"/>
          <w:color w:val="auto"/>
        </w:rPr>
      </w:pPr>
      <w:r>
        <w:rPr>
          <w:rFonts w:ascii="Arial" w:cs="Arial" w:eastAsia="Arial" w:hAnsi="Arial"/>
          <w:sz w:val="18"/>
          <w:szCs w:val="18"/>
          <w:color w:val="auto"/>
        </w:rPr>
        <w:t>the date on which any person ceased to be a member.</w:t>
      </w:r>
    </w:p>
    <w:p>
      <w:pPr>
        <w:spacing w:after="0" w:line="158"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Under Cayman Islands law, the register of members of our company is prima facie evidence of the matters set out therein (i.e., the register of members will raise a presumption of fact on the matters referred to above unless rebutted) and a member registered in the register of members will be deemed as a matter of Cayman Islands law to have legal title to the shares as set against its name in the register of members. Upon the closing of this public offering, the register of members will be immediately updated to reflect the issue of shares by us. Once our register of members has been updated, the shareholders recorded in the register of members will be deemed to have legal title to the shares set against their name.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If an application for an order for rectification of the register of members were made in respect of our ordinary shares, then the validity of such shares may be subject to re-examination by a Cayman Islands court.</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Preference Shares</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amended and restated memorandum and articles of association will authorize 1,000,000 preference shares and provide that preference shares may be issued from time to time in one or more series. Our board of directors will be authorized to fix the voting rights, if any, designations, powers, preferences, the relative, participating, optional or other special rights and any qualifications, limitations and restrictions thereof, applicable to the shares of each series. Our board of directors will be able to, without shareholder approval, issue preference shares with voting and other rights that could adversely affect the voting power and other rights of the holders of the ordinary shares and could have anti-takeover effects. The ability of our board of directors to issue preference shares without shareholder approval could have the effect of delaying, deferring or preventing a change of control of us or the removal of existing management. We have no preference shares issued and outstanding at the date hereof. Although we do not currently intend to issue any preference shares, we cannot assure you that we will not do so in the future. No preference shares are being issued or registered in this offering.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19" w:name="page120"/>
    <w:bookmarkEnd w:id="119"/>
    <w:p>
      <w:pPr>
        <w:ind w:left="460"/>
        <w:spacing w:after="0"/>
        <w:rPr>
          <w:sz w:val="20"/>
          <w:szCs w:val="20"/>
          <w:color w:val="auto"/>
        </w:rPr>
      </w:pPr>
      <w:r>
        <w:rPr>
          <w:rFonts w:ascii="Arial" w:cs="Arial" w:eastAsia="Arial" w:hAnsi="Arial"/>
          <w:sz w:val="18"/>
          <w:szCs w:val="18"/>
          <w:b w:val="1"/>
          <w:bCs w:val="1"/>
          <w:color w:val="auto"/>
        </w:rPr>
        <w:t>Warrants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Public Shareholders’ Warrants</w:t>
      </w:r>
    </w:p>
    <w:p>
      <w:pPr>
        <w:spacing w:after="0" w:line="158"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 xml:space="preserve">Each whole warrant entitles the registered holder to purchase one Class A ordinary share at a price of $11.50 per share, subject to adjustment as discussed below, at any time commencing on the later of one year from the closing of this offering or 30 days after the completion of our initial business combination,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in each case that we have an effective registration statement under the Securities Act covering the Class A ordinary shares issuable upon exercise of the warrants and a current prospectus relating to them is available (or we permit holders to exercise their warrants on a cashless basis under the circumstances specified in the warrant agreement) and such shares are registered, qualified or exempt from registration under the securities, or blue sky, laws of the state of residence of the holder. Pursuant to the warrant agreement, a warrant holder may exercise its warrants only for a whole number of Class A ordinary shares. This means only a whole warrant may be exercised at a given time by a warrant holder. No fractional warrants will be issued upon separation of the units and only whole warrants will trade. Accordingly, unless you purchase at least two units, you will not be able to receive or trade a whole warrant. The warrants will expire five years after the completion of our initial business combination, at 5:00 p.m., New York City time, or earlier upon redemption or liquidation.</w:t>
      </w:r>
    </w:p>
    <w:p>
      <w:pPr>
        <w:spacing w:after="0" w:line="93" w:lineRule="exact"/>
        <w:rPr>
          <w:sz w:val="20"/>
          <w:szCs w:val="20"/>
          <w:color w:val="auto"/>
        </w:rPr>
      </w:pPr>
    </w:p>
    <w:p>
      <w:pPr>
        <w:ind w:left="460" w:right="499" w:firstLine="432"/>
        <w:spacing w:after="0" w:line="286" w:lineRule="auto"/>
        <w:rPr>
          <w:sz w:val="20"/>
          <w:szCs w:val="20"/>
          <w:color w:val="auto"/>
        </w:rPr>
      </w:pPr>
      <w:r>
        <w:rPr>
          <w:rFonts w:ascii="Arial" w:cs="Arial" w:eastAsia="Arial" w:hAnsi="Arial"/>
          <w:sz w:val="16"/>
          <w:szCs w:val="16"/>
          <w:color w:val="auto"/>
        </w:rPr>
        <w:t>We will not be obligated to deliver any Class A ordinary shares pursuant to the exercise of a warrant and will have no obligation to settle such warrant exercise unless a registration statement under the Securities Act with respect to the Class A ordinary shares underlying the warrants is then effective and a prospectus relating thereto is current, subject to our satisfying our obligations described below with respect to registration, or a valid exemption from registration is available. No warrant will be exercisable and we will not be obligated to issue a Class A ordinary share upon exercise of a warrant unless the Class A ordinary share issuable upon such warrant exercise has been registered, qualified or deemed to be exempt under the securities laws of the state of residence of the registered holder of the warrants. In the event that the conditions in the two immediately preceding sentences are not satisfied with respect to a warrant, the holder of such warrant will not be entitled to exercise such warrant and such warrant may have no value and expire worthless. In no event will we be required to net cash settle any warrant. In the event that a registration statement is not effective for the exercised warrants, the purchaser of a unit containing such warrant will have paid the full purchase price for the unit solely for the Class A ordinary share underlying such unit.</w:t>
      </w:r>
    </w:p>
    <w:p>
      <w:pPr>
        <w:spacing w:after="0" w:line="106" w:lineRule="exact"/>
        <w:rPr>
          <w:sz w:val="20"/>
          <w:szCs w:val="20"/>
          <w:color w:val="auto"/>
        </w:rPr>
      </w:pPr>
    </w:p>
    <w:p>
      <w:pPr>
        <w:ind w:left="460" w:right="499" w:firstLine="432"/>
        <w:spacing w:after="0" w:line="285" w:lineRule="auto"/>
        <w:rPr>
          <w:sz w:val="20"/>
          <w:szCs w:val="20"/>
          <w:color w:val="auto"/>
        </w:rPr>
      </w:pPr>
      <w:r>
        <w:rPr>
          <w:rFonts w:ascii="Arial" w:cs="Arial" w:eastAsia="Arial" w:hAnsi="Arial"/>
          <w:sz w:val="16"/>
          <w:szCs w:val="16"/>
          <w:color w:val="auto"/>
        </w:rPr>
        <w:t>We have agreed that as soon as practicable, but in no event later than 20 business days after the closing of our initial business combination, we will use our commercially reasonable efforts to file with the SEC a registration statement for the registration, under the Securities Act, of the Class A ordinary shares issuable upon exercise of the warrants. We will use our commercially reasonable efforts to cause the same to become effective and to maintain the effectiveness of such registration statement, and a current prospectus relating thereto, until the expiration of the warrants in accordance with the provisions of the warrant agreement. If a registration statement covering the Class A ordinary shares issuable upon exercise of the warrants is not effective by the sixtieth day after the closing of the initial business combination, warrant holders may, until such time as there is an effective registration statement and during any period when we will have failed to maintain an effective registration statement, exercise warrants on a “cashless basis” in accordance with Section 3(a)(9) of the Securities Act or another exemption. In addition, if our Class A ordinary shares are at the time of any exercise of a warrant not listed on a national securities exchange such that it satisfies the definition of a “covered security” under Section 18(b)(1) of the Securities Act, we may, at our option, require holders of our public warrants who exercise their warrants to do so on a “cashless basis” in accordance with Section 3(a)(9) of the Securities Act and, in the event we elect to do so, we will not be required to file or maintain in effect a registration statement, but we will use our reasonable best efforts to register or qualify the shares under applicable blue sky laws to the extent an exemption is not available.</w:t>
      </w:r>
    </w:p>
    <w:p>
      <w:pPr>
        <w:spacing w:after="0" w:line="106" w:lineRule="exact"/>
        <w:rPr>
          <w:sz w:val="20"/>
          <w:szCs w:val="20"/>
          <w:color w:val="auto"/>
        </w:rPr>
      </w:pPr>
    </w:p>
    <w:p>
      <w:pPr>
        <w:ind w:left="460" w:right="1319" w:firstLine="432"/>
        <w:spacing w:after="0" w:line="277" w:lineRule="auto"/>
        <w:rPr>
          <w:sz w:val="20"/>
          <w:szCs w:val="20"/>
          <w:color w:val="auto"/>
        </w:rPr>
      </w:pPr>
      <w:r>
        <w:rPr>
          <w:rFonts w:ascii="Arial" w:cs="Arial" w:eastAsia="Arial" w:hAnsi="Arial"/>
          <w:sz w:val="18"/>
          <w:szCs w:val="18"/>
          <w:i w:val="1"/>
          <w:iCs w:val="1"/>
          <w:color w:val="auto"/>
        </w:rPr>
        <w:t xml:space="preserve">Redemptions of warrants. </w:t>
      </w:r>
      <w:r>
        <w:rPr>
          <w:rFonts w:ascii="Arial" w:cs="Arial" w:eastAsia="Arial" w:hAnsi="Arial"/>
          <w:sz w:val="18"/>
          <w:szCs w:val="18"/>
          <w:color w:val="auto"/>
        </w:rPr>
        <w:t>Once the warrants become exercisable, we may call the warrants for</w:t>
      </w:r>
      <w:r>
        <w:rPr>
          <w:rFonts w:ascii="Arial" w:cs="Arial" w:eastAsia="Arial" w:hAnsi="Arial"/>
          <w:sz w:val="18"/>
          <w:szCs w:val="18"/>
          <w:i w:val="1"/>
          <w:iCs w:val="1"/>
          <w:color w:val="auto"/>
        </w:rPr>
        <w:t xml:space="preserve"> </w:t>
      </w:r>
      <w:r>
        <w:rPr>
          <w:rFonts w:ascii="Arial" w:cs="Arial" w:eastAsia="Arial" w:hAnsi="Arial"/>
          <w:sz w:val="18"/>
          <w:szCs w:val="18"/>
          <w:color w:val="auto"/>
        </w:rPr>
        <w:t>redemption:</w:t>
      </w:r>
    </w:p>
    <w:p>
      <w:pPr>
        <w:spacing w:after="0" w:line="89" w:lineRule="exact"/>
        <w:rPr>
          <w:sz w:val="20"/>
          <w:szCs w:val="20"/>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5"/>
        </w:numPr>
        <w:rPr>
          <w:rFonts w:ascii="Arial" w:cs="Arial" w:eastAsia="Arial" w:hAnsi="Arial"/>
          <w:sz w:val="18"/>
          <w:szCs w:val="18"/>
          <w:color w:val="auto"/>
        </w:rPr>
      </w:pPr>
      <w:r>
        <w:rPr>
          <w:rFonts w:ascii="Arial" w:cs="Arial" w:eastAsia="Arial" w:hAnsi="Arial"/>
          <w:sz w:val="18"/>
          <w:szCs w:val="18"/>
          <w:color w:val="auto"/>
        </w:rPr>
        <w:t>upon not less than 30 days’ prior written notice of redemption to each warrant holder; and</w:t>
      </w:r>
    </w:p>
    <w:p>
      <w:pPr>
        <w:spacing w:after="0" w:line="144" w:lineRule="exact"/>
        <w:rPr>
          <w:rFonts w:ascii="Arial" w:cs="Arial" w:eastAsia="Arial" w:hAnsi="Arial"/>
          <w:sz w:val="18"/>
          <w:szCs w:val="18"/>
          <w:color w:val="auto"/>
        </w:rPr>
      </w:pPr>
    </w:p>
    <w:p>
      <w:pPr>
        <w:ind w:left="1320" w:right="639" w:hanging="434"/>
        <w:spacing w:after="0" w:line="279" w:lineRule="auto"/>
        <w:tabs>
          <w:tab w:leader="none" w:pos="1311" w:val="left"/>
        </w:tabs>
        <w:numPr>
          <w:ilvl w:val="0"/>
          <w:numId w:val="65"/>
        </w:numPr>
        <w:rPr>
          <w:rFonts w:ascii="Arial" w:cs="Arial" w:eastAsia="Arial" w:hAnsi="Arial"/>
          <w:sz w:val="17"/>
          <w:szCs w:val="17"/>
          <w:color w:val="auto"/>
        </w:rPr>
      </w:pPr>
      <w:r>
        <w:rPr>
          <w:rFonts w:ascii="Arial" w:cs="Arial" w:eastAsia="Arial" w:hAnsi="Arial"/>
          <w:sz w:val="17"/>
          <w:szCs w:val="17"/>
          <w:color w:val="auto"/>
        </w:rPr>
        <w:t>if, and only if, the reported closing price of the ordinary shares equals or exceeds $18.00 per share (as adjusted for share subdivisions, share capitalizations, reorganizations, recapitalizations and the like) for any 20 trading days within a 30-trading day period ending three business days before we send to the notice of redemption to the warrant holders.</w:t>
      </w:r>
    </w:p>
    <w:p>
      <w:pPr>
        <w:sectPr>
          <w:pgSz w:w="11900" w:h="16838" w:orient="portrait"/>
          <w:cols w:equalWidth="0" w:num="1">
            <w:col w:w="9019"/>
          </w:cols>
          <w:pgMar w:left="1440" w:top="337" w:right="1440" w:bottom="1440" w:gutter="0" w:footer="0" w:header="0"/>
        </w:sectPr>
      </w:pPr>
    </w:p>
    <w:p>
      <w:pPr>
        <w:spacing w:after="0" w:line="144"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20" w:name="page121"/>
    <w:bookmarkEnd w:id="120"/>
    <w:p>
      <w:pPr>
        <w:ind w:left="460" w:right="559" w:firstLine="432"/>
        <w:spacing w:after="0" w:line="342" w:lineRule="auto"/>
        <w:rPr>
          <w:sz w:val="20"/>
          <w:szCs w:val="20"/>
          <w:color w:val="auto"/>
        </w:rPr>
      </w:pPr>
      <w:r>
        <w:rPr>
          <w:rFonts w:ascii="Arial" w:cs="Arial" w:eastAsia="Arial" w:hAnsi="Arial"/>
          <w:sz w:val="16"/>
          <w:szCs w:val="16"/>
          <w:color w:val="auto"/>
        </w:rPr>
        <w:t>If and when the warrants become redeemable by us, we may exercise our redemption right even if we are unable to register or qualify the underlying securities for sale under all applicable state securities laws.</w:t>
      </w:r>
    </w:p>
    <w:p>
      <w:pPr>
        <w:spacing w:after="0" w:line="43" w:lineRule="exact"/>
        <w:rPr>
          <w:sz w:val="20"/>
          <w:szCs w:val="20"/>
          <w:color w:val="auto"/>
        </w:rPr>
      </w:pPr>
    </w:p>
    <w:p>
      <w:pPr>
        <w:ind w:left="460" w:right="499" w:firstLine="432"/>
        <w:spacing w:after="0" w:line="272" w:lineRule="auto"/>
        <w:rPr>
          <w:sz w:val="20"/>
          <w:szCs w:val="20"/>
          <w:color w:val="auto"/>
        </w:rPr>
      </w:pPr>
      <w:r>
        <w:rPr>
          <w:rFonts w:ascii="Arial" w:cs="Arial" w:eastAsia="Arial" w:hAnsi="Arial"/>
          <w:sz w:val="17"/>
          <w:szCs w:val="17"/>
          <w:color w:val="auto"/>
        </w:rPr>
        <w:t>We have established the last of the redemption criterion discussed above to prevent a redemption call unless there is at the time of the call a significant premium to the warrant exercise price. If the foregoing conditions are satisfied and we issue a notice of redemption of the warrants, each warrant holder will be entitled to exercise his, her or its warrant prior to the scheduled redemption date. However, the price of the Class A ordinary shares may fall below the $18.00 redemption trigger price (as adjusted for share subdivisions, share capitalizations, reorganizations, recapitalizations and the like) as well as the $11.50 (for whole shares) warrant exercise price after the redemption notice is issued.</w:t>
      </w:r>
    </w:p>
    <w:p>
      <w:pPr>
        <w:spacing w:after="0" w:line="110"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i w:val="1"/>
          <w:iCs w:val="1"/>
          <w:color w:val="auto"/>
        </w:rPr>
        <w:t xml:space="preserve">Redemption procedures and cashless exercise. </w:t>
      </w:r>
      <w:r>
        <w:rPr>
          <w:rFonts w:ascii="Arial" w:cs="Arial" w:eastAsia="Arial" w:hAnsi="Arial"/>
          <w:sz w:val="16"/>
          <w:szCs w:val="16"/>
          <w:color w:val="auto"/>
        </w:rPr>
        <w:t>If we call the warrants for redemption as described</w:t>
      </w:r>
      <w:r>
        <w:rPr>
          <w:rFonts w:ascii="Arial" w:cs="Arial" w:eastAsia="Arial" w:hAnsi="Arial"/>
          <w:sz w:val="16"/>
          <w:szCs w:val="16"/>
          <w:i w:val="1"/>
          <w:iCs w:val="1"/>
          <w:color w:val="auto"/>
        </w:rPr>
        <w:t xml:space="preserve"> </w:t>
      </w:r>
      <w:r>
        <w:rPr>
          <w:rFonts w:ascii="Arial" w:cs="Arial" w:eastAsia="Arial" w:hAnsi="Arial"/>
          <w:sz w:val="16"/>
          <w:szCs w:val="16"/>
          <w:color w:val="auto"/>
        </w:rPr>
        <w:t>above, our management will have the option to require any holder that wishes to exercise his, her or its warrant to do so on a “cashless basis.” In determining whether to require all holders to exercise their warrants on a “cashless basis,” our management will consider, among other factors, our cash position, the number of warrants that are outstanding and the dilutive effect on our shareholders of issuing the maximum number of Class A ordinary shares issuable upon the exercise of our warrants. If our management takes advantage of this option, all holders of warrants would pay the exercise price by surrendering their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 (y) the fair market value. The “fair market value” shall mean the average reported closing price of the Class A ordinary shares for the 10 trading days ending on the third trading day prior to the date on which the notice of redemption is sent to the holders of warrants. If our management takes advantage of this option, the notice of redemption will contain the information necessary to calculate the number of Class A ordinary shares to be received upon exercise of the warrants, including the “fair market value” in such case. Requiring a cashless exercise in this manner will reduce the number of shares to be issued and thereby lessen the dilutive effect of a warrant redemption. We believe this feature is an attractive option to us if we do not need the cash from the exercise of the warrants after our initial business combination. If we call our warrants for redemption and our management does not take advantage of this option, the holders of the private placement warrants and their permitted transferees would still be entitled to exercise their private placement warrants for cash or on a cashless basis using the same formula described above that other warrant holders would have been required to use had all warrant holders been required to exercise their warrants on a cashless basis, as described in more detail below.</w:t>
      </w:r>
    </w:p>
    <w:p>
      <w:pPr>
        <w:spacing w:after="0" w:line="328"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A holder of a warrant may notify us in writing in the event it elects to be subject to a requirement that such holder will not have the right to exercise such warrant, to the extent that after giving effect to such exercise, such person (together with such person’s affiliates), to the warrant agent’s actual knowledge, would beneficially own in excess of 4.9% or 9.8% (as specified by the holder) of the Class A ordinary shares issued and outstanding immediately after giving effect to such exercise.</w:t>
      </w:r>
    </w:p>
    <w:p>
      <w:pPr>
        <w:spacing w:after="0" w:line="95"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i w:val="1"/>
          <w:iCs w:val="1"/>
          <w:color w:val="auto"/>
        </w:rPr>
        <w:t xml:space="preserve">Anti-dilution Adjustments. </w:t>
      </w:r>
      <w:r>
        <w:rPr>
          <w:rFonts w:ascii="Arial" w:cs="Arial" w:eastAsia="Arial" w:hAnsi="Arial"/>
          <w:sz w:val="16"/>
          <w:szCs w:val="16"/>
          <w:color w:val="auto"/>
        </w:rPr>
        <w:t>If the number of outstanding Class A ordinary shares is increased by a share</w:t>
      </w:r>
      <w:r>
        <w:rPr>
          <w:rFonts w:ascii="Arial" w:cs="Arial" w:eastAsia="Arial" w:hAnsi="Arial"/>
          <w:sz w:val="16"/>
          <w:szCs w:val="16"/>
          <w:i w:val="1"/>
          <w:iCs w:val="1"/>
          <w:color w:val="auto"/>
        </w:rPr>
        <w:t xml:space="preserve"> </w:t>
      </w:r>
      <w:r>
        <w:rPr>
          <w:rFonts w:ascii="Arial" w:cs="Arial" w:eastAsia="Arial" w:hAnsi="Arial"/>
          <w:sz w:val="16"/>
          <w:szCs w:val="16"/>
          <w:color w:val="auto"/>
        </w:rPr>
        <w:t>dividend payable in Class A ordinary shares, or by a split-up of ordinary shares or other similar event, then, on the effective date of such share dividend, split-up or similar event, the number of Class A ordinary shares issuable on exercise of each warrant will be increased in proportion to such increase in the issued and outstanding ordinary shares. A rights offering to holders of ordinary shares entitling holders to purchase Class A ordinary shares at a price less than the fair market value will be deemed a share dividend of a number of Class A ordinary shares equal to the product of (i) the number of Class A ordinary shares actually sold in such rights offering (or issuable under any other equity securities sold in such rights offering that are convertible into or exercisable for Class A ordinary shares) and (ii) one minus the quotient of (x) the price per Class A ordinary share paid in such rights offering and (y) the fair market value. For these purposes, (i) if the rights offering is for securities convertible into or exercisable for Class A ordinary shares, in determining the price payable for Class A ordinary shares, there will be taken into account any consideration received for such rights, as well as any additional amount payable upon exercise or conversion and (ii) fair market value means the volume weighted average price of Class A ordinary shares as reported during the ten (10) trading day period ending on the trading day prior to the first date on which the Class A ordinary shares trade on the applicable exchange or in the applicable market, regular way, without the right to receive such rights.</w:t>
      </w:r>
    </w:p>
    <w:p>
      <w:pPr>
        <w:spacing w:after="0" w:line="14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1" w:name="page122"/>
    <w:bookmarkEnd w:id="121"/>
    <w:p>
      <w:pPr>
        <w:ind w:left="460" w:right="499" w:firstLine="432"/>
        <w:spacing w:after="0" w:line="267" w:lineRule="auto"/>
        <w:rPr>
          <w:sz w:val="20"/>
          <w:szCs w:val="20"/>
          <w:color w:val="auto"/>
        </w:rPr>
      </w:pPr>
      <w:r>
        <w:rPr>
          <w:rFonts w:ascii="Arial" w:cs="Arial" w:eastAsia="Arial" w:hAnsi="Arial"/>
          <w:sz w:val="17"/>
          <w:szCs w:val="17"/>
          <w:color w:val="auto"/>
        </w:rPr>
        <w:t>In addition, if we, at any time while the warrants are outstanding and unexpired, pay a dividend or make a distribution in cash, securities or other assets to all or substantially all of the holders of Class A ordinary shares on account of such Class A ordinary shares (or other securities into which the warrants are convertible), other than (a) as described above; (b) any cash dividends or cash distributions which, when combined on a per share basis with all other cash dividends and cash distributions paid on the Class A ordinary shares during the 365-day period ending on the date of declaration of such dividend or distribution does not exceed $0.50 (as adjusted to appropriately reflect any other adjustments and excluding cash dividends or cash distributions that resulted in an adjustment to the exercise price or to the number of Class A ordinary shares issuable on exercise of each warrant) but only with respect to the amount of the aggregate cash dividends or cash distributions equal to or less than $0.50 per share; (c) to satisfy the redemption rights of the holders of Class A ordinary shares in connection with a proposed initial business combination; (d) to satisfy the redemption rights of the holders of Class A ordinary shares in connection with a shareholder vote to amend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Class A ordinary shares if we do not consummate an initial business combination within 18 months from the closing of this offering; or (e) in connection with the redemption of our public shares upon our failure to complete our initial business combination, then the warrant exercise price will be decreased, effective immediately after the effective date of such event, by the amount of cash and/or the fair market value of any securities or other assets paid on each Class A ordinary share in respect of such event.</w:t>
      </w:r>
    </w:p>
    <w:p>
      <w:pPr>
        <w:spacing w:after="0" w:line="106" w:lineRule="exact"/>
        <w:rPr>
          <w:sz w:val="20"/>
          <w:szCs w:val="20"/>
          <w:color w:val="auto"/>
        </w:rPr>
      </w:pPr>
    </w:p>
    <w:p>
      <w:pPr>
        <w:ind w:left="460" w:right="519" w:firstLine="432"/>
        <w:spacing w:after="0" w:line="257" w:lineRule="auto"/>
        <w:rPr>
          <w:sz w:val="20"/>
          <w:szCs w:val="20"/>
          <w:color w:val="auto"/>
        </w:rPr>
      </w:pPr>
      <w:r>
        <w:rPr>
          <w:rFonts w:ascii="Arial" w:cs="Arial" w:eastAsia="Arial" w:hAnsi="Arial"/>
          <w:sz w:val="18"/>
          <w:szCs w:val="18"/>
          <w:color w:val="auto"/>
        </w:rPr>
        <w:t>If the number of outstanding Class A ordinary shares is decreased by a consolidation, combination, reverse share split or reclassification of Class A ordinary shares or other similar event, then, on the effective date of such consolidation, combination, reverse share split, reclassification or similar event, the number of Class A ordinary shares issuable on exercise of each warrant will be decreased in proportion to such decrease in outstanding Class A ordinary shares.</w:t>
      </w:r>
    </w:p>
    <w:p>
      <w:pPr>
        <w:spacing w:after="0" w:line="120"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Whenever the number of Class A ordinary shares purchasable upon the exercise of the warrants is adjusted, as described above, the warrant exercise price will be adjusted by multiplying the warrant exercise price immediately prior to such adjustment by a fraction (x) the numerator of which will be the number of Class A ordinary shares purchasable upon the exercise of the warrants immediately prior to such adjustment and (y) the denominator of which will be the number of Class A ordinary shares so purchasable immediately thereafter.</w:t>
      </w:r>
    </w:p>
    <w:p>
      <w:pPr>
        <w:spacing w:after="0" w:line="94"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addition, if (x) we issue additional Class A ordinary shares or equity-linked securities for capital raising purposes in connection with the closing of our initial business combination at an issue price or effective issue price of less than $9.20 per ordinary share (with such issue price or effective issue price to be determined in good faith by us and, (i) in the case of any such issuance to our sponsor or its affiliates, without taking into account any founder shares held by our sponsor or such affiliates, as applicable, prior to such issuance, and (ii) without taking into account the transfer of founder shares or private placement warrants (including if such transfer is effectuated as a surrender to us and subsequent reissuance by us) by our sponsor in connection with such issuance) (the “Newly Issued Price”), (y) the aggregate gross proceeds from such issuances represent more than 60% of the total equity proceeds, and interest thereon, available for the funding of our initial business combination on the date of the consummation of our initial business combination (net of redemptions), and (z) the volume weighted average trading price of our Class A ordinary shares during the 20 trading day period starting on the trading day prior to the day on which we consummate our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described in “— Redemption of warrants” will be adjusted (to the nearest cent) to be equal to 180% of the higher of the Market Value and the Newly Issued Price.</w:t>
      </w:r>
    </w:p>
    <w:p>
      <w:pPr>
        <w:spacing w:after="0" w:line="95" w:lineRule="exact"/>
        <w:rPr>
          <w:sz w:val="20"/>
          <w:szCs w:val="20"/>
          <w:color w:val="auto"/>
        </w:rPr>
      </w:pPr>
    </w:p>
    <w:p>
      <w:pPr>
        <w:ind w:left="460" w:right="459" w:firstLine="432"/>
        <w:spacing w:after="0" w:line="270" w:lineRule="auto"/>
        <w:rPr>
          <w:sz w:val="20"/>
          <w:szCs w:val="20"/>
          <w:color w:val="auto"/>
        </w:rPr>
      </w:pPr>
      <w:r>
        <w:rPr>
          <w:rFonts w:ascii="Arial" w:cs="Arial" w:eastAsia="Arial" w:hAnsi="Arial"/>
          <w:sz w:val="17"/>
          <w:szCs w:val="17"/>
          <w:color w:val="auto"/>
        </w:rPr>
        <w:t>In case of any reclassification or reorganization of the outstanding Class A ordinary shares (other than those described above or that solely affects the par value of such Class A ordinary shares), or in the case of any merger or consolidation of us with or into another corporation (other than a consolidation or merger in which we are the continuing corporation and that does not result in any reclassification or reorganization of our outstanding Class A ordinary shares), or in the case of any sale or conveyance to another corporation or entity of the assets or other property of us as an entirety or substantially as an entirety in connection with which we are dissolved, the holders of the warrants will thereafter have the right to purchase and receive, upon the basis and upon the terms and conditions specified in the warrants and in lieu of the Class A ordinary shares immediately theretofore purchasable and receivable upon the</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2" w:name="page123"/>
    <w:bookmarkEnd w:id="122"/>
    <w:p>
      <w:pPr>
        <w:ind w:left="460" w:right="479"/>
        <w:spacing w:after="0" w:line="286" w:lineRule="auto"/>
        <w:rPr>
          <w:sz w:val="20"/>
          <w:szCs w:val="20"/>
          <w:color w:val="auto"/>
        </w:rPr>
      </w:pPr>
      <w:r>
        <w:rPr>
          <w:rFonts w:ascii="Arial" w:cs="Arial" w:eastAsia="Arial" w:hAnsi="Arial"/>
          <w:sz w:val="16"/>
          <w:szCs w:val="16"/>
          <w:color w:val="auto"/>
        </w:rPr>
        <w:t>exercise of the rights represented thereby, the kind and amount of Class A ordinary shares or other securities or property (including cash) receivable upon such reclassification, reorganization, merger or consolidation, or upon a dissolution following any such sale or transfer, that the holder of the warrants would have received if such holder had exercised their warrants immediately prior to such event. If less than 70% of the consideration receivable by the holders of Class A ordinary shares in such a transaction is payable in the form of Class A ordinary shares in the successor entity that is listed for trading on a national securities exchange or is quoted in an established over-the-counter market, or is to be so listed for trading or quoted immediately following such event, and if the registered holder of the warrant properly exercises the warrant within thirty days following public disclosure of such transaction, the warrant exercise price will be reduced as specified in the warrant agreement based on the Black-Scholes value (as defined in the warrant agreement) of the warrant. The purpose of such exercise price reduction is to provide additional value to holders of the warrants when an extraordinary transaction occurs during the exercise period of the warrants pursuant to which the holders of the warrants otherwise do not receive the full potential value of the warrants.</w:t>
      </w:r>
    </w:p>
    <w:p>
      <w:pPr>
        <w:spacing w:after="0" w:line="93"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warrants will be issued in registered form under a warrant agreement between Continental Stock Transfer &amp; Trust Company, as warrant agent, and us. The warrant agreement provides that the terms of the warrants may be amended without the consent of any holder to (i) cure any ambiguity or correct any mistake, including to conform the provisions of the warrant agreement to the description of the terms of the warrants and the warrant agreement set forth in this prospectus, or defective provision, (ii) amending the definition of ordinary cash dividend as contemplated by the warrant agreement, or (iii) adding or changing any provisions with respect to matters or questions arising under the warrant agreement, but requires the approval by the holders of at least 65% of the then-outstanding public warrants to make any change that adversely affects the interests of the registered holders. You should review a copy of the warrant agreement, which will be filed as an exhibit to the registration statement of which this prospectus is a part, for a complete description of the terms and conditions applicable to the warrants.</w:t>
      </w:r>
    </w:p>
    <w:p>
      <w:pPr>
        <w:spacing w:after="0" w:line="114" w:lineRule="exact"/>
        <w:rPr>
          <w:sz w:val="20"/>
          <w:szCs w:val="20"/>
          <w:color w:val="auto"/>
        </w:rPr>
      </w:pPr>
    </w:p>
    <w:p>
      <w:pPr>
        <w:ind w:left="460" w:right="479" w:firstLine="432"/>
        <w:spacing w:after="0" w:line="271" w:lineRule="auto"/>
        <w:rPr>
          <w:sz w:val="20"/>
          <w:szCs w:val="20"/>
          <w:color w:val="auto"/>
        </w:rPr>
      </w:pPr>
      <w:r>
        <w:rPr>
          <w:rFonts w:ascii="Arial" w:cs="Arial" w:eastAsia="Arial" w:hAnsi="Arial"/>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(or on a cashless basis, if applicable), by certified or official bank check payable to us, for the number of warrants being exercised. The warrant holders do not have the rights or privileges of holders of ordinary shares and any voting rights until they exercise their warrants and receive Class A ordinary shares. After the issuance of Class A ordinary shares upon exercise of the warrants, each holder will be entitled to one vote for each share held of record on all matters to be voted on by shareholders.</w:t>
      </w:r>
    </w:p>
    <w:p>
      <w:pPr>
        <w:spacing w:after="0" w:line="111" w:lineRule="exact"/>
        <w:rPr>
          <w:sz w:val="20"/>
          <w:szCs w:val="20"/>
          <w:color w:val="auto"/>
        </w:rPr>
      </w:pPr>
    </w:p>
    <w:p>
      <w:pPr>
        <w:ind w:left="460" w:right="779" w:firstLine="432"/>
        <w:spacing w:after="0" w:line="311" w:lineRule="auto"/>
        <w:rPr>
          <w:sz w:val="20"/>
          <w:szCs w:val="20"/>
          <w:color w:val="auto"/>
        </w:rPr>
      </w:pPr>
      <w:r>
        <w:rPr>
          <w:rFonts w:ascii="Arial" w:cs="Arial" w:eastAsia="Arial" w:hAnsi="Arial"/>
          <w:sz w:val="16"/>
          <w:szCs w:val="16"/>
          <w:color w:val="auto"/>
        </w:rPr>
        <w:t>No fractional shares will be issued upon exercise of the warrants. If, upon exercise of the warrants, a holder would be entitled to receive a fractional interest in a share, we will, upon exercise, round down to the nearest whole number the number of Class A ordinary shares to be issued to the warrant holder.</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Private Placement Warrants</w:t>
      </w:r>
    </w:p>
    <w:p>
      <w:pPr>
        <w:spacing w:after="0" w:line="144"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The private placement warrants (including the Class A ordinary shares issuable upon exercise of the private placement warrants) will not be transferable, assignable or salable until 30 days after the completion of our initial business combination (except pursuant to limited exceptions as described under “Principal Shareholders — Transfers of Founder Shares and Private Placement Warrants,” to our officers and directors and other persons or entities affiliated with the initial purchasers of the private placement warrants) and they will not be redeemable by us so long as they are held by our sponsor or its permitted transferees. Our sponsor, or its permitted transferees, has the option to exercise the private placement warrants on a cashless basis. Except as described below, the private placement warrants have terms and provisions that are identical to those of the warrants being sold as part of the units in this offering. If the private placement warrants are held by holders other than our sponsor or its permitted transferees, the private placement warrants will be redeemable by us and exercisable by the holders on the same basis as the warrants included in the units being sold in this offering.</w:t>
      </w:r>
    </w:p>
    <w:p>
      <w:pPr>
        <w:spacing w:after="0" w:line="104" w:lineRule="exact"/>
        <w:rPr>
          <w:sz w:val="20"/>
          <w:szCs w:val="20"/>
          <w:color w:val="auto"/>
        </w:rPr>
      </w:pPr>
    </w:p>
    <w:p>
      <w:pPr>
        <w:ind w:left="460" w:right="519" w:firstLine="432"/>
        <w:spacing w:after="0" w:line="286" w:lineRule="auto"/>
        <w:rPr>
          <w:sz w:val="20"/>
          <w:szCs w:val="20"/>
          <w:color w:val="auto"/>
        </w:rPr>
      </w:pPr>
      <w:r>
        <w:rPr>
          <w:rFonts w:ascii="Arial" w:cs="Arial" w:eastAsia="Arial" w:hAnsi="Arial"/>
          <w:sz w:val="16"/>
          <w:szCs w:val="16"/>
          <w:color w:val="auto"/>
        </w:rPr>
        <w:t>If holders of the private placement warrants elect to exercise them on a cashless basis, they would pay the exercise price by surrendering his, her or its warrants for that number of Class A ordinary shares equal to the quotient obtained by dividing (x) the product of the number of Class A ordinary shares underlying the warrants, multiplied by the excess of the “fair market value” (defined below) over the exercise price of the warrants by</w:t>
      </w:r>
    </w:p>
    <w:p>
      <w:pPr>
        <w:spacing w:after="0" w:line="1" w:lineRule="exact"/>
        <w:rPr>
          <w:sz w:val="20"/>
          <w:szCs w:val="20"/>
          <w:color w:val="auto"/>
        </w:rPr>
      </w:pPr>
    </w:p>
    <w:p>
      <w:pPr>
        <w:ind w:left="460" w:right="559" w:hanging="6"/>
        <w:spacing w:after="0" w:line="253" w:lineRule="auto"/>
        <w:tabs>
          <w:tab w:leader="none" w:pos="715" w:val="left"/>
        </w:tabs>
        <w:numPr>
          <w:ilvl w:val="0"/>
          <w:numId w:val="66"/>
        </w:numPr>
        <w:rPr>
          <w:rFonts w:ascii="Arial" w:cs="Arial" w:eastAsia="Arial" w:hAnsi="Arial"/>
          <w:sz w:val="18"/>
          <w:szCs w:val="18"/>
          <w:color w:val="auto"/>
        </w:rPr>
      </w:pPr>
      <w:r>
        <w:rPr>
          <w:rFonts w:ascii="Arial" w:cs="Arial" w:eastAsia="Arial" w:hAnsi="Arial"/>
          <w:sz w:val="18"/>
          <w:szCs w:val="18"/>
          <w:color w:val="auto"/>
        </w:rPr>
        <w:t>the fair market value. The “fair market value” shall mean the average reported closing price of the Class A ordinary shares for the 10 trading days ending on the third trading day prior to the date on which the notice of warrant exercise is sent to the warrant agent. The reason that we have agreed that these warrants will be exercisable on a cashless basis so long as they are held by our sponsor and permitted transferees is because it is not known at this</w:t>
      </w:r>
    </w:p>
    <w:p>
      <w:pPr>
        <w:sectPr>
          <w:pgSz w:w="11900" w:h="16838" w:orient="portrait"/>
          <w:cols w:equalWidth="0" w:num="1">
            <w:col w:w="9019"/>
          </w:cols>
          <w:pgMar w:left="1440" w:top="274"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Arial" w:cs="Arial" w:eastAsia="Arial" w:hAnsi="Arial"/>
          <w:sz w:val="15"/>
          <w:szCs w:val="15"/>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36830</wp:posOffset>
            </wp:positionV>
            <wp:extent cx="51435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23" w:name="page124"/>
    <w:bookmarkEnd w:id="123"/>
    <w:p>
      <w:pPr>
        <w:ind w:left="460" w:right="499"/>
        <w:spacing w:after="0" w:line="253" w:lineRule="auto"/>
        <w:rPr>
          <w:sz w:val="20"/>
          <w:szCs w:val="20"/>
          <w:color w:val="auto"/>
        </w:rPr>
      </w:pPr>
      <w:r>
        <w:rPr>
          <w:rFonts w:ascii="Arial" w:cs="Arial" w:eastAsia="Arial" w:hAnsi="Arial"/>
          <w:sz w:val="18"/>
          <w:szCs w:val="18"/>
          <w:color w:val="auto"/>
        </w:rPr>
        <w:t>time whether they will be affiliated with us following a business combination. If they remain affiliated with us, their ability to sell our securities in the open market will be significantly limited. We expect to have policies in place that prohibit insiders from selling our securities except during specific periods of time. Even during such periods of time when insiders will be permitted to sell our securities, an insider cannot trade in our securities if he or she is in possession of material non-public information. Accordingly, unlike public shareholders who could exercise their warrants and sell the Class A ordinary shares received upon such exercise freely in the open market in order to recoup the cost of such exercise, the insiders could be significantly restricted from selling such securities. As a result, we believe that allowing the holders to exercise such warrants on a cashless basis is appropriate.</w:t>
      </w:r>
    </w:p>
    <w:p>
      <w:pPr>
        <w:spacing w:after="0" w:line="115"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In order to finance transaction costs in connection with an intended initial business combination, our sponsor or an affiliate of our sponsor or certain of our officers and directors may, but are not obligated to, loan us funds as may be required. Up to $1,500,000 of such loans may be convertible into warrants of the post business combination entity at a price of $1.00 per warrant at the option of the lender. Such warrants would be identical to the private placement warrants.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Dividends</w:t>
      </w:r>
    </w:p>
    <w:p>
      <w:pPr>
        <w:spacing w:after="0" w:line="162" w:lineRule="exact"/>
        <w:rPr>
          <w:sz w:val="20"/>
          <w:szCs w:val="20"/>
          <w:color w:val="auto"/>
        </w:rPr>
      </w:pPr>
    </w:p>
    <w:p>
      <w:pPr>
        <w:ind w:left="460" w:right="479" w:firstLine="432"/>
        <w:spacing w:after="0" w:line="253" w:lineRule="auto"/>
        <w:rPr>
          <w:sz w:val="20"/>
          <w:szCs w:val="20"/>
          <w:color w:val="auto"/>
        </w:rPr>
      </w:pPr>
      <w:r>
        <w:rPr>
          <w:rFonts w:ascii="Arial" w:cs="Arial" w:eastAsia="Arial" w:hAnsi="Arial"/>
          <w:sz w:val="18"/>
          <w:szCs w:val="18"/>
          <w:color w:val="auto"/>
        </w:rPr>
        <w:t>We have not paid any cash dividends on our ordinary shares to date and do not intend to pay cash dividends prior to the completion of a business combination. The payment of cash dividends in the future will be dependent upon our revenues and earnings, if any, capital requirements and general financial condition subsequent to completion of a business combination. The payment of any cash dividends subsequent to a business combination will be within the discretion of our board of directors at such time. If we increase the size of this offering, then we will effect a share capitalization with respect to our founder shares immediately prior to the consummation of this offering in such amount as to maintain the number of founder shares at 20% of our issued and outstanding ordinary shares upon the consummation of this offering. Further, if we incur any indebtedness, our ability to declare dividends may be limited by restrictive covenants we may agree to in connection therewith.</w:t>
      </w:r>
    </w:p>
    <w:p>
      <w:pPr>
        <w:spacing w:after="0" w:line="190"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Our Transfer Agent and Warrant Agent</w:t>
      </w:r>
    </w:p>
    <w:p>
      <w:pPr>
        <w:spacing w:after="0" w:line="162"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The transfer agent for our ordinary shares and warrant agent for our warrants is Continental Stock Transfer &amp; Trust Company. We have agreed to indemnify Continental Stock Transfer &amp; Trust Company in its roles as transfer agent and warrant agent, its agents and each of its shareholders, directors, officers and employees against all claims and losses that may arise out of acts performed or omitted for its activities in that capacity, except for any claims and losses due to any gross negligence or intentional misconduct of the indemnified person or entity.</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Certain Differences in Corporate Law</w:t>
      </w:r>
    </w:p>
    <w:p>
      <w:pPr>
        <w:spacing w:after="0" w:line="148" w:lineRule="exact"/>
        <w:rPr>
          <w:sz w:val="20"/>
          <w:szCs w:val="20"/>
          <w:color w:val="auto"/>
        </w:rPr>
      </w:pPr>
    </w:p>
    <w:p>
      <w:pPr>
        <w:ind w:left="460" w:right="639" w:firstLine="432"/>
        <w:spacing w:after="0" w:line="257" w:lineRule="auto"/>
        <w:rPr>
          <w:sz w:val="20"/>
          <w:szCs w:val="20"/>
          <w:color w:val="auto"/>
        </w:rPr>
      </w:pPr>
      <w:r>
        <w:rPr>
          <w:rFonts w:ascii="Arial" w:cs="Arial" w:eastAsia="Arial" w:hAnsi="Arial"/>
          <w:sz w:val="18"/>
          <w:szCs w:val="18"/>
          <w:color w:val="auto"/>
        </w:rPr>
        <w:t>Cayman Islands companies are governed by the Companies Law. The Companies Law is modeled on English Law but does not follow recent English Law statutory enactments, and differs from laws applicable to United States corporations and their shareholders. Set forth below is a summary of the material differences between the provisions of the Companies Law applicable to us and the laws applicable to companies incorporated in the United States and their shareholders.</w:t>
      </w:r>
    </w:p>
    <w:p>
      <w:pPr>
        <w:spacing w:after="0" w:line="120" w:lineRule="exact"/>
        <w:rPr>
          <w:sz w:val="20"/>
          <w:szCs w:val="20"/>
          <w:color w:val="auto"/>
        </w:rPr>
      </w:pPr>
    </w:p>
    <w:p>
      <w:pPr>
        <w:jc w:val="both"/>
        <w:ind w:left="460" w:right="459" w:firstLine="432"/>
        <w:spacing w:after="0" w:line="311" w:lineRule="auto"/>
        <w:rPr>
          <w:sz w:val="20"/>
          <w:szCs w:val="20"/>
          <w:color w:val="auto"/>
        </w:rPr>
      </w:pPr>
      <w:r>
        <w:rPr>
          <w:rFonts w:ascii="Arial" w:cs="Arial" w:eastAsia="Arial" w:hAnsi="Arial"/>
          <w:sz w:val="16"/>
          <w:szCs w:val="16"/>
          <w:i w:val="1"/>
          <w:iCs w:val="1"/>
          <w:color w:val="auto"/>
        </w:rPr>
        <w:t xml:space="preserve">Mergers and Similar Arrangements. </w:t>
      </w:r>
      <w:r>
        <w:rPr>
          <w:rFonts w:ascii="Arial" w:cs="Arial" w:eastAsia="Arial" w:hAnsi="Arial"/>
          <w:sz w:val="16"/>
          <w:szCs w:val="16"/>
          <w:color w:val="auto"/>
        </w:rPr>
        <w:t>In certain circumstances, the Companies Law allows for mergers or</w:t>
      </w:r>
      <w:r>
        <w:rPr>
          <w:rFonts w:ascii="Arial" w:cs="Arial" w:eastAsia="Arial" w:hAnsi="Arial"/>
          <w:sz w:val="16"/>
          <w:szCs w:val="16"/>
          <w:i w:val="1"/>
          <w:iCs w:val="1"/>
          <w:color w:val="auto"/>
        </w:rPr>
        <w:t xml:space="preserve"> </w:t>
      </w:r>
      <w:r>
        <w:rPr>
          <w:rFonts w:ascii="Arial" w:cs="Arial" w:eastAsia="Arial" w:hAnsi="Arial"/>
          <w:sz w:val="16"/>
          <w:szCs w:val="16"/>
          <w:color w:val="auto"/>
        </w:rPr>
        <w:t>consolidations between two Cayman Islands companies, or between a Cayman Islands exempted company and a company incorporated in another jurisdiction (</w:t>
      </w:r>
      <w:r>
        <w:rPr>
          <w:rFonts w:ascii="Arial" w:cs="Arial" w:eastAsia="Arial" w:hAnsi="Arial"/>
          <w:sz w:val="16"/>
          <w:szCs w:val="16"/>
          <w:i w:val="1"/>
          <w:iCs w:val="1"/>
          <w:color w:val="auto"/>
        </w:rPr>
        <w:t>provided</w:t>
      </w:r>
      <w:r>
        <w:rPr>
          <w:rFonts w:ascii="Arial" w:cs="Arial" w:eastAsia="Arial" w:hAnsi="Arial"/>
          <w:sz w:val="16"/>
          <w:szCs w:val="16"/>
          <w:color w:val="auto"/>
        </w:rPr>
        <w:t xml:space="preserve"> that is facilitated by the laws of that other jurisdiction).</w:t>
      </w:r>
    </w:p>
    <w:p>
      <w:pPr>
        <w:spacing w:after="0" w:line="81" w:lineRule="exact"/>
        <w:rPr>
          <w:sz w:val="20"/>
          <w:szCs w:val="20"/>
          <w:color w:val="auto"/>
        </w:rPr>
      </w:pPr>
    </w:p>
    <w:p>
      <w:pPr>
        <w:ind w:left="460" w:right="819" w:firstLine="432"/>
        <w:spacing w:after="0" w:line="287" w:lineRule="auto"/>
        <w:rPr>
          <w:sz w:val="20"/>
          <w:szCs w:val="20"/>
          <w:color w:val="auto"/>
        </w:rPr>
      </w:pPr>
      <w:r>
        <w:rPr>
          <w:rFonts w:ascii="Arial" w:cs="Arial" w:eastAsia="Arial" w:hAnsi="Arial"/>
          <w:sz w:val="16"/>
          <w:szCs w:val="16"/>
          <w:color w:val="auto"/>
        </w:rPr>
        <w:t>Where the merger or consolidation is between two Cayman Islands companies, the directors of each company must approve a written plan of merger or consolidation containing certain prescribed information. That plan or merger or consolidation must then be authorized by either (a) a special resolution (usually a</w:t>
      </w:r>
    </w:p>
    <w:p>
      <w:pPr>
        <w:spacing w:after="0" w:line="2" w:lineRule="exact"/>
        <w:rPr>
          <w:sz w:val="20"/>
          <w:szCs w:val="20"/>
          <w:color w:val="auto"/>
        </w:rPr>
      </w:pPr>
    </w:p>
    <w:p>
      <w:pPr>
        <w:ind w:left="460" w:right="539"/>
        <w:spacing w:after="0" w:line="266" w:lineRule="auto"/>
        <w:rPr>
          <w:sz w:val="20"/>
          <w:szCs w:val="20"/>
          <w:color w:val="auto"/>
        </w:rPr>
      </w:pPr>
      <w:r>
        <w:rPr>
          <w:rFonts w:ascii="Arial" w:cs="Arial" w:eastAsia="Arial" w:hAnsi="Arial"/>
          <w:sz w:val="16"/>
          <w:szCs w:val="16"/>
          <w:color w:val="auto"/>
        </w:rPr>
        <w:t>majority of 66</w:t>
      </w:r>
      <w:r>
        <w:rPr>
          <w:rFonts w:ascii="Arial" w:cs="Arial" w:eastAsia="Arial" w:hAnsi="Arial"/>
          <w:sz w:val="30"/>
          <w:szCs w:val="30"/>
          <w:color w:val="auto"/>
          <w:vertAlign w:val="superscript"/>
        </w:rPr>
        <w:t>2/3</w:t>
      </w:r>
      <w:r>
        <w:rPr>
          <w:rFonts w:ascii="Arial" w:cs="Arial" w:eastAsia="Arial" w:hAnsi="Arial"/>
          <w:sz w:val="16"/>
          <w:szCs w:val="16"/>
          <w:color w:val="auto"/>
        </w:rPr>
        <w:t xml:space="preserve"> % in value of the voting shares voted at a general meeting) of the shareholders of each company; or (b) such other authorization, if any, as may be specified in such constituent company’s articles of association. No shareholder resolution is required for a merger between a parent company (i.e., a company that owns at least 90% of the issued shares of each class in a subsidiary company) and its subsidiary company. The consent of each holder of a fixed or floating security interest of a constituent company must be obtained, unless the court waives such requirement. If the Cayman Islands Registrar of Companies is satisfied that the requirements of the Companies Law (which includes certain other formalities) have been complied with, the Registrar of Companies will register the plan of merger or consolidation.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4" w:name="page125"/>
    <w:bookmarkEnd w:id="124"/>
    <w:p>
      <w:pPr>
        <w:ind w:left="460" w:right="599" w:firstLine="432"/>
        <w:spacing w:after="0" w:line="287" w:lineRule="auto"/>
        <w:rPr>
          <w:sz w:val="20"/>
          <w:szCs w:val="20"/>
          <w:color w:val="auto"/>
        </w:rPr>
      </w:pPr>
      <w:r>
        <w:rPr>
          <w:rFonts w:ascii="Arial" w:cs="Arial" w:eastAsia="Arial" w:hAnsi="Arial"/>
          <w:sz w:val="16"/>
          <w:szCs w:val="16"/>
          <w:color w:val="auto"/>
        </w:rPr>
        <w:t>Where the merger or consolidation involves a foreign company, the procedure is similar, save that with respect to the foreign company, the directors of the Cayman Islands exempted company are required to make a declaration to the effect that, having made due enquiry, they are of the opinion that the requirements set out below have been met: (i) that the merger or consolidation is permitted or not prohibited by the constitutional documents of the foreign company and by the laws of the jurisdiction in which the foreign company is incorporated, and that those laws and any requirements of those constitutional documents have been or will be complied with; (ii) that no petition or other similar proceeding has been filed and remains outstanding or order made or resolution adopted to wind up or liquidate the foreign company in any jurisdictions; (iii) that no receiver, trustee, administrator or other similar person has been appointed in any jurisdiction and is acting in respect of the foreign company, its affairs or its property or any part thereof; and (iv) that no scheme, order, compromise or other similar arrangement has been entered into or made in any jurisdiction whereby the rights of creditors of the foreign company are and continue to be suspended or restricted.</w:t>
      </w:r>
    </w:p>
    <w:p>
      <w:pPr>
        <w:spacing w:after="0" w:line="87"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Where the surviving company is the Cayman Islands exempted company, the directors of the Cayman Islands exempted company are further required to make a declaration to the effect that, having made due enquiry, they are of the opinion that the requirements set out below have been met: (i) that the foreign company is able to pay its debts as they fall due and that the merger or consolidated is bona fide and not intended to defraud unsecured creditors of the foreign company; (ii) that in respect of the transfer of any security interest granted by the foreign company to the surviving or consolidated company (a) consent or approval to the transfer has been obtained, released or waived, (b) the transfer is permitted by and has been approved in accordance with the constitutional documents of the foreign company and (c) the laws of the jurisdiction of the foreign company with respect to the transfer have been or will be complied with; (iii) that the foreign company will, upon the merger or consolidation becoming effective, cease to be incorporated, registered or exist under the laws of the relevant foreign jurisdiction; and (iv) that there is no other reason why it would be against the public interest to permit the merger or consolidation.</w:t>
      </w:r>
    </w:p>
    <w:p>
      <w:pPr>
        <w:spacing w:after="0" w:line="111"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Where the above procedures are adopted, the Companies Law provides for a right of dissenting shareholders to be paid a payment of the fair value of his shares upon their dissenting to the merger or consolidation if they follow a prescribed procedure. In essence, that procedure is as follows: (a) the shareholder must give his written objection to the merger or consolidation to the constituent company before the vote on the merger or consolidation, including a statement that the shareholder proposes to demand payment for his shares if the merger or consolidation is authorized by the vote; (b) within 20 days following the date on which the merger or consolidation is approved by the shareholders, the constituent company must give written notice to each shareholder who made a written objection; (c) a shareholder must within 20 days following receipt of such notice from the constituent company, give the constituent company a written notice of his intention to dissent including, among other details, a demand for payment of the fair value of his shares; (d) within seven days following the date of the expiration of the period set out in paragraph (b) above or seven days following the date on which the plan of merger or consolidation is filed, whichever is later, the constituent company, the surviving company or the consolidated company must make a written offer to each dissenting shareholder to purchase his shares at a price that the company determines is the fair value and if the company and the shareholder agree the price within 30 days following the date on which the offer was made, the company must pay the shareholder such amount; and (e) if the company and the shareholder fail to agree a price within such 30-day period, within 20 days following the date on which such 30 day period expires, the company (and any dissenting shareholder) must file a petition with the Cayman Islands Grand Court to determine the fair value and such petition must be accompanied by a list of the names and addresses of the dissenting shareholders with whom agreements as to the fair value of their shares have not been reached by the company. At the hearing of that petition, the court has the power to determine the fair value of the shares together with a fair rate of interest, if any, to be paid by the company upon the amount determined to be the fair value. Any dissenting shareholder whose name appears on the list filed by the company may participate fully in all proceedings until the determination of fair value is reached. These rights of a dissenting shareholder are not available in certain circumstances, for example, to dissenters holding shares of any class in respect of which an open market exists on a recognized stock exchange or recognized interdealer quotation system at the relevant date or where the consideration for such shares to be contributed are shares of any company listed on a national securities exchange or shares of the surviving or consolidated company.</w:t>
      </w:r>
    </w:p>
    <w:p>
      <w:pPr>
        <w:spacing w:after="0" w:line="318" w:lineRule="exact"/>
        <w:rPr>
          <w:sz w:val="20"/>
          <w:szCs w:val="20"/>
          <w:color w:val="auto"/>
        </w:rPr>
      </w:pPr>
    </w:p>
    <w:p>
      <w:pPr>
        <w:ind w:left="460" w:right="519" w:firstLine="432"/>
        <w:spacing w:after="0" w:line="311" w:lineRule="auto"/>
        <w:rPr>
          <w:sz w:val="20"/>
          <w:szCs w:val="20"/>
          <w:color w:val="auto"/>
        </w:rPr>
      </w:pPr>
      <w:r>
        <w:rPr>
          <w:rFonts w:ascii="Arial" w:cs="Arial" w:eastAsia="Arial" w:hAnsi="Arial"/>
          <w:sz w:val="16"/>
          <w:szCs w:val="16"/>
          <w:color w:val="auto"/>
        </w:rPr>
        <w:t>Moreover, Cayman Islands law has separate statutory provisions that facilitate the reconstruction or amalgamation of companies in certain circumstances, schemes of arrangement will generally be more suited for complex mergers or other transactions involving widely held companies, commonly referred to in the Cayman</w:t>
      </w:r>
    </w:p>
    <w:p>
      <w:pPr>
        <w:spacing w:after="0" w:line="1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5" w:name="page126"/>
    <w:bookmarkEnd w:id="125"/>
    <w:p>
      <w:pPr>
        <w:ind w:left="460" w:right="539"/>
        <w:spacing w:after="0" w:line="288" w:lineRule="auto"/>
        <w:rPr>
          <w:sz w:val="20"/>
          <w:szCs w:val="20"/>
          <w:color w:val="auto"/>
        </w:rPr>
      </w:pPr>
      <w:r>
        <w:rPr>
          <w:rFonts w:ascii="Arial" w:cs="Arial" w:eastAsia="Arial" w:hAnsi="Arial"/>
          <w:sz w:val="16"/>
          <w:szCs w:val="16"/>
          <w:color w:val="auto"/>
        </w:rPr>
        <w:t>Islands as a “scheme of arrangement” which may be tantamount to a merger. In the event that a merger was sought pursuant to a scheme of arrangement (the procedures for which are more rigorous and take longer to complete than the procedures typically required to consummate a merger in the United States), the arrangement in question must be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 summoned for that purpose. The convening of the meetings and subsequently the terms of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87" w:lineRule="exact"/>
        <w:rPr>
          <w:sz w:val="20"/>
          <w:szCs w:val="20"/>
          <w:color w:val="auto"/>
        </w:rPr>
      </w:pPr>
    </w:p>
    <w:p>
      <w:pPr>
        <w:ind w:left="1320" w:right="499" w:hanging="434"/>
        <w:spacing w:after="0" w:line="277" w:lineRule="auto"/>
        <w:tabs>
          <w:tab w:leader="none" w:pos="13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we are not proposing to act illegally or beyond the scope of our corporate authority and the statutory provisions as to majority vote have been complied with;</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shareholders have been fairly represented at the meeting in question;</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arrangement is such as a businessman would reasonably approve; and</w:t>
      </w:r>
    </w:p>
    <w:p>
      <w:pPr>
        <w:spacing w:after="0" w:line="144"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67"/>
        </w:numPr>
        <w:rPr>
          <w:rFonts w:ascii="Arial" w:cs="Arial" w:eastAsia="Arial" w:hAnsi="Arial"/>
          <w:sz w:val="18"/>
          <w:szCs w:val="18"/>
          <w:color w:val="auto"/>
        </w:rPr>
      </w:pPr>
      <w:r>
        <w:rPr>
          <w:rFonts w:ascii="Arial" w:cs="Arial" w:eastAsia="Arial" w:hAnsi="Arial"/>
          <w:sz w:val="18"/>
          <w:szCs w:val="18"/>
          <w:color w:val="auto"/>
        </w:rPr>
        <w:t>the arrangement is not one that would more properly be sanctioned under some other provision of the Companies Law or that would amount to a “fraud on the minority.”</w:t>
      </w:r>
    </w:p>
    <w:p>
      <w:pPr>
        <w:spacing w:after="0" w:line="103"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If a scheme of arrangement or takeover offer (as described below) is approved, any dissenting shareholder would have no rights comparable to appraisal rights (providing rights to receive payment in cash for the judicially determined value of the shares), which would otherwise ordinarily be available to dissenting shareholders of United States corporations.</w:t>
      </w:r>
    </w:p>
    <w:p>
      <w:pPr>
        <w:spacing w:after="0" w:line="119" w:lineRule="exact"/>
        <w:rPr>
          <w:sz w:val="20"/>
          <w:szCs w:val="20"/>
          <w:color w:val="auto"/>
        </w:rPr>
      </w:pPr>
    </w:p>
    <w:p>
      <w:pPr>
        <w:ind w:left="460" w:right="539" w:firstLine="432"/>
        <w:spacing w:after="0" w:line="257" w:lineRule="auto"/>
        <w:rPr>
          <w:sz w:val="20"/>
          <w:szCs w:val="20"/>
          <w:color w:val="auto"/>
        </w:rPr>
      </w:pPr>
      <w:r>
        <w:rPr>
          <w:rFonts w:ascii="Arial" w:cs="Arial" w:eastAsia="Arial" w:hAnsi="Arial"/>
          <w:sz w:val="18"/>
          <w:szCs w:val="18"/>
          <w:i w:val="1"/>
          <w:iCs w:val="1"/>
          <w:color w:val="auto"/>
        </w:rPr>
        <w:t xml:space="preserve">Squeeze-out Provisions. </w:t>
      </w:r>
      <w:r>
        <w:rPr>
          <w:rFonts w:ascii="Arial" w:cs="Arial" w:eastAsia="Arial" w:hAnsi="Arial"/>
          <w:sz w:val="18"/>
          <w:szCs w:val="18"/>
          <w:color w:val="auto"/>
        </w:rPr>
        <w:t>When a takeover offer is made and accepted by holders of 90% of the shares to</w:t>
      </w:r>
      <w:r>
        <w:rPr>
          <w:rFonts w:ascii="Arial" w:cs="Arial" w:eastAsia="Arial" w:hAnsi="Arial"/>
          <w:sz w:val="18"/>
          <w:szCs w:val="18"/>
          <w:i w:val="1"/>
          <w:iCs w:val="1"/>
          <w:color w:val="auto"/>
        </w:rPr>
        <w:t xml:space="preserve"> </w:t>
      </w:r>
      <w:r>
        <w:rPr>
          <w:rFonts w:ascii="Arial" w:cs="Arial" w:eastAsia="Arial" w:hAnsi="Arial"/>
          <w:sz w:val="18"/>
          <w:szCs w:val="18"/>
          <w:color w:val="auto"/>
        </w:rPr>
        <w:t>whom the offer relates within four months, the offeror may, within a two-month period, require the holders of the remaining shares to transfer such shares on the terms of the offer. An objection can be made to the Grand Court of the Cayman Islands, but this is unlikely to succeed unless there is evidence of fraud, bad faith, collusion or inequitable treatment of the shareholders.</w:t>
      </w:r>
    </w:p>
    <w:p>
      <w:pPr>
        <w:spacing w:after="0" w:line="107" w:lineRule="exact"/>
        <w:rPr>
          <w:sz w:val="20"/>
          <w:szCs w:val="20"/>
          <w:color w:val="auto"/>
        </w:rPr>
      </w:pPr>
    </w:p>
    <w:p>
      <w:pPr>
        <w:ind w:left="460" w:right="1199" w:firstLine="432"/>
        <w:spacing w:after="0" w:line="340" w:lineRule="auto"/>
        <w:rPr>
          <w:sz w:val="20"/>
          <w:szCs w:val="20"/>
          <w:color w:val="auto"/>
        </w:rPr>
      </w:pPr>
      <w:r>
        <w:rPr>
          <w:rFonts w:ascii="Arial" w:cs="Arial" w:eastAsia="Arial" w:hAnsi="Arial"/>
          <w:sz w:val="15"/>
          <w:szCs w:val="15"/>
          <w:color w:val="auto"/>
        </w:rPr>
        <w:t>Further, transactions similar to a merger, reconstruction and/or an amalgamation may in some circumstances be achieved through means other than these statutory provisions, such as a share capital exchange, asset acquisition or control, or through contractual arrangements of an operating business.</w:t>
      </w:r>
    </w:p>
    <w:p>
      <w:pPr>
        <w:spacing w:after="0" w:line="63" w:lineRule="exact"/>
        <w:rPr>
          <w:sz w:val="20"/>
          <w:szCs w:val="20"/>
          <w:color w:val="auto"/>
        </w:rPr>
      </w:pPr>
    </w:p>
    <w:p>
      <w:pPr>
        <w:ind w:left="460" w:right="559" w:firstLine="432"/>
        <w:spacing w:after="0" w:line="291" w:lineRule="auto"/>
        <w:rPr>
          <w:sz w:val="20"/>
          <w:szCs w:val="20"/>
          <w:color w:val="auto"/>
        </w:rPr>
      </w:pPr>
      <w:r>
        <w:rPr>
          <w:rFonts w:ascii="Arial" w:cs="Arial" w:eastAsia="Arial" w:hAnsi="Arial"/>
          <w:sz w:val="16"/>
          <w:szCs w:val="16"/>
          <w:i w:val="1"/>
          <w:iCs w:val="1"/>
          <w:color w:val="auto"/>
        </w:rPr>
        <w:t xml:space="preserve">Shareholders’ Suits. </w:t>
      </w:r>
      <w:r>
        <w:rPr>
          <w:rFonts w:ascii="Arial" w:cs="Arial" w:eastAsia="Arial" w:hAnsi="Arial"/>
          <w:sz w:val="16"/>
          <w:szCs w:val="16"/>
          <w:color w:val="auto"/>
        </w:rPr>
        <w:t>Our Cayman Islands counsel is not aware of any reported class action having been</w:t>
      </w:r>
      <w:r>
        <w:rPr>
          <w:rFonts w:ascii="Arial" w:cs="Arial" w:eastAsia="Arial" w:hAnsi="Arial"/>
          <w:sz w:val="16"/>
          <w:szCs w:val="16"/>
          <w:i w:val="1"/>
          <w:iCs w:val="1"/>
          <w:color w:val="auto"/>
        </w:rPr>
        <w:t xml:space="preserve"> </w:t>
      </w:r>
      <w:r>
        <w:rPr>
          <w:rFonts w:ascii="Arial" w:cs="Arial" w:eastAsia="Arial" w:hAnsi="Arial"/>
          <w:sz w:val="16"/>
          <w:szCs w:val="16"/>
          <w:color w:val="auto"/>
        </w:rPr>
        <w:t>brought in a Cayman Islands court. Derivative actions have been brought in the Cayman Islands courts, and the Cayman Islands courts have confirmed the availability for such actions. In most cases, we will be the proper plaintiff in any claim based on a breach of duty owed to us, and a claim against (for example) our officers or directors usually may not be brought by a shareholder. However, based both on Cayman Islands authorities and on English authorities, which would in all likelihood be of persuasive authority and be applied by a court in the Cayman Islands, exceptions to the foregoing principle apply in circumstances in which:</w:t>
      </w:r>
    </w:p>
    <w:p>
      <w:pPr>
        <w:spacing w:after="0" w:line="99" w:lineRule="exact"/>
        <w:rPr>
          <w:sz w:val="20"/>
          <w:szCs w:val="20"/>
          <w:color w:val="auto"/>
        </w:rPr>
      </w:pPr>
    </w:p>
    <w:p>
      <w:pPr>
        <w:ind w:left="1300" w:hanging="41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a company is acting, or proposing to act, illegally or beyond the scope of its authority;</w:t>
      </w:r>
    </w:p>
    <w:p>
      <w:pPr>
        <w:spacing w:after="0" w:line="144" w:lineRule="exact"/>
        <w:rPr>
          <w:rFonts w:ascii="Arial" w:cs="Arial" w:eastAsia="Arial" w:hAnsi="Arial"/>
          <w:sz w:val="18"/>
          <w:szCs w:val="18"/>
          <w:color w:val="auto"/>
        </w:rPr>
      </w:pPr>
    </w:p>
    <w:p>
      <w:pPr>
        <w:ind w:left="1320" w:right="879" w:hanging="434"/>
        <w:spacing w:after="0" w:line="308" w:lineRule="auto"/>
        <w:tabs>
          <w:tab w:leader="none" w:pos="1311" w:val="left"/>
        </w:tabs>
        <w:numPr>
          <w:ilvl w:val="0"/>
          <w:numId w:val="68"/>
        </w:numPr>
        <w:rPr>
          <w:rFonts w:ascii="Arial" w:cs="Arial" w:eastAsia="Arial" w:hAnsi="Arial"/>
          <w:sz w:val="17"/>
          <w:szCs w:val="17"/>
          <w:color w:val="auto"/>
        </w:rPr>
      </w:pPr>
      <w:r>
        <w:rPr>
          <w:rFonts w:ascii="Arial" w:cs="Arial" w:eastAsia="Arial" w:hAnsi="Arial"/>
          <w:sz w:val="17"/>
          <w:szCs w:val="17"/>
          <w:color w:val="auto"/>
        </w:rPr>
        <w:t>the act complained of, although not beyond the scope of the authority, could be effected if duly authorized by more than the number of votes which have actually been obtained; or</w:t>
      </w:r>
    </w:p>
    <w:p>
      <w:pPr>
        <w:spacing w:after="0" w:line="78" w:lineRule="exact"/>
        <w:rPr>
          <w:rFonts w:ascii="Arial" w:cs="Arial" w:eastAsia="Arial" w:hAnsi="Arial"/>
          <w:sz w:val="17"/>
          <w:szCs w:val="17"/>
          <w:color w:val="auto"/>
        </w:rPr>
      </w:pPr>
    </w:p>
    <w:p>
      <w:pPr>
        <w:ind w:left="1300" w:hanging="414"/>
        <w:spacing w:after="0"/>
        <w:tabs>
          <w:tab w:leader="none" w:pos="1300" w:val="left"/>
        </w:tabs>
        <w:numPr>
          <w:ilvl w:val="0"/>
          <w:numId w:val="68"/>
        </w:numPr>
        <w:rPr>
          <w:rFonts w:ascii="Arial" w:cs="Arial" w:eastAsia="Arial" w:hAnsi="Arial"/>
          <w:sz w:val="18"/>
          <w:szCs w:val="18"/>
          <w:color w:val="auto"/>
        </w:rPr>
      </w:pPr>
      <w:r>
        <w:rPr>
          <w:rFonts w:ascii="Arial" w:cs="Arial" w:eastAsia="Arial" w:hAnsi="Arial"/>
          <w:sz w:val="18"/>
          <w:szCs w:val="18"/>
          <w:color w:val="auto"/>
        </w:rPr>
        <w:t>those who control the company are perpetrating a “fraud on the minority.”</w:t>
      </w:r>
    </w:p>
    <w:p>
      <w:pPr>
        <w:spacing w:after="0" w:line="158"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A shareholder may have a direct right of action against us where the individual rights of that shareholder have been infringed or are about to be infringed.</w:t>
      </w:r>
    </w:p>
    <w:p>
      <w:pPr>
        <w:spacing w:after="0" w:line="89" w:lineRule="exact"/>
        <w:rPr>
          <w:sz w:val="20"/>
          <w:szCs w:val="20"/>
          <w:color w:val="auto"/>
        </w:rPr>
      </w:pPr>
    </w:p>
    <w:p>
      <w:pPr>
        <w:jc w:val="both"/>
        <w:ind w:left="460" w:right="1199" w:firstLine="432"/>
        <w:spacing w:after="0" w:line="286" w:lineRule="auto"/>
        <w:rPr>
          <w:sz w:val="20"/>
          <w:szCs w:val="20"/>
          <w:color w:val="auto"/>
        </w:rPr>
      </w:pPr>
      <w:r>
        <w:rPr>
          <w:rFonts w:ascii="Arial" w:cs="Arial" w:eastAsia="Arial" w:hAnsi="Arial"/>
          <w:sz w:val="17"/>
          <w:szCs w:val="17"/>
          <w:i w:val="1"/>
          <w:iCs w:val="1"/>
          <w:color w:val="auto"/>
        </w:rPr>
        <w:t xml:space="preserve">Enforcement of Civil Liabilities. </w:t>
      </w:r>
      <w:r>
        <w:rPr>
          <w:rFonts w:ascii="Arial" w:cs="Arial" w:eastAsia="Arial" w:hAnsi="Arial"/>
          <w:sz w:val="17"/>
          <w:szCs w:val="17"/>
          <w:color w:val="auto"/>
        </w:rPr>
        <w:t>The Cayman Islands has a different body of securities laws as</w:t>
      </w:r>
      <w:r>
        <w:rPr>
          <w:rFonts w:ascii="Arial" w:cs="Arial" w:eastAsia="Arial" w:hAnsi="Arial"/>
          <w:sz w:val="17"/>
          <w:szCs w:val="17"/>
          <w:i w:val="1"/>
          <w:iCs w:val="1"/>
          <w:color w:val="auto"/>
        </w:rPr>
        <w:t xml:space="preserve"> </w:t>
      </w:r>
      <w:r>
        <w:rPr>
          <w:rFonts w:ascii="Arial" w:cs="Arial" w:eastAsia="Arial" w:hAnsi="Arial"/>
          <w:sz w:val="17"/>
          <w:szCs w:val="17"/>
          <w:color w:val="auto"/>
        </w:rPr>
        <w:t>compared to the United States and provides less protection to investors. Additionally, Cayman Islands companies may not have standing to sue before the Federal courts of the United States.</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6" w:name="page127"/>
    <w:bookmarkEnd w:id="126"/>
    <w:p>
      <w:pPr>
        <w:ind w:left="460" w:right="479" w:firstLine="432"/>
        <w:spacing w:after="0" w:line="285" w:lineRule="auto"/>
        <w:rPr>
          <w:sz w:val="20"/>
          <w:szCs w:val="20"/>
          <w:color w:val="auto"/>
        </w:rPr>
      </w:pPr>
      <w:r>
        <w:rPr>
          <w:rFonts w:ascii="Arial" w:cs="Arial" w:eastAsia="Arial" w:hAnsi="Arial"/>
          <w:sz w:val="16"/>
          <w:szCs w:val="16"/>
          <w:color w:val="auto"/>
        </w:rPr>
        <w:t>We have been advised by our Cayman Islands legal counsel that the courts of the Cayman Islands are unlikely (i) to recognize or enforce against us judgments of courts of the United States predicated upon the civil liability provisions of the federal securities laws of the United States or any state; and (ii) in original actions brought in the Cayman Islands, to impose liabilities against us predicated upon the civil liability provisions of the federal securities laws of the United States or any state, so far as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 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95"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i w:val="1"/>
          <w:iCs w:val="1"/>
          <w:color w:val="auto"/>
        </w:rPr>
        <w:t xml:space="preserve">Special Considerations for Exempted Companies. </w:t>
      </w:r>
      <w:r>
        <w:rPr>
          <w:rFonts w:ascii="Arial" w:cs="Arial" w:eastAsia="Arial" w:hAnsi="Arial"/>
          <w:sz w:val="17"/>
          <w:szCs w:val="17"/>
          <w:color w:val="auto"/>
        </w:rPr>
        <w:t>We are an exempted company with limited liability</w:t>
      </w:r>
      <w:r>
        <w:rPr>
          <w:rFonts w:ascii="Arial" w:cs="Arial" w:eastAsia="Arial" w:hAnsi="Arial"/>
          <w:sz w:val="17"/>
          <w:szCs w:val="17"/>
          <w:i w:val="1"/>
          <w:iCs w:val="1"/>
          <w:color w:val="auto"/>
        </w:rPr>
        <w:t xml:space="preserve"> </w:t>
      </w:r>
      <w:r>
        <w:rPr>
          <w:rFonts w:ascii="Arial" w:cs="Arial" w:eastAsia="Arial" w:hAnsi="Arial"/>
          <w:sz w:val="17"/>
          <w:szCs w:val="17"/>
          <w:color w:val="auto"/>
        </w:rPr>
        <w:t>(meaning our public shareholders have no liability, as members of the company, for liabilities of the company over and above the amount paid for their shares) under the Companies Law. The Companies Law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10" w:lineRule="exact"/>
        <w:rPr>
          <w:sz w:val="20"/>
          <w:szCs w:val="20"/>
          <w:color w:val="auto"/>
        </w:rPr>
      </w:pPr>
    </w:p>
    <w:p>
      <w:pPr>
        <w:ind w:left="1320" w:right="619" w:hanging="434"/>
        <w:spacing w:after="0" w:line="263" w:lineRule="auto"/>
        <w:tabs>
          <w:tab w:leader="none" w:pos="13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annual reporting requirements are minimal and consist mainly of a statement that the company has conducted its operations mainly outside of the Cayman Islands and has complied with the provisions of the Companies Law;</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exempted company’s register of members is not open to inspection;</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exempted company does not have to hold an annual general meeting;</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exempted company may issue negotiable or bearer shares or shares with no par value;</w:t>
      </w:r>
    </w:p>
    <w:p>
      <w:pPr>
        <w:spacing w:after="0" w:line="157" w:lineRule="exact"/>
        <w:rPr>
          <w:rFonts w:ascii="Arial" w:cs="Arial" w:eastAsia="Arial" w:hAnsi="Arial"/>
          <w:sz w:val="18"/>
          <w:szCs w:val="18"/>
          <w:color w:val="auto"/>
        </w:rPr>
      </w:pPr>
    </w:p>
    <w:p>
      <w:pPr>
        <w:ind w:left="1320" w:right="899" w:hanging="434"/>
        <w:spacing w:after="0" w:line="277" w:lineRule="auto"/>
        <w:tabs>
          <w:tab w:leader="none" w:pos="13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exempted company may obtain an undertaking against the imposition of any future taxation (such undertakings are usually given for 30 years in the first instance);</w:t>
      </w:r>
    </w:p>
    <w:p>
      <w:pPr>
        <w:spacing w:after="0" w:line="89" w:lineRule="exact"/>
        <w:rPr>
          <w:rFonts w:ascii="Arial" w:cs="Arial" w:eastAsia="Arial" w:hAnsi="Arial"/>
          <w:sz w:val="18"/>
          <w:szCs w:val="18"/>
          <w:color w:val="auto"/>
        </w:rPr>
      </w:pPr>
    </w:p>
    <w:p>
      <w:pPr>
        <w:ind w:left="1320" w:right="1299" w:hanging="434"/>
        <w:spacing w:after="0" w:line="277" w:lineRule="auto"/>
        <w:tabs>
          <w:tab w:leader="none" w:pos="1311"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exempted company may register by way of continuation in another jurisdiction and be deregistered in the Cayman Islands;</w:t>
      </w:r>
    </w:p>
    <w:p>
      <w:pPr>
        <w:spacing w:after="0" w:line="102" w:lineRule="exact"/>
        <w:rPr>
          <w:rFonts w:ascii="Arial" w:cs="Arial" w:eastAsia="Arial" w:hAnsi="Arial"/>
          <w:sz w:val="18"/>
          <w:szCs w:val="18"/>
          <w:color w:val="auto"/>
        </w:rPr>
      </w:pPr>
    </w:p>
    <w:p>
      <w:pPr>
        <w:ind w:left="1300" w:hanging="41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exempted company may register as a limited duration company; and</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69"/>
        </w:numPr>
        <w:rPr>
          <w:rFonts w:ascii="Arial" w:cs="Arial" w:eastAsia="Arial" w:hAnsi="Arial"/>
          <w:sz w:val="18"/>
          <w:szCs w:val="18"/>
          <w:color w:val="auto"/>
        </w:rPr>
      </w:pPr>
      <w:r>
        <w:rPr>
          <w:rFonts w:ascii="Arial" w:cs="Arial" w:eastAsia="Arial" w:hAnsi="Arial"/>
          <w:sz w:val="18"/>
          <w:szCs w:val="18"/>
          <w:color w:val="auto"/>
        </w:rPr>
        <w:t>an exempted company may register as a segregated portfolio company.</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Amended and Restated Memorandum and Articles of Association</w:t>
      </w:r>
    </w:p>
    <w:p>
      <w:pPr>
        <w:spacing w:after="0" w:line="148"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Our amended and restated memorandum and articles of association will contain provisions designed to provide certain rights and protections relating to this offering that will apply to us until the completion of our initial business combination. These provisions cannot be amended without a special resolution under Cayman Islands law. As a matter of Cayman Islands law, a resolution is deemed to be a special resolution where it has been approved by either (i) the affirmative vote of at least two-thirds (or any higher threshold specified in a company’s articles of association) of a company’s shareholders entitled to vote and so voting at a general meeting for which notice specifying the intention to propose the resolution as a special resolution has been given; or (ii) if so authorized by a company’s articles of association, by a unanimous written resolution of all of the company’s shareholders. Our amended and restated memorandum and articles of association will provide that special resolutions must be approved either by at least two-thirds of our shareholders who attend and vote at a general meeting of the company (i.e., the lowest threshold permissible under Cayman Islands law), or by a unanimous written resolution of all of our shareholders.</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7" w:name="page128"/>
    <w:bookmarkEnd w:id="127"/>
    <w:p>
      <w:pPr>
        <w:ind w:left="460" w:right="479" w:firstLine="432"/>
        <w:spacing w:after="0" w:line="275" w:lineRule="auto"/>
        <w:rPr>
          <w:sz w:val="20"/>
          <w:szCs w:val="20"/>
          <w:color w:val="auto"/>
        </w:rPr>
      </w:pPr>
      <w:r>
        <w:rPr>
          <w:rFonts w:ascii="Arial" w:cs="Arial" w:eastAsia="Arial" w:hAnsi="Arial"/>
          <w:sz w:val="17"/>
          <w:szCs w:val="17"/>
          <w:color w:val="auto"/>
        </w:rPr>
        <w:t>Our sponsor and its permitted transferees, if any, who will collectively beneficially own 20% of our ordinary shares upon the closing of this offering (assuming they do not purchase any units in this offering), will participate in any vote to amend our amended and restated memorandum and articles of association and will have the discretion to vote in any manner they choose. Specifically, our amended and restated memorandum and articles of association will provide, among other things, that:</w:t>
      </w:r>
    </w:p>
    <w:p>
      <w:pPr>
        <w:spacing w:after="0" w:line="95" w:lineRule="exact"/>
        <w:rPr>
          <w:sz w:val="20"/>
          <w:szCs w:val="20"/>
          <w:color w:val="auto"/>
        </w:rPr>
      </w:pPr>
    </w:p>
    <w:p>
      <w:pPr>
        <w:ind w:left="1320" w:right="459" w:hanging="434"/>
        <w:spacing w:after="0" w:line="287" w:lineRule="auto"/>
        <w:tabs>
          <w:tab w:leader="none" w:pos="1311"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we have not consummated an initial business combination within 18 months from the closing of this offering, we will (i) cease all operations except for the purpose of winding up; (ii) as promptly as reasonably possible but no more than ten business days thereafter, redeem the public shares, at a per-share price, payable in cash, equal to the aggregate amount then on deposit in the trust account, including interest earned on the funds held in the trust account and not previously released to us to pay our income taxes,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our board of directors, liquidate and dissolve, subject in the case of clauses (ii) and (iii) to our obligations under Cayman Islands law to provide for claims of creditors and in all cases subject to the other requirements of applicable law;</w:t>
      </w:r>
    </w:p>
    <w:p>
      <w:pPr>
        <w:spacing w:after="0" w:line="100" w:lineRule="exact"/>
        <w:rPr>
          <w:rFonts w:ascii="Arial" w:cs="Arial" w:eastAsia="Arial" w:hAnsi="Arial"/>
          <w:sz w:val="16"/>
          <w:szCs w:val="16"/>
          <w:color w:val="auto"/>
        </w:rPr>
      </w:pPr>
    </w:p>
    <w:p>
      <w:pPr>
        <w:ind w:left="1320" w:right="479" w:hanging="434"/>
        <w:spacing w:after="0" w:line="291" w:lineRule="auto"/>
        <w:tabs>
          <w:tab w:leader="none" w:pos="1311" w:val="left"/>
        </w:tabs>
        <w:numPr>
          <w:ilvl w:val="0"/>
          <w:numId w:val="70"/>
        </w:numPr>
        <w:rPr>
          <w:rFonts w:ascii="Arial" w:cs="Arial" w:eastAsia="Arial" w:hAnsi="Arial"/>
          <w:sz w:val="16"/>
          <w:szCs w:val="16"/>
          <w:color w:val="auto"/>
        </w:rPr>
      </w:pPr>
      <w:r>
        <w:rPr>
          <w:rFonts w:ascii="Arial" w:cs="Arial" w:eastAsia="Arial" w:hAnsi="Arial"/>
          <w:sz w:val="16"/>
          <w:szCs w:val="16"/>
          <w:color w:val="auto"/>
        </w:rPr>
        <w:t>prior to or in connection with our initial business combination, we may not issue additional securities that would entitle the holders thereof to (i) receive funds from the trust account or (ii) vote as a class with our public shares (a) on our initial business combination or on any other proposal presented to shareholders prior to or in connection with the completion of an initial business combination or (b) to approve an amendment to our amended and restated memorandum and articles of association to (x) extend the time we have to consummate a business combination beyond 18 months from the closing of this offering or (y) amend the foregoing provisions;</w:t>
      </w:r>
    </w:p>
    <w:p>
      <w:pPr>
        <w:spacing w:after="0" w:line="98" w:lineRule="exact"/>
        <w:rPr>
          <w:rFonts w:ascii="Arial" w:cs="Arial" w:eastAsia="Arial" w:hAnsi="Arial"/>
          <w:sz w:val="16"/>
          <w:szCs w:val="16"/>
          <w:color w:val="auto"/>
        </w:rPr>
      </w:pPr>
    </w:p>
    <w:p>
      <w:pPr>
        <w:ind w:left="1320" w:right="519" w:hanging="434"/>
        <w:spacing w:after="0" w:line="255" w:lineRule="auto"/>
        <w:tabs>
          <w:tab w:leader="none" w:pos="13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although we do not intend to enter into a business combination with a target business that is affiliated with our sponsor, our directors or our executive officers, we are not prohibited from doing so. In the event we enter into such a transaction, we, or a committee of independent directors, will obtain an opinion from an independent investment banking firm or another independent entity that commonly renders valuation opinions that such a business combination is fair to our company from a financial point of view;</w:t>
      </w:r>
    </w:p>
    <w:p>
      <w:pPr>
        <w:spacing w:after="0" w:line="111" w:lineRule="exact"/>
        <w:rPr>
          <w:rFonts w:ascii="Arial" w:cs="Arial" w:eastAsia="Arial" w:hAnsi="Arial"/>
          <w:sz w:val="18"/>
          <w:szCs w:val="18"/>
          <w:color w:val="auto"/>
        </w:rPr>
      </w:pPr>
    </w:p>
    <w:p>
      <w:pPr>
        <w:ind w:left="1320" w:right="479" w:hanging="434"/>
        <w:spacing w:after="0" w:line="293" w:lineRule="auto"/>
        <w:tabs>
          <w:tab w:leader="none" w:pos="1311"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a shareholder vote on our initial business combination is not required by law and we do not decide to hold a shareholder vote for business or other legal reasons, we will offer to redeem our public shares pursuant to Rule 13e-4 and Regulation 14E of the Exchange Act, and will file tender offer documents with the SEC prior to completing our initial business combination which contain substantially the same financial and other information about our initial business combination and the redemption rights as is required under Regulation 14A of the Exchange Act;</w:t>
      </w:r>
    </w:p>
    <w:p>
      <w:pPr>
        <w:spacing w:after="0" w:line="96" w:lineRule="exact"/>
        <w:rPr>
          <w:rFonts w:ascii="Arial" w:cs="Arial" w:eastAsia="Arial" w:hAnsi="Arial"/>
          <w:sz w:val="16"/>
          <w:szCs w:val="16"/>
          <w:color w:val="auto"/>
        </w:rPr>
      </w:pPr>
    </w:p>
    <w:p>
      <w:pPr>
        <w:ind w:left="1320" w:right="479" w:hanging="434"/>
        <w:spacing w:after="0" w:line="301" w:lineRule="auto"/>
        <w:tabs>
          <w:tab w:leader="none" w:pos="1311" w:val="left"/>
        </w:tabs>
        <w:numPr>
          <w:ilvl w:val="0"/>
          <w:numId w:val="70"/>
        </w:numPr>
        <w:rPr>
          <w:rFonts w:ascii="Arial" w:cs="Arial" w:eastAsia="Arial" w:hAnsi="Arial"/>
          <w:sz w:val="16"/>
          <w:szCs w:val="16"/>
          <w:color w:val="auto"/>
        </w:rPr>
      </w:pPr>
      <w:r>
        <w:rPr>
          <w:rFonts w:ascii="Arial" w:cs="Arial" w:eastAsia="Arial" w:hAnsi="Arial"/>
          <w:sz w:val="16"/>
          <w:szCs w:val="16"/>
          <w:color w:val="auto"/>
        </w:rPr>
        <w:t>our initial business combination must occur with one or more target businesses that together have an aggregate fair market value of at least 80% of the assets held in the trust account (excluding the amount of deferred underwriting discounts held in trust and taxes payable on the income earned on the trust account) at the time of the agreement to enter into the initial business combination;</w:t>
      </w:r>
    </w:p>
    <w:p>
      <w:pPr>
        <w:spacing w:after="0" w:line="89" w:lineRule="exact"/>
        <w:rPr>
          <w:rFonts w:ascii="Arial" w:cs="Arial" w:eastAsia="Arial" w:hAnsi="Arial"/>
          <w:sz w:val="16"/>
          <w:szCs w:val="16"/>
          <w:color w:val="auto"/>
        </w:rPr>
      </w:pPr>
    </w:p>
    <w:p>
      <w:pPr>
        <w:ind w:left="1320" w:right="499" w:hanging="434"/>
        <w:spacing w:after="0" w:line="288" w:lineRule="auto"/>
        <w:tabs>
          <w:tab w:leader="none" w:pos="1311" w:val="left"/>
        </w:tabs>
        <w:numPr>
          <w:ilvl w:val="0"/>
          <w:numId w:val="70"/>
        </w:numPr>
        <w:rPr>
          <w:rFonts w:ascii="Arial" w:cs="Arial" w:eastAsia="Arial" w:hAnsi="Arial"/>
          <w:sz w:val="16"/>
          <w:szCs w:val="16"/>
          <w:color w:val="auto"/>
        </w:rPr>
      </w:pPr>
      <w:r>
        <w:rPr>
          <w:rFonts w:ascii="Arial" w:cs="Arial" w:eastAsia="Arial" w:hAnsi="Arial"/>
          <w:sz w:val="16"/>
          <w:szCs w:val="16"/>
          <w:color w:val="auto"/>
        </w:rPr>
        <w:t>if our shareholders approve an amendment to our amended and restated memorandum and articles of association that would affect the substance or timing of our obligation to provide holders of our Class A ordinary shares the right to have their shares redeemed in connection with our initial business combination or to redeem 100% of our public shares if we do not consummate an initial business combination within 18 months from the closing of this offering, we will provide our public shareholders with the opportunity to redeem all or a portion of their ordinary shares upon such approval at a per-share price, payable in cash, equal to the aggregate amount then on deposit in the trust account, including interest earned on the funds held in the trust account and not previously released to us to pay our income taxes, if any, divided by the number of the then-outstanding public shares, subject to the limitations described herein; and</w:t>
      </w:r>
    </w:p>
    <w:p>
      <w:pPr>
        <w:spacing w:after="0" w:line="87" w:lineRule="exact"/>
        <w:rPr>
          <w:rFonts w:ascii="Arial" w:cs="Arial" w:eastAsia="Arial" w:hAnsi="Arial"/>
          <w:sz w:val="16"/>
          <w:szCs w:val="16"/>
          <w:color w:val="auto"/>
        </w:rPr>
      </w:pPr>
    </w:p>
    <w:p>
      <w:pPr>
        <w:ind w:left="1320" w:right="559" w:hanging="434"/>
        <w:spacing w:after="0" w:line="277" w:lineRule="auto"/>
        <w:tabs>
          <w:tab w:leader="none" w:pos="1311" w:val="left"/>
        </w:tabs>
        <w:numPr>
          <w:ilvl w:val="0"/>
          <w:numId w:val="70"/>
        </w:numPr>
        <w:rPr>
          <w:rFonts w:ascii="Arial" w:cs="Arial" w:eastAsia="Arial" w:hAnsi="Arial"/>
          <w:sz w:val="18"/>
          <w:szCs w:val="18"/>
          <w:color w:val="auto"/>
        </w:rPr>
      </w:pPr>
      <w:r>
        <w:rPr>
          <w:rFonts w:ascii="Arial" w:cs="Arial" w:eastAsia="Arial" w:hAnsi="Arial"/>
          <w:sz w:val="18"/>
          <w:szCs w:val="18"/>
          <w:color w:val="auto"/>
        </w:rPr>
        <w:t>we will not effectuate our initial business combination solely with another blank check company or a similar company with nominal operations.</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8" w:name="page129"/>
    <w:bookmarkEnd w:id="128"/>
    <w:p>
      <w:pPr>
        <w:jc w:val="both"/>
        <w:ind w:left="460" w:right="519" w:firstLine="432"/>
        <w:spacing w:after="0" w:line="263" w:lineRule="auto"/>
        <w:rPr>
          <w:sz w:val="20"/>
          <w:szCs w:val="20"/>
          <w:color w:val="auto"/>
        </w:rPr>
      </w:pPr>
      <w:r>
        <w:rPr>
          <w:rFonts w:ascii="Arial" w:cs="Arial" w:eastAsia="Arial" w:hAnsi="Arial"/>
          <w:sz w:val="18"/>
          <w:szCs w:val="18"/>
          <w:color w:val="auto"/>
        </w:rPr>
        <w:t>In addition, our amended and restated memorandum and articles of association will provide that under no circumstances will we redeem our public shares in an amount that would cause our net tangible assets to be less than $5,000,001.</w:t>
      </w:r>
    </w:p>
    <w:p>
      <w:pPr>
        <w:spacing w:after="0" w:line="103"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The Companies Law permits a company incorporated in the Cayman Islands to amend its memorandum and articles of association with the approval of a special resolution which requires the approval of the holders of at least two-thirds of such company’s issued and outstanding ordinary shares who attend and vote at a general meeting or by way of unanimous written resolution. A company’s articles of association may specify that the approval of a higher majority is required but, provided the approval of the required majority is obtained, any Cayman Islands exempted company may amend its memorandum and articles of association regardless of whether its memorandum and articles of association provide otherwise. Accordingly, although we could amend any of the provisions relating to our proposed offering, structure and business plan which are contained in our amended and restated memorandum and articles of association, we view all of these provisions as binding obligations to our shareholders and neither we, nor our officers or directors, will take any action to amend or waive any of these provisions unless we provide dissenting public shareholders with the opportunity to redeem their public shares.</w:t>
      </w:r>
    </w:p>
    <w:p>
      <w:pPr>
        <w:spacing w:after="0" w:line="111" w:lineRule="exact"/>
        <w:rPr>
          <w:sz w:val="20"/>
          <w:szCs w:val="20"/>
          <w:color w:val="auto"/>
        </w:rPr>
      </w:pPr>
    </w:p>
    <w:p>
      <w:pPr>
        <w:ind w:left="460" w:right="659" w:firstLine="432"/>
        <w:spacing w:after="0" w:line="308" w:lineRule="auto"/>
        <w:rPr>
          <w:sz w:val="20"/>
          <w:szCs w:val="20"/>
          <w:color w:val="auto"/>
        </w:rPr>
      </w:pPr>
      <w:r>
        <w:rPr>
          <w:rFonts w:ascii="Arial" w:cs="Arial" w:eastAsia="Arial" w:hAnsi="Arial"/>
          <w:sz w:val="17"/>
          <w:szCs w:val="17"/>
          <w:color w:val="auto"/>
        </w:rPr>
        <w:t>We have agreed with our sponsor that, prior to the consummation of an initial business combination, we may not, without the consent of our sponsor, issue any additional equity securities.</w:t>
      </w:r>
    </w:p>
    <w:p>
      <w:pPr>
        <w:spacing w:after="0" w:line="14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Anti-Money Laundering — Cayman Islands</w:t>
      </w:r>
    </w:p>
    <w:p>
      <w:pPr>
        <w:spacing w:after="0" w:line="162" w:lineRule="exact"/>
        <w:rPr>
          <w:sz w:val="20"/>
          <w:szCs w:val="20"/>
          <w:color w:val="auto"/>
        </w:rPr>
      </w:pPr>
    </w:p>
    <w:p>
      <w:pPr>
        <w:ind w:left="460" w:right="679" w:firstLine="432"/>
        <w:spacing w:after="0" w:line="275" w:lineRule="auto"/>
        <w:rPr>
          <w:sz w:val="20"/>
          <w:szCs w:val="20"/>
          <w:color w:val="auto"/>
        </w:rPr>
      </w:pPr>
      <w:r>
        <w:rPr>
          <w:rFonts w:ascii="Arial" w:cs="Arial" w:eastAsia="Arial" w:hAnsi="Arial"/>
          <w:sz w:val="17"/>
          <w:szCs w:val="17"/>
          <w:color w:val="auto"/>
        </w:rPr>
        <w:t>In order to comply with legislation or regulations aimed at the prevention of money laundering, we are required to adopt and maintain anti-money laundering procedures, and may require subscribers to provide evidence to verify their identity and source of funds. Where permitted, and subject to certain conditions, we may also delegate the maintenance of our anti-money laundering procedures (including the acquisition of due diligence information) to a suitable person.</w:t>
      </w:r>
    </w:p>
    <w:p>
      <w:pPr>
        <w:spacing w:after="0" w:line="95" w:lineRule="exact"/>
        <w:rPr>
          <w:sz w:val="20"/>
          <w:szCs w:val="20"/>
          <w:color w:val="auto"/>
        </w:rPr>
      </w:pPr>
    </w:p>
    <w:p>
      <w:pPr>
        <w:ind w:left="460" w:right="499" w:firstLine="432"/>
        <w:spacing w:after="0" w:line="257" w:lineRule="auto"/>
        <w:rPr>
          <w:sz w:val="20"/>
          <w:szCs w:val="20"/>
          <w:color w:val="auto"/>
        </w:rPr>
      </w:pPr>
      <w:r>
        <w:rPr>
          <w:rFonts w:ascii="Arial" w:cs="Arial" w:eastAsia="Arial" w:hAnsi="Arial"/>
          <w:sz w:val="18"/>
          <w:szCs w:val="18"/>
          <w:color w:val="auto"/>
        </w:rPr>
        <w:t>We reserve the right to request such information as is necessary to verify the identity of a subscriber. In some cases the directors may be satisfied that no further information is required since an exemption applies under the Anti-Money Laundering Regulations (2020 Revision) of the Cayman Islands, as amended and revised from time to time (the “Regulations”). Depending on the circumstances of each application, a detailed verification of identity might not be required where:</w:t>
      </w:r>
    </w:p>
    <w:p>
      <w:pPr>
        <w:spacing w:after="0" w:line="120" w:lineRule="exact"/>
        <w:rPr>
          <w:sz w:val="20"/>
          <w:szCs w:val="20"/>
          <w:color w:val="auto"/>
        </w:rPr>
      </w:pPr>
    </w:p>
    <w:p>
      <w:pPr>
        <w:ind w:left="1320" w:right="619" w:hanging="434"/>
        <w:spacing w:after="0" w:line="342" w:lineRule="auto"/>
        <w:tabs>
          <w:tab w:leader="none" w:pos="1298"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subscriber is a relevant financial business required to comply with the Anti-Money Laundering Regulations (2020 Revision) or is a majority-owned subsidiary of such a business; or</w:t>
      </w:r>
    </w:p>
    <w:p>
      <w:pPr>
        <w:spacing w:after="0" w:line="29" w:lineRule="exact"/>
        <w:rPr>
          <w:rFonts w:ascii="Arial" w:cs="Arial" w:eastAsia="Arial" w:hAnsi="Arial"/>
          <w:sz w:val="16"/>
          <w:szCs w:val="16"/>
          <w:color w:val="auto"/>
        </w:rPr>
      </w:pPr>
    </w:p>
    <w:p>
      <w:pPr>
        <w:ind w:left="1320" w:right="619" w:hanging="434"/>
        <w:spacing w:after="0" w:line="259" w:lineRule="auto"/>
        <w:tabs>
          <w:tab w:leader="none" w:pos="13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subscriber is acting in the course of a business in relation to which a regulatory authority exercises regulatory functions and which is in a country listed by the Cayman Islands Anti-Money Laundering Steering Committee (“Equivalent Jurisdiction”) or is a majority-owned subsidiary of such subscriber; or</w:t>
      </w:r>
    </w:p>
    <w:p>
      <w:pPr>
        <w:spacing w:after="0" w:line="105" w:lineRule="exact"/>
        <w:rPr>
          <w:rFonts w:ascii="Arial" w:cs="Arial" w:eastAsia="Arial" w:hAnsi="Arial"/>
          <w:sz w:val="18"/>
          <w:szCs w:val="18"/>
          <w:color w:val="auto"/>
        </w:rPr>
      </w:pPr>
    </w:p>
    <w:p>
      <w:pPr>
        <w:ind w:left="1320" w:right="479" w:hanging="434"/>
        <w:spacing w:after="0" w:line="277" w:lineRule="auto"/>
        <w:tabs>
          <w:tab w:leader="none" w:pos="129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subscriber is a central or local government organization, statutory body or agency of government in the Cayman Islands or an Equivalent Jurisdiction; or</w:t>
      </w:r>
    </w:p>
    <w:p>
      <w:pPr>
        <w:spacing w:after="0" w:line="75" w:lineRule="exact"/>
        <w:rPr>
          <w:rFonts w:ascii="Arial" w:cs="Arial" w:eastAsia="Arial" w:hAnsi="Arial"/>
          <w:sz w:val="18"/>
          <w:szCs w:val="18"/>
          <w:color w:val="auto"/>
        </w:rPr>
      </w:pPr>
    </w:p>
    <w:p>
      <w:pPr>
        <w:jc w:val="both"/>
        <w:ind w:left="1320" w:right="599" w:hanging="434"/>
        <w:spacing w:after="0" w:line="263" w:lineRule="auto"/>
        <w:tabs>
          <w:tab w:leader="none" w:pos="130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subscriber is a company that is listed on a recognized stock exchange and subject to disclosure requirements which impose requirements to ensure adequate transparency of beneficial ownership, or is a majority-owned subsidiary of such a company; or</w:t>
      </w:r>
    </w:p>
    <w:p>
      <w:pPr>
        <w:spacing w:after="0" w:line="89" w:lineRule="exact"/>
        <w:rPr>
          <w:rFonts w:ascii="Arial" w:cs="Arial" w:eastAsia="Arial" w:hAnsi="Arial"/>
          <w:sz w:val="18"/>
          <w:szCs w:val="18"/>
          <w:color w:val="auto"/>
        </w:rPr>
      </w:pPr>
    </w:p>
    <w:p>
      <w:pPr>
        <w:ind w:left="1320" w:right="639" w:hanging="434"/>
        <w:spacing w:after="0" w:line="277" w:lineRule="auto"/>
        <w:tabs>
          <w:tab w:leader="none" w:pos="1298" w:val="left"/>
        </w:tabs>
        <w:numPr>
          <w:ilvl w:val="0"/>
          <w:numId w:val="71"/>
        </w:numPr>
        <w:rPr>
          <w:rFonts w:ascii="Arial" w:cs="Arial" w:eastAsia="Arial" w:hAnsi="Arial"/>
          <w:sz w:val="18"/>
          <w:szCs w:val="18"/>
          <w:color w:val="auto"/>
        </w:rPr>
      </w:pPr>
      <w:r>
        <w:rPr>
          <w:rFonts w:ascii="Arial" w:cs="Arial" w:eastAsia="Arial" w:hAnsi="Arial"/>
          <w:sz w:val="18"/>
          <w:szCs w:val="18"/>
          <w:color w:val="auto"/>
        </w:rPr>
        <w:t>the subscriber is a pension fund for a professional association, trade union or is acting on behalf of employees of an entity referred to in sub-paragraphs (a) to (d); or</w:t>
      </w:r>
    </w:p>
    <w:p>
      <w:pPr>
        <w:spacing w:after="0" w:line="89" w:lineRule="exact"/>
        <w:rPr>
          <w:sz w:val="20"/>
          <w:szCs w:val="20"/>
          <w:color w:val="auto"/>
        </w:rPr>
      </w:pPr>
    </w:p>
    <w:p>
      <w:pPr>
        <w:ind w:left="1320" w:right="479" w:hanging="431"/>
        <w:spacing w:after="0" w:line="272" w:lineRule="auto"/>
        <w:rPr>
          <w:sz w:val="20"/>
          <w:szCs w:val="20"/>
          <w:color w:val="auto"/>
        </w:rPr>
      </w:pPr>
      <w:r>
        <w:rPr>
          <w:rFonts w:ascii="Arial" w:cs="Arial" w:eastAsia="Arial" w:hAnsi="Arial"/>
          <w:sz w:val="17"/>
          <w:szCs w:val="17"/>
          <w:color w:val="auto"/>
        </w:rPr>
        <w:t>f)the application is made through an intermediary which falls within one of sub-paragraphs (a) to (e). In this situation the company may rely on a written assurance from the intermediary which confirms (i) that the requisite identification and verification procedures on the applicant for business and its beneficial owners have been carried out; (ii) the nature and intended purpose of the business relationship; (iii) that the intermediary has identified the source of funds of the applicant for business; and (iv) that the intermediary shall make available copies of any identification and verification data or information and relevant documents.</w:t>
      </w:r>
    </w:p>
    <w:p>
      <w:pPr>
        <w:spacing w:after="0" w:line="96"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For the purposes of these exceptions, recognition of a financial institution, regulatory authority or jurisdiction will be determined in accordance with the Regulations by reference to those jurisdictions recognized by the Cayman Islands Monetary Authority as having equivalent anti-money laundering regulations.</w:t>
      </w:r>
    </w:p>
    <w:p>
      <w:pPr>
        <w:spacing w:after="0" w:line="12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29" w:name="page130"/>
    <w:bookmarkEnd w:id="129"/>
    <w:p>
      <w:pPr>
        <w:ind w:left="460" w:right="819" w:firstLine="432"/>
        <w:spacing w:after="0" w:line="286" w:lineRule="auto"/>
        <w:rPr>
          <w:sz w:val="20"/>
          <w:szCs w:val="20"/>
          <w:color w:val="auto"/>
        </w:rPr>
      </w:pPr>
      <w:r>
        <w:rPr>
          <w:rFonts w:ascii="Arial" w:cs="Arial" w:eastAsia="Arial" w:hAnsi="Arial"/>
          <w:sz w:val="17"/>
          <w:szCs w:val="17"/>
          <w:color w:val="auto"/>
        </w:rPr>
        <w:t>In the event of delay or failure on the part of the subscriber in producing any information required for verification purposes, we may refuse to accept the application, in which case any funds received will be returned without interest to the account from which they were originally debited.</w:t>
      </w:r>
    </w:p>
    <w:p>
      <w:pPr>
        <w:spacing w:after="0" w:line="84" w:lineRule="exact"/>
        <w:rPr>
          <w:sz w:val="20"/>
          <w:szCs w:val="20"/>
          <w:color w:val="auto"/>
        </w:rPr>
      </w:pPr>
    </w:p>
    <w:p>
      <w:pPr>
        <w:ind w:left="460" w:right="699" w:firstLine="432"/>
        <w:spacing w:after="0" w:line="257" w:lineRule="auto"/>
        <w:rPr>
          <w:sz w:val="20"/>
          <w:szCs w:val="20"/>
          <w:color w:val="auto"/>
        </w:rPr>
      </w:pPr>
      <w:r>
        <w:rPr>
          <w:rFonts w:ascii="Arial" w:cs="Arial" w:eastAsia="Arial" w:hAnsi="Arial"/>
          <w:sz w:val="18"/>
          <w:szCs w:val="18"/>
          <w:color w:val="auto"/>
        </w:rPr>
        <w:t>We also reserve the right to refuse to make any payment to a shareholder if our directors or officers suspect or are advised that the payment to such shareholder might result in a breach of applicable anti-money laundering or other laws or regulations by any person in any relevant jurisdiction, or if such refusal is considered necessary or appropriate to ensure our compliance with any such laws or regulations in any applicable jurisdiction.</w:t>
      </w:r>
    </w:p>
    <w:p>
      <w:pPr>
        <w:spacing w:after="0" w:line="120"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If any person resident in the Cayman Islands knows or suspects, or has reasonable grounds for knowing or suspecting, that another person is engaged in criminal conduct or is involved with terrorism or terrorist property and the information for that knowledge or suspicion came to their attention in the course of business in the regulated sector or other trade, profession, business or employment, the person will be required to report such knowledge or suspicion to (i) the Financial Reporting Authority of the Cayman Islands, pursuant to the Proceeds of Crime Law (2019 Revision) of the Cayman Islands if the disclosure relates to criminal conduct or money laundering or (ii) a police officer of the rank of constable or higher, or the Financial Reporting Authority, pursuant to the Terrorism Law (2020 Revision) of the Cayman Islands, if the disclosure relates to involvement with terrorism or terrorist financing and property. Such a report will not be treated as a breach of confidence or of any restriction upon the disclosure of information imposed by any enactment or otherwise.</w:t>
      </w:r>
    </w:p>
    <w:p>
      <w:pPr>
        <w:spacing w:after="0" w:line="164"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Data Protection — Cayman Islands</w:t>
      </w:r>
    </w:p>
    <w:p>
      <w:pPr>
        <w:spacing w:after="0" w:line="162" w:lineRule="exact"/>
        <w:rPr>
          <w:sz w:val="20"/>
          <w:szCs w:val="20"/>
          <w:color w:val="auto"/>
        </w:rPr>
      </w:pPr>
    </w:p>
    <w:p>
      <w:pPr>
        <w:ind w:left="460" w:right="539" w:firstLine="432"/>
        <w:spacing w:after="0" w:line="277" w:lineRule="auto"/>
        <w:rPr>
          <w:sz w:val="20"/>
          <w:szCs w:val="20"/>
          <w:color w:val="auto"/>
        </w:rPr>
      </w:pPr>
      <w:r>
        <w:rPr>
          <w:rFonts w:ascii="Arial" w:cs="Arial" w:eastAsia="Arial" w:hAnsi="Arial"/>
          <w:sz w:val="18"/>
          <w:szCs w:val="18"/>
          <w:color w:val="auto"/>
        </w:rPr>
        <w:t>We have certain duties under the Data Protection Law, 2017 of the Cayman Islands (the “DPL”) based on internationally accepted principles of data privacy.</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Privacy Notice</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Introduction</w:t>
      </w:r>
    </w:p>
    <w:p>
      <w:pPr>
        <w:spacing w:after="0" w:line="144"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This privacy notice puts our shareholders on notice that through your investment in the company you will provide us with certain personal information which constitutes personal data within the meaning of the DPL (“personal data”). In the following discussion, the “company” refers to us and our affiliates and/or delegates, except where the context requires otherwise.</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Investor Data</w:t>
      </w:r>
    </w:p>
    <w:p>
      <w:pPr>
        <w:spacing w:after="0" w:line="15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We will collect, use, disclose, retain and secure personal data to the extent reasonably required only and within the parameters that could be reasonably expected during the normal course of business. We will only process, disclose, transfer or retain personal data to the extent legitimately required to conduct our activities of on an ongoing basis or to comply with legal and regulatory obligations to which we are subject. We will only transfer personal data in accordance with the requirements of the DPL, and will apply appropriate technical and organizational information security measures designed to protect against unauthorized or unlawful processing of the personal data and against the accidental loss, destruction or damage to the personal data.</w:t>
      </w:r>
    </w:p>
    <w:p>
      <w:pPr>
        <w:spacing w:after="0" w:line="99" w:lineRule="exact"/>
        <w:rPr>
          <w:sz w:val="20"/>
          <w:szCs w:val="20"/>
          <w:color w:val="auto"/>
        </w:rPr>
      </w:pPr>
    </w:p>
    <w:p>
      <w:pPr>
        <w:ind w:left="460" w:right="479" w:firstLine="432"/>
        <w:spacing w:after="0" w:line="279" w:lineRule="auto"/>
        <w:rPr>
          <w:sz w:val="20"/>
          <w:szCs w:val="20"/>
          <w:color w:val="auto"/>
        </w:rPr>
      </w:pPr>
      <w:r>
        <w:rPr>
          <w:rFonts w:ascii="Arial" w:cs="Arial" w:eastAsia="Arial" w:hAnsi="Arial"/>
          <w:sz w:val="17"/>
          <w:szCs w:val="17"/>
          <w:color w:val="auto"/>
        </w:rPr>
        <w:t>In our use of this personal data, we will be characterized as a “data controller” for the purposes of the DPL, while our affiliates and service providers who may receive this personal data from us in the conduct of our activities may either act as our “data processors” for the purposes of the DPL or may process personal information for their own lawful purposes in connection with services provided to us.</w:t>
      </w:r>
    </w:p>
    <w:p>
      <w:pPr>
        <w:spacing w:after="0" w:line="90" w:lineRule="exact"/>
        <w:rPr>
          <w:sz w:val="20"/>
          <w:szCs w:val="20"/>
          <w:color w:val="auto"/>
        </w:rPr>
      </w:pPr>
    </w:p>
    <w:p>
      <w:pPr>
        <w:ind w:left="460" w:right="699" w:firstLine="432"/>
        <w:spacing w:after="0" w:line="255" w:lineRule="auto"/>
        <w:rPr>
          <w:sz w:val="20"/>
          <w:szCs w:val="20"/>
          <w:color w:val="auto"/>
        </w:rPr>
      </w:pPr>
      <w:r>
        <w:rPr>
          <w:rFonts w:ascii="Arial" w:cs="Arial" w:eastAsia="Arial" w:hAnsi="Arial"/>
          <w:sz w:val="18"/>
          <w:szCs w:val="18"/>
          <w:color w:val="auto"/>
        </w:rPr>
        <w:t>We may also obtain personal data from other public sources. Personal data includes, without limitation, the following information relating to a shareholder and/or any individuals connected with a shareholder as an investor: name, residential address, email address, contact details, corporate contact information, signature, nationality, place of birth, date of birth, tax identification, credit history, correspondence records, passport number, bank account details, source of funds details and details relating to the shareholder’s investment activity.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0" w:name="page131"/>
    <w:bookmarkEnd w:id="130"/>
    <w:p>
      <w:pPr>
        <w:ind w:left="460"/>
        <w:spacing w:after="0"/>
        <w:rPr>
          <w:sz w:val="20"/>
          <w:szCs w:val="20"/>
          <w:color w:val="auto"/>
        </w:rPr>
      </w:pPr>
      <w:r>
        <w:rPr>
          <w:rFonts w:ascii="Arial" w:cs="Arial" w:eastAsia="Arial" w:hAnsi="Arial"/>
          <w:sz w:val="18"/>
          <w:szCs w:val="18"/>
          <w:i w:val="1"/>
          <w:iCs w:val="1"/>
          <w:color w:val="auto"/>
        </w:rPr>
        <w:t>Who this Affects</w:t>
      </w:r>
    </w:p>
    <w:p>
      <w:pPr>
        <w:spacing w:after="0" w:line="158" w:lineRule="exact"/>
        <w:rPr>
          <w:sz w:val="20"/>
          <w:szCs w:val="20"/>
          <w:color w:val="auto"/>
        </w:rPr>
      </w:pPr>
    </w:p>
    <w:p>
      <w:pPr>
        <w:ind w:left="460" w:right="719" w:firstLine="432"/>
        <w:spacing w:after="0" w:line="275" w:lineRule="auto"/>
        <w:rPr>
          <w:sz w:val="20"/>
          <w:szCs w:val="20"/>
          <w:color w:val="auto"/>
        </w:rPr>
      </w:pPr>
      <w:r>
        <w:rPr>
          <w:rFonts w:ascii="Arial" w:cs="Arial" w:eastAsia="Arial" w:hAnsi="Arial"/>
          <w:sz w:val="17"/>
          <w:szCs w:val="17"/>
          <w:color w:val="auto"/>
        </w:rPr>
        <w:t>If you are a natural person, this will affect you directly. If you are a corporate investor (including, for these purposes, legal arrangements such as trusts or exempted limited partnerships) that provides us with personal data on individuals connected to you for any reason in relation your investment in the company, this will be relevant for those individuals and you should transmit the content of this Privacy Notice to such individuals or otherwise advise them of its content.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How the Company May Use a Shareholder’s Personal Data</w:t>
      </w:r>
    </w:p>
    <w:p>
      <w:pPr>
        <w:spacing w:after="0" w:line="144" w:lineRule="exact"/>
        <w:rPr>
          <w:sz w:val="20"/>
          <w:szCs w:val="20"/>
          <w:color w:val="auto"/>
        </w:rPr>
      </w:pPr>
    </w:p>
    <w:p>
      <w:pPr>
        <w:ind w:left="460" w:right="1139" w:firstLine="432"/>
        <w:spacing w:after="0" w:line="277" w:lineRule="auto"/>
        <w:rPr>
          <w:sz w:val="20"/>
          <w:szCs w:val="20"/>
          <w:color w:val="auto"/>
        </w:rPr>
      </w:pPr>
      <w:r>
        <w:rPr>
          <w:rFonts w:ascii="Arial" w:cs="Arial" w:eastAsia="Arial" w:hAnsi="Arial"/>
          <w:sz w:val="18"/>
          <w:szCs w:val="18"/>
          <w:color w:val="auto"/>
        </w:rPr>
        <w:t>The company, as the data controller, may collect, store and use personal data for lawful purposes, including, in particular:</w:t>
      </w:r>
    </w:p>
    <w:p>
      <w:pPr>
        <w:spacing w:after="0" w:line="103" w:lineRule="exact"/>
        <w:rPr>
          <w:sz w:val="20"/>
          <w:szCs w:val="20"/>
          <w:color w:val="auto"/>
        </w:rPr>
      </w:pPr>
    </w:p>
    <w:p>
      <w:pPr>
        <w:ind w:left="1320" w:right="1059" w:hanging="434"/>
        <w:spacing w:after="0" w:line="277" w:lineRule="auto"/>
        <w:tabs>
          <w:tab w:leader="none" w:pos="1313"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where this is necessary for the performance of our rights and obligations under any purchase agreements;</w:t>
      </w:r>
    </w:p>
    <w:p>
      <w:pPr>
        <w:spacing w:after="0" w:line="102" w:lineRule="exact"/>
        <w:rPr>
          <w:rFonts w:ascii="Arial" w:cs="Arial" w:eastAsia="Arial" w:hAnsi="Arial"/>
          <w:sz w:val="18"/>
          <w:szCs w:val="18"/>
          <w:color w:val="auto"/>
        </w:rPr>
      </w:pPr>
    </w:p>
    <w:p>
      <w:pPr>
        <w:ind w:left="1320" w:right="459" w:hanging="434"/>
        <w:spacing w:after="0" w:line="308" w:lineRule="auto"/>
        <w:tabs>
          <w:tab w:leader="none" w:pos="1278" w:val="left"/>
        </w:tabs>
        <w:numPr>
          <w:ilvl w:val="0"/>
          <w:numId w:val="72"/>
        </w:numPr>
        <w:rPr>
          <w:rFonts w:ascii="Arial" w:cs="Arial" w:eastAsia="Arial" w:hAnsi="Arial"/>
          <w:sz w:val="17"/>
          <w:szCs w:val="17"/>
          <w:color w:val="auto"/>
        </w:rPr>
      </w:pPr>
      <w:r>
        <w:rPr>
          <w:rFonts w:ascii="Arial" w:cs="Arial" w:eastAsia="Arial" w:hAnsi="Arial"/>
          <w:sz w:val="17"/>
          <w:szCs w:val="17"/>
          <w:color w:val="auto"/>
        </w:rPr>
        <w:t>where this is necessary for compliance with a legal and regulatory obligation to which we are subject (such as compliance with anti-money laundering and FATCA/CRS requirements); and/or</w:t>
      </w:r>
    </w:p>
    <w:p>
      <w:pPr>
        <w:spacing w:after="0" w:line="65" w:lineRule="exact"/>
        <w:rPr>
          <w:rFonts w:ascii="Arial" w:cs="Arial" w:eastAsia="Arial" w:hAnsi="Arial"/>
          <w:sz w:val="17"/>
          <w:szCs w:val="17"/>
          <w:color w:val="auto"/>
        </w:rPr>
      </w:pPr>
    </w:p>
    <w:p>
      <w:pPr>
        <w:ind w:left="1320" w:right="1099" w:hanging="434"/>
        <w:spacing w:after="0" w:line="277" w:lineRule="auto"/>
        <w:tabs>
          <w:tab w:leader="none" w:pos="1313" w:val="left"/>
        </w:tabs>
        <w:numPr>
          <w:ilvl w:val="0"/>
          <w:numId w:val="72"/>
        </w:numPr>
        <w:rPr>
          <w:rFonts w:ascii="Arial" w:cs="Arial" w:eastAsia="Arial" w:hAnsi="Arial"/>
          <w:sz w:val="18"/>
          <w:szCs w:val="18"/>
          <w:color w:val="auto"/>
        </w:rPr>
      </w:pPr>
      <w:r>
        <w:rPr>
          <w:rFonts w:ascii="Arial" w:cs="Arial" w:eastAsia="Arial" w:hAnsi="Arial"/>
          <w:sz w:val="18"/>
          <w:szCs w:val="18"/>
          <w:color w:val="auto"/>
        </w:rPr>
        <w:t>where this is necessary for the purposes of our legitimate interests and such interests are not overridden by your interests, fundamental rights or freedoms.</w:t>
      </w:r>
    </w:p>
    <w:p>
      <w:pPr>
        <w:spacing w:after="0" w:line="103"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Should we wish to use personal data for other specific purposes (including, if applicable, any purpose that requires your consent), we will contact you.</w:t>
      </w:r>
    </w:p>
    <w:p>
      <w:pPr>
        <w:spacing w:after="0" w:line="17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Why We May Transfer Your Personal Data</w:t>
      </w:r>
    </w:p>
    <w:p>
      <w:pPr>
        <w:spacing w:after="0" w:line="158" w:lineRule="exact"/>
        <w:rPr>
          <w:sz w:val="20"/>
          <w:szCs w:val="20"/>
          <w:color w:val="auto"/>
        </w:rPr>
      </w:pPr>
    </w:p>
    <w:p>
      <w:pPr>
        <w:ind w:left="460" w:right="859" w:firstLine="432"/>
        <w:spacing w:after="0" w:line="259" w:lineRule="auto"/>
        <w:rPr>
          <w:sz w:val="20"/>
          <w:szCs w:val="20"/>
          <w:color w:val="auto"/>
        </w:rPr>
      </w:pPr>
      <w:r>
        <w:rPr>
          <w:rFonts w:ascii="Arial" w:cs="Arial" w:eastAsia="Arial" w:hAnsi="Arial"/>
          <w:sz w:val="18"/>
          <w:szCs w:val="18"/>
          <w:color w:val="auto"/>
        </w:rPr>
        <w:t>In certain circumstances we may be legally obliged to share personal data and other information with respect to your shareholding with the relevant regulatory authorities such as the Cayman Islands Monetary Authority or the Tax Information Authority. They, in turn, may exchange this information with foreign authorities, including tax authorities.</w:t>
      </w:r>
    </w:p>
    <w:p>
      <w:pPr>
        <w:spacing w:after="0" w:line="106" w:lineRule="exact"/>
        <w:rPr>
          <w:sz w:val="20"/>
          <w:szCs w:val="20"/>
          <w:color w:val="auto"/>
        </w:rPr>
      </w:pPr>
    </w:p>
    <w:p>
      <w:pPr>
        <w:ind w:left="460" w:right="999" w:firstLine="432"/>
        <w:spacing w:after="0" w:line="311" w:lineRule="auto"/>
        <w:rPr>
          <w:sz w:val="20"/>
          <w:szCs w:val="20"/>
          <w:color w:val="auto"/>
        </w:rPr>
      </w:pPr>
      <w:r>
        <w:rPr>
          <w:rFonts w:ascii="Arial" w:cs="Arial" w:eastAsia="Arial" w:hAnsi="Arial"/>
          <w:sz w:val="16"/>
          <w:szCs w:val="16"/>
          <w:color w:val="auto"/>
        </w:rPr>
        <w:t>We anticipates disclosing personal data to persons who provide services to us and their respective affiliates (which may include certain entities located outside the United States, the Cayman Islands or the European Economic Area), who will process your personal data on our behalf.</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The Data Protection Measures We Take</w:t>
      </w:r>
    </w:p>
    <w:p>
      <w:pPr>
        <w:spacing w:after="0" w:line="158" w:lineRule="exact"/>
        <w:rPr>
          <w:sz w:val="20"/>
          <w:szCs w:val="20"/>
          <w:color w:val="auto"/>
        </w:rPr>
      </w:pPr>
    </w:p>
    <w:p>
      <w:pPr>
        <w:ind w:left="460" w:right="1039" w:firstLine="432"/>
        <w:spacing w:after="0" w:line="277" w:lineRule="auto"/>
        <w:rPr>
          <w:sz w:val="20"/>
          <w:szCs w:val="20"/>
          <w:color w:val="auto"/>
        </w:rPr>
      </w:pPr>
      <w:r>
        <w:rPr>
          <w:rFonts w:ascii="Arial" w:cs="Arial" w:eastAsia="Arial" w:hAnsi="Arial"/>
          <w:sz w:val="18"/>
          <w:szCs w:val="18"/>
          <w:color w:val="auto"/>
        </w:rPr>
        <w:t>Any transfer of personal data by us or our duly authorized affiliates and/or delegates outside of the Cayman Islands shall be in accordance with the requirements of the DPL.</w:t>
      </w:r>
    </w:p>
    <w:p>
      <w:pPr>
        <w:spacing w:after="0" w:line="103" w:lineRule="exact"/>
        <w:rPr>
          <w:sz w:val="20"/>
          <w:szCs w:val="20"/>
          <w:color w:val="auto"/>
        </w:rPr>
      </w:pPr>
    </w:p>
    <w:p>
      <w:pPr>
        <w:jc w:val="both"/>
        <w:ind w:left="460" w:right="479" w:firstLine="432"/>
        <w:spacing w:after="0" w:line="286" w:lineRule="auto"/>
        <w:rPr>
          <w:sz w:val="20"/>
          <w:szCs w:val="20"/>
          <w:color w:val="auto"/>
        </w:rPr>
      </w:pPr>
      <w:r>
        <w:rPr>
          <w:rFonts w:ascii="Arial" w:cs="Arial" w:eastAsia="Arial" w:hAnsi="Arial"/>
          <w:sz w:val="17"/>
          <w:szCs w:val="17"/>
          <w:color w:val="auto"/>
        </w:rPr>
        <w:t>We and our duly authorized affiliates and/or delegates shall apply appropriate technical and organizational information security measures designed to protect against unauthorized or unlawful processing of personal data, and against accidental loss or destruction of, or damage to, personal data.</w:t>
      </w:r>
    </w:p>
    <w:p>
      <w:pPr>
        <w:spacing w:after="0" w:line="84" w:lineRule="exact"/>
        <w:rPr>
          <w:sz w:val="20"/>
          <w:szCs w:val="20"/>
          <w:color w:val="auto"/>
        </w:rPr>
      </w:pPr>
    </w:p>
    <w:p>
      <w:pPr>
        <w:ind w:left="460" w:right="899" w:firstLine="432"/>
        <w:spacing w:after="0" w:line="342" w:lineRule="auto"/>
        <w:rPr>
          <w:sz w:val="20"/>
          <w:szCs w:val="20"/>
          <w:color w:val="auto"/>
        </w:rPr>
      </w:pPr>
      <w:r>
        <w:rPr>
          <w:rFonts w:ascii="Arial" w:cs="Arial" w:eastAsia="Arial" w:hAnsi="Arial"/>
          <w:sz w:val="16"/>
          <w:szCs w:val="16"/>
          <w:color w:val="auto"/>
        </w:rPr>
        <w:t>We shall notify you of any personal data breach that is reasonably likely to result in a risk to your interests, fundamental rights or freedoms or those data subjects to whom the relevant personal data relates.</w:t>
      </w:r>
    </w:p>
    <w:p>
      <w:pPr>
        <w:spacing w:after="0" w:line="120" w:lineRule="exact"/>
        <w:rPr>
          <w:sz w:val="20"/>
          <w:szCs w:val="20"/>
          <w:color w:val="auto"/>
        </w:rPr>
      </w:pPr>
    </w:p>
    <w:p>
      <w:pPr>
        <w:ind w:left="460" w:right="1339"/>
        <w:spacing w:after="0" w:line="282" w:lineRule="auto"/>
        <w:rPr>
          <w:sz w:val="20"/>
          <w:szCs w:val="20"/>
          <w:color w:val="auto"/>
        </w:rPr>
      </w:pPr>
      <w:r>
        <w:rPr>
          <w:rFonts w:ascii="Arial" w:cs="Arial" w:eastAsia="Arial" w:hAnsi="Arial"/>
          <w:sz w:val="18"/>
          <w:szCs w:val="18"/>
          <w:b w:val="1"/>
          <w:bCs w:val="1"/>
          <w:color w:val="auto"/>
        </w:rPr>
        <w:t>Certain Anti-takeover Provisions of our Amended and Restated Memorandum and Articles of Association</w:t>
      </w:r>
    </w:p>
    <w:p>
      <w:pPr>
        <w:spacing w:after="0" w:line="98" w:lineRule="exact"/>
        <w:rPr>
          <w:sz w:val="20"/>
          <w:szCs w:val="20"/>
          <w:color w:val="auto"/>
        </w:rPr>
      </w:pPr>
    </w:p>
    <w:p>
      <w:pPr>
        <w:ind w:left="460" w:right="639" w:firstLine="432"/>
        <w:spacing w:after="0" w:line="311" w:lineRule="auto"/>
        <w:rPr>
          <w:sz w:val="20"/>
          <w:szCs w:val="20"/>
          <w:color w:val="auto"/>
        </w:rPr>
      </w:pPr>
      <w:r>
        <w:rPr>
          <w:rFonts w:ascii="Arial" w:cs="Arial" w:eastAsia="Arial" w:hAnsi="Arial"/>
          <w:sz w:val="16"/>
          <w:szCs w:val="16"/>
          <w:color w:val="auto"/>
        </w:rPr>
        <w:t>Our amended and restated memorandum and articles of association will provide that our board of directors will be classified into three classes of directors. As a result, in most circumstances, a person can gain control of our board only by successfully engaging in a proxy contest at two or more annual meetings.</w:t>
      </w:r>
    </w:p>
    <w:p>
      <w:pPr>
        <w:spacing w:after="0" w:line="81" w:lineRule="exact"/>
        <w:rPr>
          <w:sz w:val="20"/>
          <w:szCs w:val="20"/>
          <w:color w:val="auto"/>
        </w:rPr>
      </w:pPr>
    </w:p>
    <w:p>
      <w:pPr>
        <w:ind w:left="460" w:right="539" w:firstLine="432"/>
        <w:spacing w:after="0" w:line="296" w:lineRule="auto"/>
        <w:rPr>
          <w:sz w:val="20"/>
          <w:szCs w:val="20"/>
          <w:color w:val="auto"/>
        </w:rPr>
      </w:pPr>
      <w:r>
        <w:rPr>
          <w:rFonts w:ascii="Arial" w:cs="Arial" w:eastAsia="Arial" w:hAnsi="Arial"/>
          <w:sz w:val="16"/>
          <w:szCs w:val="16"/>
          <w:color w:val="auto"/>
        </w:rPr>
        <w:t>Our authorized but unissued Class A ordinary shares and preference shares will be available for future issuances without shareholder approval and could be utilized for a variety of corporate purposes, including future offerings to raise additional capital, acquisitions and employee benefit plans. The existence of authorized but unissued and unreserved Class A ordinary shares and preference shares could render more difficult or discourage an attempt to obtain control of us by means of a proxy contest, tender offer, merger or otherwise.</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1" w:name="page132"/>
    <w:bookmarkEnd w:id="131"/>
    <w:p>
      <w:pPr>
        <w:ind w:left="460"/>
        <w:spacing w:after="0"/>
        <w:rPr>
          <w:sz w:val="20"/>
          <w:szCs w:val="20"/>
          <w:color w:val="auto"/>
        </w:rPr>
      </w:pPr>
      <w:r>
        <w:rPr>
          <w:rFonts w:ascii="Arial" w:cs="Arial" w:eastAsia="Arial" w:hAnsi="Arial"/>
          <w:sz w:val="18"/>
          <w:szCs w:val="18"/>
          <w:b w:val="1"/>
          <w:bCs w:val="1"/>
          <w:color w:val="auto"/>
        </w:rPr>
        <w:t>Securities Eligible for Future Sale</w:t>
      </w:r>
    </w:p>
    <w:p>
      <w:pPr>
        <w:spacing w:after="0" w:line="162" w:lineRule="exact"/>
        <w:rPr>
          <w:sz w:val="20"/>
          <w:szCs w:val="20"/>
          <w:color w:val="auto"/>
        </w:rPr>
      </w:pPr>
    </w:p>
    <w:p>
      <w:pPr>
        <w:ind w:left="460" w:right="559" w:firstLine="432"/>
        <w:spacing w:after="0" w:line="269" w:lineRule="auto"/>
        <w:rPr>
          <w:sz w:val="20"/>
          <w:szCs w:val="20"/>
          <w:color w:val="auto"/>
        </w:rPr>
      </w:pPr>
      <w:r>
        <w:rPr>
          <w:rFonts w:ascii="Arial" w:cs="Arial" w:eastAsia="Arial" w:hAnsi="Arial"/>
          <w:sz w:val="17"/>
          <w:szCs w:val="17"/>
          <w:color w:val="auto"/>
        </w:rPr>
        <w:t>Immediately after this offering, we will have 37,500,000 Class A ordinary shares (or 43,125,000 Class A ordinary shares if the underwriter’s over-allotment option is exercised in full) issued and outstanding on an as-converted basis. Of these shares, the Class A ordinary shares sold in this offering (30,000,000 Class A ordinary shares if the underwriter’s over-allotment option is not exercised and 34,500,000 Class A ordinary shares if the underwriter’s over-allotment option is exercised in full) will be freely tradable without restriction or further registration under the Securities Act, except for any Class A ordinary shares purchased by one of our affiliates within the meaning of Rule 144 under the Securities Act. All of the outstanding founder shares (7,500,000 founder shares if the underwriter’s over-allotment option is not exercised and 8,625,000 founder shares if the underwriter’s over-allotment option is exercised in full) and all of the outstanding private placement warrants (9,500,000) will be restricted securities under Rule 144, in that they were issued in private transactions not involving a public offering.</w:t>
      </w:r>
    </w:p>
    <w:p>
      <w:pPr>
        <w:spacing w:after="0" w:line="18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Rule 144</w:t>
      </w:r>
    </w:p>
    <w:p>
      <w:pPr>
        <w:spacing w:after="0" w:line="144" w:lineRule="exact"/>
        <w:rPr>
          <w:sz w:val="20"/>
          <w:szCs w:val="20"/>
          <w:color w:val="auto"/>
        </w:rPr>
      </w:pPr>
    </w:p>
    <w:p>
      <w:pPr>
        <w:ind w:left="460" w:right="479" w:firstLine="432"/>
        <w:spacing w:after="0" w:line="273" w:lineRule="auto"/>
        <w:rPr>
          <w:sz w:val="20"/>
          <w:szCs w:val="20"/>
          <w:color w:val="auto"/>
        </w:rPr>
      </w:pPr>
      <w:r>
        <w:rPr>
          <w:rFonts w:ascii="Arial" w:cs="Arial" w:eastAsia="Arial" w:hAnsi="Arial"/>
          <w:sz w:val="17"/>
          <w:szCs w:val="17"/>
          <w:color w:val="auto"/>
        </w:rPr>
        <w:t>Pursuant to Rule 144, a person who has beneficially owned restricted shares or warrants for at least six months would be entitled to sell their securities provided that (i) such person is not deemed to have been one of our affiliates at the time of, or at any time during the three months preceding, a sale and (ii) we are subject to the Exchange Act periodic reporting requirements for at least three months before the sale and have filed all required reports under Section 13 or 15(d) of the Exchange Act during the twelve months (or such shorter period as we were required to file reports) preceding the sale.</w:t>
      </w:r>
    </w:p>
    <w:p>
      <w:pPr>
        <w:spacing w:after="0" w:line="110"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Persons who have beneficially owned restricted shares or warrants for at least six months but who are our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9" w:lineRule="exact"/>
        <w:rPr>
          <w:sz w:val="20"/>
          <w:szCs w:val="20"/>
          <w:color w:val="auto"/>
        </w:rPr>
      </w:pPr>
    </w:p>
    <w:p>
      <w:pPr>
        <w:ind w:left="1320" w:right="799" w:hanging="434"/>
        <w:spacing w:after="0" w:line="263" w:lineRule="auto"/>
        <w:tabs>
          <w:tab w:leader="none" w:pos="13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1% of the total number of ordinary shares then outstanding, which will equal 375,000 shares immediately after this offering (or 431,250 shares if the underwriter exercises its over-allotment option in full); or</w:t>
      </w:r>
    </w:p>
    <w:p>
      <w:pPr>
        <w:spacing w:after="0" w:line="102" w:lineRule="exact"/>
        <w:rPr>
          <w:rFonts w:ascii="Arial" w:cs="Arial" w:eastAsia="Arial" w:hAnsi="Arial"/>
          <w:sz w:val="18"/>
          <w:szCs w:val="18"/>
          <w:color w:val="auto"/>
        </w:rPr>
      </w:pPr>
    </w:p>
    <w:p>
      <w:pPr>
        <w:ind w:left="1320" w:right="539" w:hanging="434"/>
        <w:spacing w:after="0" w:line="277" w:lineRule="auto"/>
        <w:tabs>
          <w:tab w:leader="none" w:pos="1311" w:val="left"/>
        </w:tabs>
        <w:numPr>
          <w:ilvl w:val="0"/>
          <w:numId w:val="73"/>
        </w:numPr>
        <w:rPr>
          <w:rFonts w:ascii="Arial" w:cs="Arial" w:eastAsia="Arial" w:hAnsi="Arial"/>
          <w:sz w:val="18"/>
          <w:szCs w:val="18"/>
          <w:color w:val="auto"/>
        </w:rPr>
      </w:pPr>
      <w:r>
        <w:rPr>
          <w:rFonts w:ascii="Arial" w:cs="Arial" w:eastAsia="Arial" w:hAnsi="Arial"/>
          <w:sz w:val="18"/>
          <w:szCs w:val="18"/>
          <w:color w:val="auto"/>
        </w:rPr>
        <w:t>the average weekly reported trading volume of the Class A ordinary shares during the four calendar weeks preceding the filing of a notice on Form 144 with respect to the sale.</w:t>
      </w:r>
    </w:p>
    <w:p>
      <w:pPr>
        <w:spacing w:after="0" w:line="103" w:lineRule="exact"/>
        <w:rPr>
          <w:sz w:val="20"/>
          <w:szCs w:val="20"/>
          <w:color w:val="auto"/>
        </w:rPr>
      </w:pPr>
    </w:p>
    <w:p>
      <w:pPr>
        <w:ind w:left="460" w:right="1359" w:firstLine="432"/>
        <w:spacing w:after="0" w:line="277" w:lineRule="auto"/>
        <w:rPr>
          <w:sz w:val="20"/>
          <w:szCs w:val="20"/>
          <w:color w:val="auto"/>
        </w:rPr>
      </w:pPr>
      <w:r>
        <w:rPr>
          <w:rFonts w:ascii="Arial" w:cs="Arial" w:eastAsia="Arial" w:hAnsi="Arial"/>
          <w:sz w:val="18"/>
          <w:szCs w:val="18"/>
          <w:color w:val="auto"/>
        </w:rPr>
        <w:t>Sales by our affiliates under Rule 144 are also limited by manner of sale provisions and notice requirements and to the availability of current public information about us.</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Restrictions on the Use of Rule 144 by Shell Companies or Former Shell Companies</w:t>
      </w:r>
    </w:p>
    <w:p>
      <w:pPr>
        <w:spacing w:after="0" w:line="162" w:lineRule="exact"/>
        <w:rPr>
          <w:sz w:val="20"/>
          <w:szCs w:val="20"/>
          <w:color w:val="auto"/>
        </w:rPr>
      </w:pPr>
    </w:p>
    <w:p>
      <w:pPr>
        <w:ind w:left="460" w:right="499" w:firstLine="432"/>
        <w:spacing w:after="0" w:line="311" w:lineRule="auto"/>
        <w:rPr>
          <w:sz w:val="20"/>
          <w:szCs w:val="20"/>
          <w:color w:val="auto"/>
        </w:rPr>
      </w:pPr>
      <w:r>
        <w:rPr>
          <w:rFonts w:ascii="Arial" w:cs="Arial" w:eastAsia="Arial" w:hAnsi="Arial"/>
          <w:sz w:val="16"/>
          <w:szCs w:val="16"/>
          <w:color w:val="auto"/>
        </w:rPr>
        <w:t>Rule 144 is not available for the resale of securities initially issued by shell companies (other than business combination related shell companies) or issuers that have been at any time previously a shell company. However, Rule 144 also includes an important exception to this prohibition if the following conditions are met:</w:t>
      </w:r>
    </w:p>
    <w:p>
      <w:pPr>
        <w:spacing w:after="0" w:line="68" w:lineRule="exact"/>
        <w:rPr>
          <w:sz w:val="20"/>
          <w:szCs w:val="20"/>
          <w:color w:val="auto"/>
        </w:rPr>
      </w:pPr>
    </w:p>
    <w:p>
      <w:pPr>
        <w:ind w:left="1300" w:hanging="414"/>
        <w:spacing w:after="0"/>
        <w:tabs>
          <w:tab w:leader="none" w:pos="1300" w:val="left"/>
        </w:tabs>
        <w:numPr>
          <w:ilvl w:val="0"/>
          <w:numId w:val="74"/>
        </w:numPr>
        <w:rPr>
          <w:rFonts w:ascii="Arial" w:cs="Arial" w:eastAsia="Arial" w:hAnsi="Arial"/>
          <w:sz w:val="16"/>
          <w:szCs w:val="16"/>
          <w:color w:val="auto"/>
        </w:rPr>
      </w:pPr>
      <w:r>
        <w:rPr>
          <w:rFonts w:ascii="Arial" w:cs="Arial" w:eastAsia="Arial" w:hAnsi="Arial"/>
          <w:sz w:val="16"/>
          <w:szCs w:val="16"/>
          <w:color w:val="auto"/>
        </w:rPr>
        <w:t>the issuer of the securities that was formerly a shell company has ceased to be a shell company;</w:t>
      </w:r>
    </w:p>
    <w:p>
      <w:pPr>
        <w:spacing w:after="0" w:line="180" w:lineRule="exact"/>
        <w:rPr>
          <w:rFonts w:ascii="Arial" w:cs="Arial" w:eastAsia="Arial" w:hAnsi="Arial"/>
          <w:sz w:val="16"/>
          <w:szCs w:val="16"/>
          <w:color w:val="auto"/>
        </w:rPr>
      </w:pPr>
    </w:p>
    <w:p>
      <w:pPr>
        <w:ind w:left="1320" w:right="899" w:hanging="434"/>
        <w:spacing w:after="0" w:line="277" w:lineRule="auto"/>
        <w:tabs>
          <w:tab w:leader="none" w:pos="13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issuer of the securities is subject to the reporting requirements of Section 13 or 15(d) of the Exchange Act;</w:t>
      </w:r>
    </w:p>
    <w:p>
      <w:pPr>
        <w:spacing w:after="0" w:line="102" w:lineRule="exact"/>
        <w:rPr>
          <w:rFonts w:ascii="Arial" w:cs="Arial" w:eastAsia="Arial" w:hAnsi="Arial"/>
          <w:sz w:val="18"/>
          <w:szCs w:val="18"/>
          <w:color w:val="auto"/>
        </w:rPr>
      </w:pPr>
    </w:p>
    <w:p>
      <w:pPr>
        <w:ind w:left="1320" w:right="599" w:hanging="434"/>
        <w:spacing w:after="0" w:line="263" w:lineRule="auto"/>
        <w:tabs>
          <w:tab w:leader="none" w:pos="13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the issuer of the securities has filed all Exchange Act reports and material required to be filed, as applicable, during the preceding twelve months (or such shorter period that the issuer was required to file such reports and materials), other than Form 8-K reports; and</w:t>
      </w:r>
    </w:p>
    <w:p>
      <w:pPr>
        <w:spacing w:after="0" w:line="102" w:lineRule="exact"/>
        <w:rPr>
          <w:rFonts w:ascii="Arial" w:cs="Arial" w:eastAsia="Arial" w:hAnsi="Arial"/>
          <w:sz w:val="18"/>
          <w:szCs w:val="18"/>
          <w:color w:val="auto"/>
        </w:rPr>
      </w:pPr>
    </w:p>
    <w:p>
      <w:pPr>
        <w:ind w:left="1320" w:right="779" w:hanging="434"/>
        <w:spacing w:after="0" w:line="277" w:lineRule="auto"/>
        <w:tabs>
          <w:tab w:leader="none" w:pos="1311" w:val="left"/>
        </w:tabs>
        <w:numPr>
          <w:ilvl w:val="0"/>
          <w:numId w:val="74"/>
        </w:numPr>
        <w:rPr>
          <w:rFonts w:ascii="Arial" w:cs="Arial" w:eastAsia="Arial" w:hAnsi="Arial"/>
          <w:sz w:val="18"/>
          <w:szCs w:val="18"/>
          <w:color w:val="auto"/>
        </w:rPr>
      </w:pPr>
      <w:r>
        <w:rPr>
          <w:rFonts w:ascii="Arial" w:cs="Arial" w:eastAsia="Arial" w:hAnsi="Arial"/>
          <w:sz w:val="18"/>
          <w:szCs w:val="18"/>
          <w:color w:val="auto"/>
        </w:rPr>
        <w:t>at least one year has elapsed from the time that the issuer filed current Form 10 type information with the SEC reflecting its status as an entity that is not a shell company.</w:t>
      </w:r>
    </w:p>
    <w:p>
      <w:pPr>
        <w:spacing w:after="0" w:line="103" w:lineRule="exact"/>
        <w:rPr>
          <w:sz w:val="20"/>
          <w:szCs w:val="20"/>
          <w:color w:val="auto"/>
        </w:rPr>
      </w:pPr>
    </w:p>
    <w:p>
      <w:pPr>
        <w:ind w:left="460" w:right="899" w:firstLine="432"/>
        <w:spacing w:after="0" w:line="263" w:lineRule="auto"/>
        <w:rPr>
          <w:sz w:val="20"/>
          <w:szCs w:val="20"/>
          <w:color w:val="auto"/>
        </w:rPr>
      </w:pPr>
      <w:r>
        <w:rPr>
          <w:rFonts w:ascii="Arial" w:cs="Arial" w:eastAsia="Arial" w:hAnsi="Arial"/>
          <w:sz w:val="18"/>
          <w:szCs w:val="18"/>
          <w:color w:val="auto"/>
        </w:rPr>
        <w:t>As a result, our sponsor will be able to sell its founder shares and private placement warrants, as applicable, pursuant to Rule 144 without registration one year after we have completed our initial business combination.</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2" w:name="page133"/>
    <w:bookmarkEnd w:id="132"/>
    <w:p>
      <w:pPr>
        <w:ind w:left="460"/>
        <w:spacing w:after="0"/>
        <w:rPr>
          <w:sz w:val="20"/>
          <w:szCs w:val="20"/>
          <w:color w:val="auto"/>
        </w:rPr>
      </w:pPr>
      <w:r>
        <w:rPr>
          <w:rFonts w:ascii="Arial" w:cs="Arial" w:eastAsia="Arial" w:hAnsi="Arial"/>
          <w:sz w:val="18"/>
          <w:szCs w:val="18"/>
          <w:b w:val="1"/>
          <w:bCs w:val="1"/>
          <w:color w:val="auto"/>
        </w:rPr>
        <w:t>Registration and Shareholder Rights</w:t>
      </w:r>
    </w:p>
    <w:p>
      <w:pPr>
        <w:spacing w:after="0" w:line="162" w:lineRule="exact"/>
        <w:rPr>
          <w:sz w:val="20"/>
          <w:szCs w:val="20"/>
          <w:color w:val="auto"/>
        </w:rPr>
      </w:pPr>
    </w:p>
    <w:p>
      <w:pPr>
        <w:ind w:left="460" w:right="559" w:firstLine="432"/>
        <w:spacing w:after="0" w:line="286" w:lineRule="auto"/>
        <w:rPr>
          <w:sz w:val="20"/>
          <w:szCs w:val="20"/>
          <w:color w:val="auto"/>
        </w:rPr>
      </w:pPr>
      <w:r>
        <w:rPr>
          <w:rFonts w:ascii="Arial" w:cs="Arial" w:eastAsia="Arial" w:hAnsi="Arial"/>
          <w:sz w:val="16"/>
          <w:szCs w:val="16"/>
          <w:color w:val="auto"/>
        </w:rPr>
        <w:t>The holders of the founder shares, private placement warrants and warrants that may be issued upon conversion of working capital loans (and any Class A ordinary shares issuable upon the exercise of the private placement warrants and warrants that may be issued upon conversion of working capital loans) will be entitled to registration rights pursuant to a registration and shareholder rights agreement to be signed prior to or on the effective date of this offering. The holders of these securities are entitled to make up to three demands, excluding short form demands, that we register such securities. In addition, the holders have certain “piggy-back” registration rights with respect to registration statements filed subsequent to our completion of our initial business combination. However, the registration and shareholder rights agreement provides that we will not permit any registration statement filed under the Securities Act to become effective until termination of the applicable lockup period, which occurs (i) in the case of the founder shares, as described in the following paragraph, and (ii) in the case of the private placement warrants and the respective Class A ordinary shares underlying such warrants, 30 days after the completion of our initial business combination. We will bear the expenses incurred in connection with the filing of any such registration statements.</w:t>
      </w:r>
    </w:p>
    <w:p>
      <w:pPr>
        <w:spacing w:after="0" w:line="93"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Except as described herein, our sponsor and our directors and executive officers have agreed not to transfer, assign or sell any of their founder shares until (i) one year after the completion of our initial business combination, or (ii) the date on which we complete a liquidation, merger, share exchange or other similar transaction after our initial business combination that results in all of our shareholders having the right to exchange their Class A ordinary shares for cash, securities or other property. Any permitted transferees will be subject to the same restrictions and other agreements of our sponsor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14" w:lineRule="exact"/>
        <w:rPr>
          <w:sz w:val="20"/>
          <w:szCs w:val="20"/>
          <w:color w:val="auto"/>
        </w:rPr>
      </w:pPr>
    </w:p>
    <w:p>
      <w:pPr>
        <w:ind w:left="460" w:right="659" w:firstLine="432"/>
        <w:spacing w:after="0" w:line="259" w:lineRule="auto"/>
        <w:rPr>
          <w:sz w:val="20"/>
          <w:szCs w:val="20"/>
          <w:color w:val="auto"/>
        </w:rPr>
      </w:pPr>
      <w:r>
        <w:rPr>
          <w:rFonts w:ascii="Arial" w:cs="Arial" w:eastAsia="Arial" w:hAnsi="Arial"/>
          <w:sz w:val="18"/>
          <w:szCs w:val="18"/>
          <w:color w:val="auto"/>
        </w:rPr>
        <w:t>In addition, pursuant to the registration and shareholder rights agreement, our sponsor, upon consummation of an initial business combination, will be entitled to nominate three individuals for election to our board of directors, as long as the sponsor holds any securities covered by the registration and shareholder rights agreement.</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Listing of Securities</w:t>
      </w:r>
    </w:p>
    <w:p>
      <w:pPr>
        <w:spacing w:after="0" w:line="162"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Our units have been approved for listing on the NYSE under the symbol “SOAC.U.” Once the securities comprising the units begin separate trading, we expect that the Class A ordinary shares and warrants will be listed on the NYSE under the symbols “SOAC” and “SOAC WS,” respectively. The units will automatically separate into their component parts and will not be traded following the completion of our initial business combination.</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3" w:name="page134"/>
    <w:bookmarkEnd w:id="133"/>
    <w:p>
      <w:pPr>
        <w:jc w:val="center"/>
        <w:ind w:right="19"/>
        <w:spacing w:after="0"/>
        <w:rPr>
          <w:sz w:val="20"/>
          <w:szCs w:val="20"/>
          <w:color w:val="auto"/>
        </w:rPr>
      </w:pPr>
      <w:r>
        <w:rPr>
          <w:rFonts w:ascii="Arial" w:cs="Arial" w:eastAsia="Arial" w:hAnsi="Arial"/>
          <w:sz w:val="18"/>
          <w:szCs w:val="18"/>
          <w:b w:val="1"/>
          <w:bCs w:val="1"/>
          <w:color w:val="auto"/>
        </w:rPr>
        <w:t>TAXATION</w:t>
      </w:r>
    </w:p>
    <w:p>
      <w:pPr>
        <w:spacing w:after="0" w:line="162"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The following summary of certain Cayman Islands and U.S. federal income tax consequences of an investment in our units, each consisting of one Class A ordinary share and one-half of one redeemable warrant, which we refer to collectively as our securities, is based upon laws and relevant interpretations thereof in effect as of the date of this prospectus, all of which are subject to change. This summary does not deal with all possible tax consequences relating to an investment in our Class A ordinary shares and warrants, such as the tax consequences under state, local and other tax laws.</w:t>
      </w:r>
    </w:p>
    <w:p>
      <w:pPr>
        <w:spacing w:after="0" w:line="97" w:lineRule="exact"/>
        <w:rPr>
          <w:sz w:val="20"/>
          <w:szCs w:val="20"/>
          <w:color w:val="auto"/>
        </w:rPr>
      </w:pPr>
    </w:p>
    <w:p>
      <w:pPr>
        <w:ind w:left="460" w:right="699" w:firstLine="432"/>
        <w:spacing w:after="0" w:line="277" w:lineRule="auto"/>
        <w:rPr>
          <w:sz w:val="20"/>
          <w:szCs w:val="20"/>
          <w:color w:val="auto"/>
        </w:rPr>
      </w:pPr>
      <w:r>
        <w:rPr>
          <w:rFonts w:ascii="Arial" w:cs="Arial" w:eastAsia="Arial" w:hAnsi="Arial"/>
          <w:sz w:val="18"/>
          <w:szCs w:val="18"/>
          <w:color w:val="auto"/>
        </w:rPr>
        <w:t>Prospective investors should consult their advisors on the possible tax consequences of investing in our securities under the laws of their country of citizenship, residence or domicile.</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Cayman Islands Tax Considerations</w:t>
      </w:r>
    </w:p>
    <w:p>
      <w:pPr>
        <w:spacing w:after="0" w:line="162" w:lineRule="exact"/>
        <w:rPr>
          <w:sz w:val="20"/>
          <w:szCs w:val="20"/>
          <w:color w:val="auto"/>
        </w:rPr>
      </w:pPr>
    </w:p>
    <w:p>
      <w:pPr>
        <w:ind w:left="460" w:right="499" w:firstLine="432"/>
        <w:spacing w:after="0" w:line="301" w:lineRule="auto"/>
        <w:rPr>
          <w:sz w:val="20"/>
          <w:szCs w:val="20"/>
          <w:color w:val="auto"/>
        </w:rPr>
      </w:pPr>
      <w:r>
        <w:rPr>
          <w:rFonts w:ascii="Arial" w:cs="Arial" w:eastAsia="Arial" w:hAnsi="Arial"/>
          <w:sz w:val="16"/>
          <w:szCs w:val="16"/>
          <w:color w:val="auto"/>
        </w:rPr>
        <w:t>The following is a discussion on certain Cayman Islands income tax consequences of an investment in the securities of the company. The discussion is a general summary of present law, which is subject to prospective and retroactive change. It is not intended as tax advice, does not consider any investor’s particular circumstances, and does not consider tax consequences other than those arising under Cayman Islands law.</w:t>
      </w:r>
    </w:p>
    <w:p>
      <w:pPr>
        <w:spacing w:after="0" w:line="15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Under Existing Cayman Islands Laws:</w:t>
      </w:r>
    </w:p>
    <w:p>
      <w:pPr>
        <w:spacing w:after="0" w:line="162"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Payments of dividends and capital in respect of our securities will not be subject to taxation in the Cayman Islands and no withholding will be required on the payment of a dividend or capital to any holder of the securities nor will gains derived from the disposal of the securities be subject to Cayman Islands income or corporation tax. The Cayman Islands currently have no income, corporation or capital gains tax and no estate duty, inheritance tax or gift tax.</w:t>
      </w:r>
    </w:p>
    <w:p>
      <w:pPr>
        <w:spacing w:after="0" w:line="107" w:lineRule="exact"/>
        <w:rPr>
          <w:sz w:val="20"/>
          <w:szCs w:val="20"/>
          <w:color w:val="auto"/>
        </w:rPr>
      </w:pPr>
    </w:p>
    <w:p>
      <w:pPr>
        <w:ind w:left="460" w:right="599" w:firstLine="432"/>
        <w:spacing w:after="0" w:line="277" w:lineRule="auto"/>
        <w:rPr>
          <w:sz w:val="20"/>
          <w:szCs w:val="20"/>
          <w:color w:val="auto"/>
        </w:rPr>
      </w:pPr>
      <w:r>
        <w:rPr>
          <w:rFonts w:ascii="Arial" w:cs="Arial" w:eastAsia="Arial" w:hAnsi="Arial"/>
          <w:sz w:val="18"/>
          <w:szCs w:val="18"/>
          <w:color w:val="auto"/>
        </w:rPr>
        <w:t>No stamp duty is payable in respect of the issue of the warrants. An instrument of transfer in respect of a warrant is stampable if executed in or brought into the Cayman Islands.</w:t>
      </w:r>
    </w:p>
    <w:p>
      <w:pPr>
        <w:spacing w:after="0" w:line="103" w:lineRule="exact"/>
        <w:rPr>
          <w:sz w:val="20"/>
          <w:szCs w:val="20"/>
          <w:color w:val="auto"/>
        </w:rPr>
      </w:pPr>
    </w:p>
    <w:p>
      <w:pPr>
        <w:ind w:left="460" w:right="819" w:firstLine="432"/>
        <w:spacing w:after="0" w:line="277" w:lineRule="auto"/>
        <w:rPr>
          <w:sz w:val="20"/>
          <w:szCs w:val="20"/>
          <w:color w:val="auto"/>
        </w:rPr>
      </w:pPr>
      <w:r>
        <w:rPr>
          <w:rFonts w:ascii="Arial" w:cs="Arial" w:eastAsia="Arial" w:hAnsi="Arial"/>
          <w:sz w:val="18"/>
          <w:szCs w:val="18"/>
          <w:color w:val="auto"/>
        </w:rPr>
        <w:t>No stamp duty is payable in respect of the issue of our Class A ordinary shares or on an instrument of transfer in respect of such shares.</w:t>
      </w:r>
    </w:p>
    <w:p>
      <w:pPr>
        <w:spacing w:after="0" w:line="103"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The company has been incorporated under the laws of the Cayman Islands as an exempted company with limited liability and, as such, has applied for and expects to obtain after the effectiveness of the registration statement of which this prospectus forms a part an undertaking from the Financial Secretary of the Cayman Islands in the following form:</w:t>
      </w:r>
    </w:p>
    <w:p>
      <w:pPr>
        <w:spacing w:after="0" w:line="18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Tax Concessions Law</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(2020 Revision)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Undertaking as to Tax Concessions</w:t>
      </w:r>
    </w:p>
    <w:p>
      <w:pPr>
        <w:spacing w:after="0" w:line="130" w:lineRule="exact"/>
        <w:rPr>
          <w:sz w:val="20"/>
          <w:szCs w:val="20"/>
          <w:color w:val="auto"/>
        </w:rPr>
      </w:pPr>
    </w:p>
    <w:p>
      <w:pPr>
        <w:ind w:left="460" w:right="479" w:firstLine="432"/>
        <w:spacing w:after="0" w:line="277" w:lineRule="auto"/>
        <w:rPr>
          <w:sz w:val="20"/>
          <w:szCs w:val="20"/>
          <w:color w:val="auto"/>
        </w:rPr>
      </w:pPr>
      <w:r>
        <w:rPr>
          <w:rFonts w:ascii="Arial" w:cs="Arial" w:eastAsia="Arial" w:hAnsi="Arial"/>
          <w:sz w:val="18"/>
          <w:szCs w:val="18"/>
          <w:color w:val="auto"/>
        </w:rPr>
        <w:t>In accordance with the provision of Section 6 of The Tax Concessions Law (2020 Revision), the Financial Secretary undertakes with Sustainable Opportunities Acquisition Corp. (the “Company”):</w:t>
      </w:r>
    </w:p>
    <w:p>
      <w:pPr>
        <w:spacing w:after="0" w:line="103" w:lineRule="exact"/>
        <w:rPr>
          <w:sz w:val="20"/>
          <w:szCs w:val="20"/>
          <w:color w:val="auto"/>
        </w:rPr>
      </w:pPr>
    </w:p>
    <w:p>
      <w:pPr>
        <w:ind w:left="1320" w:right="979" w:hanging="434"/>
        <w:spacing w:after="0" w:line="308" w:lineRule="auto"/>
        <w:tabs>
          <w:tab w:leader="none" w:pos="1290" w:val="left"/>
        </w:tabs>
        <w:numPr>
          <w:ilvl w:val="0"/>
          <w:numId w:val="75"/>
        </w:numPr>
        <w:rPr>
          <w:rFonts w:ascii="Arial" w:cs="Arial" w:eastAsia="Arial" w:hAnsi="Arial"/>
          <w:sz w:val="17"/>
          <w:szCs w:val="17"/>
          <w:color w:val="auto"/>
        </w:rPr>
      </w:pPr>
      <w:r>
        <w:rPr>
          <w:rFonts w:ascii="Arial" w:cs="Arial" w:eastAsia="Arial" w:hAnsi="Arial"/>
          <w:sz w:val="17"/>
          <w:szCs w:val="17"/>
          <w:color w:val="auto"/>
        </w:rPr>
        <w:t>That no law which is hereafter enacted in the Islands imposing any tax to be levied on profits, income, gains or appreciations shall apply to the Company or its operations; and</w:t>
      </w:r>
    </w:p>
    <w:p>
      <w:pPr>
        <w:spacing w:after="0" w:line="78" w:lineRule="exact"/>
        <w:rPr>
          <w:rFonts w:ascii="Arial" w:cs="Arial" w:eastAsia="Arial" w:hAnsi="Arial"/>
          <w:sz w:val="17"/>
          <w:szCs w:val="17"/>
          <w:color w:val="auto"/>
        </w:rPr>
      </w:pPr>
    </w:p>
    <w:p>
      <w:pPr>
        <w:ind w:left="1320" w:right="879" w:hanging="434"/>
        <w:spacing w:after="0" w:line="277" w:lineRule="auto"/>
        <w:tabs>
          <w:tab w:leader="none" w:pos="1293" w:val="left"/>
        </w:tabs>
        <w:numPr>
          <w:ilvl w:val="0"/>
          <w:numId w:val="75"/>
        </w:numPr>
        <w:rPr>
          <w:rFonts w:ascii="Arial" w:cs="Arial" w:eastAsia="Arial" w:hAnsi="Arial"/>
          <w:sz w:val="18"/>
          <w:szCs w:val="18"/>
          <w:color w:val="auto"/>
        </w:rPr>
      </w:pPr>
      <w:r>
        <w:rPr>
          <w:rFonts w:ascii="Arial" w:cs="Arial" w:eastAsia="Arial" w:hAnsi="Arial"/>
          <w:sz w:val="18"/>
          <w:szCs w:val="18"/>
          <w:color w:val="auto"/>
        </w:rPr>
        <w:t>In addition, that no tax to be levied on profits, income, gains or appreciations or which is in the nature of estate duty or inheritance tax shall be payable:</w:t>
      </w:r>
    </w:p>
    <w:p>
      <w:pPr>
        <w:spacing w:after="0" w:line="89" w:lineRule="exact"/>
        <w:rPr>
          <w:sz w:val="20"/>
          <w:szCs w:val="20"/>
          <w:color w:val="auto"/>
        </w:rPr>
      </w:pPr>
    </w:p>
    <w:p>
      <w:pPr>
        <w:ind w:left="1320"/>
        <w:spacing w:after="0"/>
        <w:tabs>
          <w:tab w:leader="none" w:pos="170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6"/>
          <w:szCs w:val="16"/>
          <w:color w:val="auto"/>
        </w:rPr>
        <w:t>On or in respect of the shares, debentures or other obligations of the Company; or</w:t>
      </w:r>
    </w:p>
    <w:p>
      <w:pPr>
        <w:spacing w:after="0" w:line="158" w:lineRule="exact"/>
        <w:rPr>
          <w:sz w:val="20"/>
          <w:szCs w:val="20"/>
          <w:color w:val="auto"/>
        </w:rPr>
      </w:pPr>
    </w:p>
    <w:p>
      <w:pPr>
        <w:ind w:left="1720" w:right="479" w:hanging="431"/>
        <w:spacing w:after="0" w:line="277" w:lineRule="auto"/>
        <w:tabs>
          <w:tab w:leader="none" w:pos="1700" w:val="left"/>
        </w:tabs>
        <w:rPr>
          <w:sz w:val="20"/>
          <w:szCs w:val="20"/>
          <w:color w:val="auto"/>
        </w:rPr>
      </w:pPr>
      <w:r>
        <w:rPr>
          <w:rFonts w:ascii="Arial" w:cs="Arial" w:eastAsia="Arial" w:hAnsi="Arial"/>
          <w:sz w:val="18"/>
          <w:szCs w:val="18"/>
          <w:color w:val="auto"/>
        </w:rPr>
        <w:t>2.2</w:t>
        <w:tab/>
        <w:t>by way of the withholding in whole or part, of any relevant payment as defined in Section 6(3) of the Tax Concessions Law (2020 Revision).</w:t>
      </w:r>
    </w:p>
    <w:p>
      <w:pPr>
        <w:spacing w:after="0" w:line="10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These concessions shall be for a period of 20 years from the date hereof.</w:t>
      </w:r>
    </w:p>
    <w:p>
      <w:pPr>
        <w:spacing w:after="0" w:line="185" w:lineRule="exact"/>
        <w:rPr>
          <w:sz w:val="20"/>
          <w:szCs w:val="20"/>
          <w:color w:val="auto"/>
        </w:rPr>
      </w:pPr>
    </w:p>
    <w:p>
      <w:pPr>
        <w:ind w:left="4360"/>
        <w:spacing w:after="0"/>
        <w:rPr>
          <w:sz w:val="20"/>
          <w:szCs w:val="20"/>
          <w:color w:val="auto"/>
        </w:rPr>
      </w:pPr>
      <w:r>
        <w:rPr>
          <w:rFonts w:ascii="Arial" w:cs="Arial" w:eastAsia="Arial" w:hAnsi="Arial"/>
          <w:sz w:val="18"/>
          <w:szCs w:val="18"/>
          <w:color w:val="auto"/>
        </w:rPr>
        <w:t>129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4" w:name="page135"/>
    <w:bookmarkEnd w:id="134"/>
    <w:p>
      <w:pPr>
        <w:ind w:left="460"/>
        <w:spacing w:after="0"/>
        <w:rPr>
          <w:sz w:val="20"/>
          <w:szCs w:val="20"/>
          <w:color w:val="auto"/>
        </w:rPr>
      </w:pPr>
      <w:r>
        <w:rPr>
          <w:rFonts w:ascii="Arial" w:cs="Arial" w:eastAsia="Arial" w:hAnsi="Arial"/>
          <w:sz w:val="18"/>
          <w:szCs w:val="18"/>
          <w:b w:val="1"/>
          <w:bCs w:val="1"/>
          <w:color w:val="auto"/>
        </w:rPr>
        <w:t>United States Federal Income Tax Considerations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General</w:t>
      </w:r>
    </w:p>
    <w:p>
      <w:pPr>
        <w:spacing w:after="0" w:line="158" w:lineRule="exact"/>
        <w:rPr>
          <w:sz w:val="20"/>
          <w:szCs w:val="20"/>
          <w:color w:val="auto"/>
        </w:rPr>
      </w:pPr>
    </w:p>
    <w:p>
      <w:pPr>
        <w:ind w:left="460" w:right="479" w:firstLine="432"/>
        <w:spacing w:after="0" w:line="290" w:lineRule="auto"/>
        <w:rPr>
          <w:sz w:val="20"/>
          <w:szCs w:val="20"/>
          <w:color w:val="auto"/>
        </w:rPr>
      </w:pPr>
      <w:r>
        <w:rPr>
          <w:rFonts w:ascii="Arial" w:cs="Arial" w:eastAsia="Arial" w:hAnsi="Arial"/>
          <w:sz w:val="16"/>
          <w:szCs w:val="16"/>
          <w:color w:val="auto"/>
        </w:rPr>
        <w:t>The following discussion summarizes certain U.S. federal income tax considerations generally applicable to the acquisition, ownership and disposition of our units (each consisting of one Class A ordinary share and one-half of one redeemable warrant) that are purchased in this offering by U.S. Holders (as defined below) and Non-U.S. Holders (as defined below). Because the components of a unit are generally separable at the option of the holder, the holder of a unit generally should be treated, for U.S. federal income tax purposes, as the owner of the underlying Class A ordinary share and warrant components of the unit. As a result, the discussion below with respect to holders of Class A ordinary shares and warrants should also apply to holders of units (as the deemed owners of the underlying Class A ordinary shares and warrants that constitute the units).</w:t>
      </w:r>
    </w:p>
    <w:p>
      <w:pPr>
        <w:spacing w:after="0" w:line="84" w:lineRule="exact"/>
        <w:rPr>
          <w:sz w:val="20"/>
          <w:szCs w:val="20"/>
          <w:color w:val="auto"/>
        </w:rPr>
      </w:pPr>
    </w:p>
    <w:p>
      <w:pPr>
        <w:ind w:left="460" w:right="499" w:firstLine="432"/>
        <w:spacing w:after="0" w:line="270" w:lineRule="auto"/>
        <w:rPr>
          <w:sz w:val="20"/>
          <w:szCs w:val="20"/>
          <w:color w:val="auto"/>
        </w:rPr>
      </w:pPr>
      <w:r>
        <w:rPr>
          <w:rFonts w:ascii="Arial" w:cs="Arial" w:eastAsia="Arial" w:hAnsi="Arial"/>
          <w:sz w:val="17"/>
          <w:szCs w:val="17"/>
          <w:color w:val="auto"/>
        </w:rPr>
        <w:t>This discussion is limited to certain U.S. federal income tax considerations to beneficial owners of our securities who are initial purchasers of a unit pursuant to this offering and hold the unit and each component of the unit as a capital asset under the U.S. Internal Revenue Code of 1986, as amended (the “Code”). This discussion assumes that the Class A ordinary shares and warrants will trade separately and that any distributions made (or deemed made) by us on our Class A ordinary shares and any consideration received (or deemed received) by a holder in consideration for the sale or other disposition of our securities will be in U.S. dollars. This discussion is a summary only and does not consider all aspects of U.S. federal income taxation that may be relevant to the acquisition, ownership and disposition of a unit by a prospective investor in light of its particular circumstances, including:</w:t>
      </w:r>
    </w:p>
    <w:p>
      <w:pPr>
        <w:spacing w:after="0" w:line="113" w:lineRule="exact"/>
        <w:rPr>
          <w:sz w:val="20"/>
          <w:szCs w:val="20"/>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our sponsor, Founders, officers or directors;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financial institutions or financial services entities;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broker-dealers;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taxpayers that are subject to the mark-to-market accounting rules;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tax-exempt entities;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S-corporations;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governments or agencies or instrumentalities thereof;</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insurance companies;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regulated investment companies;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real estate investment trusts;</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expatriates or former long-term residents of the United States;</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persons that actually or constructively own five percent or more of our shares;</w:t>
      </w:r>
    </w:p>
    <w:p>
      <w:pPr>
        <w:spacing w:after="0" w:line="157" w:lineRule="exact"/>
        <w:rPr>
          <w:rFonts w:ascii="Arial" w:cs="Arial" w:eastAsia="Arial" w:hAnsi="Arial"/>
          <w:sz w:val="18"/>
          <w:szCs w:val="18"/>
          <w:color w:val="auto"/>
        </w:rPr>
      </w:pPr>
    </w:p>
    <w:p>
      <w:pPr>
        <w:ind w:left="1320" w:right="479" w:hanging="434"/>
        <w:spacing w:after="0" w:line="342" w:lineRule="auto"/>
        <w:tabs>
          <w:tab w:leader="none" w:pos="1311" w:val="left"/>
        </w:tabs>
        <w:numPr>
          <w:ilvl w:val="0"/>
          <w:numId w:val="76"/>
        </w:numPr>
        <w:rPr>
          <w:rFonts w:ascii="Arial" w:cs="Arial" w:eastAsia="Arial" w:hAnsi="Arial"/>
          <w:sz w:val="16"/>
          <w:szCs w:val="16"/>
          <w:color w:val="auto"/>
        </w:rPr>
      </w:pPr>
      <w:r>
        <w:rPr>
          <w:rFonts w:ascii="Arial" w:cs="Arial" w:eastAsia="Arial" w:hAnsi="Arial"/>
          <w:sz w:val="16"/>
          <w:szCs w:val="16"/>
          <w:color w:val="auto"/>
        </w:rPr>
        <w:t>persons that acquired our securities pursuant to an exercise of employee share options, in connection with employee share incentive plans or otherwise as compensation or in connection with services;</w:t>
      </w:r>
    </w:p>
    <w:p>
      <w:pPr>
        <w:spacing w:after="0" w:line="56" w:lineRule="exact"/>
        <w:rPr>
          <w:rFonts w:ascii="Arial" w:cs="Arial" w:eastAsia="Arial" w:hAnsi="Arial"/>
          <w:sz w:val="16"/>
          <w:szCs w:val="16"/>
          <w:color w:val="auto"/>
        </w:rPr>
      </w:pPr>
    </w:p>
    <w:p>
      <w:pPr>
        <w:ind w:left="1320" w:right="559" w:hanging="434"/>
        <w:spacing w:after="0" w:line="277" w:lineRule="auto"/>
        <w:tabs>
          <w:tab w:leader="none" w:pos="1311" w:val="left"/>
        </w:tabs>
        <w:numPr>
          <w:ilvl w:val="0"/>
          <w:numId w:val="76"/>
        </w:numPr>
        <w:rPr>
          <w:rFonts w:ascii="Arial" w:cs="Arial" w:eastAsia="Arial" w:hAnsi="Arial"/>
          <w:sz w:val="18"/>
          <w:szCs w:val="18"/>
          <w:color w:val="auto"/>
        </w:rPr>
      </w:pPr>
      <w:r>
        <w:rPr>
          <w:rFonts w:ascii="Arial" w:cs="Arial" w:eastAsia="Arial" w:hAnsi="Arial"/>
          <w:sz w:val="18"/>
          <w:szCs w:val="18"/>
          <w:color w:val="auto"/>
        </w:rPr>
        <w:t>persons that hold our securities as part of a straddle, constructive sale, hedging, conversion or other integrated or similar transaction; or</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76"/>
        </w:numPr>
        <w:rPr>
          <w:rFonts w:ascii="Arial" w:cs="Arial" w:eastAsia="Arial" w:hAnsi="Arial"/>
          <w:sz w:val="18"/>
          <w:szCs w:val="18"/>
          <w:color w:val="auto"/>
        </w:rPr>
      </w:pPr>
      <w:r>
        <w:rPr>
          <w:rFonts w:ascii="Arial" w:cs="Arial" w:eastAsia="Arial" w:hAnsi="Arial"/>
          <w:sz w:val="18"/>
          <w:szCs w:val="18"/>
          <w:color w:val="auto"/>
        </w:rPr>
        <w:t>U.S. Holders (as defined below) whose functional currency is not the U.S. dollar.</w:t>
      </w:r>
    </w:p>
    <w:p>
      <w:pPr>
        <w:spacing w:after="0" w:line="158" w:lineRule="exact"/>
        <w:rPr>
          <w:sz w:val="20"/>
          <w:szCs w:val="20"/>
          <w:color w:val="auto"/>
        </w:rPr>
      </w:pPr>
    </w:p>
    <w:p>
      <w:pPr>
        <w:ind w:left="460" w:right="619" w:firstLine="432"/>
        <w:spacing w:after="0" w:line="273" w:lineRule="auto"/>
        <w:rPr>
          <w:sz w:val="20"/>
          <w:szCs w:val="20"/>
          <w:color w:val="auto"/>
        </w:rPr>
      </w:pPr>
      <w:r>
        <w:rPr>
          <w:rFonts w:ascii="Arial" w:cs="Arial" w:eastAsia="Arial" w:hAnsi="Arial"/>
          <w:sz w:val="17"/>
          <w:szCs w:val="17"/>
          <w:color w:val="auto"/>
        </w:rPr>
        <w:t>Moreover, the discussion below is based upon the provisions of the Code, the Treasury regulations promulgated thereunder and administrative and judicial interpretations thereof, all as of the date hereof, and such provisions may be repealed, revoked, modified or subject to differing interpretations, possibly on a retroactive basis, so as to result in U.S. federal income tax consequences different from those discussed below. Furthermore, this discussion does not address any aspect of U.S. federal non-income tax laws, such as gift, estate or Medicare contribution tax laws, or state, local or non-U.S. tax laws.</w:t>
      </w:r>
    </w:p>
    <w:p>
      <w:pPr>
        <w:spacing w:after="0" w:line="13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35" w:name="page136"/>
    <w:bookmarkEnd w:id="135"/>
    <w:p>
      <w:pPr>
        <w:ind w:left="460" w:right="619" w:firstLine="432"/>
        <w:spacing w:after="0" w:line="301" w:lineRule="auto"/>
        <w:rPr>
          <w:sz w:val="20"/>
          <w:szCs w:val="20"/>
          <w:color w:val="auto"/>
        </w:rPr>
      </w:pPr>
      <w:r>
        <w:rPr>
          <w:rFonts w:ascii="Arial" w:cs="Arial" w:eastAsia="Arial" w:hAnsi="Arial"/>
          <w:sz w:val="16"/>
          <w:szCs w:val="16"/>
          <w:color w:val="auto"/>
        </w:rPr>
        <w:t>We have not sought, and will not seek, a ruling from the IRS as to any U.S. federal income tax consequence described herein. The IRS may disagree with the discussion herein, and its determination may be upheld by a court. Moreover, there can be no assurance that future legislation, regulations, administrative rulings or court decisions will not adversely affect the accuracy of the statements in this discussion.</w:t>
      </w:r>
    </w:p>
    <w:p>
      <w:pPr>
        <w:spacing w:after="0" w:line="76" w:lineRule="exact"/>
        <w:rPr>
          <w:sz w:val="20"/>
          <w:szCs w:val="20"/>
          <w:color w:val="auto"/>
        </w:rPr>
      </w:pPr>
    </w:p>
    <w:p>
      <w:pPr>
        <w:ind w:left="460" w:right="679" w:firstLine="432"/>
        <w:spacing w:after="0" w:line="291" w:lineRule="auto"/>
        <w:rPr>
          <w:sz w:val="20"/>
          <w:szCs w:val="20"/>
          <w:color w:val="auto"/>
        </w:rPr>
      </w:pPr>
      <w:r>
        <w:rPr>
          <w:rFonts w:ascii="Arial" w:cs="Arial" w:eastAsia="Arial" w:hAnsi="Arial"/>
          <w:sz w:val="16"/>
          <w:szCs w:val="16"/>
          <w:color w:val="auto"/>
        </w:rPr>
        <w:t>As used herein, the term “U.S. Holder” means a beneficial owner of units, Class A ordinary shares or warrants that is for U.S. federal income tax purposes: (i) an individual citizen or resident of the United States;</w:t>
      </w:r>
    </w:p>
    <w:p>
      <w:pPr>
        <w:ind w:left="460" w:right="499" w:hanging="6"/>
        <w:spacing w:after="0" w:line="290" w:lineRule="auto"/>
        <w:tabs>
          <w:tab w:leader="none" w:pos="725" w:val="left"/>
        </w:tabs>
        <w:numPr>
          <w:ilvl w:val="0"/>
          <w:numId w:val="77"/>
        </w:numPr>
        <w:rPr>
          <w:rFonts w:ascii="Arial" w:cs="Arial" w:eastAsia="Arial" w:hAnsi="Arial"/>
          <w:sz w:val="16"/>
          <w:szCs w:val="16"/>
          <w:color w:val="auto"/>
        </w:rPr>
      </w:pPr>
      <w:r>
        <w:rPr>
          <w:rFonts w:ascii="Arial" w:cs="Arial" w:eastAsia="Arial" w:hAnsi="Arial"/>
          <w:sz w:val="16"/>
          <w:szCs w:val="16"/>
          <w:color w:val="auto"/>
        </w:rPr>
        <w:t>a corporation (or other entity treated as a corporation for U.S. federal income tax purposes) that is created or organized (or treated as created or organized) in or under the laws of the United States, any state thereof or the District of Columbia; (iii) an estate the income of which is subject to U.S. federal income taxation regardless of its source; or (iv) a trust if (A) a court within the United States is able to exercise primary supervision over the administration of the trust and one or more U.S. persons have the authority to control all substantial decisions of the trust, or (B) it has in effect a valid election to be treated as a U.S. person.</w:t>
      </w:r>
    </w:p>
    <w:p>
      <w:pPr>
        <w:spacing w:after="0" w:line="96" w:lineRule="exact"/>
        <w:rPr>
          <w:sz w:val="20"/>
          <w:szCs w:val="20"/>
          <w:color w:val="auto"/>
        </w:rPr>
      </w:pPr>
    </w:p>
    <w:p>
      <w:pPr>
        <w:ind w:left="460" w:right="559" w:firstLine="432"/>
        <w:spacing w:after="0" w:line="273" w:lineRule="auto"/>
        <w:rPr>
          <w:sz w:val="20"/>
          <w:szCs w:val="20"/>
          <w:color w:val="auto"/>
        </w:rPr>
      </w:pPr>
      <w:r>
        <w:rPr>
          <w:rFonts w:ascii="Arial" w:cs="Arial" w:eastAsia="Arial" w:hAnsi="Arial"/>
          <w:sz w:val="17"/>
          <w:szCs w:val="17"/>
          <w:color w:val="auto"/>
        </w:rPr>
        <w:t>This discussion does not consider the tax treatment of partnerships or other pass-through entities or persons who hold our securities through such entities. If a partnership (or other entity or arrangement classified as a partnership for U.S. federal income tax purposes) is the beneficial owner of our securities, the U.S. federal income tax treatment of a partner in the partnership generally will depend on the status of the partner and the activities of the partner and the partnership. If you are a partner of a partnership holding our securities, we urge you to consult your tax advisor.</w:t>
      </w:r>
    </w:p>
    <w:p>
      <w:pPr>
        <w:spacing w:after="0" w:line="110" w:lineRule="exact"/>
        <w:rPr>
          <w:sz w:val="20"/>
          <w:szCs w:val="20"/>
          <w:color w:val="auto"/>
        </w:rPr>
      </w:pPr>
    </w:p>
    <w:p>
      <w:pPr>
        <w:ind w:left="460" w:right="639" w:firstLine="432"/>
        <w:spacing w:after="0" w:line="254" w:lineRule="auto"/>
        <w:rPr>
          <w:sz w:val="20"/>
          <w:szCs w:val="20"/>
          <w:color w:val="auto"/>
        </w:rPr>
      </w:pPr>
      <w:r>
        <w:rPr>
          <w:rFonts w:ascii="Arial" w:cs="Arial" w:eastAsia="Arial" w:hAnsi="Arial"/>
          <w:sz w:val="18"/>
          <w:szCs w:val="18"/>
          <w:color w:val="auto"/>
        </w:rPr>
        <w:t>THIS DISCUSSION IS ONLY A SUMMARY OF CERTAIN U.S. FEDERAL INCOME TAX CONSIDERATIONS ASSOCIATED WITH THE ACQUISITION, OWNERSHIP AND DISPOSITION OF OUR SECURITIES. EACH PROSPECTIVE INVESTOR IN OUR SECURITIES IS URGED TO CONSULT ITS TAX ADVISOR WITH RESPECT TO THE PARTICULAR TAX CONSEQUENCES TO SUCH INVESTOR OF THE ACQUISITION, OWNERSHIP AND DISPOSITION OF OUR SECURITIES, INCLUDING THE APPLICABILITY AND EFFECT OF ANY STATE, LOCAL, AND NON-UNITED STATES TAX LAWS.</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Allocation of Purchase Price and Characterization of a Unit</w:t>
      </w:r>
    </w:p>
    <w:p>
      <w:pPr>
        <w:spacing w:after="0" w:line="144" w:lineRule="exact"/>
        <w:rPr>
          <w:sz w:val="20"/>
          <w:szCs w:val="20"/>
          <w:color w:val="auto"/>
        </w:rPr>
      </w:pPr>
    </w:p>
    <w:p>
      <w:pPr>
        <w:ind w:left="460" w:right="459" w:firstLine="432"/>
        <w:spacing w:after="0" w:line="285" w:lineRule="auto"/>
        <w:rPr>
          <w:sz w:val="20"/>
          <w:szCs w:val="20"/>
          <w:color w:val="auto"/>
        </w:rPr>
      </w:pPr>
      <w:r>
        <w:rPr>
          <w:rFonts w:ascii="Arial" w:cs="Arial" w:eastAsia="Arial" w:hAnsi="Arial"/>
          <w:sz w:val="16"/>
          <w:szCs w:val="16"/>
          <w:color w:val="auto"/>
        </w:rPr>
        <w:t>No statutory, administrative or judicial authority directly addresses the treatment of a unit or instruments similar to a unit for U.S. federal income tax purposes, and therefore, that treatment is not entirely clear. The acquisition of a unit should be treated for U.S. federal income tax purposes as the acquisition of one share of our Class A ordinary shares and one-half of one warrant, a whole one of which is exercisable to acquire one share of our Class A ordinary shares. We intend to treat the acquisition of a unit in this manner and, by purchasing a unit, you must adopt such treatment for applicable tax purposes. For U.S. federal income tax purposes, each holder of a unit will agree to allocate the purchase price paid by such holder for such unit between the one Class A ordinary share and the one-half of one warrant based on the relative fair market value of each at the time of issuance. Under U.S. federal income tax law, each investor must make his or her own determination of such value based on all the relevant facts and circumstances. Therefore, we strongly urge each investor to consult his or her tax advisor regarding the determination of value for these purposes. The price allocated to each Class A ordinary share and one-half of one warrant should constitute the shareholder’s initial tax basis in such share or warrant. Any disposition of a unit should be treated for U.S. federal income tax purposes as a disposition of the Class A ordinary share and one-half of one warrant comprising the unit, and the amount realized on the disposition should be allocated between the Class A ordinary share and one-half of one warrant based on their respective relative fair market values at the time of disposition. Neither the separation of the Class A ordinary share and the one-half of one warrant constituting a unit nor the combination of halves of warrants into a single warrant should be a taxable event for U.S. federal income tax purposes.</w:t>
      </w:r>
    </w:p>
    <w:p>
      <w:pPr>
        <w:spacing w:after="0" w:line="104" w:lineRule="exact"/>
        <w:rPr>
          <w:sz w:val="20"/>
          <w:szCs w:val="20"/>
          <w:color w:val="auto"/>
        </w:rPr>
      </w:pPr>
    </w:p>
    <w:p>
      <w:pPr>
        <w:ind w:left="460" w:right="559" w:firstLine="432"/>
        <w:spacing w:after="0" w:line="272" w:lineRule="auto"/>
        <w:rPr>
          <w:sz w:val="20"/>
          <w:szCs w:val="20"/>
          <w:color w:val="auto"/>
        </w:rPr>
      </w:pPr>
      <w:r>
        <w:rPr>
          <w:rFonts w:ascii="Arial" w:cs="Arial" w:eastAsia="Arial" w:hAnsi="Arial"/>
          <w:sz w:val="17"/>
          <w:szCs w:val="17"/>
          <w:color w:val="auto"/>
        </w:rPr>
        <w:t>The foregoing treatment of the Class A ordinary shares and warrants and a holder’s purchase price allocation are not binding on the IRS or the courts. Because there are no authorities that directly address instruments that are similar to the units, no assurance can be given that the IRS or the courts will agree with the characterization described above or the discussion below. Accordingly, each prospective investor is urged to consult its tax advisor regarding the tax consequences of an investment in a unit (including alternative characterizations of a unit). The balance of this discussion assumes that the characterization of the units described above is respected for U.S. federal income tax purposes.</w:t>
      </w:r>
    </w:p>
    <w:p>
      <w:pPr>
        <w:spacing w:after="0" w:line="1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6" w:name="page137"/>
    <w:bookmarkEnd w:id="136"/>
    <w:p>
      <w:pPr>
        <w:ind w:left="460"/>
        <w:spacing w:after="0"/>
        <w:rPr>
          <w:sz w:val="20"/>
          <w:szCs w:val="20"/>
          <w:color w:val="auto"/>
        </w:rPr>
      </w:pPr>
      <w:r>
        <w:rPr>
          <w:rFonts w:ascii="Arial" w:cs="Arial" w:eastAsia="Arial" w:hAnsi="Arial"/>
          <w:sz w:val="18"/>
          <w:szCs w:val="18"/>
          <w:b w:val="1"/>
          <w:bCs w:val="1"/>
          <w:i w:val="1"/>
          <w:iCs w:val="1"/>
          <w:color w:val="auto"/>
        </w:rPr>
        <w:t>U.S. Holders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Taxation of Distributions</w:t>
      </w:r>
    </w:p>
    <w:p>
      <w:pPr>
        <w:spacing w:after="0" w:line="158" w:lineRule="exact"/>
        <w:rPr>
          <w:sz w:val="20"/>
          <w:szCs w:val="20"/>
          <w:color w:val="auto"/>
        </w:rPr>
      </w:pPr>
    </w:p>
    <w:p>
      <w:pPr>
        <w:ind w:left="460" w:right="539" w:firstLine="432"/>
        <w:spacing w:after="0" w:line="288" w:lineRule="auto"/>
        <w:rPr>
          <w:sz w:val="20"/>
          <w:szCs w:val="20"/>
          <w:color w:val="auto"/>
        </w:rPr>
      </w:pPr>
      <w:r>
        <w:rPr>
          <w:rFonts w:ascii="Arial" w:cs="Arial" w:eastAsia="Arial" w:hAnsi="Arial"/>
          <w:sz w:val="16"/>
          <w:szCs w:val="16"/>
          <w:color w:val="auto"/>
        </w:rPr>
        <w:t>Subject to the passive foreign investment company (“PFIC”) rules discussed below, a U.S. Holder generally will be required to include in gross income as dividends the amount of any distribution paid on our Class A ordinary shares to the extent the distribution is paid out of our current or accumulated earnings and profits (as determined under U.S. federal income tax principles). Such dividends paid by us will be taxable to a corporate U.S. Holder at regular rates and will not be eligible for the dividends-received deduction generally allowed to domestic corporations in respect of dividends received from other domestic corporations. Distributions in excess of such earnings and profits generally will be applied against and reduce the U.S. Holder’s basis in its Class A ordinary shares (but not below zero) and, to the extent in excess of such basis, will be treated as gain from the sale or exchange of such Class A ordinary shares (see “— Gain or Loss on Sale, Taxable Exchange or Other Taxable Disposition of Class A Ordinary Shares and Warrants” below).</w:t>
      </w:r>
    </w:p>
    <w:p>
      <w:pPr>
        <w:spacing w:after="0" w:line="87"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With respect to non-corporate U.S. Holders, under tax laws currently in effect and subject to certain exceptions (including, but not limited to, dividends treated as investment income for purposes of investment interest deduction limitations), dividends generally will be taxed at the lower applicable long-term capital gains rate (see “— Gain or Loss on Sale, Taxable Exchange or Other Taxable Disposition of Class A Ordinary Shares and Warrants” below) only if our Class A ordinary shares are readily tradable on an established securities market in the United States, the company is not treated as a PFIC at the time the dividend was paid or in the preceding year and provided certain holding period requirements are met. It is unclear, however, whether certain redemption rights described in this prospectus may suspend the running of the applicable holding period for this purpose. U.S. Holders should consult their tax advisors regarding the availability of such lower rate for any dividends paid with respect to our Class A ordinary shares.</w:t>
      </w:r>
    </w:p>
    <w:p>
      <w:pPr>
        <w:spacing w:after="0" w:line="185" w:lineRule="exact"/>
        <w:rPr>
          <w:sz w:val="20"/>
          <w:szCs w:val="20"/>
          <w:color w:val="auto"/>
        </w:rPr>
      </w:pPr>
    </w:p>
    <w:p>
      <w:pPr>
        <w:ind w:left="460" w:right="1159"/>
        <w:spacing w:after="0" w:line="277" w:lineRule="auto"/>
        <w:rPr>
          <w:sz w:val="20"/>
          <w:szCs w:val="20"/>
          <w:color w:val="auto"/>
        </w:rPr>
      </w:pPr>
      <w:r>
        <w:rPr>
          <w:rFonts w:ascii="Arial" w:cs="Arial" w:eastAsia="Arial" w:hAnsi="Arial"/>
          <w:sz w:val="18"/>
          <w:szCs w:val="18"/>
          <w:i w:val="1"/>
          <w:iCs w:val="1"/>
          <w:color w:val="auto"/>
        </w:rPr>
        <w:t>Gain or Loss on Sale, Taxable Exchange or Other Taxable Disposition of Class A Ordinary Shares and Warrants</w:t>
      </w:r>
    </w:p>
    <w:p>
      <w:pPr>
        <w:spacing w:after="0" w:line="103" w:lineRule="exact"/>
        <w:rPr>
          <w:sz w:val="20"/>
          <w:szCs w:val="20"/>
          <w:color w:val="auto"/>
        </w:rPr>
      </w:pPr>
    </w:p>
    <w:p>
      <w:pPr>
        <w:ind w:left="460" w:right="479" w:firstLine="432"/>
        <w:spacing w:after="0" w:line="293" w:lineRule="auto"/>
        <w:rPr>
          <w:sz w:val="20"/>
          <w:szCs w:val="20"/>
          <w:color w:val="auto"/>
        </w:rPr>
      </w:pPr>
      <w:r>
        <w:rPr>
          <w:rFonts w:ascii="Arial" w:cs="Arial" w:eastAsia="Arial" w:hAnsi="Arial"/>
          <w:sz w:val="16"/>
          <w:szCs w:val="16"/>
          <w:color w:val="auto"/>
        </w:rPr>
        <w:t>Subject to the PFIC rules discussed below, a U.S. Holder generally will recognize capital gain or loss on the sale or other taxable disposition of our Class A ordinary shares or warrants (including on our dissolution and liquidation if we do not consummate an initial business combination within the required time period). Any such capital gain or loss generally will be long-term capital gain or loss if the U.S. Holder’s holding period for such Class A ordinary shares or warrants exceeds one year. It is unclear, however, whether certain redemption rights described in this prospectus may suspend the running of the applicable holding period for this purpose.</w:t>
      </w:r>
    </w:p>
    <w:p>
      <w:pPr>
        <w:spacing w:after="0" w:line="97"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amount of gain or loss recognized on a sale or other taxable disposition generally will be equal to the difference between (i) the sum of the amount of cash and the fair market value of any property received in such disposition (or, if the Class A ordinary shares or warrants are held as part of units at the time of the disposition, the portion of the amount realized on such disposition that is allocated to the Class A ordinary shares or warrants based upon the then relative fair market values of the Class A ordinary shares and the warrants included in the units) and (ii) the U.S. Holder’s adjusted tax basis in its Class A ordinary shares or warrants so disposed of. A U.S. Holder’s adjusted tax basis in its Class A ordinary shares and warrants generally will equal the U.S. Holder’s acquisition cost (that is, the portion of the purchase price of a unit allocated to a share of Class A ordinary shares or one-half of one warrant, as described above under “— Allocation of Purchase Price and Characterization of a Unit”) reduced by any prior distributions treated as a return of capital. Long-term capital gain realized by a non-corporate U.S. Holder is currently eligible to be taxed at reduced rates. See “— Exercise, Lapse or Redemption of a Warrant” below for a discussion regarding a U.S. Holder’s tax basis in the Class A ordinary share acquired pursuant to the exercise of a warrant. The deduction of capital losses is subject to certain limitations.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Redemption of Class A Ordinary Shares</w:t>
      </w:r>
    </w:p>
    <w:p>
      <w:pPr>
        <w:spacing w:after="0" w:line="144" w:lineRule="exact"/>
        <w:rPr>
          <w:sz w:val="20"/>
          <w:szCs w:val="20"/>
          <w:color w:val="auto"/>
        </w:rPr>
      </w:pPr>
    </w:p>
    <w:p>
      <w:pPr>
        <w:ind w:left="460" w:right="679" w:firstLine="432"/>
        <w:spacing w:after="0" w:line="291" w:lineRule="auto"/>
        <w:rPr>
          <w:sz w:val="20"/>
          <w:szCs w:val="20"/>
          <w:color w:val="auto"/>
        </w:rPr>
      </w:pPr>
      <w:r>
        <w:rPr>
          <w:rFonts w:ascii="Arial" w:cs="Arial" w:eastAsia="Arial" w:hAnsi="Arial"/>
          <w:sz w:val="16"/>
          <w:szCs w:val="16"/>
          <w:color w:val="auto"/>
        </w:rPr>
        <w:t>Subject to the PFIC rules discussed below, in the event that a U.S. Holder’s Class A ordinary shares are redeemed pursuant to the redemption provisions described in this prospectus under “Description of Securities</w:t>
      </w:r>
    </w:p>
    <w:p>
      <w:pPr>
        <w:ind w:left="460" w:right="499"/>
        <w:spacing w:after="0" w:line="253" w:lineRule="auto"/>
        <w:rPr>
          <w:sz w:val="20"/>
          <w:szCs w:val="20"/>
          <w:color w:val="auto"/>
        </w:rPr>
      </w:pPr>
      <w:r>
        <w:rPr>
          <w:rFonts w:ascii="Arial" w:cs="Arial" w:eastAsia="Arial" w:hAnsi="Arial"/>
          <w:sz w:val="18"/>
          <w:szCs w:val="18"/>
          <w:color w:val="auto"/>
        </w:rPr>
        <w:t>— Ordinary Shares” or if we purchase a U.S. Holder’s Class A ordinary shares in an open market transaction (referred to herein as a redemption), the treatment of the redemption for U.S. federal income tax purposes will depend on whether it qualifies as a sale of the Class A ordinary shares under Section 302 of the Code. If the redemption qualifies as a sale of Class A ordinary shares, the U.S. Holder will be treated as described under “— Gain or Loss</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41" w:right="1440" w:bottom="1440" w:gutter="0" w:footer="0" w:header="0"/>
        </w:sectPr>
      </w:pPr>
    </w:p>
    <w:bookmarkStart w:id="137" w:name="page138"/>
    <w:bookmarkEnd w:id="137"/>
    <w:p>
      <w:pPr>
        <w:ind w:left="460" w:right="479"/>
        <w:spacing w:after="0" w:line="288" w:lineRule="auto"/>
        <w:rPr>
          <w:sz w:val="20"/>
          <w:szCs w:val="20"/>
          <w:color w:val="auto"/>
        </w:rPr>
      </w:pPr>
      <w:r>
        <w:rPr>
          <w:rFonts w:ascii="Arial" w:cs="Arial" w:eastAsia="Arial" w:hAnsi="Arial"/>
          <w:sz w:val="16"/>
          <w:szCs w:val="16"/>
          <w:color w:val="auto"/>
        </w:rPr>
        <w:t>on Sale, Taxable Exchange or Other Taxable Disposition of Class A Ordinary Shares and Warrants” above. If the redemption does not qualify as a sale of Class A ordinary shares, the U.S. Holder will be treated as receiving a corporate distribution with the tax consequences described above under “— Taxation of Distributions.” Whether a redemption qualifies for sale treatment will depend largely on the total number of our shares treated as held by the U.S. Holder (including any shares constructively owned by the U.S. Holder described in the following paragraph) relative to all of our shares outstanding both before and after such redemption. The redemption of Class A ordinary shares generally will be treated as a sale of the Class A ordinary shares (rather than as a corporate distribution) if such redemption (i) is “substantially disproportionate” with respect to the U.S. Holder, (ii) results in a “complete termination” of the U.S. Holder’s interest in us or (iii) is “not essentially equivalent to a dividend” with respect to the U.S. Holder. These tests are explained more fully below.</w:t>
      </w:r>
    </w:p>
    <w:p>
      <w:pPr>
        <w:spacing w:after="0" w:line="87"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In determining whether any of the foregoing tests are satisfied, a U.S. Holder takes into account not only our shares actually owned by the U.S. Holder, but also our shares that are constructively owned by it. A U.S. Holder may constructively own, in addition to shares owned directly, shares owned by certain related individuals and entities in which the U.S. Holder has an interest or that have an interest in such U.S. Holder, as well as any shares the U.S. Holder has a right to acquire by exercise of an option, which would generally include Class A ordinary shares which could be acquired pursuant to the exercise of the warrants. In order to meet the substantially disproportionate test, the percentage of our outstanding voting shares actually and constructively owned by the U.S. Holder immediately following the redemption of Class A ordinary shares must, among other requirements, be less than 80 percent of the percentage of our outstanding voting shares actually and constructively owned by the U.S. Holder immediately before the redemption. Prior to our initial business combination, the Class A ordinary shares may not be treated as voting shares for this purpose and, consequently, this substantially disproportionate test may not be applicable. There will be a complete termination of a U.S. Holder’s interest if either (i) all of our shares actually and constructively owned by the U.S. Holder are redeemed or (ii) all of our shares actually owned by the U.S. Holder are redeemed and the U.S. Holder is eligible to waive, and effectively waives in accordance with specific rules, the attribution of shares owned by certain family members and the U.S. Holder does not constructively own any other shares of ours. The redemption of the Class A ordinary shares will not be essentially equivalent to a dividend with respect to a U.S. Holder if it results in a “meaningful reduction” of the U.S. Holder’s proportionate interest in us. Whether the redemption will result in a meaningful reduction in a U.S. Holder’s proportionate interest in us will depend on the particular facts and circumstances. However, the IRS has indicated in a published ruling that even a small reduction in the proportionate interest of a small minority shareholder in a publicly held corporation who exercises no control over corporate affairs may constitute such a “meaningful reduction.” A U.S. Holder should consult with its tax advisors as to the tax consequences of a redemption.</w:t>
      </w:r>
    </w:p>
    <w:p>
      <w:pPr>
        <w:spacing w:after="0" w:line="109" w:lineRule="exact"/>
        <w:rPr>
          <w:sz w:val="20"/>
          <w:szCs w:val="20"/>
          <w:color w:val="auto"/>
        </w:rPr>
      </w:pPr>
    </w:p>
    <w:p>
      <w:pPr>
        <w:ind w:left="460" w:right="479" w:firstLine="432"/>
        <w:spacing w:after="0" w:line="275" w:lineRule="auto"/>
        <w:rPr>
          <w:sz w:val="20"/>
          <w:szCs w:val="20"/>
          <w:color w:val="auto"/>
        </w:rPr>
      </w:pPr>
      <w:r>
        <w:rPr>
          <w:rFonts w:ascii="Arial" w:cs="Arial" w:eastAsia="Arial" w:hAnsi="Arial"/>
          <w:sz w:val="17"/>
          <w:szCs w:val="17"/>
          <w:color w:val="auto"/>
        </w:rPr>
        <w:t>If none of the foregoing tests are satisfied, then the redemption will be treated as a corporate distribution and the tax effects will be as described under “— Taxation of Distributions” above. After the application of those rules, any remaining tax basis of the U.S. Holder in the redeemed Class A ordinary shares will be added to the U.S. Holder’s adjusted tax basis in its remaining shares, or, if it has none, to the U.S. Holder’s adjusted tax basis in its warrants or possibly in other shares constructively owned by it.</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Exercise, Lapse or Redemption of a Warrant</w:t>
      </w:r>
    </w:p>
    <w:p>
      <w:pPr>
        <w:spacing w:after="0" w:line="158" w:lineRule="exact"/>
        <w:rPr>
          <w:sz w:val="20"/>
          <w:szCs w:val="20"/>
          <w:color w:val="auto"/>
        </w:rPr>
      </w:pPr>
    </w:p>
    <w:p>
      <w:pPr>
        <w:ind w:left="460" w:right="459" w:firstLine="432"/>
        <w:spacing w:after="0" w:line="288" w:lineRule="auto"/>
        <w:rPr>
          <w:sz w:val="20"/>
          <w:szCs w:val="20"/>
          <w:color w:val="auto"/>
        </w:rPr>
      </w:pPr>
      <w:r>
        <w:rPr>
          <w:rFonts w:ascii="Arial" w:cs="Arial" w:eastAsia="Arial" w:hAnsi="Arial"/>
          <w:sz w:val="16"/>
          <w:szCs w:val="16"/>
          <w:color w:val="auto"/>
        </w:rPr>
        <w:t>Subject to the PFIC rules discussed below and except as discussed below with respect to the cashless exercise of a warrant, a U.S. Holder generally will not recognize gain or loss upon the acquisition of a Class A ordinary share on the exercise of a warrant for cash. A U.S. Holder’s initial tax basis in a Class A ordinary share received upon exercise of the warrant generally will equal the sum of the U.S. Holder’s initial investment in the warrant (that is, the portion of the U.S. Holder’s purchase price for the units that is allocated to the warrant, as described above under “— Allocation of Purchase Price and Characterization of a Unit”) and the exercise price. It is unclear whether a U.S. Holder’s holding period for the Class A ordinary share will commence on the date of exercise of the warrant or the day following the date of exercise of the warrant; in either case, the holding period will not include the period during which the U.S. Holder held the warrant. If a warrant is allowed to lapse unexercised, a U.S. Holder generally will recognize a capital loss equal to such holder’s tax basis in the warrant.</w:t>
      </w:r>
    </w:p>
    <w:p>
      <w:pPr>
        <w:spacing w:after="0" w:line="87" w:lineRule="exact"/>
        <w:rPr>
          <w:sz w:val="20"/>
          <w:szCs w:val="20"/>
          <w:color w:val="auto"/>
        </w:rPr>
      </w:pPr>
    </w:p>
    <w:p>
      <w:pPr>
        <w:ind w:left="460" w:right="599" w:firstLine="432"/>
        <w:spacing w:after="0" w:line="257" w:lineRule="auto"/>
        <w:rPr>
          <w:sz w:val="20"/>
          <w:szCs w:val="20"/>
          <w:color w:val="auto"/>
        </w:rPr>
      </w:pPr>
      <w:r>
        <w:rPr>
          <w:rFonts w:ascii="Arial" w:cs="Arial" w:eastAsia="Arial" w:hAnsi="Arial"/>
          <w:sz w:val="18"/>
          <w:szCs w:val="18"/>
          <w:color w:val="auto"/>
        </w:rPr>
        <w:t>The tax consequences of a cashless exercise of a warrant are not clear under current law. Subject to the PFIC rules discussed below, a cashless exercise may not be taxable, either because the exercise is not a realization event or because the exercise is treated as a “recapitalization” for U.S. federal income tax purposes. In either situation, a U.S. Holder’s tax basis in the Class A ordinary shares received generally would equal the U.S. Holder’s tax basis in</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8" w:name="page139"/>
    <w:bookmarkEnd w:id="138"/>
    <w:p>
      <w:pPr>
        <w:ind w:left="460" w:right="519"/>
        <w:spacing w:after="0" w:line="301" w:lineRule="auto"/>
        <w:rPr>
          <w:sz w:val="20"/>
          <w:szCs w:val="20"/>
          <w:color w:val="auto"/>
        </w:rPr>
      </w:pPr>
      <w:r>
        <w:rPr>
          <w:rFonts w:ascii="Arial" w:cs="Arial" w:eastAsia="Arial" w:hAnsi="Arial"/>
          <w:sz w:val="16"/>
          <w:szCs w:val="16"/>
          <w:color w:val="auto"/>
        </w:rPr>
        <w:t>the warrants. If the cashless exercise was not a realization event, it is unclear whether a U.S. Holder’s holding period for the Class A ordinary share will commence on the date of exercise of the warrant or the day following the date of exercise of the warrant. If the cashless exercise were treated as a recapitalization, the holding period of the Class A ordinary shares would include the holding period of the warrants.</w:t>
      </w:r>
    </w:p>
    <w:p>
      <w:pPr>
        <w:spacing w:after="0" w:line="76"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It is also possible that a cashless exercise may be treated as a taxable exchange in which gain or loss would be recognized. In such event, a U.S. Holder may be deemed to have surrendered a number of warrants having a value equal to the exercise price for the total number of warrants to be exercised. Subject to the PFIC rules discussed below, the U.S. Holder would recognize capital gain or loss in an amount equal to the difference between the fair market value of the warrants deemed surrendered and the U.S. Holder’s tax basis in such warrants. In this case, a U.S. Holder’s tax basis in the Class A ordinary shares received would equal the sum of the U.S. Holder’s initial investment in the warrants exercised (i.e., the portion of the U.S. Holder’s purchase price for the units that is allocated to the warrant, as described above under “—Allocation of Purchase Price and Characterization of a Unit”) and the exercise price of such warrants. It is unclear whether a U.S. Holder’s holding period for the Class A ordinary share would commence on the date of exercise of the warrant or the day following the date of exercise of the warrant.</w:t>
      </w:r>
    </w:p>
    <w:p>
      <w:pPr>
        <w:spacing w:after="0" w:line="114" w:lineRule="exact"/>
        <w:rPr>
          <w:sz w:val="20"/>
          <w:szCs w:val="20"/>
          <w:color w:val="auto"/>
        </w:rPr>
      </w:pPr>
    </w:p>
    <w:p>
      <w:pPr>
        <w:ind w:left="460" w:right="539" w:firstLine="432"/>
        <w:spacing w:after="0" w:line="259" w:lineRule="auto"/>
        <w:rPr>
          <w:sz w:val="20"/>
          <w:szCs w:val="20"/>
          <w:color w:val="auto"/>
        </w:rPr>
      </w:pPr>
      <w:r>
        <w:rPr>
          <w:rFonts w:ascii="Arial" w:cs="Arial" w:eastAsia="Arial" w:hAnsi="Arial"/>
          <w:sz w:val="18"/>
          <w:szCs w:val="18"/>
          <w:color w:val="auto"/>
        </w:rPr>
        <w:t>Due to the absence of authority on the U.S. federal income tax treatment of a cashless exercise, there can be no assurance which, if any, of the alternative tax consequences and holding periods described above would be adopted by the IRS or a court of law. Accordingly, a U.S. Holder should consult its tax advisor regarding the tax consequences of a cashless exercise.</w:t>
      </w:r>
    </w:p>
    <w:p>
      <w:pPr>
        <w:spacing w:after="0" w:line="119" w:lineRule="exact"/>
        <w:rPr>
          <w:sz w:val="20"/>
          <w:szCs w:val="20"/>
          <w:color w:val="auto"/>
        </w:rPr>
      </w:pPr>
    </w:p>
    <w:p>
      <w:pPr>
        <w:ind w:left="460" w:right="619" w:firstLine="432"/>
        <w:spacing w:after="0" w:line="255" w:lineRule="auto"/>
        <w:rPr>
          <w:sz w:val="20"/>
          <w:szCs w:val="20"/>
          <w:color w:val="auto"/>
        </w:rPr>
      </w:pPr>
      <w:r>
        <w:rPr>
          <w:rFonts w:ascii="Arial" w:cs="Arial" w:eastAsia="Arial" w:hAnsi="Arial"/>
          <w:sz w:val="18"/>
          <w:szCs w:val="18"/>
          <w:color w:val="auto"/>
        </w:rPr>
        <w:t>Subject to the PFIC rules described below, if we redeem warrants for cash pursuant to the redemption provisions described in the section of this prospectus entitled “Description of Securities — Warrants — Public Shareholders’ Warrants — Redemption of warrants” or if we purchase warrants in an open market transaction, such redemption or purchase generally will be treated as a taxable disposition to the U.S. Holder, taxed as described above under “— Gain or Loss on Sale, Taxable Exchange or Other Taxable Disposition of Class A Ordinary Shares and Warrants.”</w:t>
      </w:r>
    </w:p>
    <w:p>
      <w:pPr>
        <w:spacing w:after="0" w:line="192"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Possible Constructive Distributions</w:t>
      </w:r>
    </w:p>
    <w:p>
      <w:pPr>
        <w:spacing w:after="0" w:line="144" w:lineRule="exact"/>
        <w:rPr>
          <w:sz w:val="20"/>
          <w:szCs w:val="20"/>
          <w:color w:val="auto"/>
        </w:rPr>
      </w:pPr>
    </w:p>
    <w:p>
      <w:pPr>
        <w:ind w:left="460" w:right="479" w:firstLine="432"/>
        <w:spacing w:after="0" w:line="268" w:lineRule="auto"/>
        <w:rPr>
          <w:sz w:val="20"/>
          <w:szCs w:val="20"/>
          <w:color w:val="auto"/>
        </w:rPr>
      </w:pPr>
      <w:r>
        <w:rPr>
          <w:rFonts w:ascii="Arial" w:cs="Arial" w:eastAsia="Arial" w:hAnsi="Arial"/>
          <w:sz w:val="17"/>
          <w:szCs w:val="17"/>
          <w:color w:val="auto"/>
        </w:rPr>
        <w:t>The terms of each warrant provide for an adjustment to the number of Class A ordinary shares for which the warrant may be exercised or to the exercise price of the warrant in certain events, as discussed in the section of this prospectus captioned “Description of Securities — Warrants — Public Shareholders’ Warrants.” An adjustment which has the effect of preventing dilution generally is not taxable. The U.S. Holders of the warrants would, however, be treated as receiving a constructive distribution from us if, for example, the adjustment increases the warrant holders’ proportionate interest in our assets or earnings and profits (e.g., through an increase in the number of Class A ordinary shares that would be obtained upon exercise or through a decrease to the exercise price, including, for example, the decrease to the exercise price of the warrants where additional Class A ordinary shares or equity-linked securities are issued in connection with the closing of our initial business combination at an issue price or effective issue price of less than $9.20 per ordinary share, as described under “Description of Securities — Warrants — Public Shareholders’ Warrants — Anti-Dilution Adjustments”) as a result of a distribution of cash or other property to the holders of our Class A ordinary shares which is taxable to the U.S. Holders of such Class A ordinary shares as described under “— Taxation of Distributions” above. Such constructive distribution would be subject to tax as described under that section in the same manner as if the U.S. Holders of the warrants received a cash distribution from us equal to the fair market value of such increased interest.</w:t>
      </w:r>
    </w:p>
    <w:p>
      <w:pPr>
        <w:spacing w:after="0" w:line="180"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Passive Foreign Investment Company Rules</w:t>
      </w:r>
    </w:p>
    <w:p>
      <w:pPr>
        <w:spacing w:after="0" w:line="158" w:lineRule="exact"/>
        <w:rPr>
          <w:sz w:val="20"/>
          <w:szCs w:val="20"/>
          <w:color w:val="auto"/>
        </w:rPr>
      </w:pPr>
    </w:p>
    <w:p>
      <w:pPr>
        <w:ind w:left="460" w:right="559" w:firstLine="432"/>
        <w:spacing w:after="0" w:line="290" w:lineRule="auto"/>
        <w:rPr>
          <w:sz w:val="20"/>
          <w:szCs w:val="20"/>
          <w:color w:val="auto"/>
        </w:rPr>
      </w:pPr>
      <w:r>
        <w:rPr>
          <w:rFonts w:ascii="Arial" w:cs="Arial" w:eastAsia="Arial" w:hAnsi="Arial"/>
          <w:sz w:val="16"/>
          <w:szCs w:val="16"/>
          <w:color w:val="auto"/>
        </w:rPr>
        <w:t>A foreign (i.e., non-U.S.) corporation will be classified as a PFIC for U.S. federal income tax purposes if either (i) at least 75% of its gross income in a taxable year, including its pro rata share of the gross income of any corporation in which it is considered to own at least 25% of the shares by value, is passive income or (ii) at least 50% of its assets in a taxable year (ordinarily determined based on fair market value and averaged quarterly over the year), including its pro rata share of the assets of any corporation in which it is considered to own at least 25% of the shares by value, are held for the production of, or produce, passive income. Passive income generally includes dividends, interest, rents and royalties (other than rents or royalties derived from the active conduct of a trade or business) and gains from the disposition of passive assets.</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39" w:name="page140"/>
    <w:bookmarkEnd w:id="139"/>
    <w:p>
      <w:pPr>
        <w:ind w:left="460" w:right="519" w:firstLine="432"/>
        <w:spacing w:after="0" w:line="286" w:lineRule="auto"/>
        <w:rPr>
          <w:sz w:val="20"/>
          <w:szCs w:val="20"/>
          <w:color w:val="auto"/>
        </w:rPr>
      </w:pPr>
      <w:r>
        <w:rPr>
          <w:rFonts w:ascii="Arial" w:cs="Arial" w:eastAsia="Arial" w:hAnsi="Arial"/>
          <w:sz w:val="16"/>
          <w:szCs w:val="16"/>
          <w:color w:val="auto"/>
        </w:rPr>
        <w:t>Because we are a blank check company, with no current active business, we believe that it is likely that we will meet the PFIC asset or income test for our current taxable year. However, pursuant to a start-up exception, a corporation will not be a PFIC for the first taxable year the corporation has gross income (the “start-up year”), if (i) no predecessor of the corporation was a PFIC; (ii) the corporation satisfies the IRS that it will not be a PFIC for either of the two taxable years following the start-up year; and (iii) the corporation is not in fact a PFIC for either of those years. The applicability of the start-up exception to us is uncertain and will not be known until after the close of our current taxable year (or possibly not until after the close of the first two taxable years following our start-up year, as described under the start-up exception). After the acquisition of a company or assets in a business combination, we may still meet one of the PFIC tests depending on the timing of the acquisition and the amount of our passive income and assets as well as the passive income and assets of the acquired business. If the company that we acquire in a business combination is a PFIC, then we will likely not qualify for the start-up exception and will be a PFIC for our current taxable year. Our actual PFIC status for our current taxable year or any subsequent taxable year, however, will not be determinable until after the end of such taxable year. Accordingly, there can be no assurance with respect to our status as a PFIC for our current taxable year or any future taxable year.</w:t>
      </w:r>
    </w:p>
    <w:p>
      <w:pPr>
        <w:spacing w:after="0" w:line="86" w:lineRule="exact"/>
        <w:rPr>
          <w:sz w:val="20"/>
          <w:szCs w:val="20"/>
          <w:color w:val="auto"/>
        </w:rPr>
      </w:pPr>
    </w:p>
    <w:p>
      <w:pPr>
        <w:ind w:left="460" w:right="459" w:firstLine="432"/>
        <w:spacing w:after="0" w:line="268" w:lineRule="auto"/>
        <w:rPr>
          <w:sz w:val="20"/>
          <w:szCs w:val="20"/>
          <w:color w:val="auto"/>
        </w:rPr>
      </w:pPr>
      <w:r>
        <w:rPr>
          <w:rFonts w:ascii="Arial" w:cs="Arial" w:eastAsia="Arial" w:hAnsi="Arial"/>
          <w:sz w:val="17"/>
          <w:szCs w:val="17"/>
          <w:color w:val="auto"/>
        </w:rPr>
        <w:t>Although our PFIC status is determined annually, an initial determination that our company is a PFIC will generally apply for subsequent years to a U.S. Holder who held Class A ordinary shares or warrants while we were a PFIC, whether or not we meet the test for PFIC status in those subsequent years. If we are determined to be a PFIC for any taxable year (or portion thereof) that is included in the holding period of a U.S. Holder of our Class A ordinary shares or warrants and, in the case of our Class A ordinary shares, the U.S. Holder did not make either a qualified electing fund (“QEF”) election for our first taxable year as a PFIC in which the U.S. Holder held (or was deemed to hold) Class A ordinary shares, a QEF election along with a purging election, or a mark-to-market election, each as described below, such U.S. Holder generally will be subject to special rules with respect to (i) any gain recognized by the U.S. Holder on the sale or other disposition of its Class A ordinary shares or warrants and (ii) any “excess distribution” made to the U.S. Holder (generally, any distributions to such U.S. Holder during a taxable year of the U.S. Holder that are greater than 125% of the average annual distributions received by such U.S. Holder in respect of the Class A ordinary shares during the three preceding taxable years of such U.S. Holder or, if shorter, such U.S. Holder’s holding period for the Class A ordinary shares).</w:t>
      </w:r>
    </w:p>
    <w:p>
      <w:pPr>
        <w:spacing w:after="0" w:line="11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Under these rules:</w:t>
      </w:r>
    </w:p>
    <w:p>
      <w:pPr>
        <w:spacing w:after="0" w:line="158" w:lineRule="exact"/>
        <w:rPr>
          <w:sz w:val="20"/>
          <w:szCs w:val="20"/>
          <w:color w:val="auto"/>
        </w:rPr>
      </w:pPr>
    </w:p>
    <w:p>
      <w:pPr>
        <w:ind w:left="1320" w:right="479" w:hanging="434"/>
        <w:spacing w:after="0" w:line="277" w:lineRule="auto"/>
        <w:tabs>
          <w:tab w:leader="none" w:pos="131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U.S. Holder’s gain or excess distribution will be allocated ratably over the U.S. Holder’s holding period for the Class A ordinary shares or warrants;</w:t>
      </w:r>
    </w:p>
    <w:p>
      <w:pPr>
        <w:spacing w:after="0" w:line="89" w:lineRule="exact"/>
        <w:rPr>
          <w:rFonts w:ascii="Arial" w:cs="Arial" w:eastAsia="Arial" w:hAnsi="Arial"/>
          <w:sz w:val="18"/>
          <w:szCs w:val="18"/>
          <w:color w:val="auto"/>
        </w:rPr>
      </w:pPr>
    </w:p>
    <w:p>
      <w:pPr>
        <w:ind w:left="1320" w:right="499" w:hanging="434"/>
        <w:spacing w:after="0" w:line="311" w:lineRule="auto"/>
        <w:tabs>
          <w:tab w:leader="none" w:pos="1311" w:val="left"/>
        </w:tabs>
        <w:numPr>
          <w:ilvl w:val="0"/>
          <w:numId w:val="79"/>
        </w:numPr>
        <w:rPr>
          <w:rFonts w:ascii="Arial" w:cs="Arial" w:eastAsia="Arial" w:hAnsi="Arial"/>
          <w:sz w:val="16"/>
          <w:szCs w:val="16"/>
          <w:color w:val="auto"/>
        </w:rPr>
      </w:pPr>
      <w:r>
        <w:rPr>
          <w:rFonts w:ascii="Arial" w:cs="Arial" w:eastAsia="Arial" w:hAnsi="Arial"/>
          <w:sz w:val="16"/>
          <w:szCs w:val="16"/>
          <w:color w:val="auto"/>
        </w:rPr>
        <w:t>the amount allocated to the U.S. Holder’s taxable year in which the U.S. Holder recognized the gain or received the excess distribution, or to the period in the U.S. Holder’s holding period before the first day of our first taxable year in which we are a PFIC, will be taxed as ordinary income;</w:t>
      </w:r>
    </w:p>
    <w:p>
      <w:pPr>
        <w:spacing w:after="0" w:line="81" w:lineRule="exact"/>
        <w:rPr>
          <w:rFonts w:ascii="Arial" w:cs="Arial" w:eastAsia="Arial" w:hAnsi="Arial"/>
          <w:sz w:val="16"/>
          <w:szCs w:val="16"/>
          <w:color w:val="auto"/>
        </w:rPr>
      </w:pPr>
    </w:p>
    <w:p>
      <w:pPr>
        <w:ind w:left="1320" w:right="599" w:hanging="434"/>
        <w:spacing w:after="0" w:line="263" w:lineRule="auto"/>
        <w:tabs>
          <w:tab w:leader="none" w:pos="1311" w:val="left"/>
        </w:tabs>
        <w:numPr>
          <w:ilvl w:val="0"/>
          <w:numId w:val="79"/>
        </w:numPr>
        <w:rPr>
          <w:rFonts w:ascii="Arial" w:cs="Arial" w:eastAsia="Arial" w:hAnsi="Arial"/>
          <w:sz w:val="18"/>
          <w:szCs w:val="18"/>
          <w:color w:val="auto"/>
        </w:rPr>
      </w:pPr>
      <w:r>
        <w:rPr>
          <w:rFonts w:ascii="Arial" w:cs="Arial" w:eastAsia="Arial" w:hAnsi="Arial"/>
          <w:sz w:val="18"/>
          <w:szCs w:val="18"/>
          <w:color w:val="auto"/>
        </w:rPr>
        <w:t>the amount allocated to other taxable years (or portions thereof) of the U.S. Holder and included in its holding period will be taxed at the highest tax rate in effect for that year and applicable to the U.S. Holder; and</w:t>
      </w:r>
    </w:p>
    <w:p>
      <w:pPr>
        <w:spacing w:after="0" w:line="116" w:lineRule="exact"/>
        <w:rPr>
          <w:rFonts w:ascii="Arial" w:cs="Arial" w:eastAsia="Arial" w:hAnsi="Arial"/>
          <w:sz w:val="18"/>
          <w:szCs w:val="18"/>
          <w:color w:val="auto"/>
        </w:rPr>
      </w:pPr>
    </w:p>
    <w:p>
      <w:pPr>
        <w:ind w:left="1320" w:right="459" w:hanging="434"/>
        <w:spacing w:after="0" w:line="263" w:lineRule="auto"/>
        <w:tabs>
          <w:tab w:leader="none" w:pos="1311" w:val="left"/>
        </w:tabs>
        <w:numPr>
          <w:ilvl w:val="0"/>
          <w:numId w:val="79"/>
        </w:numPr>
        <w:rPr>
          <w:rFonts w:ascii="Arial" w:cs="Arial" w:eastAsia="Arial" w:hAnsi="Arial"/>
          <w:sz w:val="18"/>
          <w:szCs w:val="18"/>
          <w:color w:val="auto"/>
        </w:rPr>
      </w:pPr>
      <w:r>
        <w:rPr>
          <w:rFonts w:ascii="Arial" w:cs="Arial" w:eastAsia="Arial" w:hAnsi="Arial"/>
          <w:sz w:val="18"/>
          <w:szCs w:val="18"/>
          <w:color w:val="auto"/>
        </w:rPr>
        <w:t>an additional tax equal to the interest charge generally applicable to underpayments of tax will be imposed on the U.S. Holder with respect to the tax attributable to each such other taxable year of the U.S. Holder.</w:t>
      </w:r>
    </w:p>
    <w:p>
      <w:pPr>
        <w:spacing w:after="0" w:line="103" w:lineRule="exact"/>
        <w:rPr>
          <w:sz w:val="20"/>
          <w:szCs w:val="20"/>
          <w:color w:val="auto"/>
        </w:rPr>
      </w:pPr>
    </w:p>
    <w:p>
      <w:pPr>
        <w:ind w:left="460" w:right="519" w:firstLine="432"/>
        <w:spacing w:after="0" w:line="291" w:lineRule="auto"/>
        <w:rPr>
          <w:sz w:val="20"/>
          <w:szCs w:val="20"/>
          <w:color w:val="auto"/>
        </w:rPr>
      </w:pPr>
      <w:r>
        <w:rPr>
          <w:rFonts w:ascii="Arial" w:cs="Arial" w:eastAsia="Arial" w:hAnsi="Arial"/>
          <w:sz w:val="16"/>
          <w:szCs w:val="16"/>
          <w:color w:val="auto"/>
        </w:rPr>
        <w:t>In general, if we are determined to be a PFIC, a U.S. Holder may avoid the PFIC tax consequences described above in respect of our Class A ordinary shares (but not our warrants) by making a timely and valid QEF election (if eligible to do so) to include in income its pro rata share of our net capital gains (as long-term capital gain) and other earnings and profits (as ordinary income), on a current basis, in each case whether or not distributed, in the taxable year of the U.S. Holder in which or with which our taxable year ends. A U.S. Holder generally may make a separate election to defer the payment of taxes on undistributed income inclusions under the QEF rules, but if deferred, any such taxes will be subject to an interest charge.</w:t>
      </w:r>
    </w:p>
    <w:p>
      <w:pPr>
        <w:spacing w:after="0" w:line="99" w:lineRule="exact"/>
        <w:rPr>
          <w:sz w:val="20"/>
          <w:szCs w:val="20"/>
          <w:color w:val="auto"/>
        </w:rPr>
      </w:pPr>
    </w:p>
    <w:p>
      <w:pPr>
        <w:ind w:left="460" w:right="619" w:firstLine="432"/>
        <w:spacing w:after="0" w:line="257" w:lineRule="auto"/>
        <w:rPr>
          <w:sz w:val="20"/>
          <w:szCs w:val="20"/>
          <w:color w:val="auto"/>
        </w:rPr>
      </w:pPr>
      <w:r>
        <w:rPr>
          <w:rFonts w:ascii="Arial" w:cs="Arial" w:eastAsia="Arial" w:hAnsi="Arial"/>
          <w:sz w:val="18"/>
          <w:szCs w:val="18"/>
          <w:color w:val="auto"/>
        </w:rPr>
        <w:t>A U.S. Holder may not make a QEF election with respect to its warrants to acquire our Class A ordinary shares. As a result, if a U.S. Holder sells or otherwise disposes of such warrants (other than upon exercise of such warrants) and we were a PFIC at any time during the U.S. Holder’s holding period of such warrants, any gain recognized generally will be treated as an excess distribution, taxed as described above. If a U.S. Holder that</w:t>
      </w:r>
    </w:p>
    <w:p>
      <w:pPr>
        <w:spacing w:after="0" w:line="1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0" w:name="page141"/>
    <w:bookmarkEnd w:id="140"/>
    <w:p>
      <w:pPr>
        <w:ind w:left="460" w:right="499"/>
        <w:spacing w:after="0" w:line="287" w:lineRule="auto"/>
        <w:rPr>
          <w:sz w:val="20"/>
          <w:szCs w:val="20"/>
          <w:color w:val="auto"/>
        </w:rPr>
      </w:pPr>
      <w:r>
        <w:rPr>
          <w:rFonts w:ascii="Arial" w:cs="Arial" w:eastAsia="Arial" w:hAnsi="Arial"/>
          <w:sz w:val="16"/>
          <w:szCs w:val="16"/>
          <w:color w:val="auto"/>
        </w:rPr>
        <w:t>exercises such warrants properly makes a QEF election with respect to the newly acquired Class A ordinary shares (or has previously made a QEF election with respect to our Class A ordinary shares), the QEF election will apply to the newly acquired Class A ordinary shares. Notwithstanding such QEF election, the adverse tax consequences relating to PFIC shares, adjusted to take into account the current income inclusions resulting from the QEF election, will continue to apply with respect to such newly acquired Class A ordinary shares (which generally will be deemed to have a holding period for purposes of the PFIC rules that includes the period the U.S. Holder held the warrants), unless the U.S. Holder makes a purging election under the PFIC rules. Under the purging election, the U.S. Holder will be deemed to have sold such shares at their fair market value and any gain recognized on such deemed sale will be treated as an excess distribution, as described above. As a result of the purging election, the U.S. Holder will have a new basis and holding period in the Class A ordinary shares acquired upon the exercise of the warrants for purposes of the PFIC rules.</w:t>
      </w:r>
    </w:p>
    <w:p>
      <w:pPr>
        <w:spacing w:after="0" w:line="91" w:lineRule="exact"/>
        <w:rPr>
          <w:sz w:val="20"/>
          <w:szCs w:val="20"/>
          <w:color w:val="auto"/>
        </w:rPr>
      </w:pPr>
    </w:p>
    <w:p>
      <w:pPr>
        <w:ind w:left="460" w:right="519" w:firstLine="432"/>
        <w:spacing w:after="0" w:line="271" w:lineRule="auto"/>
        <w:rPr>
          <w:sz w:val="20"/>
          <w:szCs w:val="20"/>
          <w:color w:val="auto"/>
        </w:rPr>
      </w:pPr>
      <w:r>
        <w:rPr>
          <w:rFonts w:ascii="Arial" w:cs="Arial" w:eastAsia="Arial" w:hAnsi="Arial"/>
          <w:sz w:val="17"/>
          <w:szCs w:val="17"/>
          <w:color w:val="auto"/>
        </w:rPr>
        <w:t>The QEF election is made on a shareholder-by-shareholder basis and, once made, can be revoked only with the consent of the IRS. A U.S. Holder generally makes a QEF election by attaching a completed IRS Form 8621 (Return by a Shareholder of a Passive Foreign Investment Company or Qualified Electing Fund), including the information provided in a PFIC annual information statement, to a timely filed U.S. federal income tax return for the tax year to which the election relates. Retroactive QEF elections generally may be made only by filing a protective statement with such return and if certain other conditions are met or with the consent of the IRS. U.S. Holders should consult their tax advisors regarding the availability and tax consequences of a retroactive QEF election under their particular circumstances.</w:t>
      </w:r>
    </w:p>
    <w:p>
      <w:pPr>
        <w:spacing w:after="0" w:line="111" w:lineRule="exact"/>
        <w:rPr>
          <w:sz w:val="20"/>
          <w:szCs w:val="20"/>
          <w:color w:val="auto"/>
        </w:rPr>
      </w:pPr>
    </w:p>
    <w:p>
      <w:pPr>
        <w:ind w:left="460" w:right="619" w:firstLine="432"/>
        <w:spacing w:after="0" w:line="293" w:lineRule="auto"/>
        <w:rPr>
          <w:sz w:val="20"/>
          <w:szCs w:val="20"/>
          <w:color w:val="auto"/>
        </w:rPr>
      </w:pPr>
      <w:r>
        <w:rPr>
          <w:rFonts w:ascii="Arial" w:cs="Arial" w:eastAsia="Arial" w:hAnsi="Arial"/>
          <w:sz w:val="16"/>
          <w:szCs w:val="16"/>
          <w:color w:val="auto"/>
        </w:rPr>
        <w:t>In order to comply with the requirements of a QEF election, a U.S. Holder must receive a PFIC annual information statement from us. If we determine we are a PFIC for any taxable year, upon written request, we will endeavor to provide to a U.S. Holder such information as the IRS may require, including a PFIC annual information statement, in order to enable the U.S. Holder to make and maintain a QEF election, but there is no assurance that we will timely provide such required information. There is also no assurance that we will have timely knowledge of our status as a PFIC in the future or of the required information to be provided.</w:t>
      </w:r>
    </w:p>
    <w:p>
      <w:pPr>
        <w:spacing w:after="0" w:line="97" w:lineRule="exact"/>
        <w:rPr>
          <w:sz w:val="20"/>
          <w:szCs w:val="20"/>
          <w:color w:val="auto"/>
        </w:rPr>
      </w:pPr>
    </w:p>
    <w:p>
      <w:pPr>
        <w:ind w:left="460" w:right="499" w:firstLine="432"/>
        <w:spacing w:after="0" w:line="268" w:lineRule="auto"/>
        <w:rPr>
          <w:sz w:val="20"/>
          <w:szCs w:val="20"/>
          <w:color w:val="auto"/>
        </w:rPr>
      </w:pPr>
      <w:r>
        <w:rPr>
          <w:rFonts w:ascii="Arial" w:cs="Arial" w:eastAsia="Arial" w:hAnsi="Arial"/>
          <w:sz w:val="17"/>
          <w:szCs w:val="17"/>
          <w:color w:val="auto"/>
        </w:rPr>
        <w:t>If a U.S. Holder has made a QEF election with respect to our Class A ordinary shares, and the excess distribution rules discussed above do not apply to such shares (because of a timely QEF election for our first taxable year as a PFIC in which the U.S. Holder holds (or is deemed to hold) such shares or a purge of the PFIC taint pursuant to a purging election, as described above), any gain recognized on the sale of our Class A ordinary shares generally will be taxable as capital gain and no additional tax charge will be imposed under the PFIC rules. As discussed above, if we are a PFIC for any taxable year, a U.S. Holder of our Class A ordinary shares that has made a QEF election will be currently taxed on its pro rata share of our earnings and profits, whether or not distributed for such year. A subsequent distribution of such earnings and profits that were previously included in income generally should not be taxable when distributed to such U.S. Holder. The tax basis of a U.S. Holder’s shares in a QEF will be increased by amounts that are included in income, and decreased by amounts distributed but not taxed as dividends, under the above rules. In addition, if we are not a PFIC for any taxable year, such U.S. Holder will not be subject to the QEF inclusion regime with respect to our Class A ordinary shares for such taxable year.</w:t>
      </w:r>
    </w:p>
    <w:p>
      <w:pPr>
        <w:spacing w:after="0" w:line="105" w:lineRule="exact"/>
        <w:rPr>
          <w:sz w:val="20"/>
          <w:szCs w:val="20"/>
          <w:color w:val="auto"/>
        </w:rPr>
      </w:pPr>
    </w:p>
    <w:p>
      <w:pPr>
        <w:ind w:left="460" w:right="479" w:firstLine="432"/>
        <w:spacing w:after="0" w:line="287" w:lineRule="auto"/>
        <w:rPr>
          <w:sz w:val="20"/>
          <w:szCs w:val="20"/>
          <w:color w:val="auto"/>
        </w:rPr>
      </w:pPr>
      <w:r>
        <w:rPr>
          <w:rFonts w:ascii="Arial" w:cs="Arial" w:eastAsia="Arial" w:hAnsi="Arial"/>
          <w:sz w:val="16"/>
          <w:szCs w:val="16"/>
          <w:color w:val="auto"/>
        </w:rPr>
        <w:t>If we are a PFIC and our Class A ordinary shares constitute “marketable stock,” a U.S. Holder may avoid the adverse PFIC tax consequences discussed above if such U.S. Holder, at the close of the first taxable year in which it holds (or is deemed to hold) our Class A ordinary shares, makes a mark-to-market election with respect to such shares for such taxable year. Such U.S. Holder generally will include for each of its taxable years as ordinary income the excess, if any, of the fair market value of its Class A ordinary shares at the end of such year over its adjusted basis in its Class A ordinary shares. The U.S. Holder also will recognize an ordinary loss in respect of the excess, if any, of its adjusted basis of its Class A ordinary shares over the fair market value of its Class A ordinary shares at the end of its taxable year (but only to the extent of the net amount of previously included income as a result of the mark-to-market election). The U.S. Holder’s basis in its Class A ordinary shares will be adjusted to reflect any such income or loss amounts, and any further gain recognized on a sale or other taxable disposition of its Class A ordinary shares will be treated as ordinary income. Currently, a mark-to-market election may not be made with respect to warrants.</w:t>
      </w:r>
    </w:p>
    <w:p>
      <w:pPr>
        <w:spacing w:after="0" w:line="100"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The mark-to-market election is available only for “marketable stock,” generally, stock that is regularly traded on a national securities exchange that is registered with the Securities and Exchange Commission, including the NYSE (on which we intend to list the Class A ordinary shares), or on a foreign exchange or market that the IRS</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1" w:name="page142"/>
    <w:bookmarkEnd w:id="141"/>
    <w:p>
      <w:pPr>
        <w:ind w:left="460" w:right="519"/>
        <w:spacing w:after="0" w:line="311" w:lineRule="auto"/>
        <w:rPr>
          <w:sz w:val="20"/>
          <w:szCs w:val="20"/>
          <w:color w:val="auto"/>
        </w:rPr>
      </w:pPr>
      <w:r>
        <w:rPr>
          <w:rFonts w:ascii="Arial" w:cs="Arial" w:eastAsia="Arial" w:hAnsi="Arial"/>
          <w:sz w:val="16"/>
          <w:szCs w:val="16"/>
          <w:color w:val="auto"/>
        </w:rPr>
        <w:t>determines has rules sufficient to ensure that the market price represents a legitimate and sound fair market value. U.S. Holders should consult their tax advisors regarding the availability and tax consequences of a mark-to-market election with respect to our Class A ordinary shares under their particular circumstances.</w:t>
      </w:r>
    </w:p>
    <w:p>
      <w:pPr>
        <w:spacing w:after="0" w:line="68" w:lineRule="exact"/>
        <w:rPr>
          <w:sz w:val="20"/>
          <w:szCs w:val="20"/>
          <w:color w:val="auto"/>
        </w:rPr>
      </w:pPr>
    </w:p>
    <w:p>
      <w:pPr>
        <w:ind w:left="460" w:right="519" w:firstLine="432"/>
        <w:spacing w:after="0" w:line="288" w:lineRule="auto"/>
        <w:rPr>
          <w:sz w:val="20"/>
          <w:szCs w:val="20"/>
          <w:color w:val="auto"/>
        </w:rPr>
      </w:pPr>
      <w:r>
        <w:rPr>
          <w:rFonts w:ascii="Arial" w:cs="Arial" w:eastAsia="Arial" w:hAnsi="Arial"/>
          <w:sz w:val="16"/>
          <w:szCs w:val="16"/>
          <w:color w:val="auto"/>
        </w:rPr>
        <w:t>If we are a PFIC and, at any time, have a foreign subsidiary that is classified as a PFIC, U.S. Holders generally would be deemed to own a portion of the shares of such lower-tier PFIC, and generally could incur liability for the deferred tax and interest charge described above if we receive a distribution from, or dispose of all or part of our interest in, the lower-tier PFIC or the U.S. Holders otherwise were deemed to have disposed of an interest in the lower-tier PFIC. We will endeavor to cause any lower-tier PFIC to provide to a U.S. Holder the information that may be required to make or maintain a QEF election with respect to the lower-tier PFIC. There can be no assurance that we will have timely knowledge of the status of any such lower-tier PFIC. In addition, we may not hold a controlling interest in any such lower-tier PFIC and thus there can be no assurance we will be able to cause the lower-tier PFIC to provide such required information. U.S. Holders are urged to consult their tax advisors regarding the tax issues raised by lower-tier PFICs.</w:t>
      </w:r>
    </w:p>
    <w:p>
      <w:pPr>
        <w:spacing w:after="0" w:line="101" w:lineRule="exact"/>
        <w:rPr>
          <w:sz w:val="20"/>
          <w:szCs w:val="20"/>
          <w:color w:val="auto"/>
        </w:rPr>
      </w:pPr>
    </w:p>
    <w:p>
      <w:pPr>
        <w:ind w:left="460" w:right="659" w:firstLine="432"/>
        <w:spacing w:after="0" w:line="279" w:lineRule="auto"/>
        <w:rPr>
          <w:sz w:val="20"/>
          <w:szCs w:val="20"/>
          <w:color w:val="auto"/>
        </w:rPr>
      </w:pPr>
      <w:r>
        <w:rPr>
          <w:rFonts w:ascii="Arial" w:cs="Arial" w:eastAsia="Arial" w:hAnsi="Arial"/>
          <w:sz w:val="17"/>
          <w:szCs w:val="17"/>
          <w:color w:val="auto"/>
        </w:rPr>
        <w:t>A U.S. Holder that owns (or is deemed to own) shares in a PFIC during any taxable year of the U.S. Holder, may have to file an IRS Form 8621 (whether or not a QEF or market-to-market election is made) and such other information as may be required by the U.S. Treasury Department. Failure to do so, if required, will extend the statute of limitations until such required information is furnished to the IRS.</w:t>
      </w:r>
    </w:p>
    <w:p>
      <w:pPr>
        <w:spacing w:after="0" w:line="104" w:lineRule="exact"/>
        <w:rPr>
          <w:sz w:val="20"/>
          <w:szCs w:val="20"/>
          <w:color w:val="auto"/>
        </w:rPr>
      </w:pPr>
    </w:p>
    <w:p>
      <w:pPr>
        <w:ind w:left="460" w:right="679" w:firstLine="432"/>
        <w:spacing w:after="0" w:line="259" w:lineRule="auto"/>
        <w:rPr>
          <w:sz w:val="20"/>
          <w:szCs w:val="20"/>
          <w:color w:val="auto"/>
        </w:rPr>
      </w:pPr>
      <w:r>
        <w:rPr>
          <w:rFonts w:ascii="Arial" w:cs="Arial" w:eastAsia="Arial" w:hAnsi="Arial"/>
          <w:sz w:val="18"/>
          <w:szCs w:val="18"/>
          <w:color w:val="auto"/>
        </w:rPr>
        <w:t>The rules dealing with PFICs and with the QEF and mark-to-market elections are very complex and are affected by various factors in addition to those described above. Accordingly, U.S. Holders of our Class A ordinary shares and warrants should consult their tax advisors concerning the application of the PFIC rules to our securities under their particular circumstances.</w:t>
      </w:r>
    </w:p>
    <w:p>
      <w:pPr>
        <w:spacing w:after="0" w:line="187"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Tax Reporting</w:t>
      </w:r>
    </w:p>
    <w:p>
      <w:pPr>
        <w:spacing w:after="0" w:line="144" w:lineRule="exact"/>
        <w:rPr>
          <w:sz w:val="20"/>
          <w:szCs w:val="20"/>
          <w:color w:val="auto"/>
        </w:rPr>
      </w:pPr>
    </w:p>
    <w:p>
      <w:pPr>
        <w:ind w:left="460" w:right="479" w:firstLine="432"/>
        <w:spacing w:after="0" w:line="269" w:lineRule="auto"/>
        <w:rPr>
          <w:sz w:val="20"/>
          <w:szCs w:val="20"/>
          <w:color w:val="auto"/>
        </w:rPr>
      </w:pPr>
      <w:r>
        <w:rPr>
          <w:rFonts w:ascii="Arial" w:cs="Arial" w:eastAsia="Arial" w:hAnsi="Arial"/>
          <w:sz w:val="17"/>
          <w:szCs w:val="17"/>
          <w:color w:val="auto"/>
        </w:rPr>
        <w:t>Certain U.S. Holders may be required to file an IRS Form 926 (Return by a U.S. Transferor of Property to a Foreign Corporation) to report a transfer of property (including cash) to us. Substantial penalties may be imposed on a U.S. Holder that fails to comply with this reporting requirement. Furthermore, certain U.S. Holders who are individuals and certain entities will be required to report information with respect to such U.S. Holder’s investment in “specified foreign financial assets” on IRS Form 8938 (Statement of Specified Foreign Financial Assets), subject to certain exceptions. An interest in the company constitutes a specified foreign financial asset for these purposes. Persons who are required to report specified foreign financial assets and fail to do so may be subject to substantial penalties. Potential investors are urged to consult their tax advisors regarding the foreign financial asset and other reporting obligations and their application to an investment in our Class A ordinary shares and warrants.</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Non-U.S. Holders</w:t>
      </w:r>
    </w:p>
    <w:p>
      <w:pPr>
        <w:spacing w:after="0" w:line="158"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This section applies to you if you are a “Non-U.S. Holder.” As used herein, the term “Non-U.S. Holder” means a beneficial owner of our units, Class A ordinary shares or warrants (other than a partnership or other entity or arrangement treated as a partnership for U.S. federal income tax purposes) who or that is for U.S. federal income tax purposes:</w:t>
      </w:r>
    </w:p>
    <w:p>
      <w:pPr>
        <w:spacing w:after="0" w:line="119" w:lineRule="exact"/>
        <w:rPr>
          <w:sz w:val="20"/>
          <w:szCs w:val="20"/>
          <w:color w:val="auto"/>
        </w:rPr>
      </w:pPr>
    </w:p>
    <w:p>
      <w:pPr>
        <w:ind w:left="1320" w:right="559" w:hanging="434"/>
        <w:spacing w:after="0" w:line="277" w:lineRule="auto"/>
        <w:tabs>
          <w:tab w:leader="none" w:pos="1311"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non-resident alien individual (other than certain former citizens and residents of the United States subject to U.S. tax as expatriates);</w:t>
      </w:r>
    </w:p>
    <w:p>
      <w:pPr>
        <w:spacing w:after="0" w:line="89" w:lineRule="exact"/>
        <w:rPr>
          <w:rFonts w:ascii="Arial" w:cs="Arial" w:eastAsia="Arial" w:hAnsi="Arial"/>
          <w:sz w:val="18"/>
          <w:szCs w:val="18"/>
          <w:color w:val="auto"/>
        </w:rPr>
      </w:pPr>
    </w:p>
    <w:p>
      <w:pPr>
        <w:ind w:left="1300" w:hanging="41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 foreign corporation;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0"/>
        </w:numPr>
        <w:rPr>
          <w:rFonts w:ascii="Arial" w:cs="Arial" w:eastAsia="Arial" w:hAnsi="Arial"/>
          <w:sz w:val="18"/>
          <w:szCs w:val="18"/>
          <w:color w:val="auto"/>
        </w:rPr>
      </w:pPr>
      <w:r>
        <w:rPr>
          <w:rFonts w:ascii="Arial" w:cs="Arial" w:eastAsia="Arial" w:hAnsi="Arial"/>
          <w:sz w:val="18"/>
          <w:szCs w:val="18"/>
          <w:color w:val="auto"/>
        </w:rPr>
        <w:t>an estate or trust that is not a U.S. Holder,</w:t>
      </w:r>
    </w:p>
    <w:p>
      <w:pPr>
        <w:spacing w:after="0" w:line="158" w:lineRule="exact"/>
        <w:rPr>
          <w:sz w:val="20"/>
          <w:szCs w:val="20"/>
          <w:color w:val="auto"/>
        </w:rPr>
      </w:pPr>
    </w:p>
    <w:p>
      <w:pPr>
        <w:ind w:left="460" w:right="579" w:firstLine="432"/>
        <w:spacing w:after="0" w:line="286" w:lineRule="auto"/>
        <w:rPr>
          <w:sz w:val="20"/>
          <w:szCs w:val="20"/>
          <w:color w:val="auto"/>
        </w:rPr>
      </w:pPr>
      <w:r>
        <w:rPr>
          <w:rFonts w:ascii="Arial" w:cs="Arial" w:eastAsia="Arial" w:hAnsi="Arial"/>
          <w:sz w:val="17"/>
          <w:szCs w:val="17"/>
          <w:color w:val="auto"/>
        </w:rPr>
        <w:t>but generally does not include an individual who is present in the United States for 183 days or more in the taxable year of disposition. If you are such an individual, you should consult your tax advisor regarding the U.S. federal income tax consequences of the sale or other disposition of our securities.</w:t>
      </w:r>
    </w:p>
    <w:p>
      <w:pPr>
        <w:spacing w:after="0" w:line="84" w:lineRule="exact"/>
        <w:rPr>
          <w:sz w:val="20"/>
          <w:szCs w:val="20"/>
          <w:color w:val="auto"/>
        </w:rPr>
      </w:pPr>
    </w:p>
    <w:p>
      <w:pPr>
        <w:ind w:left="460" w:right="559" w:firstLine="432"/>
        <w:spacing w:after="0" w:line="257" w:lineRule="auto"/>
        <w:rPr>
          <w:sz w:val="20"/>
          <w:szCs w:val="20"/>
          <w:color w:val="auto"/>
        </w:rPr>
      </w:pPr>
      <w:r>
        <w:rPr>
          <w:rFonts w:ascii="Arial" w:cs="Arial" w:eastAsia="Arial" w:hAnsi="Arial"/>
          <w:sz w:val="18"/>
          <w:szCs w:val="18"/>
          <w:color w:val="auto"/>
        </w:rPr>
        <w:t>Dividends (including constructive dividends) paid or deemed paid to a Non-U.S. Holder in respect of our Class A ordinary shares generally will not be subject to U.S. federal income tax, unless the dividends are effectively connected with the Non-U.S. Holder’s conduct of a trade or business within the United States (and, if required by an applicable income tax treaty, are attributable to a permanent establishment or fixed base that such holder maintains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2" w:name="page143"/>
    <w:bookmarkEnd w:id="142"/>
    <w:p>
      <w:pPr>
        <w:ind w:left="460" w:right="479"/>
        <w:spacing w:after="0" w:line="257" w:lineRule="auto"/>
        <w:rPr>
          <w:sz w:val="20"/>
          <w:szCs w:val="20"/>
          <w:color w:val="auto"/>
        </w:rPr>
      </w:pPr>
      <w:r>
        <w:rPr>
          <w:rFonts w:ascii="Arial" w:cs="Arial" w:eastAsia="Arial" w:hAnsi="Arial"/>
          <w:sz w:val="18"/>
          <w:szCs w:val="18"/>
          <w:color w:val="auto"/>
        </w:rPr>
        <w:t>in the United States). In addition, a Non-U.S. Holder generally will not be subject to U.S. federal income tax on any gain attributable to a sale or other taxable disposition of our Class A ordinary shares or warrants unless such gain is effectively connected with its conduct of a trade or business in the United States (and, if required by an applicable income tax treaty, is attributable to a permanent establishment or fixed base that such holder maintains in the United States).</w:t>
      </w:r>
    </w:p>
    <w:p>
      <w:pPr>
        <w:spacing w:after="0" w:line="107" w:lineRule="exact"/>
        <w:rPr>
          <w:sz w:val="20"/>
          <w:szCs w:val="20"/>
          <w:color w:val="auto"/>
        </w:rPr>
      </w:pPr>
    </w:p>
    <w:p>
      <w:pPr>
        <w:ind w:left="460" w:right="479" w:firstLine="432"/>
        <w:spacing w:after="0" w:line="286" w:lineRule="auto"/>
        <w:rPr>
          <w:sz w:val="20"/>
          <w:szCs w:val="20"/>
          <w:color w:val="auto"/>
        </w:rPr>
      </w:pPr>
      <w:r>
        <w:rPr>
          <w:rFonts w:ascii="Arial" w:cs="Arial" w:eastAsia="Arial" w:hAnsi="Arial"/>
          <w:sz w:val="16"/>
          <w:szCs w:val="16"/>
          <w:color w:val="auto"/>
        </w:rPr>
        <w:t>Dividends and gains that are effectively connected with the Non-U.S. Holder’s conduct of a trade or business in the United States (and, if required by an applicable income tax treaty, are attributable to a permanent establishment or fixed base in the United States) generally will be subject to U.S. federal income tax at the same regular U.S. federal income tax rates applicable to a comparable U.S. Holder and, in the case of a Non-U.S.</w:t>
      </w:r>
    </w:p>
    <w:p>
      <w:pPr>
        <w:spacing w:after="0" w:line="1" w:lineRule="exact"/>
        <w:rPr>
          <w:sz w:val="20"/>
          <w:szCs w:val="20"/>
          <w:color w:val="auto"/>
        </w:rPr>
      </w:pPr>
    </w:p>
    <w:p>
      <w:pPr>
        <w:ind w:left="460" w:right="699"/>
        <w:spacing w:after="0" w:line="260" w:lineRule="auto"/>
        <w:rPr>
          <w:sz w:val="20"/>
          <w:szCs w:val="20"/>
          <w:color w:val="auto"/>
        </w:rPr>
      </w:pPr>
      <w:r>
        <w:rPr>
          <w:rFonts w:ascii="Arial" w:cs="Arial" w:eastAsia="Arial" w:hAnsi="Arial"/>
          <w:sz w:val="18"/>
          <w:szCs w:val="18"/>
          <w:color w:val="auto"/>
        </w:rPr>
        <w:t>Holder that is a corporation for U.S. federal income tax purposes, also may be subject to an additional branch profits tax at a 30% rate or a lower applicable tax treaty rate.</w:t>
      </w:r>
    </w:p>
    <w:p>
      <w:pPr>
        <w:spacing w:after="0" w:line="118" w:lineRule="exact"/>
        <w:rPr>
          <w:sz w:val="20"/>
          <w:szCs w:val="20"/>
          <w:color w:val="auto"/>
        </w:rPr>
      </w:pPr>
    </w:p>
    <w:p>
      <w:pPr>
        <w:ind w:left="460" w:right="539" w:firstLine="432"/>
        <w:spacing w:after="0" w:line="273" w:lineRule="auto"/>
        <w:rPr>
          <w:sz w:val="20"/>
          <w:szCs w:val="20"/>
          <w:color w:val="auto"/>
        </w:rPr>
      </w:pPr>
      <w:r>
        <w:rPr>
          <w:rFonts w:ascii="Arial" w:cs="Arial" w:eastAsia="Arial" w:hAnsi="Arial"/>
          <w:sz w:val="17"/>
          <w:szCs w:val="17"/>
          <w:color w:val="auto"/>
        </w:rPr>
        <w:t>The U.S. federal income tax treatment of a Non-U.S. Holder’s exercise of a warrant, or the lapse of a warrant held by a Non-U.S. Holder, generally will correspond to the U.S. federal income tax treatment of the exercise or lapse of a warrant by a U.S. Holder, as described under “— U.S. Holders — Exercise or Lapse of a Warrant,” above, although to the extent a cashless exercise results in a taxable exchange, the consequences would be similar to those described in the preceding paragraphs above for a Non-U.S. Holder’s gain on the sale or other disposition of our Class A ordinary shares and warrants.</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i w:val="1"/>
          <w:iCs w:val="1"/>
          <w:color w:val="auto"/>
        </w:rPr>
        <w:t>Information Reporting and Backup Withholding</w:t>
      </w:r>
    </w:p>
    <w:p>
      <w:pPr>
        <w:spacing w:after="0" w:line="158"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Dividend payments with respect to our Class A ordinary shares and proceeds from the sale, exchange or redemption of our Class A ordinary shares may be subject to information reporting to the IRS and possible United States backup withholding. Backup withholding will not apply, however, to a U.S. Holder who furnishes a correct taxpayer identification number and makes other required certifications, or who is otherwise exempt from backup withholding and establishes such exempt status. A Non-U.S. Holder generally will eliminate the requirement for information reporting and backup withholding by providing certification of its foreign status, under penalties of perjury, on a duly executed applicable IRS Form W-8 or by otherwise establishing an exemption.</w:t>
      </w:r>
    </w:p>
    <w:p>
      <w:pPr>
        <w:spacing w:after="0" w:line="111" w:lineRule="exact"/>
        <w:rPr>
          <w:sz w:val="20"/>
          <w:szCs w:val="20"/>
          <w:color w:val="auto"/>
        </w:rPr>
      </w:pPr>
    </w:p>
    <w:p>
      <w:pPr>
        <w:ind w:left="460" w:right="559" w:firstLine="432"/>
        <w:spacing w:after="0" w:line="259" w:lineRule="auto"/>
        <w:rPr>
          <w:sz w:val="20"/>
          <w:szCs w:val="20"/>
          <w:color w:val="auto"/>
        </w:rPr>
      </w:pPr>
      <w:r>
        <w:rPr>
          <w:rFonts w:ascii="Arial" w:cs="Arial" w:eastAsia="Arial" w:hAnsi="Arial"/>
          <w:sz w:val="18"/>
          <w:szCs w:val="18"/>
          <w:color w:val="auto"/>
        </w:rPr>
        <w:t>Backup withholding is not an additional tax. Amounts withheld as backup withholding may be credited against a holder’s U.S. federal income tax liability, and a holder generally may obtain a refund of any excess amounts withheld under the backup withholding rules by timely filing the appropriate claim for refund with the IRS and furnishing any required information.</w:t>
      </w:r>
    </w:p>
    <w:p>
      <w:pPr>
        <w:spacing w:after="0" w:line="119" w:lineRule="exact"/>
        <w:rPr>
          <w:sz w:val="20"/>
          <w:szCs w:val="20"/>
          <w:color w:val="auto"/>
        </w:rPr>
      </w:pPr>
    </w:p>
    <w:p>
      <w:pPr>
        <w:ind w:left="460" w:right="579" w:firstLine="432"/>
        <w:spacing w:after="0" w:line="275" w:lineRule="auto"/>
        <w:rPr>
          <w:sz w:val="20"/>
          <w:szCs w:val="20"/>
          <w:color w:val="auto"/>
        </w:rPr>
      </w:pPr>
      <w:r>
        <w:rPr>
          <w:rFonts w:ascii="Arial" w:cs="Arial" w:eastAsia="Arial" w:hAnsi="Arial"/>
          <w:sz w:val="17"/>
          <w:szCs w:val="17"/>
          <w:color w:val="auto"/>
        </w:rPr>
        <w:t>The U.S. federal income tax discussion set forth above is included for general information only and may not be applicable depending upon a holder’s particular situation. Holders are urged to consult their tax advisors with respect to the tax consequences to them of the acquisition, ownership and disposition of our Class A ordinary shares and warrants, including the tax consequences under state, local, estate, foreign and other tax laws and tax treaties and the possible effects of changes in U.S. or other tax laws.</w:t>
      </w:r>
    </w:p>
    <w:p>
      <w:pPr>
        <w:spacing w:after="0" w:line="13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3" w:name="page144"/>
    <w:bookmarkEnd w:id="143"/>
    <w:p>
      <w:pPr>
        <w:jc w:val="center"/>
        <w:ind w:right="19"/>
        <w:spacing w:after="0"/>
        <w:rPr>
          <w:sz w:val="20"/>
          <w:szCs w:val="20"/>
          <w:color w:val="auto"/>
        </w:rPr>
      </w:pPr>
      <w:r>
        <w:rPr>
          <w:rFonts w:ascii="Arial" w:cs="Arial" w:eastAsia="Arial" w:hAnsi="Arial"/>
          <w:sz w:val="18"/>
          <w:szCs w:val="18"/>
          <w:b w:val="1"/>
          <w:bCs w:val="1"/>
          <w:color w:val="auto"/>
        </w:rPr>
        <w:t>UNDERWRITING</w:t>
      </w:r>
    </w:p>
    <w:p>
      <w:pPr>
        <w:spacing w:after="0" w:line="162" w:lineRule="exact"/>
        <w:rPr>
          <w:sz w:val="20"/>
          <w:szCs w:val="20"/>
          <w:color w:val="auto"/>
        </w:rPr>
      </w:pPr>
    </w:p>
    <w:p>
      <w:pPr>
        <w:ind w:left="460" w:right="819" w:firstLine="432"/>
        <w:spacing w:after="0" w:line="259" w:lineRule="auto"/>
        <w:rPr>
          <w:sz w:val="20"/>
          <w:szCs w:val="20"/>
          <w:color w:val="auto"/>
        </w:rPr>
      </w:pPr>
      <w:r>
        <w:rPr>
          <w:rFonts w:ascii="Arial" w:cs="Arial" w:eastAsia="Arial" w:hAnsi="Arial"/>
          <w:sz w:val="18"/>
          <w:szCs w:val="18"/>
          <w:color w:val="auto"/>
        </w:rPr>
        <w:t>Subject to the terms and conditions of the underwriting agreement, Citigroup Global Markets Inc. has agreed to purchase from us on a firm commitment basis the 30,000,000 units offered by this prospectus at a public offering price less the underwriting discounts and commissions set forth on the cover page of this prospectus.</w:t>
      </w:r>
    </w:p>
    <w:p>
      <w:pPr>
        <w:spacing w:after="0" w:line="106" w:lineRule="exact"/>
        <w:rPr>
          <w:sz w:val="20"/>
          <w:szCs w:val="20"/>
          <w:color w:val="auto"/>
        </w:rPr>
      </w:pPr>
    </w:p>
    <w:p>
      <w:pPr>
        <w:ind w:left="460" w:right="939" w:firstLine="432"/>
        <w:spacing w:after="0" w:line="259" w:lineRule="auto"/>
        <w:rPr>
          <w:sz w:val="20"/>
          <w:szCs w:val="20"/>
          <w:color w:val="auto"/>
        </w:rPr>
      </w:pPr>
      <w:r>
        <w:rPr>
          <w:rFonts w:ascii="Arial" w:cs="Arial" w:eastAsia="Arial" w:hAnsi="Arial"/>
          <w:sz w:val="18"/>
          <w:szCs w:val="18"/>
          <w:color w:val="auto"/>
        </w:rPr>
        <w:t>The underwriting agreement provides that the obligations of the underwriter to purchase the units included in this offering are subject to approval of legal matters by counsel and to other conditions. The underwriter is obligated to purchase all of the units (other than those covered by the over-allotment option described below) if it purchases any of the units.</w:t>
      </w:r>
    </w:p>
    <w:p>
      <w:pPr>
        <w:spacing w:after="0" w:line="119" w:lineRule="exact"/>
        <w:rPr>
          <w:sz w:val="20"/>
          <w:szCs w:val="20"/>
          <w:color w:val="auto"/>
        </w:rPr>
      </w:pPr>
    </w:p>
    <w:p>
      <w:pPr>
        <w:jc w:val="both"/>
        <w:ind w:left="460" w:right="639" w:firstLine="432"/>
        <w:spacing w:after="0" w:line="259" w:lineRule="auto"/>
        <w:rPr>
          <w:sz w:val="20"/>
          <w:szCs w:val="20"/>
          <w:color w:val="auto"/>
        </w:rPr>
      </w:pPr>
      <w:r>
        <w:rPr>
          <w:rFonts w:ascii="Arial" w:cs="Arial" w:eastAsia="Arial" w:hAnsi="Arial"/>
          <w:sz w:val="18"/>
          <w:szCs w:val="18"/>
          <w:color w:val="auto"/>
        </w:rPr>
        <w:t>Units sold by the underwriter to the public will initially be offered at the initial public offering price set forth on the cover of this prospectus. If all of the units are not sold at the initial offering price, the underwriter may change the offering price and the other selling terms. Citigroup Global Markets Inc. has advised us that it does not intend to make sales to discretionary accounts.</w:t>
      </w:r>
    </w:p>
    <w:p>
      <w:pPr>
        <w:spacing w:after="0" w:line="119" w:lineRule="exact"/>
        <w:rPr>
          <w:sz w:val="20"/>
          <w:szCs w:val="20"/>
          <w:color w:val="auto"/>
        </w:rPr>
      </w:pPr>
    </w:p>
    <w:p>
      <w:pPr>
        <w:ind w:left="460" w:right="499" w:firstLine="432"/>
        <w:spacing w:after="0" w:line="291" w:lineRule="auto"/>
        <w:rPr>
          <w:sz w:val="20"/>
          <w:szCs w:val="20"/>
          <w:color w:val="auto"/>
        </w:rPr>
      </w:pPr>
      <w:r>
        <w:rPr>
          <w:rFonts w:ascii="Arial" w:cs="Arial" w:eastAsia="Arial" w:hAnsi="Arial"/>
          <w:sz w:val="16"/>
          <w:szCs w:val="16"/>
          <w:color w:val="auto"/>
        </w:rPr>
        <w:t>If the underwriter sells more units than the total number set forth in the table above, we have granted to the underwriter an option, exercisable for 45 days from the date of this prospectus, to purchase up to 4,500,000 additional units at the public offering price less the underwriting discount. The underwriter may exercise this option solely for the purpose of covering over-allotments, if any, in connection with this offering. To the extent the option is exercised, the underwriter must purchase a number of additional units approximately proportionate to its initial purchase commitment. Any units issued or sold under the option will be issued and sold on the same terms and conditions as the other units that are the subject of this offering.</w:t>
      </w:r>
    </w:p>
    <w:p>
      <w:pPr>
        <w:spacing w:after="0" w:line="85"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We, our sponsor and our officers and directors have agreed that, for a period of 180 days from the date of this prospectus, we and they will not, without the prior written consent of Citigroup Global Markets Inc., offer, sell, contract to sell, pledge or otherwise dispose of, directly or indirectly, any units, warrants, Class A ordinary shares or any other securities convertible into, or exercisable, or exchangeable for, Class A ordinary shares; provided, however, that we may (i) issue and sell the private placement warrants, (ii) issue and sell the additional units to cover our underwriter’s over-allotment option (if any), (iii) register with the SEC pursuant to an agreement to be entered into on or prior to the closing of this offering, the resale of the founder shares and the private placement warrants or the warrants and Class A ordinary shares issuable upon exercise of the warrants and (iv) issue securities in connection with an initial business combination. Citigroup Global Markets Inc. in its sole discretion may release any of the securities subject to these lock-up agreements at any time without notice.</w:t>
      </w:r>
    </w:p>
    <w:p>
      <w:pPr>
        <w:spacing w:after="0" w:line="114"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Our initial shareholders have agreed not to transfer, assign or sell any of their founder shares until the earlier to occur of: (i) one year after the completion of our initial business combination or (ii) the date on which we complete a liquidation, merger, share exchange or other similar transaction after our initial business combination that results in all of our shareholders having the right to exchange their Class A ordinary shares for cash, securities or other property (except as described herein under “Principal Shareholders — Transfers of Founder Shares and Private Placement Warrants”). Any permitted transferees will be subject to the same restrictions and other agreements of our initial shareholders with respect to any founder shares. We refer to such transfer restrictions throughout this prospectus as the lock-up. Notwithstanding the foregoing, if the closing price of our Class A ordinary shares equals or exceeds $12.00 per share (as adjusted for share subdivisions, share capitalizations, reorganizations, recapitalizations and the like) for any 20 trading days within any 30-trading day period commencing at least 150 days after our initial business combination, the founder shares will be released from the lock-up.</w:t>
      </w:r>
    </w:p>
    <w:p>
      <w:pPr>
        <w:spacing w:after="0" w:line="111" w:lineRule="exact"/>
        <w:rPr>
          <w:sz w:val="20"/>
          <w:szCs w:val="20"/>
          <w:color w:val="auto"/>
        </w:rPr>
      </w:pPr>
    </w:p>
    <w:p>
      <w:pPr>
        <w:ind w:left="460" w:right="599" w:firstLine="432"/>
        <w:spacing w:after="0" w:line="279" w:lineRule="auto"/>
        <w:rPr>
          <w:sz w:val="20"/>
          <w:szCs w:val="20"/>
          <w:color w:val="auto"/>
        </w:rPr>
      </w:pPr>
      <w:r>
        <w:rPr>
          <w:rFonts w:ascii="Arial" w:cs="Arial" w:eastAsia="Arial" w:hAnsi="Arial"/>
          <w:sz w:val="17"/>
          <w:szCs w:val="17"/>
          <w:color w:val="auto"/>
        </w:rPr>
        <w:t>The private placement warrants (including the Class A ordinary shares issuable upon exercise of the private placement warrants) will not be transferable, assignable or salable until 30 days after the completion of our initial business combination (except with respect to permitted transferees as described herein under “Principal Shareholders — Transfers of Founder Shares and Private Placement Warrants”).</w:t>
      </w:r>
    </w:p>
    <w:p>
      <w:pPr>
        <w:spacing w:after="0" w:line="90" w:lineRule="exact"/>
        <w:rPr>
          <w:sz w:val="20"/>
          <w:szCs w:val="20"/>
          <w:color w:val="auto"/>
        </w:rPr>
      </w:pPr>
    </w:p>
    <w:p>
      <w:pPr>
        <w:ind w:left="460" w:right="679" w:firstLine="432"/>
        <w:spacing w:after="0" w:line="308" w:lineRule="auto"/>
        <w:rPr>
          <w:sz w:val="20"/>
          <w:szCs w:val="20"/>
          <w:color w:val="auto"/>
        </w:rPr>
      </w:pPr>
      <w:r>
        <w:rPr>
          <w:rFonts w:ascii="Arial" w:cs="Arial" w:eastAsia="Arial" w:hAnsi="Arial"/>
          <w:sz w:val="17"/>
          <w:szCs w:val="17"/>
          <w:color w:val="auto"/>
        </w:rPr>
        <w:t>Prior to this offering, there has been no public market for our securities. Consequently, the initial public offering price for the units was determined by negotiations between us and the underwriter.</w:t>
      </w:r>
    </w:p>
    <w:p>
      <w:pPr>
        <w:spacing w:after="0" w:line="79"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The determination of our per unit offering price was more arbitrary than would typically be the case if we were an operating company. Among the factors considered in determining the initial public offering price were the history and prospects of companies whose principal business is the acquisition of other companies, prior offerings of those companies, our management, our capital structure, and currently prevailing general conditions in equity securities</w:t>
      </w:r>
    </w:p>
    <w:p>
      <w:pPr>
        <w:sectPr>
          <w:pgSz w:w="11900" w:h="16838" w:orient="portrait"/>
          <w:cols w:equalWidth="0" w:num="1">
            <w:col w:w="9019"/>
          </w:cols>
          <w:pgMar w:left="1440" w:top="337" w:right="1440" w:bottom="1440" w:gutter="0" w:footer="0" w:header="0"/>
        </w:sectPr>
      </w:pPr>
    </w:p>
    <w:p>
      <w:pPr>
        <w:spacing w:after="0" w:line="147"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type w:val="continuous"/>
        </w:sectPr>
      </w:pPr>
    </w:p>
    <w:bookmarkStart w:id="144" w:name="page145"/>
    <w:bookmarkEnd w:id="144"/>
    <w:p>
      <w:pPr>
        <w:ind w:left="460" w:right="539"/>
        <w:spacing w:after="0" w:line="257" w:lineRule="auto"/>
        <w:rPr>
          <w:sz w:val="20"/>
          <w:szCs w:val="20"/>
          <w:color w:val="auto"/>
        </w:rPr>
      </w:pPr>
      <w:r>
        <w:rPr>
          <w:rFonts w:ascii="Arial" w:cs="Arial" w:eastAsia="Arial" w:hAnsi="Arial"/>
          <w:sz w:val="18"/>
          <w:szCs w:val="18"/>
          <w:color w:val="auto"/>
        </w:rPr>
        <w:t>markets, including current market valuations of publicly traded companies considered comparable to our company. We cannot assure you, however, that the price at which the units, Class A ordinary shares or warrants will sell in the public market after this offering will not be lower than the initial public offering price or that an active trading market in our units, Class A ordinary shares or warrants will develop and continue after this offering.</w:t>
      </w:r>
    </w:p>
    <w:p>
      <w:pPr>
        <w:spacing w:after="0" w:line="107" w:lineRule="exact"/>
        <w:rPr>
          <w:sz w:val="20"/>
          <w:szCs w:val="20"/>
          <w:color w:val="auto"/>
        </w:rPr>
      </w:pPr>
    </w:p>
    <w:p>
      <w:pPr>
        <w:ind w:left="460" w:right="679" w:firstLine="432"/>
        <w:spacing w:after="0" w:line="257" w:lineRule="auto"/>
        <w:rPr>
          <w:sz w:val="20"/>
          <w:szCs w:val="20"/>
          <w:color w:val="auto"/>
        </w:rPr>
      </w:pPr>
      <w:r>
        <w:rPr>
          <w:rFonts w:ascii="Arial" w:cs="Arial" w:eastAsia="Arial" w:hAnsi="Arial"/>
          <w:sz w:val="18"/>
          <w:szCs w:val="18"/>
          <w:color w:val="auto"/>
        </w:rPr>
        <w:t>Our units have been approved for listing on the NYSE under the symbol “SOAC.U” commencing on or promptly after the date of this prospectus. We cannot guarantee that our securities will be approved for listing on the NYSE. Once the securities comprising the units begin separate trading, we expect that the Class A ordinary shares and warrants will be listed on the NYSE under the symbols “SOAC” and “SOAC WS”, respectively.</w:t>
      </w:r>
    </w:p>
    <w:p>
      <w:pPr>
        <w:spacing w:after="0" w:line="120" w:lineRule="exact"/>
        <w:rPr>
          <w:sz w:val="20"/>
          <w:szCs w:val="20"/>
          <w:color w:val="auto"/>
        </w:rPr>
      </w:pPr>
    </w:p>
    <w:p>
      <w:pPr>
        <w:ind w:left="460" w:right="919" w:firstLine="432"/>
        <w:spacing w:after="0" w:line="263" w:lineRule="auto"/>
        <w:rPr>
          <w:sz w:val="20"/>
          <w:szCs w:val="20"/>
          <w:color w:val="auto"/>
        </w:rPr>
      </w:pPr>
      <w:r>
        <w:rPr>
          <w:rFonts w:ascii="Arial" w:cs="Arial" w:eastAsia="Arial" w:hAnsi="Arial"/>
          <w:sz w:val="18"/>
          <w:szCs w:val="18"/>
          <w:color w:val="auto"/>
        </w:rPr>
        <w:t>The following table shows the underwriting discounts and commissions that we are to pay to the underwriter in connection with this offering. These amounts are shown assuming both no exercise and full exercise of the underwriter’s over-allotment option.</w:t>
      </w:r>
    </w:p>
    <w:p>
      <w:pPr>
        <w:spacing w:after="0" w:line="144" w:lineRule="exact"/>
        <w:rPr>
          <w:sz w:val="20"/>
          <w:szCs w:val="20"/>
          <w:color w:val="auto"/>
        </w:rPr>
      </w:pPr>
    </w:p>
    <w:p>
      <w:pPr>
        <w:jc w:val="center"/>
        <w:ind w:left="5600"/>
        <w:spacing w:after="0"/>
        <w:rPr>
          <w:sz w:val="20"/>
          <w:szCs w:val="20"/>
          <w:color w:val="auto"/>
        </w:rPr>
      </w:pPr>
      <w:r>
        <w:rPr>
          <w:rFonts w:ascii="Arial" w:cs="Arial" w:eastAsia="Arial" w:hAnsi="Arial"/>
          <w:sz w:val="15"/>
          <w:szCs w:val="15"/>
          <w:b w:val="1"/>
          <w:bCs w:val="1"/>
          <w:color w:val="auto"/>
        </w:rPr>
        <w:t>Paid by Sustainable Opportunities</w:t>
      </w:r>
    </w:p>
    <w:p>
      <w:pPr>
        <w:spacing w:after="0" w:line="38" w:lineRule="exact"/>
        <w:rPr>
          <w:sz w:val="20"/>
          <w:szCs w:val="20"/>
          <w:color w:val="auto"/>
        </w:rPr>
      </w:pPr>
    </w:p>
    <w:p>
      <w:pPr>
        <w:jc w:val="center"/>
        <w:ind w:left="5600"/>
        <w:spacing w:after="0"/>
        <w:rPr>
          <w:sz w:val="20"/>
          <w:szCs w:val="20"/>
          <w:color w:val="auto"/>
        </w:rPr>
      </w:pPr>
      <w:r>
        <w:rPr>
          <w:rFonts w:ascii="Arial" w:cs="Arial" w:eastAsia="Arial" w:hAnsi="Arial"/>
          <w:sz w:val="16"/>
          <w:szCs w:val="16"/>
          <w:b w:val="1"/>
          <w:bCs w:val="1"/>
          <w:color w:val="auto"/>
        </w:rPr>
        <w:t>Acquisition Corp.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3854450</wp:posOffset>
            </wp:positionH>
            <wp:positionV relativeFrom="paragraph">
              <wp:posOffset>41275</wp:posOffset>
            </wp:positionV>
            <wp:extent cx="157734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pacing w:after="0" w:line="85"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56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gridSpan w:val="2"/>
          </w:tcPr>
          <w:p>
            <w:pPr>
              <w:jc w:val="right"/>
              <w:ind w:right="260"/>
              <w:spacing w:after="0"/>
              <w:rPr>
                <w:sz w:val="20"/>
                <w:szCs w:val="20"/>
                <w:color w:val="auto"/>
              </w:rPr>
            </w:pPr>
            <w:r>
              <w:rPr>
                <w:rFonts w:ascii="Arial" w:cs="Arial" w:eastAsia="Arial" w:hAnsi="Arial"/>
                <w:sz w:val="16"/>
                <w:szCs w:val="16"/>
                <w:b w:val="1"/>
                <w:bCs w:val="1"/>
                <w:color w:val="auto"/>
                <w:w w:val="87"/>
              </w:rPr>
              <w:t>No Exercise</w:t>
            </w:r>
          </w:p>
        </w:tc>
        <w:tc>
          <w:tcPr>
            <w:tcW w:w="160" w:type="dxa"/>
            <w:vAlign w:val="bottom"/>
          </w:tcPr>
          <w:p>
            <w:pPr>
              <w:spacing w:after="0"/>
              <w:rPr>
                <w:sz w:val="18"/>
                <w:szCs w:val="18"/>
                <w:color w:val="auto"/>
              </w:rPr>
            </w:pPr>
          </w:p>
        </w:tc>
        <w:tc>
          <w:tcPr>
            <w:tcW w:w="1100" w:type="dxa"/>
            <w:vAlign w:val="bottom"/>
          </w:tcPr>
          <w:p>
            <w:pPr>
              <w:jc w:val="right"/>
              <w:ind w:right="93"/>
              <w:spacing w:after="0"/>
              <w:rPr>
                <w:sz w:val="20"/>
                <w:szCs w:val="20"/>
                <w:color w:val="auto"/>
              </w:rPr>
            </w:pPr>
            <w:r>
              <w:rPr>
                <w:rFonts w:ascii="Arial" w:cs="Arial" w:eastAsia="Arial" w:hAnsi="Arial"/>
                <w:sz w:val="16"/>
                <w:szCs w:val="16"/>
                <w:b w:val="1"/>
                <w:bCs w:val="1"/>
                <w:color w:val="auto"/>
                <w:w w:val="91"/>
              </w:rPr>
              <w:t>Full Exercise</w:t>
            </w:r>
          </w:p>
        </w:tc>
        <w:tc>
          <w:tcPr>
            <w:tcW w:w="0" w:type="dxa"/>
            <w:vAlign w:val="bottom"/>
          </w:tcPr>
          <w:p>
            <w:pPr>
              <w:spacing w:after="0"/>
              <w:rPr>
                <w:sz w:val="1"/>
                <w:szCs w:val="1"/>
                <w:color w:val="auto"/>
              </w:rPr>
            </w:pPr>
          </w:p>
        </w:tc>
      </w:tr>
      <w:tr>
        <w:trPr>
          <w:trHeight w:val="46"/>
        </w:trPr>
        <w:tc>
          <w:tcPr>
            <w:tcW w:w="56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63"/>
        </w:trPr>
        <w:tc>
          <w:tcPr>
            <w:tcW w:w="5600" w:type="dxa"/>
            <w:vAlign w:val="bottom"/>
            <w:shd w:val="clear" w:color="auto" w:fill="CCEEFF"/>
          </w:tcPr>
          <w:p>
            <w:pPr>
              <w:spacing w:after="0"/>
              <w:rPr>
                <w:sz w:val="20"/>
                <w:szCs w:val="20"/>
                <w:color w:val="auto"/>
              </w:rPr>
            </w:pPr>
            <w:r>
              <w:rPr>
                <w:rFonts w:ascii="Arial" w:cs="Arial" w:eastAsia="Arial" w:hAnsi="Arial"/>
                <w:sz w:val="18"/>
                <w:szCs w:val="18"/>
                <w:color w:val="auto"/>
              </w:rPr>
              <w:t>Per Unit</w:t>
            </w:r>
            <w:r>
              <w:rPr>
                <w:rFonts w:ascii="Arial" w:cs="Arial" w:eastAsia="Arial" w:hAnsi="Arial"/>
                <w:sz w:val="20"/>
                <w:szCs w:val="20"/>
                <w:color w:val="auto"/>
                <w:vertAlign w:val="superscript"/>
              </w:rPr>
              <w:t>(1)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0.55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0.55</w:t>
            </w:r>
          </w:p>
        </w:tc>
        <w:tc>
          <w:tcPr>
            <w:tcW w:w="0" w:type="dxa"/>
            <w:vAlign w:val="bottom"/>
          </w:tcPr>
          <w:p>
            <w:pPr>
              <w:spacing w:after="0"/>
              <w:rPr>
                <w:sz w:val="1"/>
                <w:szCs w:val="1"/>
                <w:color w:val="auto"/>
              </w:rPr>
            </w:pPr>
          </w:p>
        </w:tc>
      </w:tr>
      <w:tr>
        <w:trPr>
          <w:trHeight w:val="20"/>
        </w:trPr>
        <w:tc>
          <w:tcPr>
            <w:tcW w:w="5600" w:type="dxa"/>
            <w:vAlign w:val="bottom"/>
            <w:vMerge w:val="restart"/>
          </w:tcPr>
          <w:p>
            <w:pPr>
              <w:spacing w:after="0"/>
              <w:rPr>
                <w:sz w:val="20"/>
                <w:szCs w:val="20"/>
                <w:color w:val="auto"/>
              </w:rPr>
            </w:pPr>
            <w:r>
              <w:rPr>
                <w:rFonts w:ascii="Arial" w:cs="Arial" w:eastAsia="Arial" w:hAnsi="Arial"/>
                <w:sz w:val="18"/>
                <w:szCs w:val="18"/>
                <w:color w:val="auto"/>
              </w:rPr>
              <w:t>Total</w:t>
            </w:r>
            <w:r>
              <w:rPr>
                <w:rFonts w:ascii="Arial" w:cs="Arial" w:eastAsia="Arial" w:hAnsi="Arial"/>
                <w:sz w:val="20"/>
                <w:szCs w:val="20"/>
                <w:color w:val="auto"/>
                <w:vertAlign w:val="superscript"/>
              </w:rPr>
              <w:t>(1)</w:t>
            </w:r>
          </w:p>
        </w:tc>
        <w:tc>
          <w:tcPr>
            <w:tcW w:w="16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5600" w:type="dxa"/>
            <w:vAlign w:val="bottom"/>
            <w:vMerge w:val="continue"/>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100"/>
              <w:spacing w:after="0"/>
              <w:rPr>
                <w:sz w:val="20"/>
                <w:szCs w:val="20"/>
                <w:color w:val="auto"/>
              </w:rPr>
            </w:pPr>
            <w:r>
              <w:rPr>
                <w:rFonts w:ascii="Arial" w:cs="Arial" w:eastAsia="Arial" w:hAnsi="Arial"/>
                <w:sz w:val="18"/>
                <w:szCs w:val="18"/>
                <w:color w:val="auto"/>
              </w:rPr>
              <w:t>16,500,000</w:t>
            </w:r>
          </w:p>
        </w:tc>
        <w:tc>
          <w:tcPr>
            <w:tcW w:w="16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18,975,000</w:t>
            </w:r>
          </w:p>
        </w:tc>
        <w:tc>
          <w:tcPr>
            <w:tcW w:w="0" w:type="dxa"/>
            <w:vAlign w:val="bottom"/>
          </w:tcPr>
          <w:p>
            <w:pPr>
              <w:spacing w:after="0"/>
              <w:rPr>
                <w:sz w:val="1"/>
                <w:szCs w:val="1"/>
                <w:color w:val="auto"/>
              </w:rPr>
            </w:pPr>
          </w:p>
        </w:tc>
      </w:tr>
      <w:tr>
        <w:trPr>
          <w:trHeight w:val="20"/>
        </w:trPr>
        <w:tc>
          <w:tcPr>
            <w:tcW w:w="56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67" w:lineRule="exact"/>
        <w:rPr>
          <w:sz w:val="20"/>
          <w:szCs w:val="20"/>
          <w:color w:val="auto"/>
        </w:rPr>
      </w:pPr>
    </w:p>
    <w:p>
      <w:pPr>
        <w:ind w:left="880" w:right="599" w:hanging="426"/>
        <w:spacing w:after="0" w:line="273" w:lineRule="auto"/>
        <w:tabs>
          <w:tab w:leader="none" w:pos="839" w:val="left"/>
        </w:tabs>
        <w:numPr>
          <w:ilvl w:val="0"/>
          <w:numId w:val="81"/>
        </w:numPr>
        <w:rPr>
          <w:rFonts w:ascii="Arial" w:cs="Arial" w:eastAsia="Arial" w:hAnsi="Arial"/>
          <w:sz w:val="16"/>
          <w:szCs w:val="16"/>
          <w:color w:val="auto"/>
        </w:rPr>
      </w:pPr>
      <w:r>
        <w:rPr>
          <w:rFonts w:ascii="Arial" w:cs="Arial" w:eastAsia="Arial" w:hAnsi="Arial"/>
          <w:sz w:val="16"/>
          <w:szCs w:val="16"/>
          <w:color w:val="auto"/>
        </w:rPr>
        <w:t>Includes $0.35 per unit, or $10,500,000 in the aggregate (or $12,075,000 in the aggregate if the underwriter’s over-allotment option is exercised in full), payable to the underwriter for deferred underwriting commissions to be placed in a trust account located in the United States as described herein and released to the underwriter only upon the consummation of an initial business combination.</w:t>
      </w:r>
    </w:p>
    <w:p>
      <w:pPr>
        <w:spacing w:after="0" w:line="117" w:lineRule="exact"/>
        <w:rPr>
          <w:sz w:val="20"/>
          <w:szCs w:val="20"/>
          <w:color w:val="auto"/>
        </w:rPr>
      </w:pPr>
    </w:p>
    <w:p>
      <w:pPr>
        <w:ind w:left="460" w:right="799" w:firstLine="432"/>
        <w:spacing w:after="0" w:line="296" w:lineRule="auto"/>
        <w:rPr>
          <w:sz w:val="20"/>
          <w:szCs w:val="20"/>
          <w:color w:val="auto"/>
        </w:rPr>
      </w:pPr>
      <w:r>
        <w:rPr>
          <w:rFonts w:ascii="Arial" w:cs="Arial" w:eastAsia="Arial" w:hAnsi="Arial"/>
          <w:sz w:val="16"/>
          <w:szCs w:val="16"/>
          <w:color w:val="auto"/>
        </w:rPr>
        <w:t>If we do not consummate an initial business combination within 18 months from the closing of this offering, the underwriter has agreed that (i) it will forfeit any rights or claims to its deferred underwriting discounts and commissions, including any accrued interest thereon, then in the trust account and (ii) that the deferred underwriter’s discounts and commissions will be distributed on a pro rata basis, together with any accrued interest thereon (which interest will be net of taxes paid or payable) to the public shareholders.</w:t>
      </w:r>
    </w:p>
    <w:p>
      <w:pPr>
        <w:spacing w:after="0" w:line="80" w:lineRule="exact"/>
        <w:rPr>
          <w:sz w:val="20"/>
          <w:szCs w:val="20"/>
          <w:color w:val="auto"/>
        </w:rPr>
      </w:pPr>
    </w:p>
    <w:p>
      <w:pPr>
        <w:ind w:left="460" w:right="479" w:firstLine="432"/>
        <w:spacing w:after="0" w:line="263" w:lineRule="auto"/>
        <w:rPr>
          <w:sz w:val="20"/>
          <w:szCs w:val="20"/>
          <w:color w:val="auto"/>
        </w:rPr>
      </w:pPr>
      <w:r>
        <w:rPr>
          <w:rFonts w:ascii="Arial" w:cs="Arial" w:eastAsia="Arial" w:hAnsi="Arial"/>
          <w:sz w:val="18"/>
          <w:szCs w:val="18"/>
          <w:color w:val="auto"/>
        </w:rPr>
        <w:t>In connection with the offering, the underwriter may purchase and sell units in the open market. Purchases and sales in the open market may include short sales, purchases to cover short positions, which may include purchases pursuant to the over-allotment option, and stabilizing purchases.</w:t>
      </w:r>
    </w:p>
    <w:p>
      <w:pPr>
        <w:spacing w:after="0" w:line="116" w:lineRule="exact"/>
        <w:rPr>
          <w:sz w:val="20"/>
          <w:szCs w:val="20"/>
          <w:color w:val="auto"/>
        </w:rPr>
      </w:pPr>
    </w:p>
    <w:p>
      <w:pPr>
        <w:ind w:left="1320" w:right="539" w:hanging="434"/>
        <w:spacing w:after="0" w:line="277" w:lineRule="auto"/>
        <w:tabs>
          <w:tab w:leader="none" w:pos="13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Short sales involve secondary market sales by the underwriter of a greater number of units than it is required to purchase in the offering.</w:t>
      </w:r>
    </w:p>
    <w:p>
      <w:pPr>
        <w:spacing w:after="0" w:line="102" w:lineRule="exact"/>
        <w:rPr>
          <w:rFonts w:ascii="Arial" w:cs="Arial" w:eastAsia="Arial" w:hAnsi="Arial"/>
          <w:sz w:val="18"/>
          <w:szCs w:val="18"/>
          <w:color w:val="auto"/>
        </w:rPr>
      </w:pPr>
    </w:p>
    <w:p>
      <w:pPr>
        <w:ind w:left="1320" w:right="679" w:hanging="434"/>
        <w:spacing w:after="0" w:line="277" w:lineRule="auto"/>
        <w:tabs>
          <w:tab w:leader="none" w:pos="13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“Covered” short sales are sales of units in an amount up to the number of units represented by the underwriter’s over-allotment option.</w:t>
      </w:r>
    </w:p>
    <w:p>
      <w:pPr>
        <w:spacing w:after="0" w:line="89" w:lineRule="exact"/>
        <w:rPr>
          <w:rFonts w:ascii="Arial" w:cs="Arial" w:eastAsia="Arial" w:hAnsi="Arial"/>
          <w:sz w:val="18"/>
          <w:szCs w:val="18"/>
          <w:color w:val="auto"/>
        </w:rPr>
      </w:pPr>
    </w:p>
    <w:p>
      <w:pPr>
        <w:ind w:left="1320" w:right="599" w:hanging="434"/>
        <w:spacing w:after="0" w:line="277" w:lineRule="auto"/>
        <w:tabs>
          <w:tab w:leader="none" w:pos="13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“Naked” short sales are sales of units in an amount in excess of the number of units represented by the underwriter’s over-allotment option.</w:t>
      </w:r>
    </w:p>
    <w:p>
      <w:pPr>
        <w:spacing w:after="0" w:line="102" w:lineRule="exact"/>
        <w:rPr>
          <w:rFonts w:ascii="Arial" w:cs="Arial" w:eastAsia="Arial" w:hAnsi="Arial"/>
          <w:sz w:val="18"/>
          <w:szCs w:val="18"/>
          <w:color w:val="auto"/>
        </w:rPr>
      </w:pPr>
    </w:p>
    <w:p>
      <w:pPr>
        <w:ind w:left="1320" w:right="659" w:hanging="434"/>
        <w:spacing w:after="0" w:line="342" w:lineRule="auto"/>
        <w:tabs>
          <w:tab w:leader="none" w:pos="1311" w:val="left"/>
        </w:tabs>
        <w:numPr>
          <w:ilvl w:val="0"/>
          <w:numId w:val="82"/>
        </w:numPr>
        <w:rPr>
          <w:rFonts w:ascii="Arial" w:cs="Arial" w:eastAsia="Arial" w:hAnsi="Arial"/>
          <w:sz w:val="16"/>
          <w:szCs w:val="16"/>
          <w:color w:val="auto"/>
        </w:rPr>
      </w:pPr>
      <w:r>
        <w:rPr>
          <w:rFonts w:ascii="Arial" w:cs="Arial" w:eastAsia="Arial" w:hAnsi="Arial"/>
          <w:sz w:val="16"/>
          <w:szCs w:val="16"/>
          <w:color w:val="auto"/>
        </w:rPr>
        <w:t>Covering transactions involve purchases of units either pursuant to the over-allotment option or in the open market after the distribution has been completed in order to cover short positions.</w:t>
      </w:r>
    </w:p>
    <w:p>
      <w:pPr>
        <w:spacing w:after="0" w:line="56" w:lineRule="exact"/>
        <w:rPr>
          <w:rFonts w:ascii="Arial" w:cs="Arial" w:eastAsia="Arial" w:hAnsi="Arial"/>
          <w:sz w:val="16"/>
          <w:szCs w:val="16"/>
          <w:color w:val="auto"/>
        </w:rPr>
      </w:pPr>
    </w:p>
    <w:p>
      <w:pPr>
        <w:ind w:left="1320" w:right="579" w:hanging="434"/>
        <w:spacing w:after="0" w:line="279" w:lineRule="auto"/>
        <w:tabs>
          <w:tab w:leader="none" w:pos="1311" w:val="left"/>
        </w:tabs>
        <w:numPr>
          <w:ilvl w:val="0"/>
          <w:numId w:val="82"/>
        </w:numPr>
        <w:rPr>
          <w:rFonts w:ascii="Arial" w:cs="Arial" w:eastAsia="Arial" w:hAnsi="Arial"/>
          <w:sz w:val="17"/>
          <w:szCs w:val="17"/>
          <w:color w:val="auto"/>
        </w:rPr>
      </w:pPr>
      <w:r>
        <w:rPr>
          <w:rFonts w:ascii="Arial" w:cs="Arial" w:eastAsia="Arial" w:hAnsi="Arial"/>
          <w:sz w:val="17"/>
          <w:szCs w:val="17"/>
          <w:color w:val="auto"/>
        </w:rPr>
        <w:t>To close a naked short position, the underwriter must purchase units in the open market after the distribution has been completed. A naked short position is more likely to be created if the underwriter is concerned that there may be downward pressure on the price of the units in the open market after pricing that could adversely affect investors who purchase in the offering.</w:t>
      </w:r>
    </w:p>
    <w:p>
      <w:pPr>
        <w:spacing w:after="0" w:line="90" w:lineRule="exact"/>
        <w:rPr>
          <w:rFonts w:ascii="Arial" w:cs="Arial" w:eastAsia="Arial" w:hAnsi="Arial"/>
          <w:sz w:val="17"/>
          <w:szCs w:val="17"/>
          <w:color w:val="auto"/>
        </w:rPr>
      </w:pPr>
    </w:p>
    <w:p>
      <w:pPr>
        <w:ind w:left="1320" w:right="479" w:hanging="434"/>
        <w:spacing w:after="0" w:line="257" w:lineRule="auto"/>
        <w:tabs>
          <w:tab w:leader="none" w:pos="13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To close a covered short position, the underwriter must purchase units in the open market after the distribution has been completed or must exercise the over-allotment option. In determining the source of units to close the covered short position, the underwriter will consider, among other things, the price of units available for purchase in the open market as compared to the price at which it may purchase units through the over-allotment option.</w:t>
      </w:r>
    </w:p>
    <w:p>
      <w:pPr>
        <w:spacing w:after="0" w:line="120" w:lineRule="exact"/>
        <w:rPr>
          <w:rFonts w:ascii="Arial" w:cs="Arial" w:eastAsia="Arial" w:hAnsi="Arial"/>
          <w:sz w:val="18"/>
          <w:szCs w:val="18"/>
          <w:color w:val="auto"/>
        </w:rPr>
      </w:pPr>
    </w:p>
    <w:p>
      <w:pPr>
        <w:ind w:left="1320" w:right="499" w:hanging="434"/>
        <w:spacing w:after="0" w:line="277" w:lineRule="auto"/>
        <w:tabs>
          <w:tab w:leader="none" w:pos="1311" w:val="left"/>
        </w:tabs>
        <w:numPr>
          <w:ilvl w:val="0"/>
          <w:numId w:val="82"/>
        </w:numPr>
        <w:rPr>
          <w:rFonts w:ascii="Arial" w:cs="Arial" w:eastAsia="Arial" w:hAnsi="Arial"/>
          <w:sz w:val="18"/>
          <w:szCs w:val="18"/>
          <w:color w:val="auto"/>
        </w:rPr>
      </w:pPr>
      <w:r>
        <w:rPr>
          <w:rFonts w:ascii="Arial" w:cs="Arial" w:eastAsia="Arial" w:hAnsi="Arial"/>
          <w:sz w:val="18"/>
          <w:szCs w:val="18"/>
          <w:color w:val="auto"/>
        </w:rPr>
        <w:t>Stabilizing transactions involve bids to purchase units so long as the stabilizing bids do not exceed a specified maximum.</w:t>
      </w:r>
    </w:p>
    <w:p>
      <w:pPr>
        <w:sectPr>
          <w:pgSz w:w="11900" w:h="16838" w:orient="portrait"/>
          <w:cols w:equalWidth="0" w:num="1">
            <w:col w:w="9019"/>
          </w:cols>
          <w:pgMar w:left="1440" w:top="274" w:right="1440" w:bottom="1440" w:gutter="0" w:footer="0" w:header="0"/>
        </w:sectPr>
      </w:pP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29210</wp:posOffset>
            </wp:positionV>
            <wp:extent cx="5143500" cy="889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type w:val="continuous"/>
        </w:sectPr>
      </w:pPr>
    </w:p>
    <w:bookmarkStart w:id="145" w:name="page146"/>
    <w:bookmarkEnd w:id="145"/>
    <w:p>
      <w:pPr>
        <w:ind w:left="460" w:right="479" w:firstLine="432"/>
        <w:spacing w:after="0" w:line="255" w:lineRule="auto"/>
        <w:rPr>
          <w:sz w:val="20"/>
          <w:szCs w:val="20"/>
          <w:color w:val="auto"/>
        </w:rPr>
      </w:pPr>
      <w:r>
        <w:rPr>
          <w:rFonts w:ascii="Arial" w:cs="Arial" w:eastAsia="Arial" w:hAnsi="Arial"/>
          <w:sz w:val="18"/>
          <w:szCs w:val="18"/>
          <w:color w:val="auto"/>
        </w:rPr>
        <w:t>Purchases to cover short positions and stabilizing purchases, as well as other purchases by the underwriter for its own accounts, may have the effect of preventing or retarding a decline in the market price of the units. They may also cause the price of the units to be higher than the price that would otherwise exist in the open market in the absence of these transactions. The underwriter may conduct these transactions in the over-the-counter market or otherwise. If the underwriter commences any of these transactions, it may discontinue them at any time.</w:t>
      </w:r>
    </w:p>
    <w:p>
      <w:pPr>
        <w:spacing w:after="0" w:line="111" w:lineRule="exact"/>
        <w:rPr>
          <w:sz w:val="20"/>
          <w:szCs w:val="20"/>
          <w:color w:val="auto"/>
        </w:rPr>
      </w:pPr>
    </w:p>
    <w:p>
      <w:pPr>
        <w:ind w:left="460" w:right="1259" w:firstLine="432"/>
        <w:spacing w:after="0" w:line="277" w:lineRule="auto"/>
        <w:rPr>
          <w:sz w:val="20"/>
          <w:szCs w:val="20"/>
          <w:color w:val="auto"/>
        </w:rPr>
      </w:pPr>
      <w:r>
        <w:rPr>
          <w:rFonts w:ascii="Arial" w:cs="Arial" w:eastAsia="Arial" w:hAnsi="Arial"/>
          <w:sz w:val="18"/>
          <w:szCs w:val="18"/>
          <w:color w:val="auto"/>
        </w:rPr>
        <w:t>We estimate that the total expenses of this offering payable by us will be $1,000,000, excluding underwriting discounts and commissions.</w:t>
      </w:r>
    </w:p>
    <w:p>
      <w:pPr>
        <w:spacing w:after="0" w:line="103" w:lineRule="exact"/>
        <w:rPr>
          <w:sz w:val="20"/>
          <w:szCs w:val="20"/>
          <w:color w:val="auto"/>
        </w:rPr>
      </w:pPr>
    </w:p>
    <w:p>
      <w:pPr>
        <w:ind w:left="460" w:right="719" w:firstLine="432"/>
        <w:spacing w:after="0" w:line="259" w:lineRule="auto"/>
        <w:rPr>
          <w:sz w:val="20"/>
          <w:szCs w:val="20"/>
          <w:color w:val="auto"/>
        </w:rPr>
      </w:pPr>
      <w:r>
        <w:rPr>
          <w:rFonts w:ascii="Arial" w:cs="Arial" w:eastAsia="Arial" w:hAnsi="Arial"/>
          <w:sz w:val="18"/>
          <w:szCs w:val="18"/>
          <w:color w:val="auto"/>
        </w:rPr>
        <w:t>We have agreed to indemnify the underwriter against certain liabilities, including liabilities under the Securities Act, or to contribute to payments the underwriter may be required to make because of any of those liabilities. We have also agreed to pay for the FINRA-related fees and expenses of the underwriter’s legal counsel, not to exceed $25,000.</w:t>
      </w:r>
    </w:p>
    <w:p>
      <w:pPr>
        <w:spacing w:after="0" w:line="119" w:lineRule="exact"/>
        <w:rPr>
          <w:sz w:val="20"/>
          <w:szCs w:val="20"/>
          <w:color w:val="auto"/>
        </w:rPr>
      </w:pPr>
    </w:p>
    <w:p>
      <w:pPr>
        <w:ind w:left="460" w:right="539" w:firstLine="432"/>
        <w:spacing w:after="0" w:line="269" w:lineRule="auto"/>
        <w:rPr>
          <w:sz w:val="20"/>
          <w:szCs w:val="20"/>
          <w:color w:val="auto"/>
        </w:rPr>
      </w:pPr>
      <w:r>
        <w:rPr>
          <w:rFonts w:ascii="Arial" w:cs="Arial" w:eastAsia="Arial" w:hAnsi="Arial"/>
          <w:sz w:val="17"/>
          <w:szCs w:val="17"/>
          <w:color w:val="auto"/>
        </w:rPr>
        <w:t>We are not under any contractual obligation to engage the underwriter to provide any services for us after this offering, and have no present intent to do so. However, the underwriter may introduce us to potential target businesses or assist us in raising additional capital in the future. If the underwriter provides services to us after this offering, we may pay the underwriter fair and reasonable fees that would be determined at that time in an arm’s length negotiation; provided that no agreement will be entered into with the underwriter and no fees for such services will be paid to the underwriter prior to the date that is 90 days from the date of this prospectus, unless FINRA determines that such payment would not be deemed underwriter’s compensation in connection with this offering and we may pay the underwriter of this offering or any entity with which it is affiliated a finder’s fee or other compensation for services rendered to us in connection with the completion of a business combination.</w:t>
      </w:r>
    </w:p>
    <w:p>
      <w:pPr>
        <w:spacing w:after="0" w:line="104" w:lineRule="exact"/>
        <w:rPr>
          <w:sz w:val="20"/>
          <w:szCs w:val="20"/>
          <w:color w:val="auto"/>
        </w:rPr>
      </w:pPr>
    </w:p>
    <w:p>
      <w:pPr>
        <w:ind w:left="460" w:right="599" w:firstLine="432"/>
        <w:spacing w:after="0" w:line="291" w:lineRule="auto"/>
        <w:rPr>
          <w:sz w:val="20"/>
          <w:szCs w:val="20"/>
          <w:color w:val="auto"/>
        </w:rPr>
      </w:pPr>
      <w:r>
        <w:rPr>
          <w:rFonts w:ascii="Arial" w:cs="Arial" w:eastAsia="Arial" w:hAnsi="Arial"/>
          <w:sz w:val="16"/>
          <w:szCs w:val="16"/>
          <w:color w:val="auto"/>
        </w:rPr>
        <w:t>In addition, in the ordinary course of their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Canada</w:t>
      </w:r>
    </w:p>
    <w:p>
      <w:pPr>
        <w:spacing w:after="0" w:line="162" w:lineRule="exact"/>
        <w:rPr>
          <w:sz w:val="20"/>
          <w:szCs w:val="20"/>
          <w:color w:val="auto"/>
        </w:rPr>
      </w:pPr>
    </w:p>
    <w:p>
      <w:pPr>
        <w:ind w:left="460" w:right="499" w:firstLine="432"/>
        <w:spacing w:after="0" w:line="255" w:lineRule="auto"/>
        <w:rPr>
          <w:sz w:val="20"/>
          <w:szCs w:val="20"/>
          <w:color w:val="auto"/>
        </w:rPr>
      </w:pPr>
      <w:r>
        <w:rPr>
          <w:rFonts w:ascii="Arial" w:cs="Arial" w:eastAsia="Arial" w:hAnsi="Arial"/>
          <w:sz w:val="18"/>
          <w:szCs w:val="18"/>
          <w:color w:val="auto"/>
        </w:rPr>
        <w:t xml:space="preserve">The units may be sold only to purchasers purchasing, or deemed to be purchasing, as principal that are accredited investors, as defined in National Instrument 45-106 </w:t>
      </w:r>
      <w:r>
        <w:rPr>
          <w:rFonts w:ascii="Arial" w:cs="Arial" w:eastAsia="Arial" w:hAnsi="Arial"/>
          <w:sz w:val="18"/>
          <w:szCs w:val="18"/>
          <w:i w:val="1"/>
          <w:iCs w:val="1"/>
          <w:color w:val="auto"/>
        </w:rPr>
        <w:t>Prospectus Exemptions</w:t>
      </w:r>
      <w:r>
        <w:rPr>
          <w:rFonts w:ascii="Arial" w:cs="Arial" w:eastAsia="Arial" w:hAnsi="Arial"/>
          <w:sz w:val="18"/>
          <w:szCs w:val="18"/>
          <w:color w:val="auto"/>
        </w:rPr>
        <w:t xml:space="preserve"> or subsection 73.3(1) of the Securities Act (Ontario), and are permitted clients, as defined in National Instrument 31-103 </w:t>
      </w:r>
      <w:r>
        <w:rPr>
          <w:rFonts w:ascii="Arial" w:cs="Arial" w:eastAsia="Arial" w:hAnsi="Arial"/>
          <w:sz w:val="18"/>
          <w:szCs w:val="18"/>
          <w:i w:val="1"/>
          <w:iCs w:val="1"/>
          <w:color w:val="auto"/>
        </w:rPr>
        <w:t>Registration</w:t>
      </w:r>
      <w:r>
        <w:rPr>
          <w:rFonts w:ascii="Arial" w:cs="Arial" w:eastAsia="Arial" w:hAnsi="Arial"/>
          <w:sz w:val="18"/>
          <w:szCs w:val="18"/>
          <w:color w:val="auto"/>
        </w:rPr>
        <w:t xml:space="preserve"> </w:t>
      </w:r>
      <w:r>
        <w:rPr>
          <w:rFonts w:ascii="Arial" w:cs="Arial" w:eastAsia="Arial" w:hAnsi="Arial"/>
          <w:sz w:val="18"/>
          <w:szCs w:val="18"/>
          <w:i w:val="1"/>
          <w:iCs w:val="1"/>
          <w:color w:val="auto"/>
        </w:rPr>
        <w:t>Requirements</w:t>
      </w:r>
      <w:r>
        <w:rPr>
          <w:rFonts w:ascii="Arial" w:cs="Arial" w:eastAsia="Arial" w:hAnsi="Arial"/>
          <w:sz w:val="18"/>
          <w:szCs w:val="18"/>
          <w:color w:val="auto"/>
        </w:rPr>
        <w:t>,</w:t>
      </w:r>
      <w:r>
        <w:rPr>
          <w:rFonts w:ascii="Arial" w:cs="Arial" w:eastAsia="Arial" w:hAnsi="Arial"/>
          <w:sz w:val="18"/>
          <w:szCs w:val="18"/>
          <w:i w:val="1"/>
          <w:iCs w:val="1"/>
          <w:color w:val="auto"/>
        </w:rPr>
        <w:t xml:space="preserve"> Exemptions and Ongoing Registrant Obligations</w:t>
      </w:r>
      <w:r>
        <w:rPr>
          <w:rFonts w:ascii="Arial" w:cs="Arial" w:eastAsia="Arial" w:hAnsi="Arial"/>
          <w:sz w:val="18"/>
          <w:szCs w:val="18"/>
          <w:color w:val="auto"/>
        </w:rPr>
        <w:t>. Any resale of the units must be made in</w:t>
      </w:r>
      <w:r>
        <w:rPr>
          <w:rFonts w:ascii="Arial" w:cs="Arial" w:eastAsia="Arial" w:hAnsi="Arial"/>
          <w:sz w:val="18"/>
          <w:szCs w:val="18"/>
          <w:i w:val="1"/>
          <w:iCs w:val="1"/>
          <w:color w:val="auto"/>
        </w:rPr>
        <w:t xml:space="preserve"> </w:t>
      </w:r>
      <w:r>
        <w:rPr>
          <w:rFonts w:ascii="Arial" w:cs="Arial" w:eastAsia="Arial" w:hAnsi="Arial"/>
          <w:sz w:val="18"/>
          <w:szCs w:val="18"/>
          <w:color w:val="auto"/>
        </w:rPr>
        <w:t>accordance with an exemption from, or in a transaction not subject to, the prospectus requirements of applicable securities laws.</w:t>
      </w:r>
    </w:p>
    <w:p>
      <w:pPr>
        <w:spacing w:after="0" w:line="125"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Securities legislation in certain provinces or territories of Canada may provide a purchaser with remedies for rescission or damages if this prospectus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11" w:lineRule="exact"/>
        <w:rPr>
          <w:sz w:val="20"/>
          <w:szCs w:val="20"/>
          <w:color w:val="auto"/>
        </w:rPr>
      </w:pPr>
    </w:p>
    <w:p>
      <w:pPr>
        <w:ind w:left="460" w:right="659" w:firstLine="432"/>
        <w:spacing w:after="0" w:line="279" w:lineRule="auto"/>
        <w:rPr>
          <w:sz w:val="20"/>
          <w:szCs w:val="20"/>
          <w:color w:val="auto"/>
        </w:rPr>
      </w:pPr>
      <w:r>
        <w:rPr>
          <w:rFonts w:ascii="Arial" w:cs="Arial" w:eastAsia="Arial" w:hAnsi="Arial"/>
          <w:sz w:val="17"/>
          <w:szCs w:val="17"/>
          <w:color w:val="auto"/>
        </w:rPr>
        <w:t>Pursuant to section 3A.3 (or, in the case of securities issued or guaranteed by the government of a non-Canadian jurisdiction, section 3A.4) of National Instrument 33-105 Underwriting Conflicts, or NI 33-105, the underwriter is not required to comply with the disclosure requirements of NI 33-105 regarding underwriter conflicts of interest in connection with this offering.</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the European Economic Area and the United Kingdom</w:t>
      </w:r>
    </w:p>
    <w:p>
      <w:pPr>
        <w:spacing w:after="0" w:line="162" w:lineRule="exact"/>
        <w:rPr>
          <w:sz w:val="20"/>
          <w:szCs w:val="20"/>
          <w:color w:val="auto"/>
        </w:rPr>
      </w:pPr>
    </w:p>
    <w:p>
      <w:pPr>
        <w:ind w:left="460" w:right="639" w:firstLine="432"/>
        <w:spacing w:after="0" w:line="259" w:lineRule="auto"/>
        <w:rPr>
          <w:sz w:val="20"/>
          <w:szCs w:val="20"/>
          <w:color w:val="auto"/>
        </w:rPr>
      </w:pPr>
      <w:r>
        <w:rPr>
          <w:rFonts w:ascii="Arial" w:cs="Arial" w:eastAsia="Arial" w:hAnsi="Arial"/>
          <w:sz w:val="18"/>
          <w:szCs w:val="18"/>
          <w:color w:val="auto"/>
        </w:rPr>
        <w:t>In relation to each member state of the European Economic Area and the United Kingdom (each a “Relevant State”), no units have been offered or will be offered to the public in that Relevant State prior to the publication of a prospectus in relation to the units which has been approved by the competent authority in that Relevant State</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6" w:name="page147"/>
    <w:bookmarkEnd w:id="146"/>
    <w:p>
      <w:pPr>
        <w:ind w:left="460" w:right="479"/>
        <w:spacing w:after="0" w:line="311" w:lineRule="auto"/>
        <w:rPr>
          <w:sz w:val="20"/>
          <w:szCs w:val="20"/>
          <w:color w:val="auto"/>
        </w:rPr>
      </w:pPr>
      <w:r>
        <w:rPr>
          <w:rFonts w:ascii="Arial" w:cs="Arial" w:eastAsia="Arial" w:hAnsi="Arial"/>
          <w:sz w:val="16"/>
          <w:szCs w:val="16"/>
          <w:color w:val="auto"/>
        </w:rPr>
        <w:t>or, where appropriate, approved in another Relevant State and notified to the competent authority in that Relevant State, all in accordance with the Prospectus Regulation), except that offers of units may be made to the public in that Relevant State at any time under the following exemptions under the Prospectus Regulation:</w:t>
      </w:r>
    </w:p>
    <w:p>
      <w:pPr>
        <w:spacing w:after="0" w:line="68" w:lineRule="exact"/>
        <w:rPr>
          <w:sz w:val="20"/>
          <w:szCs w:val="20"/>
          <w:color w:val="auto"/>
        </w:rPr>
      </w:pPr>
    </w:p>
    <w:p>
      <w:pPr>
        <w:ind w:left="1300" w:hanging="414"/>
        <w:spacing w:after="0"/>
        <w:tabs>
          <w:tab w:leader="none" w:pos="1300" w:val="left"/>
        </w:tabs>
        <w:numPr>
          <w:ilvl w:val="0"/>
          <w:numId w:val="83"/>
        </w:numPr>
        <w:rPr>
          <w:rFonts w:ascii="Arial" w:cs="Arial" w:eastAsia="Arial" w:hAnsi="Arial"/>
          <w:sz w:val="17"/>
          <w:szCs w:val="17"/>
          <w:color w:val="auto"/>
        </w:rPr>
      </w:pPr>
      <w:r>
        <w:rPr>
          <w:rFonts w:ascii="Arial" w:cs="Arial" w:eastAsia="Arial" w:hAnsi="Arial"/>
          <w:sz w:val="17"/>
          <w:szCs w:val="17"/>
          <w:color w:val="auto"/>
        </w:rPr>
        <w:t>to any legal entity which is a qualified investor as defined under the Prospectus Regulation;</w:t>
      </w:r>
    </w:p>
    <w:p>
      <w:pPr>
        <w:spacing w:after="0" w:line="169" w:lineRule="exact"/>
        <w:rPr>
          <w:rFonts w:ascii="Arial" w:cs="Arial" w:eastAsia="Arial" w:hAnsi="Arial"/>
          <w:sz w:val="17"/>
          <w:szCs w:val="17"/>
          <w:color w:val="auto"/>
        </w:rPr>
      </w:pPr>
    </w:p>
    <w:p>
      <w:pPr>
        <w:ind w:left="1320" w:right="599" w:hanging="434"/>
        <w:spacing w:after="0" w:line="263" w:lineRule="auto"/>
        <w:tabs>
          <w:tab w:leader="none" w:pos="1311" w:val="left"/>
        </w:tabs>
        <w:numPr>
          <w:ilvl w:val="0"/>
          <w:numId w:val="83"/>
        </w:numPr>
        <w:rPr>
          <w:rFonts w:ascii="Arial" w:cs="Arial" w:eastAsia="Arial" w:hAnsi="Arial"/>
          <w:sz w:val="18"/>
          <w:szCs w:val="18"/>
          <w:color w:val="auto"/>
        </w:rPr>
      </w:pPr>
      <w:r>
        <w:rPr>
          <w:rFonts w:ascii="Arial" w:cs="Arial" w:eastAsia="Arial" w:hAnsi="Arial"/>
          <w:sz w:val="18"/>
          <w:szCs w:val="18"/>
          <w:color w:val="auto"/>
        </w:rPr>
        <w:t>to fewer than 150 natural or legal persons (other than qualified investors as defined under the Prospectus Regulation), subject to obtaining the prior consent of Citigroup Global Markets Inc. for any such offer; or</w:t>
      </w:r>
    </w:p>
    <w:p>
      <w:pPr>
        <w:spacing w:after="0" w:line="116" w:lineRule="exact"/>
        <w:rPr>
          <w:rFonts w:ascii="Arial" w:cs="Arial" w:eastAsia="Arial" w:hAnsi="Arial"/>
          <w:sz w:val="18"/>
          <w:szCs w:val="18"/>
          <w:color w:val="auto"/>
        </w:rPr>
      </w:pPr>
    </w:p>
    <w:p>
      <w:pPr>
        <w:ind w:left="1300" w:hanging="414"/>
        <w:spacing w:after="0"/>
        <w:tabs>
          <w:tab w:leader="none" w:pos="1300" w:val="left"/>
        </w:tabs>
        <w:numPr>
          <w:ilvl w:val="0"/>
          <w:numId w:val="83"/>
        </w:numPr>
        <w:rPr>
          <w:rFonts w:ascii="Arial" w:cs="Arial" w:eastAsia="Arial" w:hAnsi="Arial"/>
          <w:sz w:val="18"/>
          <w:szCs w:val="18"/>
          <w:color w:val="auto"/>
        </w:rPr>
      </w:pPr>
      <w:r>
        <w:rPr>
          <w:rFonts w:ascii="Arial" w:cs="Arial" w:eastAsia="Arial" w:hAnsi="Arial"/>
          <w:sz w:val="18"/>
          <w:szCs w:val="18"/>
          <w:color w:val="auto"/>
        </w:rPr>
        <w:t>in any other circumstances falling within Article 1(4) of the Prospectus Regulation,</w:t>
      </w:r>
    </w:p>
    <w:p>
      <w:pPr>
        <w:spacing w:after="0" w:line="144" w:lineRule="exact"/>
        <w:rPr>
          <w:sz w:val="20"/>
          <w:szCs w:val="20"/>
          <w:color w:val="auto"/>
        </w:rPr>
      </w:pPr>
    </w:p>
    <w:p>
      <w:pPr>
        <w:ind w:left="460" w:right="899"/>
        <w:spacing w:after="0" w:line="263" w:lineRule="auto"/>
        <w:rPr>
          <w:sz w:val="20"/>
          <w:szCs w:val="20"/>
          <w:color w:val="auto"/>
        </w:rPr>
      </w:pPr>
      <w:r>
        <w:rPr>
          <w:rFonts w:ascii="Arial" w:cs="Arial" w:eastAsia="Arial" w:hAnsi="Arial"/>
          <w:sz w:val="18"/>
          <w:szCs w:val="18"/>
          <w:i w:val="1"/>
          <w:iCs w:val="1"/>
          <w:color w:val="auto"/>
        </w:rPr>
        <w:t xml:space="preserve">provided </w:t>
      </w:r>
      <w:r>
        <w:rPr>
          <w:rFonts w:ascii="Arial" w:cs="Arial" w:eastAsia="Arial" w:hAnsi="Arial"/>
          <w:sz w:val="18"/>
          <w:szCs w:val="18"/>
          <w:color w:val="auto"/>
        </w:rPr>
        <w:t>that no such offer of units shall require us or the underwriter to publish a prospectus pursuant to</w:t>
      </w:r>
      <w:r>
        <w:rPr>
          <w:rFonts w:ascii="Arial" w:cs="Arial" w:eastAsia="Arial" w:hAnsi="Arial"/>
          <w:sz w:val="18"/>
          <w:szCs w:val="18"/>
          <w:i w:val="1"/>
          <w:iCs w:val="1"/>
          <w:color w:val="auto"/>
        </w:rPr>
        <w:t xml:space="preserve"> </w:t>
      </w:r>
      <w:r>
        <w:rPr>
          <w:rFonts w:ascii="Arial" w:cs="Arial" w:eastAsia="Arial" w:hAnsi="Arial"/>
          <w:sz w:val="18"/>
          <w:szCs w:val="18"/>
          <w:color w:val="auto"/>
        </w:rPr>
        <w:t>Article 3 of the Prospectus Regulation or supplement a prospectus pursuant to Article 23 of the Prospectus Regulation.</w:t>
      </w:r>
    </w:p>
    <w:p>
      <w:pPr>
        <w:spacing w:after="0" w:line="116" w:lineRule="exact"/>
        <w:rPr>
          <w:sz w:val="20"/>
          <w:szCs w:val="20"/>
          <w:color w:val="auto"/>
        </w:rPr>
      </w:pPr>
    </w:p>
    <w:p>
      <w:pPr>
        <w:ind w:left="460" w:right="619" w:firstLine="432"/>
        <w:spacing w:after="0" w:line="279" w:lineRule="auto"/>
        <w:rPr>
          <w:sz w:val="20"/>
          <w:szCs w:val="20"/>
          <w:color w:val="auto"/>
        </w:rPr>
      </w:pPr>
      <w:r>
        <w:rPr>
          <w:rFonts w:ascii="Arial" w:cs="Arial" w:eastAsia="Arial" w:hAnsi="Arial"/>
          <w:sz w:val="17"/>
          <w:szCs w:val="17"/>
          <w:color w:val="auto"/>
        </w:rPr>
        <w:t>For the purposes of this provision, the expression an “offer to the public” in relation to any units in any Relevant State means the communication in any form and by any means of sufficient information on the terms of the offer and any units to be offered so as to enable an investor to decide to purchase or subscribe for any units, and the expression “Prospectus Regulation” means Regulation (EU) 2017/1129.</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the Dubai International Financial Centre</w:t>
      </w:r>
    </w:p>
    <w:p>
      <w:pPr>
        <w:spacing w:after="0" w:line="162" w:lineRule="exact"/>
        <w:rPr>
          <w:sz w:val="20"/>
          <w:szCs w:val="20"/>
          <w:color w:val="auto"/>
        </w:rPr>
      </w:pPr>
    </w:p>
    <w:p>
      <w:pPr>
        <w:ind w:left="460" w:right="619" w:firstLine="432"/>
        <w:spacing w:after="0" w:line="270" w:lineRule="auto"/>
        <w:rPr>
          <w:sz w:val="20"/>
          <w:szCs w:val="20"/>
          <w:color w:val="auto"/>
        </w:rPr>
      </w:pPr>
      <w:r>
        <w:rPr>
          <w:rFonts w:ascii="Arial" w:cs="Arial" w:eastAsia="Arial" w:hAnsi="Arial"/>
          <w:sz w:val="17"/>
          <w:szCs w:val="17"/>
          <w:color w:val="auto"/>
        </w:rPr>
        <w:t>This prospectus relates to an Exempt Offer in accordance with the Offered Securities Rules of the Dubai Financial Services Authority (“DFSA”). This prospectus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nor taken steps to verify the information set forth herein and has no responsibility for the prospectus. The securities to which this prospectus relates may be illiquid and/or subject to restrictions on their resale. Prospective purchasers of the securities offered should conduct their own due diligence on the securities. If you do not understand the contents of this prospectus you should consult an authorized financial advisor.</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Australia</w:t>
      </w:r>
    </w:p>
    <w:p>
      <w:pPr>
        <w:spacing w:after="0" w:line="148" w:lineRule="exact"/>
        <w:rPr>
          <w:sz w:val="20"/>
          <w:szCs w:val="20"/>
          <w:color w:val="auto"/>
        </w:rPr>
      </w:pPr>
    </w:p>
    <w:p>
      <w:pPr>
        <w:ind w:left="460" w:right="559" w:firstLine="432"/>
        <w:spacing w:after="0" w:line="296" w:lineRule="auto"/>
        <w:rPr>
          <w:sz w:val="20"/>
          <w:szCs w:val="20"/>
          <w:color w:val="auto"/>
        </w:rPr>
      </w:pPr>
      <w:r>
        <w:rPr>
          <w:rFonts w:ascii="Arial" w:cs="Arial" w:eastAsia="Arial" w:hAnsi="Arial"/>
          <w:sz w:val="16"/>
          <w:szCs w:val="16"/>
          <w:color w:val="auto"/>
        </w:rPr>
        <w:t>No placement document, prospectus, product disclosure statement or other disclosure document has been lodged with the Australian Securities and Investments Commission (“ASIC”), in relation to the offering. This prospectus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94" w:lineRule="exact"/>
        <w:rPr>
          <w:sz w:val="20"/>
          <w:szCs w:val="20"/>
          <w:color w:val="auto"/>
        </w:rPr>
      </w:pPr>
    </w:p>
    <w:p>
      <w:pPr>
        <w:ind w:left="460" w:right="479" w:firstLine="432"/>
        <w:spacing w:after="0" w:line="257" w:lineRule="auto"/>
        <w:rPr>
          <w:sz w:val="20"/>
          <w:szCs w:val="20"/>
          <w:color w:val="auto"/>
        </w:rPr>
      </w:pPr>
      <w:r>
        <w:rPr>
          <w:rFonts w:ascii="Arial" w:cs="Arial" w:eastAsia="Arial" w:hAnsi="Arial"/>
          <w:sz w:val="18"/>
          <w:szCs w:val="18"/>
          <w:color w:val="auto"/>
        </w:rPr>
        <w:t>Any offer in Australia of the securities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securities without disclosure to investors under Chapter 6D of the Corporations Act.</w:t>
      </w:r>
    </w:p>
    <w:p>
      <w:pPr>
        <w:spacing w:after="0" w:line="120" w:lineRule="exact"/>
        <w:rPr>
          <w:sz w:val="20"/>
          <w:szCs w:val="20"/>
          <w:color w:val="auto"/>
        </w:rPr>
      </w:pPr>
    </w:p>
    <w:p>
      <w:pPr>
        <w:ind w:left="460" w:right="479" w:firstLine="432"/>
        <w:spacing w:after="0" w:line="288" w:lineRule="auto"/>
        <w:rPr>
          <w:sz w:val="20"/>
          <w:szCs w:val="20"/>
          <w:color w:val="auto"/>
        </w:rPr>
      </w:pPr>
      <w:r>
        <w:rPr>
          <w:rFonts w:ascii="Arial" w:cs="Arial" w:eastAsia="Arial" w:hAnsi="Arial"/>
          <w:sz w:val="16"/>
          <w:szCs w:val="16"/>
          <w:color w:val="auto"/>
        </w:rPr>
        <w:t>The securities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securities must observe such Australian on-sale restrictions. This prospectus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is appropriate to their needs, objectives and circumstances, and, if necessary, seek expert advice on those matters.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47" w:name="page148"/>
    <w:bookmarkEnd w:id="147"/>
    <w:p>
      <w:pPr>
        <w:ind w:left="460"/>
        <w:spacing w:after="0"/>
        <w:rPr>
          <w:sz w:val="20"/>
          <w:szCs w:val="20"/>
          <w:color w:val="auto"/>
        </w:rPr>
      </w:pPr>
      <w:r>
        <w:rPr>
          <w:rFonts w:ascii="Arial" w:cs="Arial" w:eastAsia="Arial" w:hAnsi="Arial"/>
          <w:sz w:val="18"/>
          <w:szCs w:val="18"/>
          <w:b w:val="1"/>
          <w:bCs w:val="1"/>
          <w:color w:val="auto"/>
        </w:rPr>
        <w:t>Notice to Prospective Investors in Switzerland</w:t>
      </w:r>
    </w:p>
    <w:p>
      <w:pPr>
        <w:spacing w:after="0" w:line="162" w:lineRule="exact"/>
        <w:rPr>
          <w:sz w:val="20"/>
          <w:szCs w:val="20"/>
          <w:color w:val="auto"/>
        </w:rPr>
      </w:pPr>
    </w:p>
    <w:p>
      <w:pPr>
        <w:ind w:left="460" w:right="479" w:firstLine="432"/>
        <w:spacing w:after="0" w:line="272" w:lineRule="auto"/>
        <w:rPr>
          <w:sz w:val="20"/>
          <w:szCs w:val="20"/>
          <w:color w:val="auto"/>
        </w:rPr>
      </w:pPr>
      <w:r>
        <w:rPr>
          <w:rFonts w:ascii="Arial" w:cs="Arial" w:eastAsia="Arial" w:hAnsi="Arial"/>
          <w:sz w:val="17"/>
          <w:szCs w:val="17"/>
          <w:color w:val="auto"/>
        </w:rPr>
        <w:t>The securities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securities or the offering may be publicly distributed or otherwise made publicly available in Switzerland.</w:t>
      </w:r>
    </w:p>
    <w:p>
      <w:pPr>
        <w:spacing w:after="0" w:line="96" w:lineRule="exact"/>
        <w:rPr>
          <w:sz w:val="20"/>
          <w:szCs w:val="20"/>
          <w:color w:val="auto"/>
        </w:rPr>
      </w:pPr>
    </w:p>
    <w:p>
      <w:pPr>
        <w:ind w:left="460" w:right="479" w:firstLine="432"/>
        <w:spacing w:after="0" w:line="254" w:lineRule="auto"/>
        <w:rPr>
          <w:sz w:val="20"/>
          <w:szCs w:val="20"/>
          <w:color w:val="auto"/>
        </w:rPr>
      </w:pPr>
      <w:r>
        <w:rPr>
          <w:rFonts w:ascii="Arial" w:cs="Arial" w:eastAsia="Arial" w:hAnsi="Arial"/>
          <w:sz w:val="18"/>
          <w:szCs w:val="18"/>
          <w:color w:val="auto"/>
        </w:rPr>
        <w:t>Neither this document nor any other offering or marketing material relating to the offering, the company, or the units has been or will be filed with or approved by any Swiss regulatory authority. In particular, this document will not be filed with, and the offer of securities will not be supervised by, the Swiss Financial Market Supervisory Authority FINMA (FINMA), and the offer of securities has not been and will not be authorized under the Swiss Federal Act on Collective Investment Schemes (“CISA”). The investor protection afforded to acquirers of interests in collective investment schemes under the CISA does not extend to acquirers of securities.</w:t>
      </w:r>
    </w:p>
    <w:p>
      <w:pPr>
        <w:spacing w:after="0" w:line="19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France</w:t>
      </w:r>
    </w:p>
    <w:p>
      <w:pPr>
        <w:spacing w:after="0" w:line="162" w:lineRule="exact"/>
        <w:rPr>
          <w:sz w:val="20"/>
          <w:szCs w:val="20"/>
          <w:color w:val="auto"/>
        </w:rPr>
      </w:pPr>
    </w:p>
    <w:p>
      <w:pPr>
        <w:ind w:left="460" w:right="499" w:firstLine="432"/>
        <w:spacing w:after="0" w:line="296" w:lineRule="auto"/>
        <w:rPr>
          <w:sz w:val="20"/>
          <w:szCs w:val="20"/>
          <w:color w:val="auto"/>
        </w:rPr>
      </w:pPr>
      <w:r>
        <w:rPr>
          <w:rFonts w:ascii="Arial" w:cs="Arial" w:eastAsia="Arial" w:hAnsi="Arial"/>
          <w:sz w:val="16"/>
          <w:szCs w:val="16"/>
          <w:color w:val="auto"/>
        </w:rPr>
        <w:t>Neither this prospectus nor any other offering material relating to the units described in this prospectus has been submitted to the clearance procedures of the Autorité des Marchés Financiers or by the competent authority of another member state of the European Economic Area and notified to the Autorité des Marchés Financiers. The units have not been offered or sold and will not be offered or sold, directly or indirectly, to the public in France. Neither this prospectus nor any other offering material relating to the units has been or will be:</w:t>
      </w:r>
    </w:p>
    <w:p>
      <w:pPr>
        <w:spacing w:after="0" w:line="94" w:lineRule="exact"/>
        <w:rPr>
          <w:sz w:val="20"/>
          <w:szCs w:val="20"/>
          <w:color w:val="auto"/>
        </w:rPr>
      </w:pPr>
    </w:p>
    <w:p>
      <w:pPr>
        <w:ind w:left="1300" w:hanging="414"/>
        <w:spacing w:after="0"/>
        <w:tabs>
          <w:tab w:leader="none" w:pos="1300" w:val="left"/>
        </w:tabs>
        <w:numPr>
          <w:ilvl w:val="0"/>
          <w:numId w:val="84"/>
        </w:numPr>
        <w:rPr>
          <w:rFonts w:ascii="Arial" w:cs="Arial" w:eastAsia="Arial" w:hAnsi="Arial"/>
          <w:sz w:val="16"/>
          <w:szCs w:val="16"/>
          <w:color w:val="auto"/>
        </w:rPr>
      </w:pPr>
      <w:r>
        <w:rPr>
          <w:rFonts w:ascii="Arial" w:cs="Arial" w:eastAsia="Arial" w:hAnsi="Arial"/>
          <w:sz w:val="16"/>
          <w:szCs w:val="16"/>
          <w:color w:val="auto"/>
        </w:rPr>
        <w:t>released, issued, distributed or caused to be released, issued or distributed to the public in France; or</w:t>
      </w:r>
    </w:p>
    <w:p>
      <w:pPr>
        <w:spacing w:after="0" w:line="167" w:lineRule="exact"/>
        <w:rPr>
          <w:rFonts w:ascii="Arial" w:cs="Arial" w:eastAsia="Arial" w:hAnsi="Arial"/>
          <w:sz w:val="16"/>
          <w:szCs w:val="16"/>
          <w:color w:val="auto"/>
        </w:rPr>
      </w:pPr>
    </w:p>
    <w:p>
      <w:pPr>
        <w:ind w:left="1320" w:right="639" w:hanging="434"/>
        <w:spacing w:after="0" w:line="277" w:lineRule="auto"/>
        <w:tabs>
          <w:tab w:leader="none" w:pos="1311" w:val="left"/>
        </w:tabs>
        <w:numPr>
          <w:ilvl w:val="0"/>
          <w:numId w:val="84"/>
        </w:numPr>
        <w:rPr>
          <w:rFonts w:ascii="Arial" w:cs="Arial" w:eastAsia="Arial" w:hAnsi="Arial"/>
          <w:sz w:val="18"/>
          <w:szCs w:val="18"/>
          <w:color w:val="auto"/>
        </w:rPr>
      </w:pPr>
      <w:r>
        <w:rPr>
          <w:rFonts w:ascii="Arial" w:cs="Arial" w:eastAsia="Arial" w:hAnsi="Arial"/>
          <w:sz w:val="18"/>
          <w:szCs w:val="18"/>
          <w:color w:val="auto"/>
        </w:rPr>
        <w:t>used in connection with any offer for subscription or sale of the units to the public in France. Such offers, sales and distributions will be made in France only:</w:t>
      </w:r>
    </w:p>
    <w:p>
      <w:pPr>
        <w:spacing w:after="0" w:line="102" w:lineRule="exact"/>
        <w:rPr>
          <w:rFonts w:ascii="Arial" w:cs="Arial" w:eastAsia="Arial" w:hAnsi="Arial"/>
          <w:sz w:val="18"/>
          <w:szCs w:val="18"/>
          <w:color w:val="auto"/>
        </w:rPr>
      </w:pPr>
    </w:p>
    <w:p>
      <w:pPr>
        <w:ind w:left="1760" w:right="479" w:hanging="442"/>
        <w:spacing w:after="0" w:line="259" w:lineRule="auto"/>
        <w:tabs>
          <w:tab w:leader="none" w:pos="1751"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 qualified investors (investisseurs qualifiés) and/or to a restricted circle of investors (cercle restreint d’investisseurs), in each case investing for their own account, all as defined in, and in accordance with, Article L.411-2, D.411-1, D.411-2, D.734-1, D.744-1, D.754-1 and D.764-1 of the French Code monétaire et financier;</w:t>
      </w:r>
    </w:p>
    <w:p>
      <w:pPr>
        <w:spacing w:after="0" w:line="119" w:lineRule="exact"/>
        <w:rPr>
          <w:rFonts w:ascii="Arial" w:cs="Arial" w:eastAsia="Arial" w:hAnsi="Arial"/>
          <w:sz w:val="18"/>
          <w:szCs w:val="18"/>
          <w:color w:val="auto"/>
        </w:rPr>
      </w:pPr>
    </w:p>
    <w:p>
      <w:pPr>
        <w:ind w:left="1760" w:right="679" w:hanging="442"/>
        <w:spacing w:after="0" w:line="277" w:lineRule="auto"/>
        <w:tabs>
          <w:tab w:leader="none" w:pos="1751" w:val="left"/>
        </w:tabs>
        <w:numPr>
          <w:ilvl w:val="1"/>
          <w:numId w:val="84"/>
        </w:numPr>
        <w:rPr>
          <w:rFonts w:ascii="Arial" w:cs="Arial" w:eastAsia="Arial" w:hAnsi="Arial"/>
          <w:sz w:val="18"/>
          <w:szCs w:val="18"/>
          <w:color w:val="auto"/>
        </w:rPr>
      </w:pPr>
      <w:r>
        <w:rPr>
          <w:rFonts w:ascii="Arial" w:cs="Arial" w:eastAsia="Arial" w:hAnsi="Arial"/>
          <w:sz w:val="18"/>
          <w:szCs w:val="18"/>
          <w:color w:val="auto"/>
        </w:rPr>
        <w:t>to investment services providers authorized to engage in portfolio management on behalf of third parties; or</w:t>
      </w:r>
    </w:p>
    <w:p>
      <w:pPr>
        <w:spacing w:after="0" w:line="89" w:lineRule="exact"/>
        <w:rPr>
          <w:rFonts w:ascii="Arial" w:cs="Arial" w:eastAsia="Arial" w:hAnsi="Arial"/>
          <w:sz w:val="18"/>
          <w:szCs w:val="18"/>
          <w:color w:val="auto"/>
        </w:rPr>
      </w:pPr>
    </w:p>
    <w:p>
      <w:pPr>
        <w:ind w:left="1760" w:right="639" w:hanging="442"/>
        <w:spacing w:after="0" w:line="259" w:lineRule="auto"/>
        <w:tabs>
          <w:tab w:leader="none" w:pos="1751" w:val="left"/>
        </w:tabs>
        <w:numPr>
          <w:ilvl w:val="1"/>
          <w:numId w:val="84"/>
        </w:numPr>
        <w:rPr>
          <w:rFonts w:ascii="Arial" w:cs="Arial" w:eastAsia="Arial" w:hAnsi="Arial"/>
          <w:sz w:val="18"/>
          <w:szCs w:val="18"/>
          <w:color w:val="auto"/>
        </w:rPr>
      </w:pPr>
      <w:r>
        <w:rPr>
          <w:rFonts w:ascii="Arial" w:cs="Arial" w:eastAsia="Arial" w:hAnsi="Arial"/>
          <w:sz w:val="18"/>
          <w:szCs w:val="18"/>
          <w:color w:val="auto"/>
        </w:rPr>
        <w:t>in a transaction that, in accordance with article L.411-2-II-1°-or-2°-or 3° of the French Code monétaire et financier and article 211-2 of the General Regulations (Règlement Général) of the Autorité des Marchés Financiers, does not constitute a public offer (appel public à l’épargne).</w:t>
      </w:r>
    </w:p>
    <w:p>
      <w:pPr>
        <w:spacing w:after="0" w:line="119" w:lineRule="exact"/>
        <w:rPr>
          <w:sz w:val="20"/>
          <w:szCs w:val="20"/>
          <w:color w:val="auto"/>
        </w:rPr>
      </w:pPr>
    </w:p>
    <w:p>
      <w:pPr>
        <w:ind w:left="460" w:right="499" w:firstLine="432"/>
        <w:spacing w:after="0" w:line="277" w:lineRule="auto"/>
        <w:rPr>
          <w:sz w:val="20"/>
          <w:szCs w:val="20"/>
          <w:color w:val="auto"/>
        </w:rPr>
      </w:pPr>
      <w:r>
        <w:rPr>
          <w:rFonts w:ascii="Arial" w:cs="Arial" w:eastAsia="Arial" w:hAnsi="Arial"/>
          <w:sz w:val="18"/>
          <w:szCs w:val="18"/>
          <w:color w:val="auto"/>
        </w:rPr>
        <w:t>The units may be resold directly or indirectly, only in compliance with Articles L.411-1, L.411-2, L.412-1 and L.621-8 through L.621-8-3 of the French Code monétaire et financier.</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Hong Kong</w:t>
      </w:r>
    </w:p>
    <w:p>
      <w:pPr>
        <w:spacing w:after="0" w:line="162" w:lineRule="exact"/>
        <w:rPr>
          <w:sz w:val="20"/>
          <w:szCs w:val="20"/>
          <w:color w:val="auto"/>
        </w:rPr>
      </w:pPr>
    </w:p>
    <w:p>
      <w:pPr>
        <w:ind w:left="460" w:right="519" w:firstLine="432"/>
        <w:spacing w:after="0" w:line="269" w:lineRule="auto"/>
        <w:rPr>
          <w:sz w:val="20"/>
          <w:szCs w:val="20"/>
          <w:color w:val="auto"/>
        </w:rPr>
      </w:pPr>
      <w:r>
        <w:rPr>
          <w:rFonts w:ascii="Arial" w:cs="Arial" w:eastAsia="Arial" w:hAnsi="Arial"/>
          <w:sz w:val="17"/>
          <w:szCs w:val="17"/>
          <w:color w:val="auto"/>
        </w:rPr>
        <w:t>The units may not be offered or sold in Hong Kong by means of any document other than (i) in circumstances which do not constitute an offer to the public within the meaning of the Companies Ordinance (Cap. 32, Laws of Hong Kong), or (ii) to “professional investors” within the meaning of the Securities and Futures Ordinance (Cap. 571, Laws of Hong Kong) and any rules made thereunder, or (iii) in other circumstances which do not result in the document being a “prospectus” within the meaning of the Companies Ordinance (Cap. 32, Laws of Hong Kong) and no advertisement, invitation or document relating to the units may be issued or may be in the possession of any person for the purpose of issue (in each case whether in Hong Kong or elsewhere), which is directed at, or the contents of which are likely to be accessed or read by, the public in Hong Kong (except if permitted to do so under the laws of Hong Kong) other than with respect to units which are or are intended to be disposed of only to persons outside Hong Kong or only to “professional investors” within the meaning of the Securities and Futures Ordinance (Cap. 571, Laws of Hong Kong) and any rules made thereunder.</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8" w:name="page149"/>
    <w:bookmarkEnd w:id="148"/>
    <w:p>
      <w:pPr>
        <w:ind w:left="460"/>
        <w:spacing w:after="0"/>
        <w:rPr>
          <w:sz w:val="20"/>
          <w:szCs w:val="20"/>
          <w:color w:val="auto"/>
        </w:rPr>
      </w:pPr>
      <w:r>
        <w:rPr>
          <w:rFonts w:ascii="Arial" w:cs="Arial" w:eastAsia="Arial" w:hAnsi="Arial"/>
          <w:sz w:val="18"/>
          <w:szCs w:val="18"/>
          <w:b w:val="1"/>
          <w:bCs w:val="1"/>
          <w:color w:val="auto"/>
        </w:rPr>
        <w:t>Notice to Prospective Investors in Japan</w:t>
      </w:r>
    </w:p>
    <w:p>
      <w:pPr>
        <w:spacing w:after="0" w:line="162"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units and underlying Class A ordinary shares and warrants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 with all applicable laws, regulations and ministerial guidelines promulgated by relevant Japanese governmental or regulatory authorities in effect at the relevant time. For the purposes of this paragraph, “Japanese Person” will mean any person resident in Japan, including any corporation or other entity organized under the laws of Japan.</w:t>
      </w:r>
    </w:p>
    <w:p>
      <w:pPr>
        <w:spacing w:after="0" w:line="18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Notice to Prospective Investors in Singapore</w:t>
      </w:r>
    </w:p>
    <w:p>
      <w:pPr>
        <w:spacing w:after="0" w:line="148" w:lineRule="exact"/>
        <w:rPr>
          <w:sz w:val="20"/>
          <w:szCs w:val="20"/>
          <w:color w:val="auto"/>
        </w:rPr>
      </w:pPr>
    </w:p>
    <w:p>
      <w:pPr>
        <w:ind w:left="460" w:right="599" w:firstLine="432"/>
        <w:spacing w:after="0" w:line="289" w:lineRule="auto"/>
        <w:rPr>
          <w:sz w:val="20"/>
          <w:szCs w:val="20"/>
          <w:color w:val="auto"/>
        </w:rPr>
      </w:pPr>
      <w:r>
        <w:rPr>
          <w:rFonts w:ascii="Arial" w:cs="Arial" w:eastAsia="Arial" w:hAnsi="Arial"/>
          <w:sz w:val="16"/>
          <w:szCs w:val="16"/>
          <w:color w:val="auto"/>
        </w:rPr>
        <w:t>This prospectus has not been registered as a prospectus with the Monetary Authority of Singapore. Accordingly, this prospectus and any other document or material in connection with the offer or sale, or invitation for subscription or purchase, of the units may not be circulated or distributed, nor may the units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 in each case subject to compliance with conditions set forth in the SFA.</w:t>
      </w:r>
    </w:p>
    <w:p>
      <w:pPr>
        <w:spacing w:after="0" w:line="99" w:lineRule="exact"/>
        <w:rPr>
          <w:sz w:val="20"/>
          <w:szCs w:val="20"/>
          <w:color w:val="auto"/>
        </w:rPr>
      </w:pPr>
    </w:p>
    <w:p>
      <w:pPr>
        <w:ind w:left="880"/>
        <w:spacing w:after="0"/>
        <w:rPr>
          <w:sz w:val="20"/>
          <w:szCs w:val="20"/>
          <w:color w:val="auto"/>
        </w:rPr>
      </w:pPr>
      <w:r>
        <w:rPr>
          <w:rFonts w:ascii="Arial" w:cs="Arial" w:eastAsia="Arial" w:hAnsi="Arial"/>
          <w:sz w:val="16"/>
          <w:szCs w:val="16"/>
          <w:color w:val="auto"/>
        </w:rPr>
        <w:t>Where the units are subscribed or purchased under Section 275 of the SFA by a relevant person which is:</w:t>
      </w:r>
    </w:p>
    <w:p>
      <w:pPr>
        <w:spacing w:after="0" w:line="181" w:lineRule="exact"/>
        <w:rPr>
          <w:sz w:val="20"/>
          <w:szCs w:val="20"/>
          <w:color w:val="auto"/>
        </w:rPr>
      </w:pPr>
    </w:p>
    <w:p>
      <w:pPr>
        <w:ind w:left="1320" w:right="719" w:hanging="434"/>
        <w:spacing w:after="0" w:line="263" w:lineRule="auto"/>
        <w:tabs>
          <w:tab w:leader="none" w:pos="1311"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102" w:lineRule="exact"/>
        <w:rPr>
          <w:rFonts w:ascii="Arial" w:cs="Arial" w:eastAsia="Arial" w:hAnsi="Arial"/>
          <w:sz w:val="18"/>
          <w:szCs w:val="18"/>
          <w:color w:val="auto"/>
        </w:rPr>
      </w:pPr>
    </w:p>
    <w:p>
      <w:pPr>
        <w:ind w:left="1320" w:right="739" w:hanging="434"/>
        <w:spacing w:after="0" w:line="277" w:lineRule="auto"/>
        <w:tabs>
          <w:tab w:leader="none" w:pos="1311" w:val="left"/>
        </w:tabs>
        <w:numPr>
          <w:ilvl w:val="0"/>
          <w:numId w:val="85"/>
        </w:numPr>
        <w:rPr>
          <w:rFonts w:ascii="Arial" w:cs="Arial" w:eastAsia="Arial" w:hAnsi="Arial"/>
          <w:sz w:val="18"/>
          <w:szCs w:val="18"/>
          <w:color w:val="auto"/>
        </w:rPr>
      </w:pPr>
      <w:r>
        <w:rPr>
          <w:rFonts w:ascii="Arial" w:cs="Arial" w:eastAsia="Arial" w:hAnsi="Arial"/>
          <w:sz w:val="18"/>
          <w:szCs w:val="18"/>
          <w:color w:val="auto"/>
        </w:rPr>
        <w:t>a trust (where the trustee is not an accredited investor) whose sole purpose is to hold investments and each beneficiary is an accredited investor,</w:t>
      </w:r>
    </w:p>
    <w:p>
      <w:pPr>
        <w:spacing w:after="0" w:line="103" w:lineRule="exact"/>
        <w:rPr>
          <w:sz w:val="20"/>
          <w:szCs w:val="20"/>
          <w:color w:val="auto"/>
        </w:rPr>
      </w:pPr>
    </w:p>
    <w:p>
      <w:pPr>
        <w:ind w:left="880" w:right="519"/>
        <w:spacing w:after="0" w:line="311" w:lineRule="auto"/>
        <w:rPr>
          <w:sz w:val="20"/>
          <w:szCs w:val="20"/>
          <w:color w:val="auto"/>
        </w:rPr>
      </w:pPr>
      <w:r>
        <w:rPr>
          <w:rFonts w:ascii="Arial" w:cs="Arial" w:eastAsia="Arial" w:hAnsi="Arial"/>
          <w:sz w:val="16"/>
          <w:szCs w:val="16"/>
          <w:color w:val="auto"/>
        </w:rPr>
        <w:t>shares, debentures and units of shares and debentures of that corporation or the beneficiaries’ rights and interest (howsoever described) in that trust will not be transferred within six months after that corporation or that trust has acquired the shares pursuant to an offer made under Section 275 of the SFA except:</w:t>
      </w:r>
    </w:p>
    <w:p>
      <w:pPr>
        <w:spacing w:after="0" w:line="81" w:lineRule="exact"/>
        <w:rPr>
          <w:sz w:val="20"/>
          <w:szCs w:val="20"/>
          <w:color w:val="auto"/>
        </w:rPr>
      </w:pPr>
    </w:p>
    <w:p>
      <w:pPr>
        <w:ind w:left="1320" w:right="539" w:hanging="434"/>
        <w:spacing w:after="0" w:line="272" w:lineRule="auto"/>
        <w:tabs>
          <w:tab w:leader="none" w:pos="1311" w:val="left"/>
        </w:tabs>
        <w:numPr>
          <w:ilvl w:val="0"/>
          <w:numId w:val="86"/>
        </w:numPr>
        <w:rPr>
          <w:rFonts w:ascii="Arial" w:cs="Arial" w:eastAsia="Arial" w:hAnsi="Arial"/>
          <w:sz w:val="17"/>
          <w:szCs w:val="17"/>
          <w:color w:val="auto"/>
        </w:rPr>
      </w:pPr>
      <w:r>
        <w:rPr>
          <w:rFonts w:ascii="Arial" w:cs="Arial" w:eastAsia="Arial" w:hAnsi="Arial"/>
          <w:sz w:val="17"/>
          <w:szCs w:val="17"/>
          <w:color w:val="auto"/>
        </w:rPr>
        <w:t>to an institutional investor (for corporations, under Section 274 of the SFA) or to a relevant person defined in Section 275(2) of the SFA, or to any person pursuant to an offer that is made on terms that such shares, debentures and units of shares and debentures of that corporation or such rights and interest in that trust are acquired at a consideration of not less than S$200,000 (or its equivalent in a foreign currency) for each transaction, whether such amount is to be paid for in cash or by exchange of securities or other assets, and further for corporations, in accordance with the conditions specified in Section 275 of the SFA;</w:t>
      </w:r>
    </w:p>
    <w:p>
      <w:pPr>
        <w:spacing w:after="0" w:line="96" w:lineRule="exact"/>
        <w:rPr>
          <w:rFonts w:ascii="Arial" w:cs="Arial" w:eastAsia="Arial" w:hAnsi="Arial"/>
          <w:sz w:val="17"/>
          <w:szCs w:val="17"/>
          <w:color w:val="auto"/>
        </w:rPr>
      </w:pPr>
    </w:p>
    <w:p>
      <w:pPr>
        <w:ind w:left="1300" w:hanging="41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where no consideration is or will be given for the transfer; or</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86"/>
        </w:numPr>
        <w:rPr>
          <w:rFonts w:ascii="Arial" w:cs="Arial" w:eastAsia="Arial" w:hAnsi="Arial"/>
          <w:sz w:val="18"/>
          <w:szCs w:val="18"/>
          <w:color w:val="auto"/>
        </w:rPr>
      </w:pPr>
      <w:r>
        <w:rPr>
          <w:rFonts w:ascii="Arial" w:cs="Arial" w:eastAsia="Arial" w:hAnsi="Arial"/>
          <w:sz w:val="18"/>
          <w:szCs w:val="18"/>
          <w:color w:val="auto"/>
        </w:rPr>
        <w:t>where the transfer is by operation of law.</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Cayman Islands</w:t>
      </w:r>
    </w:p>
    <w:p>
      <w:pPr>
        <w:spacing w:after="0" w:line="162" w:lineRule="exact"/>
        <w:rPr>
          <w:sz w:val="20"/>
          <w:szCs w:val="20"/>
          <w:color w:val="auto"/>
        </w:rPr>
      </w:pPr>
    </w:p>
    <w:p>
      <w:pPr>
        <w:ind w:left="880"/>
        <w:spacing w:after="0"/>
        <w:rPr>
          <w:sz w:val="20"/>
          <w:szCs w:val="20"/>
          <w:color w:val="auto"/>
        </w:rPr>
      </w:pPr>
      <w:r>
        <w:rPr>
          <w:rFonts w:ascii="Arial" w:cs="Arial" w:eastAsia="Arial" w:hAnsi="Arial"/>
          <w:sz w:val="16"/>
          <w:szCs w:val="16"/>
          <w:color w:val="auto"/>
        </w:rPr>
        <w:t>No offer or invitation to subscribe for shares or units may be made to the public in the Cayman Islands.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49" w:name="page150"/>
    <w:bookmarkEnd w:id="149"/>
    <w:p>
      <w:pPr>
        <w:jc w:val="center"/>
        <w:ind w:right="19"/>
        <w:spacing w:after="0"/>
        <w:rPr>
          <w:sz w:val="20"/>
          <w:szCs w:val="20"/>
          <w:color w:val="auto"/>
        </w:rPr>
      </w:pPr>
      <w:r>
        <w:rPr>
          <w:rFonts w:ascii="Arial" w:cs="Arial" w:eastAsia="Arial" w:hAnsi="Arial"/>
          <w:sz w:val="18"/>
          <w:szCs w:val="18"/>
          <w:b w:val="1"/>
          <w:bCs w:val="1"/>
          <w:color w:val="auto"/>
        </w:rPr>
        <w:t>LEGAL MATTERS</w:t>
      </w:r>
    </w:p>
    <w:p>
      <w:pPr>
        <w:spacing w:after="0" w:line="162" w:lineRule="exact"/>
        <w:rPr>
          <w:sz w:val="20"/>
          <w:szCs w:val="20"/>
          <w:color w:val="auto"/>
        </w:rPr>
      </w:pPr>
    </w:p>
    <w:p>
      <w:pPr>
        <w:ind w:left="460" w:right="579" w:firstLine="432"/>
        <w:spacing w:after="0" w:line="257" w:lineRule="auto"/>
        <w:rPr>
          <w:sz w:val="20"/>
          <w:szCs w:val="20"/>
          <w:color w:val="auto"/>
        </w:rPr>
      </w:pPr>
      <w:r>
        <w:rPr>
          <w:rFonts w:ascii="Arial" w:cs="Arial" w:eastAsia="Arial" w:hAnsi="Arial"/>
          <w:sz w:val="18"/>
          <w:szCs w:val="18"/>
          <w:color w:val="auto"/>
        </w:rPr>
        <w:t>Kirkland &amp; Ellis LLP, New York, New York will pass upon the validity of the securities offered in this prospectus with respect to units and warrants. Maples and Calder will pass upon the validity of the securities offered in this prospectus with respect to the ordinary shares and matters of Cayman Islands law. In connection with this offering, Davis Polk &amp; Wardwell LLP advised the underwriter in connection with the offering of the securities.</w:t>
      </w:r>
    </w:p>
    <w:p>
      <w:pPr>
        <w:spacing w:after="0" w:line="184"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EXPERTS</w:t>
      </w:r>
    </w:p>
    <w:p>
      <w:pPr>
        <w:spacing w:after="0" w:line="148" w:lineRule="exact"/>
        <w:rPr>
          <w:sz w:val="20"/>
          <w:szCs w:val="20"/>
          <w:color w:val="auto"/>
        </w:rPr>
      </w:pPr>
    </w:p>
    <w:p>
      <w:pPr>
        <w:ind w:left="460" w:right="519" w:firstLine="432"/>
        <w:spacing w:after="0" w:line="272" w:lineRule="auto"/>
        <w:rPr>
          <w:sz w:val="20"/>
          <w:szCs w:val="20"/>
          <w:color w:val="auto"/>
        </w:rPr>
      </w:pPr>
      <w:r>
        <w:rPr>
          <w:rFonts w:ascii="Arial" w:cs="Arial" w:eastAsia="Arial" w:hAnsi="Arial"/>
          <w:sz w:val="17"/>
          <w:szCs w:val="17"/>
          <w:color w:val="auto"/>
        </w:rPr>
        <w:t>The financial statements of Sustainable Opportunities Acquisition Corp. as of December 31, 2019 and for the period from December 18, 2019 (inception) through December 31, 2019 appearing in this prospectus have been audited by Marcum LLP, independent registered public accounting firm, as set forth in their report thereon (which contains an explanatory paragraph relating to substantial doubt about the ability of Sustainable Opportunities Acquisition Corp. to continue as a going concern as described in Note 1 to the financial statements), appearing elsewhere in this prospectus, and are included in reliance upon such report given on the authority of such firm as experts in accounting and auditing.</w:t>
      </w:r>
    </w:p>
    <w:p>
      <w:pPr>
        <w:spacing w:after="0" w:line="17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WHERE YOU CAN FIND ADDITIONAL INFORMATION</w:t>
      </w:r>
    </w:p>
    <w:p>
      <w:pPr>
        <w:spacing w:after="0" w:line="162" w:lineRule="exact"/>
        <w:rPr>
          <w:sz w:val="20"/>
          <w:szCs w:val="20"/>
          <w:color w:val="auto"/>
        </w:rPr>
      </w:pPr>
    </w:p>
    <w:p>
      <w:pPr>
        <w:ind w:left="460" w:right="579" w:firstLine="432"/>
        <w:spacing w:after="0" w:line="271" w:lineRule="auto"/>
        <w:rPr>
          <w:sz w:val="20"/>
          <w:szCs w:val="20"/>
          <w:color w:val="auto"/>
        </w:rPr>
      </w:pPr>
      <w:r>
        <w:rPr>
          <w:rFonts w:ascii="Arial" w:cs="Arial" w:eastAsia="Arial" w:hAnsi="Arial"/>
          <w:sz w:val="17"/>
          <w:szCs w:val="17"/>
          <w:color w:val="auto"/>
        </w:rPr>
        <w:t>We have filed with the SEC a registration statement on Form S-1 under the Securities Act with respect to the securities we are offering by this prospectus. This prospectus does not contain all of the information included in the registration statement. For further information about us and our securities, you should refer to the registration statement and the exhibits and schedules filed with the registration statement. Whenever we make reference in this prospectus to any of our contracts, agreements or other documents, the references are materially complete but may not include a description of all aspects of such contracts, agreements or other documents, and you should refer to the exhibits attached to the registration statement for copies of the actual contract, agreement or other document.</w:t>
      </w:r>
    </w:p>
    <w:p>
      <w:pPr>
        <w:spacing w:after="0" w:line="111" w:lineRule="exact"/>
        <w:rPr>
          <w:sz w:val="20"/>
          <w:szCs w:val="20"/>
          <w:color w:val="auto"/>
        </w:rPr>
      </w:pPr>
    </w:p>
    <w:p>
      <w:pPr>
        <w:ind w:left="460" w:right="519" w:firstLine="432"/>
        <w:spacing w:after="0" w:line="259" w:lineRule="auto"/>
        <w:rPr>
          <w:sz w:val="20"/>
          <w:szCs w:val="20"/>
          <w:color w:val="auto"/>
        </w:rPr>
      </w:pPr>
      <w:r>
        <w:rPr>
          <w:rFonts w:ascii="Arial" w:cs="Arial" w:eastAsia="Arial" w:hAnsi="Arial"/>
          <w:sz w:val="18"/>
          <w:szCs w:val="18"/>
          <w:color w:val="auto"/>
        </w:rPr>
        <w:t xml:space="preserve">Upon completion of this offering, we will be subject to the information requirements of the Exchange Act and will file annual, quarterly and current event reports, proxy statements and other information with the SEC. You can read our SEC filings, including the registration statement, over the Internet at the SEC’s website at </w:t>
      </w:r>
      <w:r>
        <w:rPr>
          <w:rFonts w:ascii="Arial" w:cs="Arial" w:eastAsia="Arial" w:hAnsi="Arial"/>
          <w:sz w:val="18"/>
          <w:szCs w:val="18"/>
          <w:i w:val="1"/>
          <w:iCs w:val="1"/>
          <w:color w:val="auto"/>
        </w:rPr>
        <w:t>www.sec.gov</w:t>
      </w:r>
      <w:r>
        <w:rPr>
          <w:rFonts w:ascii="Arial" w:cs="Arial" w:eastAsia="Arial" w:hAnsi="Arial"/>
          <w:sz w:val="18"/>
          <w:szCs w:val="18"/>
          <w:color w:val="auto"/>
        </w:rPr>
        <w:t>.</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0" w:name="page151"/>
    <w:bookmarkEnd w:id="150"/>
    <w:p>
      <w:pPr>
        <w:jc w:val="center"/>
        <w:spacing w:after="0"/>
        <w:rPr>
          <w:sz w:val="20"/>
          <w:szCs w:val="20"/>
          <w:color w:val="auto"/>
        </w:rPr>
      </w:pPr>
      <w:r>
        <w:rPr>
          <w:rFonts w:ascii="Arial" w:cs="Arial" w:eastAsia="Arial" w:hAnsi="Arial"/>
          <w:sz w:val="18"/>
          <w:szCs w:val="18"/>
          <w:b w:val="1"/>
          <w:bCs w:val="1"/>
          <w:color w:val="auto"/>
        </w:rPr>
        <w:t>INDEX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Audited Financial Statements for Sustainable Opportunities Acquisition Corp.:</w:t>
      </w:r>
    </w:p>
    <w:p>
      <w:pPr>
        <w:spacing w:after="0" w:line="23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48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Arial" w:cs="Arial" w:eastAsia="Arial" w:hAnsi="Arial"/>
                <w:sz w:val="16"/>
                <w:szCs w:val="16"/>
                <w:b w:val="1"/>
                <w:bCs w:val="1"/>
                <w:color w:val="auto"/>
                <w:w w:val="83"/>
              </w:rPr>
              <w:t>Page</w:t>
            </w:r>
          </w:p>
        </w:tc>
      </w:tr>
      <w:tr>
        <w:trPr>
          <w:trHeight w:val="46"/>
        </w:trPr>
        <w:tc>
          <w:tcPr>
            <w:tcW w:w="180" w:type="dxa"/>
            <w:vAlign w:val="bottom"/>
            <w:tcBorders>
              <w:bottom w:val="single" w:sz="8" w:color="CCEEFF"/>
            </w:tcBorders>
          </w:tcPr>
          <w:p>
            <w:pPr>
              <w:spacing w:after="0"/>
              <w:rPr>
                <w:sz w:val="4"/>
                <w:szCs w:val="4"/>
                <w:color w:val="auto"/>
              </w:rPr>
            </w:pPr>
          </w:p>
        </w:tc>
        <w:tc>
          <w:tcPr>
            <w:tcW w:w="360" w:type="dxa"/>
            <w:vAlign w:val="bottom"/>
            <w:tcBorders>
              <w:bottom w:val="single" w:sz="8" w:color="CCEEFF"/>
            </w:tcBorders>
          </w:tcPr>
          <w:p>
            <w:pPr>
              <w:spacing w:after="0"/>
              <w:rPr>
                <w:sz w:val="4"/>
                <w:szCs w:val="4"/>
                <w:color w:val="auto"/>
              </w:rPr>
            </w:pPr>
          </w:p>
        </w:tc>
        <w:tc>
          <w:tcPr>
            <w:tcW w:w="1660" w:type="dxa"/>
            <w:vAlign w:val="bottom"/>
            <w:tcBorders>
              <w:bottom w:val="single" w:sz="8" w:color="CCEEFF"/>
            </w:tcBorders>
          </w:tcPr>
          <w:p>
            <w:pPr>
              <w:spacing w:after="0"/>
              <w:rPr>
                <w:sz w:val="4"/>
                <w:szCs w:val="4"/>
                <w:color w:val="auto"/>
              </w:rPr>
            </w:pPr>
          </w:p>
        </w:tc>
        <w:tc>
          <w:tcPr>
            <w:tcW w:w="4840" w:type="dxa"/>
            <w:vAlign w:val="bottom"/>
            <w:tcBorders>
              <w:bottom w:val="single" w:sz="8" w:color="CCEEFF"/>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20" w:type="dxa"/>
            <w:vAlign w:val="bottom"/>
            <w:tcBorders>
              <w:bottom w:val="single" w:sz="8" w:color="CCEEFF"/>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r>
      <w:tr>
        <w:trPr>
          <w:trHeight w:val="244"/>
        </w:trPr>
        <w:tc>
          <w:tcPr>
            <w:tcW w:w="7540" w:type="dxa"/>
            <w:vAlign w:val="bottom"/>
            <w:tcBorders>
              <w:bottom w:val="single" w:sz="8" w:color="CCEEFF"/>
            </w:tcBorders>
            <w:gridSpan w:val="7"/>
            <w:shd w:val="clear" w:color="auto" w:fill="CCEEFF"/>
          </w:tcPr>
          <w:p>
            <w:pPr>
              <w:spacing w:after="0"/>
              <w:rPr>
                <w:rFonts w:ascii="Arial" w:cs="Arial" w:eastAsia="Arial" w:hAnsi="Arial"/>
                <w:sz w:val="18"/>
                <w:szCs w:val="18"/>
                <w:u w:val="single" w:color="auto"/>
                <w:color w:val="0000EE"/>
              </w:rPr>
            </w:pPr>
            <w:hyperlink w:anchor="page152">
              <w:r>
                <w:rPr>
                  <w:rFonts w:ascii="Arial" w:cs="Arial" w:eastAsia="Arial" w:hAnsi="Arial"/>
                  <w:sz w:val="18"/>
                  <w:szCs w:val="18"/>
                  <w:u w:val="single" w:color="auto"/>
                  <w:color w:val="0000EE"/>
                </w:rPr>
                <w:t>Report of Independent Registered Public Accounting Firm</w:t>
              </w:r>
            </w:hyperlink>
          </w:p>
        </w:tc>
        <w:tc>
          <w:tcPr>
            <w:tcW w:w="56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88"/>
              </w:rPr>
              <w:t>F-2</w:t>
            </w:r>
          </w:p>
        </w:tc>
      </w:tr>
      <w:tr>
        <w:trPr>
          <w:trHeight w:val="243"/>
        </w:trPr>
        <w:tc>
          <w:tcPr>
            <w:tcW w:w="7540" w:type="dxa"/>
            <w:vAlign w:val="bottom"/>
            <w:gridSpan w:val="7"/>
          </w:tcPr>
          <w:p>
            <w:pPr>
              <w:spacing w:after="0"/>
              <w:rPr>
                <w:rFonts w:ascii="Arial" w:cs="Arial" w:eastAsia="Arial" w:hAnsi="Arial"/>
                <w:sz w:val="18"/>
                <w:szCs w:val="18"/>
                <w:u w:val="single" w:color="auto"/>
                <w:color w:val="0000EE"/>
              </w:rPr>
            </w:pPr>
            <w:hyperlink w:anchor="page153">
              <w:r>
                <w:rPr>
                  <w:rFonts w:ascii="Arial" w:cs="Arial" w:eastAsia="Arial" w:hAnsi="Arial"/>
                  <w:sz w:val="18"/>
                  <w:szCs w:val="18"/>
                  <w:u w:val="single" w:color="auto"/>
                  <w:color w:val="0000EE"/>
                </w:rPr>
                <w:t>Balance Sheet as of December 31, 2019</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F-3</w:t>
            </w:r>
          </w:p>
        </w:tc>
      </w:tr>
      <w:tr>
        <w:trPr>
          <w:trHeight w:val="41"/>
        </w:trPr>
        <w:tc>
          <w:tcPr>
            <w:tcW w:w="1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48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60" w:type="dxa"/>
            <w:vAlign w:val="bottom"/>
          </w:tcPr>
          <w:p>
            <w:pPr>
              <w:spacing w:after="0"/>
              <w:rPr>
                <w:sz w:val="3"/>
                <w:szCs w:val="3"/>
                <w:color w:val="auto"/>
              </w:rPr>
            </w:pPr>
          </w:p>
        </w:tc>
      </w:tr>
      <w:tr>
        <w:trPr>
          <w:trHeight w:val="175"/>
        </w:trPr>
        <w:tc>
          <w:tcPr>
            <w:tcW w:w="7540" w:type="dxa"/>
            <w:vAlign w:val="bottom"/>
            <w:gridSpan w:val="7"/>
            <w:shd w:val="clear" w:color="auto" w:fill="CCEEFF"/>
          </w:tcPr>
          <w:p>
            <w:pPr>
              <w:spacing w:after="0" w:line="176" w:lineRule="exact"/>
              <w:rPr>
                <w:rFonts w:ascii="Arial" w:cs="Arial" w:eastAsia="Arial" w:hAnsi="Arial"/>
                <w:sz w:val="18"/>
                <w:szCs w:val="18"/>
                <w:color w:val="0000EE"/>
                <w:w w:val="95"/>
              </w:rPr>
            </w:pPr>
            <w:hyperlink w:anchor="page154">
              <w:r>
                <w:rPr>
                  <w:rFonts w:ascii="Arial" w:cs="Arial" w:eastAsia="Arial" w:hAnsi="Arial"/>
                  <w:sz w:val="18"/>
                  <w:szCs w:val="18"/>
                  <w:color w:val="0000EE"/>
                  <w:w w:val="95"/>
                </w:rPr>
                <w:t>Statement of Operations for the Period from December 18, 2019 (inception) through December 31,</w:t>
              </w:r>
            </w:hyperlink>
          </w:p>
        </w:tc>
        <w:tc>
          <w:tcPr>
            <w:tcW w:w="560" w:type="dxa"/>
            <w:vAlign w:val="bottom"/>
            <w:shd w:val="clear" w:color="auto" w:fill="CCEEFF"/>
          </w:tcPr>
          <w:p>
            <w:pPr>
              <w:spacing w:after="0"/>
              <w:rPr>
                <w:sz w:val="15"/>
                <w:szCs w:val="15"/>
                <w:color w:val="auto"/>
              </w:rPr>
            </w:pPr>
          </w:p>
        </w:tc>
      </w:tr>
      <w:tr>
        <w:trPr>
          <w:trHeight w:val="196"/>
        </w:trPr>
        <w:tc>
          <w:tcPr>
            <w:tcW w:w="2200" w:type="dxa"/>
            <w:vAlign w:val="bottom"/>
            <w:tcBorders>
              <w:top w:val="single" w:sz="8" w:color="0000EE"/>
            </w:tcBorders>
            <w:gridSpan w:val="3"/>
            <w:shd w:val="clear" w:color="auto" w:fill="CCEEFF"/>
          </w:tcPr>
          <w:p>
            <w:pPr>
              <w:ind w:left="180"/>
              <w:spacing w:after="0" w:line="196" w:lineRule="exact"/>
              <w:rPr>
                <w:rFonts w:ascii="Arial" w:cs="Arial" w:eastAsia="Arial" w:hAnsi="Arial"/>
                <w:sz w:val="18"/>
                <w:szCs w:val="18"/>
                <w:color w:val="0000EE"/>
              </w:rPr>
            </w:pPr>
            <w:hyperlink w:anchor="page154">
              <w:r>
                <w:rPr>
                  <w:rFonts w:ascii="Arial" w:cs="Arial" w:eastAsia="Arial" w:hAnsi="Arial"/>
                  <w:sz w:val="18"/>
                  <w:szCs w:val="18"/>
                  <w:color w:val="0000EE"/>
                </w:rPr>
                <w:t>2019</w:t>
              </w:r>
            </w:hyperlink>
          </w:p>
        </w:tc>
        <w:tc>
          <w:tcPr>
            <w:tcW w:w="48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F-4</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660" w:type="dxa"/>
            <w:vAlign w:val="bottom"/>
            <w:tcBorders>
              <w:top w:val="single" w:sz="8" w:color="CCEEFF"/>
            </w:tcBorders>
            <w:shd w:val="clear" w:color="auto" w:fill="CCEEFF"/>
          </w:tcPr>
          <w:p>
            <w:pPr>
              <w:spacing w:after="0"/>
              <w:rPr>
                <w:sz w:val="5"/>
                <w:szCs w:val="5"/>
                <w:color w:val="auto"/>
              </w:rPr>
            </w:pPr>
          </w:p>
        </w:tc>
        <w:tc>
          <w:tcPr>
            <w:tcW w:w="4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r>
      <w:tr>
        <w:trPr>
          <w:trHeight w:val="175"/>
        </w:trPr>
        <w:tc>
          <w:tcPr>
            <w:tcW w:w="7540" w:type="dxa"/>
            <w:vAlign w:val="bottom"/>
            <w:gridSpan w:val="7"/>
          </w:tcPr>
          <w:p>
            <w:pPr>
              <w:spacing w:after="0" w:line="176" w:lineRule="exact"/>
              <w:rPr>
                <w:rFonts w:ascii="Arial" w:cs="Arial" w:eastAsia="Arial" w:hAnsi="Arial"/>
                <w:sz w:val="18"/>
                <w:szCs w:val="18"/>
                <w:color w:val="0000EE"/>
                <w:w w:val="96"/>
              </w:rPr>
            </w:pPr>
            <w:hyperlink w:anchor="page155">
              <w:r>
                <w:rPr>
                  <w:rFonts w:ascii="Arial" w:cs="Arial" w:eastAsia="Arial" w:hAnsi="Arial"/>
                  <w:sz w:val="18"/>
                  <w:szCs w:val="18"/>
                  <w:color w:val="0000EE"/>
                  <w:w w:val="96"/>
                </w:rPr>
                <w:t>Statement of Changes in Shareholder’s Equity for the Period from December 18, 2019 (inception)</w:t>
              </w:r>
            </w:hyperlink>
          </w:p>
        </w:tc>
        <w:tc>
          <w:tcPr>
            <w:tcW w:w="560" w:type="dxa"/>
            <w:vAlign w:val="bottom"/>
          </w:tcPr>
          <w:p>
            <w:pPr>
              <w:spacing w:after="0"/>
              <w:rPr>
                <w:sz w:val="15"/>
                <w:szCs w:val="15"/>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6860" w:type="dxa"/>
            <w:vAlign w:val="bottom"/>
            <w:tcBorders>
              <w:top w:val="single" w:sz="8" w:color="0000EE"/>
            </w:tcBorders>
            <w:gridSpan w:val="3"/>
          </w:tcPr>
          <w:p>
            <w:pPr>
              <w:spacing w:after="0" w:line="196" w:lineRule="exact"/>
              <w:rPr>
                <w:rFonts w:ascii="Arial" w:cs="Arial" w:eastAsia="Arial" w:hAnsi="Arial"/>
                <w:sz w:val="18"/>
                <w:szCs w:val="18"/>
                <w:color w:val="0000EE"/>
              </w:rPr>
            </w:pPr>
            <w:hyperlink w:anchor="page155">
              <w:r>
                <w:rPr>
                  <w:rFonts w:ascii="Arial" w:cs="Arial" w:eastAsia="Arial" w:hAnsi="Arial"/>
                  <w:sz w:val="18"/>
                  <w:szCs w:val="18"/>
                  <w:color w:val="0000EE"/>
                </w:rPr>
                <w:t>through December 31, 2019</w:t>
              </w:r>
            </w:hyperlink>
          </w:p>
        </w:tc>
        <w:tc>
          <w:tcPr>
            <w:tcW w:w="500" w:type="dxa"/>
            <w:vAlign w:val="bottom"/>
            <w:gridSpan w:val="3"/>
          </w:tcPr>
          <w:p>
            <w:pPr>
              <w:spacing w:after="0"/>
              <w:rPr>
                <w:sz w:val="17"/>
                <w:szCs w:val="17"/>
                <w:color w:val="auto"/>
              </w:rPr>
            </w:pPr>
          </w:p>
        </w:tc>
        <w:tc>
          <w:tcPr>
            <w:tcW w:w="560" w:type="dxa"/>
            <w:vAlign w:val="bottom"/>
          </w:tcPr>
          <w:p>
            <w:pPr>
              <w:jc w:val="center"/>
              <w:spacing w:after="0" w:line="196" w:lineRule="exact"/>
              <w:rPr>
                <w:sz w:val="20"/>
                <w:szCs w:val="20"/>
                <w:color w:val="auto"/>
              </w:rPr>
            </w:pPr>
            <w:r>
              <w:rPr>
                <w:rFonts w:ascii="Arial" w:cs="Arial" w:eastAsia="Arial" w:hAnsi="Arial"/>
                <w:sz w:val="18"/>
                <w:szCs w:val="18"/>
                <w:color w:val="auto"/>
                <w:w w:val="88"/>
              </w:rPr>
              <w:t>F-5</w:t>
            </w:r>
          </w:p>
        </w:tc>
      </w:tr>
      <w:tr>
        <w:trPr>
          <w:trHeight w:val="61"/>
        </w:trPr>
        <w:tc>
          <w:tcPr>
            <w:tcW w:w="180" w:type="dxa"/>
            <w:vAlign w:val="bottom"/>
          </w:tcPr>
          <w:p>
            <w:pPr>
              <w:spacing w:after="0"/>
              <w:rPr>
                <w:sz w:val="5"/>
                <w:szCs w:val="5"/>
                <w:color w:val="auto"/>
              </w:rPr>
            </w:pPr>
          </w:p>
        </w:tc>
        <w:tc>
          <w:tcPr>
            <w:tcW w:w="360" w:type="dxa"/>
            <w:vAlign w:val="bottom"/>
            <w:tcBorders>
              <w:top w:val="single" w:sz="8" w:color="0000EE"/>
            </w:tcBorders>
          </w:tcPr>
          <w:p>
            <w:pPr>
              <w:spacing w:after="0"/>
              <w:rPr>
                <w:sz w:val="5"/>
                <w:szCs w:val="5"/>
                <w:color w:val="auto"/>
              </w:rPr>
            </w:pPr>
          </w:p>
        </w:tc>
        <w:tc>
          <w:tcPr>
            <w:tcW w:w="1660" w:type="dxa"/>
            <w:vAlign w:val="bottom"/>
            <w:tcBorders>
              <w:top w:val="single" w:sz="8" w:color="0000EE"/>
            </w:tcBorders>
          </w:tcPr>
          <w:p>
            <w:pPr>
              <w:spacing w:after="0"/>
              <w:rPr>
                <w:sz w:val="5"/>
                <w:szCs w:val="5"/>
                <w:color w:val="auto"/>
              </w:rPr>
            </w:pPr>
          </w:p>
        </w:tc>
        <w:tc>
          <w:tcPr>
            <w:tcW w:w="484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560" w:type="dxa"/>
            <w:vAlign w:val="bottom"/>
          </w:tcPr>
          <w:p>
            <w:pPr>
              <w:spacing w:after="0"/>
              <w:rPr>
                <w:sz w:val="5"/>
                <w:szCs w:val="5"/>
                <w:color w:val="auto"/>
              </w:rPr>
            </w:pPr>
          </w:p>
        </w:tc>
      </w:tr>
      <w:tr>
        <w:trPr>
          <w:trHeight w:val="175"/>
        </w:trPr>
        <w:tc>
          <w:tcPr>
            <w:tcW w:w="7540" w:type="dxa"/>
            <w:vAlign w:val="bottom"/>
            <w:gridSpan w:val="7"/>
            <w:shd w:val="clear" w:color="auto" w:fill="CCEEFF"/>
          </w:tcPr>
          <w:p>
            <w:pPr>
              <w:spacing w:after="0" w:line="176" w:lineRule="exact"/>
              <w:rPr>
                <w:rFonts w:ascii="Arial" w:cs="Arial" w:eastAsia="Arial" w:hAnsi="Arial"/>
                <w:sz w:val="18"/>
                <w:szCs w:val="18"/>
                <w:color w:val="0000EE"/>
                <w:w w:val="94"/>
              </w:rPr>
            </w:pPr>
            <w:hyperlink w:anchor="page156">
              <w:r>
                <w:rPr>
                  <w:rFonts w:ascii="Arial" w:cs="Arial" w:eastAsia="Arial" w:hAnsi="Arial"/>
                  <w:sz w:val="18"/>
                  <w:szCs w:val="18"/>
                  <w:color w:val="0000EE"/>
                  <w:w w:val="94"/>
                </w:rPr>
                <w:t>Statement Of Cash Flows for the Period from December 18, 2019 (inception) through December 31,</w:t>
              </w:r>
            </w:hyperlink>
          </w:p>
        </w:tc>
        <w:tc>
          <w:tcPr>
            <w:tcW w:w="560" w:type="dxa"/>
            <w:vAlign w:val="bottom"/>
            <w:shd w:val="clear" w:color="auto" w:fill="CCEEFF"/>
          </w:tcPr>
          <w:p>
            <w:pPr>
              <w:spacing w:after="0"/>
              <w:rPr>
                <w:sz w:val="15"/>
                <w:szCs w:val="15"/>
                <w:color w:val="auto"/>
              </w:rPr>
            </w:pPr>
          </w:p>
        </w:tc>
      </w:tr>
      <w:tr>
        <w:trPr>
          <w:trHeight w:val="196"/>
        </w:trPr>
        <w:tc>
          <w:tcPr>
            <w:tcW w:w="2200" w:type="dxa"/>
            <w:vAlign w:val="bottom"/>
            <w:tcBorders>
              <w:top w:val="single" w:sz="8" w:color="0000EE"/>
            </w:tcBorders>
            <w:gridSpan w:val="3"/>
            <w:shd w:val="clear" w:color="auto" w:fill="CCEEFF"/>
          </w:tcPr>
          <w:p>
            <w:pPr>
              <w:ind w:left="180"/>
              <w:spacing w:after="0" w:line="196" w:lineRule="exact"/>
              <w:rPr>
                <w:rFonts w:ascii="Arial" w:cs="Arial" w:eastAsia="Arial" w:hAnsi="Arial"/>
                <w:sz w:val="18"/>
                <w:szCs w:val="18"/>
                <w:color w:val="0000EE"/>
              </w:rPr>
            </w:pPr>
            <w:hyperlink w:anchor="page156">
              <w:r>
                <w:rPr>
                  <w:rFonts w:ascii="Arial" w:cs="Arial" w:eastAsia="Arial" w:hAnsi="Arial"/>
                  <w:sz w:val="18"/>
                  <w:szCs w:val="18"/>
                  <w:color w:val="0000EE"/>
                </w:rPr>
                <w:t>2019</w:t>
              </w:r>
            </w:hyperlink>
          </w:p>
        </w:tc>
        <w:tc>
          <w:tcPr>
            <w:tcW w:w="4840" w:type="dxa"/>
            <w:vAlign w:val="bottom"/>
            <w:tcBorders>
              <w:top w:val="single" w:sz="8" w:color="0000EE"/>
            </w:tcBorders>
            <w:shd w:val="clear" w:color="auto" w:fill="CCEEFF"/>
          </w:tcPr>
          <w:p>
            <w:pPr>
              <w:spacing w:after="0"/>
              <w:rPr>
                <w:sz w:val="17"/>
                <w:szCs w:val="17"/>
                <w:color w:val="auto"/>
              </w:rPr>
            </w:pPr>
          </w:p>
        </w:tc>
        <w:tc>
          <w:tcPr>
            <w:tcW w:w="80" w:type="dxa"/>
            <w:vAlign w:val="bottom"/>
            <w:tcBorders>
              <w:top w:val="single" w:sz="8" w:color="0000EE"/>
            </w:tcBorders>
            <w:shd w:val="clear" w:color="auto" w:fill="CCEEFF"/>
          </w:tcPr>
          <w:p>
            <w:pPr>
              <w:spacing w:after="0"/>
              <w:rPr>
                <w:sz w:val="17"/>
                <w:szCs w:val="17"/>
                <w:color w:val="auto"/>
              </w:rPr>
            </w:pPr>
          </w:p>
        </w:tc>
        <w:tc>
          <w:tcPr>
            <w:tcW w:w="100" w:type="dxa"/>
            <w:vAlign w:val="bottom"/>
            <w:tcBorders>
              <w:top w:val="single" w:sz="8" w:color="0000EE"/>
            </w:tcBorders>
            <w:shd w:val="clear" w:color="auto" w:fill="CCEEFF"/>
          </w:tcPr>
          <w:p>
            <w:pPr>
              <w:spacing w:after="0"/>
              <w:rPr>
                <w:sz w:val="17"/>
                <w:szCs w:val="17"/>
                <w:color w:val="auto"/>
              </w:rPr>
            </w:pPr>
          </w:p>
        </w:tc>
        <w:tc>
          <w:tcPr>
            <w:tcW w:w="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CCEEFF"/>
            </w:tcBorders>
            <w:shd w:val="clear" w:color="auto" w:fill="CCEEFF"/>
          </w:tcPr>
          <w:p>
            <w:pPr>
              <w:jc w:val="center"/>
              <w:spacing w:after="0" w:line="196" w:lineRule="exact"/>
              <w:rPr>
                <w:sz w:val="20"/>
                <w:szCs w:val="20"/>
                <w:color w:val="auto"/>
              </w:rPr>
            </w:pPr>
            <w:r>
              <w:rPr>
                <w:rFonts w:ascii="Arial" w:cs="Arial" w:eastAsia="Arial" w:hAnsi="Arial"/>
                <w:sz w:val="18"/>
                <w:szCs w:val="18"/>
                <w:color w:val="auto"/>
                <w:w w:val="88"/>
              </w:rPr>
              <w:t>F-6</w:t>
            </w:r>
          </w:p>
        </w:tc>
      </w:tr>
      <w:tr>
        <w:trPr>
          <w:trHeight w:val="61"/>
        </w:trPr>
        <w:tc>
          <w:tcPr>
            <w:tcW w:w="180" w:type="dxa"/>
            <w:vAlign w:val="bottom"/>
            <w:tcBorders>
              <w:top w:val="single" w:sz="8" w:color="CCEEFF"/>
            </w:tcBorders>
            <w:shd w:val="clear" w:color="auto" w:fill="CCEEFF"/>
          </w:tcPr>
          <w:p>
            <w:pPr>
              <w:spacing w:after="0"/>
              <w:rPr>
                <w:sz w:val="5"/>
                <w:szCs w:val="5"/>
                <w:color w:val="auto"/>
              </w:rPr>
            </w:pPr>
          </w:p>
        </w:tc>
        <w:tc>
          <w:tcPr>
            <w:tcW w:w="360" w:type="dxa"/>
            <w:vAlign w:val="bottom"/>
            <w:tcBorders>
              <w:top w:val="single" w:sz="8" w:color="0000EE"/>
            </w:tcBorders>
            <w:shd w:val="clear" w:color="auto" w:fill="CCEEFF"/>
          </w:tcPr>
          <w:p>
            <w:pPr>
              <w:spacing w:after="0"/>
              <w:rPr>
                <w:sz w:val="5"/>
                <w:szCs w:val="5"/>
                <w:color w:val="auto"/>
              </w:rPr>
            </w:pPr>
          </w:p>
        </w:tc>
        <w:tc>
          <w:tcPr>
            <w:tcW w:w="1660" w:type="dxa"/>
            <w:vAlign w:val="bottom"/>
            <w:tcBorders>
              <w:top w:val="single" w:sz="8" w:color="CCEEFF"/>
            </w:tcBorders>
            <w:shd w:val="clear" w:color="auto" w:fill="CCEEFF"/>
          </w:tcPr>
          <w:p>
            <w:pPr>
              <w:spacing w:after="0"/>
              <w:rPr>
                <w:sz w:val="5"/>
                <w:szCs w:val="5"/>
                <w:color w:val="auto"/>
              </w:rPr>
            </w:pPr>
          </w:p>
        </w:tc>
        <w:tc>
          <w:tcPr>
            <w:tcW w:w="4840" w:type="dxa"/>
            <w:vAlign w:val="bottom"/>
            <w:tcBorders>
              <w:top w:val="single" w:sz="8" w:color="CCEEFF"/>
            </w:tcBorders>
            <w:shd w:val="clear" w:color="auto" w:fill="CCEEFF"/>
          </w:tcPr>
          <w:p>
            <w:pPr>
              <w:spacing w:after="0"/>
              <w:rPr>
                <w:sz w:val="5"/>
                <w:szCs w:val="5"/>
                <w:color w:val="auto"/>
              </w:rPr>
            </w:pPr>
          </w:p>
        </w:tc>
        <w:tc>
          <w:tcPr>
            <w:tcW w:w="80" w:type="dxa"/>
            <w:vAlign w:val="bottom"/>
            <w:tcBorders>
              <w:top w:val="single" w:sz="8" w:color="CCEEFF"/>
            </w:tcBorders>
            <w:shd w:val="clear" w:color="auto" w:fill="CCEEFF"/>
          </w:tcPr>
          <w:p>
            <w:pPr>
              <w:spacing w:after="0"/>
              <w:rPr>
                <w:sz w:val="5"/>
                <w:szCs w:val="5"/>
                <w:color w:val="auto"/>
              </w:rPr>
            </w:pPr>
          </w:p>
        </w:tc>
        <w:tc>
          <w:tcPr>
            <w:tcW w:w="10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r>
      <w:tr>
        <w:trPr>
          <w:trHeight w:val="243"/>
        </w:trPr>
        <w:tc>
          <w:tcPr>
            <w:tcW w:w="7540" w:type="dxa"/>
            <w:vAlign w:val="bottom"/>
            <w:gridSpan w:val="7"/>
          </w:tcPr>
          <w:p>
            <w:pPr>
              <w:spacing w:after="0"/>
              <w:rPr>
                <w:rFonts w:ascii="Arial" w:cs="Arial" w:eastAsia="Arial" w:hAnsi="Arial"/>
                <w:sz w:val="18"/>
                <w:szCs w:val="18"/>
                <w:u w:val="single" w:color="auto"/>
                <w:color w:val="0000EE"/>
              </w:rPr>
            </w:pPr>
            <w:hyperlink w:anchor="page157">
              <w:r>
                <w:rPr>
                  <w:rFonts w:ascii="Arial" w:cs="Arial" w:eastAsia="Arial" w:hAnsi="Arial"/>
                  <w:sz w:val="18"/>
                  <w:szCs w:val="18"/>
                  <w:u w:val="single" w:color="auto"/>
                  <w:color w:val="0000EE"/>
                </w:rPr>
                <w:t>Notes to Financial Statements</w:t>
              </w:r>
            </w:hyperlink>
          </w:p>
        </w:tc>
        <w:tc>
          <w:tcPr>
            <w:tcW w:w="560" w:type="dxa"/>
            <w:vAlign w:val="bottom"/>
          </w:tcPr>
          <w:p>
            <w:pPr>
              <w:jc w:val="center"/>
              <w:spacing w:after="0"/>
              <w:rPr>
                <w:sz w:val="20"/>
                <w:szCs w:val="20"/>
                <w:color w:val="auto"/>
              </w:rPr>
            </w:pPr>
            <w:r>
              <w:rPr>
                <w:rFonts w:ascii="Arial" w:cs="Arial" w:eastAsia="Arial" w:hAnsi="Arial"/>
                <w:sz w:val="18"/>
                <w:szCs w:val="18"/>
                <w:color w:val="auto"/>
                <w:w w:val="88"/>
              </w:rPr>
              <w:t>F-7</w:t>
            </w:r>
          </w:p>
        </w:tc>
      </w:tr>
      <w:tr>
        <w:trPr>
          <w:trHeight w:val="446"/>
        </w:trPr>
        <w:tc>
          <w:tcPr>
            <w:tcW w:w="180" w:type="dxa"/>
            <w:vAlign w:val="bottom"/>
            <w:tcBorders>
              <w:bottom w:val="single" w:sz="8" w:color="auto"/>
            </w:tcBorders>
          </w:tcPr>
          <w:p>
            <w:pPr>
              <w:spacing w:after="0"/>
              <w:rPr>
                <w:sz w:val="24"/>
                <w:szCs w:val="24"/>
                <w:color w:val="auto"/>
              </w:rPr>
            </w:pPr>
          </w:p>
        </w:tc>
        <w:tc>
          <w:tcPr>
            <w:tcW w:w="360" w:type="dxa"/>
            <w:vAlign w:val="bottom"/>
            <w:tcBorders>
              <w:bottom w:val="single" w:sz="8" w:color="auto"/>
            </w:tcBorders>
          </w:tcPr>
          <w:p>
            <w:pPr>
              <w:spacing w:after="0"/>
              <w:rPr>
                <w:sz w:val="24"/>
                <w:szCs w:val="24"/>
                <w:color w:val="auto"/>
              </w:rPr>
            </w:pPr>
          </w:p>
        </w:tc>
        <w:tc>
          <w:tcPr>
            <w:tcW w:w="1660" w:type="dxa"/>
            <w:vAlign w:val="bottom"/>
            <w:tcBorders>
              <w:bottom w:val="single" w:sz="8" w:color="auto"/>
            </w:tcBorders>
          </w:tcPr>
          <w:p>
            <w:pPr>
              <w:spacing w:after="0"/>
              <w:rPr>
                <w:sz w:val="24"/>
                <w:szCs w:val="24"/>
                <w:color w:val="auto"/>
              </w:rPr>
            </w:pPr>
          </w:p>
        </w:tc>
        <w:tc>
          <w:tcPr>
            <w:tcW w:w="5340" w:type="dxa"/>
            <w:vAlign w:val="bottom"/>
            <w:tcBorders>
              <w:bottom w:val="single" w:sz="8" w:color="auto"/>
            </w:tcBorders>
            <w:gridSpan w:val="4"/>
          </w:tcPr>
          <w:p>
            <w:pPr>
              <w:ind w:left="1720"/>
              <w:spacing w:after="0"/>
              <w:rPr>
                <w:sz w:val="20"/>
                <w:szCs w:val="20"/>
                <w:color w:val="auto"/>
              </w:rPr>
            </w:pPr>
            <w:r>
              <w:rPr>
                <w:rFonts w:ascii="Arial" w:cs="Arial" w:eastAsia="Arial" w:hAnsi="Arial"/>
                <w:sz w:val="18"/>
                <w:szCs w:val="18"/>
                <w:color w:val="auto"/>
              </w:rPr>
              <w:t>F-1</w:t>
            </w:r>
          </w:p>
        </w:tc>
        <w:tc>
          <w:tcPr>
            <w:tcW w:w="5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337" w:right="1440" w:bottom="1440" w:gutter="0" w:footer="0" w:header="0"/>
        </w:sectPr>
      </w:pPr>
    </w:p>
    <w:bookmarkStart w:id="151" w:name="page152"/>
    <w:bookmarkEnd w:id="151"/>
    <w:p>
      <w:pPr>
        <w:ind w:left="142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To the Shareholder and Board of Directors of</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Sustainable Opportunities Acquisition Corp.</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Opinion on the Financial Statements</w:t>
      </w:r>
    </w:p>
    <w:p>
      <w:pPr>
        <w:spacing w:after="0" w:line="148" w:lineRule="exact"/>
        <w:rPr>
          <w:sz w:val="20"/>
          <w:szCs w:val="20"/>
          <w:color w:val="auto"/>
        </w:rPr>
      </w:pPr>
    </w:p>
    <w:p>
      <w:pPr>
        <w:ind w:left="460" w:right="499"/>
        <w:spacing w:after="0" w:line="291" w:lineRule="auto"/>
        <w:rPr>
          <w:sz w:val="20"/>
          <w:szCs w:val="20"/>
          <w:color w:val="auto"/>
        </w:rPr>
      </w:pPr>
      <w:r>
        <w:rPr>
          <w:rFonts w:ascii="Arial" w:cs="Arial" w:eastAsia="Arial" w:hAnsi="Arial"/>
          <w:sz w:val="16"/>
          <w:szCs w:val="16"/>
          <w:color w:val="auto"/>
        </w:rPr>
        <w:t>We have audited the accompanying balance sheet of Sustainable Opportunities Acquisition Corp. (the “Company”) as of December 31, 2019 and the related statements of operations, changes in shareholder’s equity and cash flows for the period from December 18, 2019 (inception) through December 31, 2019 and the related notes (collectively referred to as the “financial statements”). In our opinion, the financial statements present fairly, in all material respects, the financial position of the Company as of December 31, 2019 and the results of its operations and its cash flows for the period from December 18, 2019 (inception) through December 31, 2019 in conformity with accounting principles generally accepted in the United States of America.</w:t>
      </w:r>
    </w:p>
    <w:p>
      <w:pPr>
        <w:spacing w:after="0" w:line="162"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Explanatory Paragraph — Going Concern</w:t>
      </w:r>
    </w:p>
    <w:p>
      <w:pPr>
        <w:spacing w:after="0" w:line="162" w:lineRule="exact"/>
        <w:rPr>
          <w:sz w:val="20"/>
          <w:szCs w:val="20"/>
          <w:color w:val="auto"/>
        </w:rPr>
      </w:pPr>
    </w:p>
    <w:p>
      <w:pPr>
        <w:ind w:left="460" w:right="639"/>
        <w:spacing w:after="0" w:line="272" w:lineRule="auto"/>
        <w:rPr>
          <w:sz w:val="20"/>
          <w:szCs w:val="20"/>
          <w:color w:val="auto"/>
        </w:rPr>
      </w:pPr>
      <w:r>
        <w:rPr>
          <w:rFonts w:ascii="Arial" w:cs="Arial" w:eastAsia="Arial" w:hAnsi="Arial"/>
          <w:sz w:val="17"/>
          <w:szCs w:val="17"/>
          <w:color w:val="auto"/>
        </w:rPr>
        <w:t>The accompanying financial statements have been prepared assuming that the Company will continue as a going concern. As more fully described in Note 1 to the financial statements, the Company’s business plan is dependent on the completion of a financing, and the Company’s cash and working capital as of December 31, 2019 are not sufficient to complete its planned activities. These conditions raise substantial doubt about the Company’s ability to continue as a going concern. Management’s plans in regard to these matters are also described in Notes 1 and 3. The financial statements do not include any adjustments that might result from the outcome of this uncertainty.</w:t>
      </w:r>
    </w:p>
    <w:p>
      <w:pPr>
        <w:spacing w:after="0" w:line="17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Basis for Opinion</w:t>
      </w:r>
    </w:p>
    <w:p>
      <w:pPr>
        <w:spacing w:after="0" w:line="162" w:lineRule="exact"/>
        <w:rPr>
          <w:sz w:val="20"/>
          <w:szCs w:val="20"/>
          <w:color w:val="auto"/>
        </w:rPr>
      </w:pPr>
    </w:p>
    <w:p>
      <w:pPr>
        <w:ind w:left="460" w:right="479"/>
        <w:spacing w:after="0" w:line="275" w:lineRule="auto"/>
        <w:rPr>
          <w:sz w:val="20"/>
          <w:szCs w:val="20"/>
          <w:color w:val="auto"/>
        </w:rPr>
      </w:pPr>
      <w:r>
        <w:rPr>
          <w:rFonts w:ascii="Arial" w:cs="Arial" w:eastAsia="Arial" w:hAnsi="Arial"/>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5" w:lineRule="exact"/>
        <w:rPr>
          <w:sz w:val="20"/>
          <w:szCs w:val="20"/>
          <w:color w:val="auto"/>
        </w:rPr>
      </w:pPr>
    </w:p>
    <w:p>
      <w:pPr>
        <w:ind w:left="460" w:right="519"/>
        <w:spacing w:after="0" w:line="254" w:lineRule="auto"/>
        <w:rPr>
          <w:sz w:val="20"/>
          <w:szCs w:val="20"/>
          <w:color w:val="auto"/>
        </w:rPr>
      </w:pPr>
      <w:r>
        <w:rPr>
          <w:rFonts w:ascii="Arial" w:cs="Arial" w:eastAsia="Arial" w:hAnsi="Arial"/>
          <w:sz w:val="18"/>
          <w:szCs w:val="18"/>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27" w:lineRule="exact"/>
        <w:rPr>
          <w:sz w:val="20"/>
          <w:szCs w:val="20"/>
          <w:color w:val="auto"/>
        </w:rPr>
      </w:pPr>
    </w:p>
    <w:p>
      <w:pPr>
        <w:ind w:left="460" w:right="499"/>
        <w:spacing w:after="0" w:line="255" w:lineRule="auto"/>
        <w:rPr>
          <w:sz w:val="20"/>
          <w:szCs w:val="20"/>
          <w:color w:val="auto"/>
        </w:rPr>
      </w:pPr>
      <w:r>
        <w:rPr>
          <w:rFonts w:ascii="Arial" w:cs="Arial" w:eastAsia="Arial" w:hAnsi="Arial"/>
          <w:sz w:val="18"/>
          <w:szCs w:val="18"/>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 provides a reasonable basis for our opinion.</w:t>
      </w:r>
    </w:p>
    <w:p>
      <w:pPr>
        <w:spacing w:after="0" w:line="12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/s/ Marcum LLP</w:t>
      </w:r>
    </w:p>
    <w:p>
      <w:pPr>
        <w:spacing w:after="0" w:line="14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Marcum </w:t>
      </w:r>
      <w:r>
        <w:rPr>
          <w:rFonts w:ascii="Arial" w:cs="Arial" w:eastAsia="Arial" w:hAnsi="Arial"/>
          <w:sz w:val="12"/>
          <w:szCs w:val="12"/>
          <w:color w:val="auto"/>
        </w:rPr>
        <w:t>LLP</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have served as the Company’s auditor since 2020.</w:t>
      </w:r>
    </w:p>
    <w:p>
      <w:pPr>
        <w:spacing w:after="0" w:line="15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February 18, 2020</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2" w:name="page153"/>
    <w:bookmarkEnd w:id="152"/>
    <w:tbl>
      <w:tblPr>
        <w:tblLayout w:type="fixed"/>
        <w:tblInd w:w="460" w:type="dxa"/>
        <w:tblCellMar>
          <w:top w:w="0" w:type="dxa"/>
          <w:left w:w="0" w:type="dxa"/>
          <w:bottom w:w="0" w:type="dxa"/>
          <w:right w:w="0" w:type="dxa"/>
        </w:tblCellMar>
      </w:tblPr>
      <w:tr>
        <w:trPr>
          <w:trHeight w:val="23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SUSTAINABLE OPPORTUNITIES ACQUISITION CORP.</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414"/>
        </w:trPr>
        <w:tc>
          <w:tcPr>
            <w:tcW w:w="6860" w:type="dxa"/>
            <w:vAlign w:val="bottom"/>
          </w:tcPr>
          <w:p>
            <w:pPr>
              <w:jc w:val="center"/>
              <w:ind w:left="1130"/>
              <w:spacing w:after="0"/>
              <w:rPr>
                <w:sz w:val="20"/>
                <w:szCs w:val="20"/>
                <w:color w:val="auto"/>
              </w:rPr>
            </w:pPr>
            <w:r>
              <w:rPr>
                <w:rFonts w:ascii="Arial" w:cs="Arial" w:eastAsia="Arial" w:hAnsi="Arial"/>
                <w:sz w:val="18"/>
                <w:szCs w:val="18"/>
                <w:b w:val="1"/>
                <w:bCs w:val="1"/>
                <w:color w:val="auto"/>
                <w:w w:val="99"/>
              </w:rPr>
              <w:t>BALANCE SHEET</w:t>
            </w:r>
          </w:p>
        </w:tc>
        <w:tc>
          <w:tcPr>
            <w:tcW w:w="3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234"/>
        </w:trPr>
        <w:tc>
          <w:tcPr>
            <w:tcW w:w="6860" w:type="dxa"/>
            <w:vAlign w:val="bottom"/>
          </w:tcPr>
          <w:p>
            <w:pPr>
              <w:jc w:val="center"/>
              <w:ind w:left="1150"/>
              <w:spacing w:after="0"/>
              <w:rPr>
                <w:sz w:val="20"/>
                <w:szCs w:val="20"/>
                <w:color w:val="auto"/>
              </w:rPr>
            </w:pPr>
            <w:r>
              <w:rPr>
                <w:rFonts w:ascii="Arial" w:cs="Arial" w:eastAsia="Arial" w:hAnsi="Arial"/>
                <w:sz w:val="18"/>
                <w:szCs w:val="18"/>
                <w:b w:val="1"/>
                <w:bCs w:val="1"/>
                <w:color w:val="auto"/>
                <w:w w:val="90"/>
              </w:rPr>
              <w:t>December 31, 2019</w:t>
            </w:r>
          </w:p>
        </w:tc>
        <w:tc>
          <w:tcPr>
            <w:tcW w:w="3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r>
      <w:tr>
        <w:trPr>
          <w:trHeight w:val="175"/>
        </w:trPr>
        <w:tc>
          <w:tcPr>
            <w:tcW w:w="68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Assets:</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Current assets:</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Prepaid expenses</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15,961</w:t>
            </w:r>
          </w:p>
        </w:tc>
      </w:tr>
      <w:tr>
        <w:trPr>
          <w:trHeight w:val="22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current assets</w:t>
            </w:r>
          </w:p>
        </w:tc>
        <w:tc>
          <w:tcPr>
            <w:tcW w:w="320" w:type="dxa"/>
            <w:vAlign w:val="bottom"/>
            <w:tcBorders>
              <w:top w:val="single" w:sz="8" w:color="auto"/>
            </w:tcBorders>
          </w:tcPr>
          <w:p>
            <w:pPr>
              <w:spacing w:after="0"/>
              <w:rPr>
                <w:sz w:val="19"/>
                <w:szCs w:val="19"/>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15,961</w:t>
            </w:r>
          </w:p>
        </w:tc>
        <w:tc>
          <w:tcPr>
            <w:tcW w:w="140" w:type="dxa"/>
            <w:vAlign w:val="bottom"/>
            <w:gridSpan w:val="2"/>
          </w:tcPr>
          <w:p>
            <w:pPr>
              <w:spacing w:after="0"/>
              <w:rPr>
                <w:sz w:val="19"/>
                <w:szCs w:val="19"/>
                <w:color w:val="auto"/>
              </w:rPr>
            </w:pP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8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Deferred offering costs associated with initial public offering</w:t>
            </w:r>
          </w:p>
        </w:tc>
        <w:tc>
          <w:tcPr>
            <w:tcW w:w="320" w:type="dxa"/>
            <w:vAlign w:val="bottom"/>
            <w:tcBorders>
              <w:bottom w:val="single" w:sz="8" w:color="CCEEFF"/>
            </w:tcBorders>
            <w:shd w:val="clear" w:color="auto" w:fill="CCEEFF"/>
          </w:tcPr>
          <w:p>
            <w:pPr>
              <w:spacing w:after="0"/>
              <w:rPr>
                <w:sz w:val="24"/>
                <w:szCs w:val="24"/>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103,660</w:t>
            </w:r>
          </w:p>
        </w:tc>
        <w:tc>
          <w:tcPr>
            <w:tcW w:w="120" w:type="dxa"/>
            <w:vAlign w:val="bottom"/>
            <w:tcBorders>
              <w:bottom w:val="single" w:sz="8" w:color="CCEEFF"/>
            </w:tcBorders>
            <w:shd w:val="clear" w:color="auto" w:fill="CCEEFF"/>
          </w:tcPr>
          <w:p>
            <w:pPr>
              <w:spacing w:after="0"/>
              <w:rPr>
                <w:sz w:val="24"/>
                <w:szCs w:val="24"/>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Total Assets</w:t>
            </w: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119,621</w:t>
            </w:r>
          </w:p>
        </w:tc>
        <w:tc>
          <w:tcPr>
            <w:tcW w:w="2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r>
      <w:tr>
        <w:trPr>
          <w:trHeight w:val="372"/>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Liabilities and Shareholder’s Equity:</w:t>
            </w:r>
          </w:p>
        </w:tc>
        <w:tc>
          <w:tcPr>
            <w:tcW w:w="320" w:type="dxa"/>
            <w:vAlign w:val="bottom"/>
            <w:tcBorders>
              <w:bottom w:val="single" w:sz="8" w:color="CCEEFF"/>
            </w:tcBorders>
            <w:shd w:val="clear" w:color="auto" w:fill="CCEEFF"/>
          </w:tcPr>
          <w:p>
            <w:pPr>
              <w:spacing w:after="0"/>
              <w:rPr>
                <w:sz w:val="24"/>
                <w:szCs w:val="24"/>
                <w:color w:val="auto"/>
              </w:rPr>
            </w:pPr>
          </w:p>
        </w:tc>
        <w:tc>
          <w:tcPr>
            <w:tcW w:w="780" w:type="dxa"/>
            <w:vAlign w:val="bottom"/>
            <w:tcBorders>
              <w:bottom w:val="single" w:sz="8" w:color="CCEEFF"/>
            </w:tcBorders>
            <w:shd w:val="clear" w:color="auto" w:fill="CCEEFF"/>
          </w:tcPr>
          <w:p>
            <w:pPr>
              <w:spacing w:after="0"/>
              <w:rPr>
                <w:sz w:val="24"/>
                <w:szCs w:val="24"/>
                <w:color w:val="auto"/>
              </w:rPr>
            </w:pPr>
          </w:p>
        </w:tc>
        <w:tc>
          <w:tcPr>
            <w:tcW w:w="2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Current liabilities:</w:t>
            </w:r>
          </w:p>
        </w:tc>
        <w:tc>
          <w:tcPr>
            <w:tcW w:w="3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r>
      <w:tr>
        <w:trPr>
          <w:trHeight w:val="40"/>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Accounts payable</w:t>
            </w:r>
          </w:p>
        </w:tc>
        <w:tc>
          <w:tcPr>
            <w:tcW w:w="32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23,060</w:t>
            </w:r>
          </w:p>
        </w:tc>
      </w:tr>
      <w:tr>
        <w:trPr>
          <w:trHeight w:val="257"/>
        </w:trPr>
        <w:tc>
          <w:tcPr>
            <w:tcW w:w="6860" w:type="dxa"/>
            <w:vAlign w:val="bottom"/>
          </w:tcPr>
          <w:p>
            <w:pPr>
              <w:ind w:left="180"/>
              <w:spacing w:after="0"/>
              <w:rPr>
                <w:sz w:val="20"/>
                <w:szCs w:val="20"/>
                <w:color w:val="auto"/>
              </w:rPr>
            </w:pPr>
            <w:r>
              <w:rPr>
                <w:rFonts w:ascii="Arial" w:cs="Arial" w:eastAsia="Arial" w:hAnsi="Arial"/>
                <w:sz w:val="18"/>
                <w:szCs w:val="18"/>
                <w:color w:val="auto"/>
              </w:rPr>
              <w:t>Accrued expenses</w:t>
            </w:r>
          </w:p>
        </w:tc>
        <w:tc>
          <w:tcPr>
            <w:tcW w:w="320" w:type="dxa"/>
            <w:vAlign w:val="bottom"/>
          </w:tcPr>
          <w:p>
            <w:pPr>
              <w:spacing w:after="0"/>
              <w:rPr>
                <w:sz w:val="22"/>
                <w:szCs w:val="22"/>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80,600</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current liabilities</w:t>
            </w:r>
          </w:p>
        </w:tc>
        <w:tc>
          <w:tcPr>
            <w:tcW w:w="32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103,660</w:t>
            </w:r>
          </w:p>
        </w:tc>
        <w:tc>
          <w:tcPr>
            <w:tcW w:w="120" w:type="dxa"/>
            <w:vAlign w:val="bottom"/>
            <w:tcBorders>
              <w:bottom w:val="single" w:sz="8" w:color="CCEEFF"/>
            </w:tcBorders>
            <w:shd w:val="clear" w:color="auto" w:fill="CCEEFF"/>
          </w:tcPr>
          <w:p>
            <w:pPr>
              <w:spacing w:after="0"/>
              <w:rPr>
                <w:sz w:val="22"/>
                <w:szCs w:val="22"/>
                <w:color w:val="auto"/>
              </w:rPr>
            </w:pPr>
          </w:p>
        </w:tc>
      </w:tr>
      <w:tr>
        <w:trPr>
          <w:trHeight w:val="358"/>
        </w:trPr>
        <w:tc>
          <w:tcPr>
            <w:tcW w:w="6860" w:type="dxa"/>
            <w:vAlign w:val="bottom"/>
          </w:tcPr>
          <w:p>
            <w:pPr>
              <w:spacing w:after="0"/>
              <w:rPr>
                <w:sz w:val="20"/>
                <w:szCs w:val="20"/>
                <w:color w:val="auto"/>
              </w:rPr>
            </w:pPr>
            <w:r>
              <w:rPr>
                <w:rFonts w:ascii="Arial" w:cs="Arial" w:eastAsia="Arial" w:hAnsi="Arial"/>
                <w:sz w:val="18"/>
                <w:szCs w:val="18"/>
                <w:b w:val="1"/>
                <w:bCs w:val="1"/>
                <w:color w:val="auto"/>
              </w:rPr>
              <w:t>Commitments and Contingencies</w:t>
            </w:r>
          </w:p>
        </w:tc>
        <w:tc>
          <w:tcPr>
            <w:tcW w:w="320" w:type="dxa"/>
            <w:vAlign w:val="bottom"/>
            <w:tcBorders>
              <w:top w:val="single" w:sz="8" w:color="auto"/>
            </w:tcBorders>
          </w:tcPr>
          <w:p>
            <w:pPr>
              <w:spacing w:after="0"/>
              <w:rPr>
                <w:sz w:val="24"/>
                <w:szCs w:val="24"/>
                <w:color w:val="auto"/>
              </w:rPr>
            </w:pPr>
          </w:p>
        </w:tc>
        <w:tc>
          <w:tcPr>
            <w:tcW w:w="780" w:type="dxa"/>
            <w:vAlign w:val="bottom"/>
            <w:tcBorders>
              <w:top w:val="single" w:sz="8" w:color="auto"/>
            </w:tcBorders>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7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rPr>
              <w:t>Preference shares, $0.0001 par value; 1,000,000 shares authorized; none issued and</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30"/>
        </w:trPr>
        <w:tc>
          <w:tcPr>
            <w:tcW w:w="6860" w:type="dxa"/>
            <w:vAlign w:val="bottom"/>
          </w:tcPr>
          <w:p>
            <w:pPr>
              <w:ind w:left="180"/>
              <w:spacing w:after="0"/>
              <w:rPr>
                <w:sz w:val="20"/>
                <w:szCs w:val="20"/>
                <w:color w:val="auto"/>
              </w:rPr>
            </w:pPr>
            <w:r>
              <w:rPr>
                <w:rFonts w:ascii="Arial" w:cs="Arial" w:eastAsia="Arial" w:hAnsi="Arial"/>
                <w:sz w:val="18"/>
                <w:szCs w:val="18"/>
                <w:color w:val="auto"/>
              </w:rPr>
              <w:t>outstanding</w:t>
            </w:r>
          </w:p>
        </w:tc>
        <w:tc>
          <w:tcPr>
            <w:tcW w:w="320" w:type="dxa"/>
            <w:vAlign w:val="bottom"/>
          </w:tcPr>
          <w:p>
            <w:pPr>
              <w:spacing w:after="0"/>
              <w:rPr>
                <w:sz w:val="20"/>
                <w:szCs w:val="20"/>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41"/>
        </w:trPr>
        <w:tc>
          <w:tcPr>
            <w:tcW w:w="6860" w:type="dxa"/>
            <w:vAlign w:val="bottom"/>
          </w:tcPr>
          <w:p>
            <w:pPr>
              <w:spacing w:after="0"/>
              <w:rPr>
                <w:sz w:val="3"/>
                <w:szCs w:val="3"/>
                <w:color w:val="auto"/>
              </w:rPr>
            </w:pPr>
          </w:p>
        </w:tc>
        <w:tc>
          <w:tcPr>
            <w:tcW w:w="320" w:type="dxa"/>
            <w:vAlign w:val="bottom"/>
          </w:tcPr>
          <w:p>
            <w:pPr>
              <w:spacing w:after="0"/>
              <w:rPr>
                <w:sz w:val="3"/>
                <w:szCs w:val="3"/>
                <w:color w:val="auto"/>
              </w:rPr>
            </w:pPr>
          </w:p>
        </w:tc>
        <w:tc>
          <w:tcPr>
            <w:tcW w:w="78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02"/>
        </w:trPr>
        <w:tc>
          <w:tcPr>
            <w:tcW w:w="686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1"/>
              </w:rPr>
              <w:t>Class A ordinary shares, $0.0001 par value; 300,000,000 shares authorized; none issued and</w:t>
            </w:r>
          </w:p>
        </w:tc>
        <w:tc>
          <w:tcPr>
            <w:tcW w:w="32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51"/>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outstanding</w:t>
            </w:r>
          </w:p>
        </w:tc>
        <w:tc>
          <w:tcPr>
            <w:tcW w:w="3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02"/>
        </w:trPr>
        <w:tc>
          <w:tcPr>
            <w:tcW w:w="6860" w:type="dxa"/>
            <w:vAlign w:val="bottom"/>
          </w:tcPr>
          <w:p>
            <w:pPr>
              <w:spacing w:after="0" w:line="201" w:lineRule="exact"/>
              <w:rPr>
                <w:sz w:val="20"/>
                <w:szCs w:val="20"/>
                <w:color w:val="auto"/>
              </w:rPr>
            </w:pPr>
            <w:r>
              <w:rPr>
                <w:rFonts w:ascii="Arial" w:cs="Arial" w:eastAsia="Arial" w:hAnsi="Arial"/>
                <w:sz w:val="18"/>
                <w:szCs w:val="18"/>
                <w:color w:val="auto"/>
                <w:w w:val="92"/>
              </w:rPr>
              <w:t>Class B ordinary shares, $0.0001 par value; 30,000,000 shares authorized; 8,625,000 shares</w:t>
            </w:r>
          </w:p>
        </w:tc>
        <w:tc>
          <w:tcPr>
            <w:tcW w:w="3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71"/>
        </w:trPr>
        <w:tc>
          <w:tcPr>
            <w:tcW w:w="6860" w:type="dxa"/>
            <w:vAlign w:val="bottom"/>
          </w:tcPr>
          <w:p>
            <w:pPr>
              <w:ind w:left="180"/>
              <w:spacing w:after="0"/>
              <w:rPr>
                <w:sz w:val="20"/>
                <w:szCs w:val="20"/>
                <w:color w:val="auto"/>
              </w:rPr>
            </w:pPr>
            <w:r>
              <w:rPr>
                <w:rFonts w:ascii="Arial" w:cs="Arial" w:eastAsia="Arial" w:hAnsi="Arial"/>
                <w:sz w:val="18"/>
                <w:szCs w:val="18"/>
                <w:color w:val="auto"/>
              </w:rPr>
              <w:t>issued and outstanding</w:t>
            </w:r>
            <w:r>
              <w:rPr>
                <w:rFonts w:ascii="Arial" w:cs="Arial" w:eastAsia="Arial" w:hAnsi="Arial"/>
                <w:sz w:val="20"/>
                <w:szCs w:val="20"/>
                <w:color w:val="auto"/>
                <w:vertAlign w:val="superscript"/>
              </w:rPr>
              <w:t>(1)</w:t>
            </w:r>
          </w:p>
        </w:tc>
        <w:tc>
          <w:tcPr>
            <w:tcW w:w="320" w:type="dxa"/>
            <w:vAlign w:val="bottom"/>
          </w:tcPr>
          <w:p>
            <w:pPr>
              <w:spacing w:after="0"/>
              <w:rPr>
                <w:sz w:val="23"/>
                <w:szCs w:val="23"/>
                <w:color w:val="auto"/>
              </w:rPr>
            </w:pPr>
          </w:p>
        </w:tc>
        <w:tc>
          <w:tcPr>
            <w:tcW w:w="920" w:type="dxa"/>
            <w:vAlign w:val="bottom"/>
            <w:gridSpan w:val="3"/>
          </w:tcPr>
          <w:p>
            <w:pPr>
              <w:jc w:val="right"/>
              <w:ind w:right="140"/>
              <w:spacing w:after="0"/>
              <w:rPr>
                <w:sz w:val="20"/>
                <w:szCs w:val="20"/>
                <w:color w:val="auto"/>
              </w:rPr>
            </w:pPr>
            <w:r>
              <w:rPr>
                <w:rFonts w:ascii="Arial" w:cs="Arial" w:eastAsia="Arial" w:hAnsi="Arial"/>
                <w:sz w:val="18"/>
                <w:szCs w:val="18"/>
                <w:color w:val="auto"/>
              </w:rPr>
              <w:t>863</w:t>
            </w:r>
          </w:p>
        </w:tc>
      </w:tr>
      <w:tr>
        <w:trPr>
          <w:trHeight w:val="26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Additional paid-in capital</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24,137</w:t>
            </w:r>
          </w:p>
        </w:tc>
      </w:tr>
      <w:tr>
        <w:trPr>
          <w:trHeight w:val="257"/>
        </w:trPr>
        <w:tc>
          <w:tcPr>
            <w:tcW w:w="6860" w:type="dxa"/>
            <w:vAlign w:val="bottom"/>
          </w:tcPr>
          <w:p>
            <w:pPr>
              <w:spacing w:after="0"/>
              <w:rPr>
                <w:sz w:val="20"/>
                <w:szCs w:val="20"/>
                <w:color w:val="auto"/>
              </w:rPr>
            </w:pPr>
            <w:r>
              <w:rPr>
                <w:rFonts w:ascii="Arial" w:cs="Arial" w:eastAsia="Arial" w:hAnsi="Arial"/>
                <w:sz w:val="18"/>
                <w:szCs w:val="18"/>
                <w:color w:val="auto"/>
              </w:rPr>
              <w:t>Accumulated deficit</w:t>
            </w:r>
          </w:p>
        </w:tc>
        <w:tc>
          <w:tcPr>
            <w:tcW w:w="320" w:type="dxa"/>
            <w:vAlign w:val="bottom"/>
          </w:tcPr>
          <w:p>
            <w:pPr>
              <w:spacing w:after="0"/>
              <w:rPr>
                <w:sz w:val="22"/>
                <w:szCs w:val="22"/>
                <w:color w:val="auto"/>
              </w:rPr>
            </w:pPr>
          </w:p>
        </w:tc>
        <w:tc>
          <w:tcPr>
            <w:tcW w:w="920" w:type="dxa"/>
            <w:vAlign w:val="bottom"/>
            <w:gridSpan w:val="3"/>
          </w:tcPr>
          <w:p>
            <w:pPr>
              <w:jc w:val="right"/>
              <w:ind w:right="80"/>
              <w:spacing w:after="0"/>
              <w:rPr>
                <w:sz w:val="20"/>
                <w:szCs w:val="20"/>
                <w:color w:val="auto"/>
              </w:rPr>
            </w:pPr>
            <w:r>
              <w:rPr>
                <w:rFonts w:ascii="Arial" w:cs="Arial" w:eastAsia="Arial" w:hAnsi="Arial"/>
                <w:sz w:val="18"/>
                <w:szCs w:val="18"/>
                <w:color w:val="auto"/>
              </w:rPr>
              <w:t>(9,039)</w:t>
            </w:r>
          </w:p>
        </w:tc>
      </w:tr>
      <w:tr>
        <w:trPr>
          <w:trHeight w:val="27"/>
        </w:trPr>
        <w:tc>
          <w:tcPr>
            <w:tcW w:w="6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shareholder’s equity</w:t>
            </w:r>
          </w:p>
        </w:tc>
        <w:tc>
          <w:tcPr>
            <w:tcW w:w="320" w:type="dxa"/>
            <w:vAlign w:val="bottom"/>
            <w:tcBorders>
              <w:bottom w:val="single" w:sz="8" w:color="CCEEFF"/>
            </w:tcBorders>
            <w:shd w:val="clear" w:color="auto" w:fill="CCEEFF"/>
          </w:tcPr>
          <w:p>
            <w:pPr>
              <w:spacing w:after="0"/>
              <w:rPr>
                <w:sz w:val="22"/>
                <w:szCs w:val="22"/>
                <w:color w:val="auto"/>
              </w:rPr>
            </w:pPr>
          </w:p>
        </w:tc>
        <w:tc>
          <w:tcPr>
            <w:tcW w:w="92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15,961</w:t>
            </w:r>
          </w:p>
        </w:tc>
      </w:tr>
      <w:tr>
        <w:trPr>
          <w:trHeight w:val="244"/>
        </w:trPr>
        <w:tc>
          <w:tcPr>
            <w:tcW w:w="6860" w:type="dxa"/>
            <w:vAlign w:val="bottom"/>
          </w:tcPr>
          <w:p>
            <w:pPr>
              <w:spacing w:after="0"/>
              <w:rPr>
                <w:sz w:val="20"/>
                <w:szCs w:val="20"/>
                <w:color w:val="auto"/>
              </w:rPr>
            </w:pPr>
            <w:r>
              <w:rPr>
                <w:rFonts w:ascii="Arial" w:cs="Arial" w:eastAsia="Arial" w:hAnsi="Arial"/>
                <w:sz w:val="18"/>
                <w:szCs w:val="18"/>
                <w:b w:val="1"/>
                <w:bCs w:val="1"/>
                <w:color w:val="auto"/>
              </w:rPr>
              <w:t>Total Liabilities and Shareholder’s Equity</w:t>
            </w:r>
          </w:p>
        </w:tc>
        <w:tc>
          <w:tcPr>
            <w:tcW w:w="32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119,621</w:t>
            </w:r>
          </w:p>
        </w:tc>
        <w:tc>
          <w:tcPr>
            <w:tcW w:w="20" w:type="dxa"/>
            <w:vAlign w:val="bottom"/>
            <w:tcBorders>
              <w:bottom w:val="single" w:sz="8" w:color="auto"/>
            </w:tcBorders>
          </w:tcPr>
          <w:p>
            <w:pPr>
              <w:spacing w:after="0"/>
              <w:rPr>
                <w:sz w:val="21"/>
                <w:szCs w:val="21"/>
                <w:color w:val="auto"/>
              </w:rPr>
            </w:pPr>
          </w:p>
        </w:tc>
        <w:tc>
          <w:tcPr>
            <w:tcW w:w="120" w:type="dxa"/>
            <w:vAlign w:val="bottom"/>
          </w:tcPr>
          <w:p>
            <w:pPr>
              <w:spacing w:after="0"/>
              <w:rPr>
                <w:sz w:val="21"/>
                <w:szCs w:val="21"/>
                <w:color w:val="auto"/>
              </w:rPr>
            </w:pPr>
          </w:p>
        </w:tc>
      </w:tr>
      <w:tr>
        <w:trPr>
          <w:trHeight w:val="20"/>
        </w:trPr>
        <w:tc>
          <w:tcPr>
            <w:tcW w:w="68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right="619" w:hanging="426"/>
        <w:spacing w:after="0" w:line="293" w:lineRule="auto"/>
        <w:tabs>
          <w:tab w:leader="none" w:pos="880" w:val="left"/>
        </w:tabs>
        <w:numPr>
          <w:ilvl w:val="0"/>
          <w:numId w:val="87"/>
        </w:numPr>
        <w:rPr>
          <w:rFonts w:ascii="Arial" w:cs="Arial" w:eastAsia="Arial" w:hAnsi="Arial"/>
          <w:sz w:val="16"/>
          <w:szCs w:val="16"/>
          <w:i w:val="1"/>
          <w:iCs w:val="1"/>
          <w:color w:val="auto"/>
        </w:rPr>
      </w:pPr>
      <w:r>
        <w:rPr>
          <w:rFonts w:ascii="Arial" w:cs="Arial" w:eastAsia="Arial" w:hAnsi="Arial"/>
          <w:sz w:val="16"/>
          <w:szCs w:val="16"/>
          <w:i w:val="1"/>
          <w:iCs w:val="1"/>
          <w:color w:val="auto"/>
        </w:rPr>
        <w:t>This number includes up to 1,125,000 shares subject to forfeiture if the over-allotment option is not exercised in full or in part by the underwriters (see Note 4).</w:t>
      </w:r>
    </w:p>
    <w:p>
      <w:pPr>
        <w:spacing w:after="0" w:line="86"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3" w:name="page154"/>
    <w:bookmarkEnd w:id="153"/>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STATEMENT OF OPERATIONS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December 18, 2019 (inception) through December 31, 2019</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84"/>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General and administrative expenses</w:t>
            </w:r>
          </w:p>
        </w:tc>
        <w:tc>
          <w:tcPr>
            <w:tcW w:w="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9,039</w:t>
            </w:r>
          </w:p>
        </w:tc>
        <w:tc>
          <w:tcPr>
            <w:tcW w:w="1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Net loss</w:t>
            </w:r>
          </w:p>
        </w:tc>
        <w:tc>
          <w:tcPr>
            <w:tcW w:w="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(9,039</w:t>
            </w:r>
          </w:p>
        </w:tc>
        <w:tc>
          <w:tcPr>
            <w:tcW w:w="140" w:type="dxa"/>
            <w:vAlign w:val="bottom"/>
            <w:tcBorders>
              <w:bottom w:val="single" w:sz="8" w:color="CCEEFF"/>
            </w:tcBorders>
            <w:gridSpan w:val="2"/>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rPr>
                <w:sz w:val="1"/>
                <w:szCs w:val="1"/>
                <w:color w:val="auto"/>
              </w:rPr>
            </w:pPr>
          </w:p>
        </w:tc>
      </w:tr>
      <w:tr>
        <w:trPr>
          <w:trHeight w:val="230"/>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Weighted average shares outstanding, basic and diluted</w:t>
            </w:r>
            <w:r>
              <w:rPr>
                <w:rFonts w:ascii="Arial" w:cs="Arial" w:eastAsia="Arial" w:hAnsi="Arial"/>
                <w:sz w:val="20"/>
                <w:szCs w:val="20"/>
                <w:b w:val="1"/>
                <w:bCs w:val="1"/>
                <w:color w:val="auto"/>
                <w:vertAlign w:val="superscript"/>
              </w:rPr>
              <w:t>(1)</w:t>
            </w:r>
          </w:p>
        </w:tc>
        <w:tc>
          <w:tcPr>
            <w:tcW w:w="260" w:type="dxa"/>
            <w:vAlign w:val="bottom"/>
            <w:tcBorders>
              <w:bottom w:val="single" w:sz="8" w:color="auto"/>
            </w:tcBorders>
            <w:shd w:val="clear" w:color="auto" w:fill="CCEEFF"/>
          </w:tcPr>
          <w:p>
            <w:pPr>
              <w:spacing w:after="0"/>
              <w:rPr>
                <w:sz w:val="20"/>
                <w:szCs w:val="20"/>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7,500,000</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8"/>
                <w:szCs w:val="18"/>
                <w:b w:val="1"/>
                <w:bCs w:val="1"/>
                <w:color w:val="auto"/>
              </w:rPr>
              <w:t>Basic and diluted net loss per share</w:t>
            </w:r>
          </w:p>
        </w:tc>
        <w:tc>
          <w:tcPr>
            <w:tcW w:w="26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gridSpan w:val="2"/>
            <w:vMerge w:val="restart"/>
          </w:tcPr>
          <w:p>
            <w:pPr>
              <w:jc w:val="right"/>
              <w:ind w:right="80"/>
              <w:spacing w:after="0"/>
              <w:rPr>
                <w:sz w:val="20"/>
                <w:szCs w:val="20"/>
                <w:color w:val="auto"/>
              </w:rPr>
            </w:pPr>
            <w:r>
              <w:rPr>
                <w:rFonts w:ascii="Arial" w:cs="Arial" w:eastAsia="Arial" w:hAnsi="Arial"/>
                <w:sz w:val="16"/>
                <w:szCs w:val="16"/>
                <w:color w:val="auto"/>
                <w:w w:val="74"/>
              </w:rPr>
              <w:t>)</w:t>
            </w:r>
          </w:p>
        </w:tc>
        <w:tc>
          <w:tcPr>
            <w:tcW w:w="0" w:type="dxa"/>
            <w:vAlign w:val="bottom"/>
          </w:tcPr>
          <w:p>
            <w:pPr>
              <w:spacing w:after="0" w:line="20" w:lineRule="exact"/>
              <w:rPr>
                <w:sz w:val="1"/>
                <w:szCs w:val="1"/>
                <w:color w:val="auto"/>
              </w:rPr>
            </w:pPr>
          </w:p>
        </w:tc>
      </w:tr>
      <w:tr>
        <w:trPr>
          <w:trHeight w:val="217"/>
        </w:trPr>
        <w:tc>
          <w:tcPr>
            <w:tcW w:w="6860" w:type="dxa"/>
            <w:vAlign w:val="bottom"/>
            <w:vMerge w:val="continue"/>
          </w:tcPr>
          <w:p>
            <w:pPr>
              <w:spacing w:after="0"/>
              <w:rPr>
                <w:sz w:val="18"/>
                <w:szCs w:val="18"/>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(0.00</w:t>
            </w:r>
          </w:p>
        </w:tc>
        <w:tc>
          <w:tcPr>
            <w:tcW w:w="14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8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right="619" w:hanging="426"/>
        <w:spacing w:after="0" w:line="293" w:lineRule="auto"/>
        <w:tabs>
          <w:tab w:leader="none" w:pos="880" w:val="left"/>
        </w:tabs>
        <w:numPr>
          <w:ilvl w:val="0"/>
          <w:numId w:val="88"/>
        </w:numPr>
        <w:rPr>
          <w:rFonts w:ascii="Arial" w:cs="Arial" w:eastAsia="Arial" w:hAnsi="Arial"/>
          <w:sz w:val="16"/>
          <w:szCs w:val="16"/>
          <w:i w:val="1"/>
          <w:iCs w:val="1"/>
          <w:color w:val="auto"/>
        </w:rPr>
      </w:pPr>
      <w:r>
        <w:rPr>
          <w:rFonts w:ascii="Arial" w:cs="Arial" w:eastAsia="Arial" w:hAnsi="Arial"/>
          <w:sz w:val="16"/>
          <w:szCs w:val="16"/>
          <w:i w:val="1"/>
          <w:iCs w:val="1"/>
          <w:color w:val="auto"/>
        </w:rPr>
        <w:t>This number excludes an aggregate of up to 1,125,000 shares subject to forfeiture if the over-allotment option is not exercised in full or in part by the underwriters (see Note 4).</w:t>
      </w:r>
    </w:p>
    <w:p>
      <w:pPr>
        <w:spacing w:after="0" w:line="86"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4" w:name="page155"/>
    <w:bookmarkEnd w:id="154"/>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STATEMENT OF CHANGES IN SHAREHOLDER’S EQUITY</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period from December 18, 2019 (inception) through December 31, 2019</w:t>
      </w:r>
    </w:p>
    <w:p>
      <w:pPr>
        <w:spacing w:after="0" w:line="211"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22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380" w:type="dxa"/>
            <w:vAlign w:val="bottom"/>
            <w:gridSpan w:val="4"/>
          </w:tcPr>
          <w:p>
            <w:pPr>
              <w:ind w:left="20"/>
              <w:spacing w:after="0"/>
              <w:rPr>
                <w:sz w:val="20"/>
                <w:szCs w:val="20"/>
                <w:color w:val="auto"/>
              </w:rPr>
            </w:pPr>
            <w:r>
              <w:rPr>
                <w:rFonts w:ascii="Arial" w:cs="Arial" w:eastAsia="Arial" w:hAnsi="Arial"/>
                <w:sz w:val="16"/>
                <w:szCs w:val="16"/>
                <w:b w:val="1"/>
                <w:bCs w:val="1"/>
                <w:color w:val="auto"/>
              </w:rPr>
              <w:t>Ordinary Shares</w:t>
            </w:r>
          </w:p>
        </w:tc>
        <w:tc>
          <w:tcPr>
            <w:tcW w:w="2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80" w:type="dxa"/>
            <w:vAlign w:val="bottom"/>
            <w:gridSpan w:val="3"/>
            <w:vMerge w:val="restart"/>
          </w:tcPr>
          <w:p>
            <w:pPr>
              <w:jc w:val="center"/>
              <w:ind w:right="100"/>
              <w:spacing w:after="0"/>
              <w:rPr>
                <w:sz w:val="20"/>
                <w:szCs w:val="20"/>
                <w:color w:val="auto"/>
              </w:rPr>
            </w:pPr>
            <w:r>
              <w:rPr>
                <w:rFonts w:ascii="Arial" w:cs="Arial" w:eastAsia="Arial" w:hAnsi="Arial"/>
                <w:sz w:val="16"/>
                <w:szCs w:val="16"/>
                <w:b w:val="1"/>
                <w:bCs w:val="1"/>
                <w:color w:val="auto"/>
                <w:w w:val="94"/>
              </w:rPr>
              <w:t>Additional</w:t>
            </w: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gridSpan w:val="2"/>
            <w:vMerge w:val="restart"/>
          </w:tcPr>
          <w:p>
            <w:pPr>
              <w:jc w:val="center"/>
              <w:ind w:right="240"/>
              <w:spacing w:after="0"/>
              <w:rPr>
                <w:sz w:val="20"/>
                <w:szCs w:val="20"/>
                <w:color w:val="auto"/>
              </w:rPr>
            </w:pPr>
            <w:r>
              <w:rPr>
                <w:rFonts w:ascii="Arial" w:cs="Arial" w:eastAsia="Arial" w:hAnsi="Arial"/>
                <w:sz w:val="16"/>
                <w:szCs w:val="16"/>
                <w:b w:val="1"/>
                <w:bCs w:val="1"/>
                <w:color w:val="auto"/>
                <w:w w:val="88"/>
              </w:rPr>
              <w:t>Total</w:t>
            </w:r>
          </w:p>
        </w:tc>
        <w:tc>
          <w:tcPr>
            <w:tcW w:w="0" w:type="dxa"/>
            <w:vAlign w:val="bottom"/>
          </w:tcPr>
          <w:p>
            <w:pPr>
              <w:spacing w:after="0"/>
              <w:rPr>
                <w:sz w:val="1"/>
                <w:szCs w:val="1"/>
                <w:color w:val="auto"/>
              </w:rPr>
            </w:pPr>
          </w:p>
        </w:tc>
      </w:tr>
      <w:tr>
        <w:trPr>
          <w:trHeight w:val="47"/>
        </w:trPr>
        <w:tc>
          <w:tcPr>
            <w:tcW w:w="2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80" w:type="dxa"/>
            <w:vAlign w:val="bottom"/>
          </w:tcPr>
          <w:p>
            <w:pPr>
              <w:spacing w:after="0"/>
              <w:rPr>
                <w:sz w:val="4"/>
                <w:szCs w:val="4"/>
                <w:color w:val="auto"/>
              </w:rPr>
            </w:pPr>
          </w:p>
        </w:tc>
        <w:tc>
          <w:tcPr>
            <w:tcW w:w="6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0" w:type="dxa"/>
            <w:vAlign w:val="bottom"/>
          </w:tcPr>
          <w:p>
            <w:pPr>
              <w:spacing w:after="0"/>
              <w:rPr>
                <w:sz w:val="4"/>
                <w:szCs w:val="4"/>
                <w:color w:val="auto"/>
              </w:rPr>
            </w:pPr>
          </w:p>
        </w:tc>
        <w:tc>
          <w:tcPr>
            <w:tcW w:w="240" w:type="dxa"/>
            <w:vAlign w:val="bottom"/>
          </w:tcPr>
          <w:p>
            <w:pPr>
              <w:spacing w:after="0"/>
              <w:rPr>
                <w:sz w:val="4"/>
                <w:szCs w:val="4"/>
                <w:color w:val="auto"/>
              </w:rPr>
            </w:pPr>
          </w:p>
        </w:tc>
        <w:tc>
          <w:tcPr>
            <w:tcW w:w="900" w:type="dxa"/>
            <w:vAlign w:val="bottom"/>
            <w:gridSpan w:val="2"/>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15"/>
        </w:trPr>
        <w:tc>
          <w:tcPr>
            <w:tcW w:w="2220" w:type="dxa"/>
            <w:vAlign w:val="bottom"/>
          </w:tcPr>
          <w:p>
            <w:pPr>
              <w:spacing w:after="0"/>
              <w:rPr>
                <w:sz w:val="9"/>
                <w:szCs w:val="9"/>
                <w:color w:val="auto"/>
              </w:rPr>
            </w:pPr>
          </w:p>
        </w:tc>
        <w:tc>
          <w:tcPr>
            <w:tcW w:w="1320" w:type="dxa"/>
            <w:vAlign w:val="bottom"/>
            <w:gridSpan w:val="5"/>
            <w:vMerge w:val="restart"/>
          </w:tcPr>
          <w:p>
            <w:pPr>
              <w:ind w:left="340"/>
              <w:spacing w:after="0"/>
              <w:rPr>
                <w:sz w:val="20"/>
                <w:szCs w:val="20"/>
                <w:color w:val="auto"/>
              </w:rPr>
            </w:pPr>
            <w:r>
              <w:rPr>
                <w:rFonts w:ascii="Arial" w:cs="Arial" w:eastAsia="Arial" w:hAnsi="Arial"/>
                <w:sz w:val="16"/>
                <w:szCs w:val="16"/>
                <w:b w:val="1"/>
                <w:bCs w:val="1"/>
                <w:color w:val="auto"/>
              </w:rPr>
              <w:t>Class A</w:t>
            </w:r>
          </w:p>
        </w:tc>
        <w:tc>
          <w:tcPr>
            <w:tcW w:w="1080" w:type="dxa"/>
            <w:vAlign w:val="bottom"/>
            <w:gridSpan w:val="3"/>
            <w:vMerge w:val="restart"/>
          </w:tcPr>
          <w:p>
            <w:pPr>
              <w:jc w:val="right"/>
              <w:ind w:right="13"/>
              <w:spacing w:after="0"/>
              <w:rPr>
                <w:sz w:val="20"/>
                <w:szCs w:val="20"/>
                <w:color w:val="auto"/>
              </w:rPr>
            </w:pPr>
            <w:r>
              <w:rPr>
                <w:rFonts w:ascii="Arial" w:cs="Arial" w:eastAsia="Arial" w:hAnsi="Arial"/>
                <w:sz w:val="16"/>
                <w:szCs w:val="16"/>
                <w:b w:val="1"/>
                <w:bCs w:val="1"/>
                <w:color w:val="auto"/>
              </w:rPr>
              <w:t>Class B</w:t>
            </w:r>
          </w:p>
        </w:tc>
        <w:tc>
          <w:tcPr>
            <w:tcW w:w="36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3"/>
            <w:vMerge w:val="continue"/>
          </w:tcPr>
          <w:p>
            <w:pPr>
              <w:spacing w:after="0"/>
              <w:rPr>
                <w:sz w:val="9"/>
                <w:szCs w:val="9"/>
                <w:color w:val="auto"/>
              </w:rPr>
            </w:pPr>
          </w:p>
        </w:tc>
        <w:tc>
          <w:tcPr>
            <w:tcW w:w="180" w:type="dxa"/>
            <w:vAlign w:val="bottom"/>
          </w:tcPr>
          <w:p>
            <w:pPr>
              <w:spacing w:after="0"/>
              <w:rPr>
                <w:sz w:val="9"/>
                <w:szCs w:val="9"/>
                <w:color w:val="auto"/>
              </w:rPr>
            </w:pPr>
          </w:p>
        </w:tc>
        <w:tc>
          <w:tcPr>
            <w:tcW w:w="6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240" w:type="dxa"/>
            <w:vAlign w:val="bottom"/>
          </w:tcPr>
          <w:p>
            <w:pPr>
              <w:spacing w:after="0"/>
              <w:rPr>
                <w:sz w:val="9"/>
                <w:szCs w:val="9"/>
                <w:color w:val="auto"/>
              </w:rPr>
            </w:pPr>
          </w:p>
        </w:tc>
        <w:tc>
          <w:tcPr>
            <w:tcW w:w="90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16"/>
        </w:trPr>
        <w:tc>
          <w:tcPr>
            <w:tcW w:w="2220" w:type="dxa"/>
            <w:vAlign w:val="bottom"/>
          </w:tcPr>
          <w:p>
            <w:pPr>
              <w:spacing w:after="0"/>
              <w:rPr>
                <w:sz w:val="10"/>
                <w:szCs w:val="10"/>
                <w:color w:val="auto"/>
              </w:rPr>
            </w:pPr>
          </w:p>
        </w:tc>
        <w:tc>
          <w:tcPr>
            <w:tcW w:w="1320" w:type="dxa"/>
            <w:vAlign w:val="bottom"/>
            <w:gridSpan w:val="5"/>
            <w:vMerge w:val="continue"/>
          </w:tcPr>
          <w:p>
            <w:pPr>
              <w:spacing w:after="0"/>
              <w:rPr>
                <w:sz w:val="10"/>
                <w:szCs w:val="10"/>
                <w:color w:val="auto"/>
              </w:rPr>
            </w:pPr>
          </w:p>
        </w:tc>
        <w:tc>
          <w:tcPr>
            <w:tcW w:w="1080" w:type="dxa"/>
            <w:vAlign w:val="bottom"/>
            <w:gridSpan w:val="3"/>
            <w:vMerge w:val="continue"/>
          </w:tcPr>
          <w:p>
            <w:pPr>
              <w:spacing w:after="0"/>
              <w:rPr>
                <w:sz w:val="10"/>
                <w:szCs w:val="10"/>
                <w:color w:val="auto"/>
              </w:rPr>
            </w:pPr>
          </w:p>
        </w:tc>
        <w:tc>
          <w:tcPr>
            <w:tcW w:w="3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80" w:type="dxa"/>
            <w:vAlign w:val="bottom"/>
            <w:gridSpan w:val="3"/>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3"/>
              </w:rPr>
              <w:t>Paid-in</w:t>
            </w:r>
          </w:p>
        </w:tc>
        <w:tc>
          <w:tcPr>
            <w:tcW w:w="1020" w:type="dxa"/>
            <w:vAlign w:val="bottom"/>
            <w:gridSpan w:val="4"/>
            <w:vMerge w:val="restart"/>
          </w:tcPr>
          <w:p>
            <w:pPr>
              <w:jc w:val="center"/>
              <w:ind w:right="100"/>
              <w:spacing w:after="0" w:line="142" w:lineRule="exact"/>
              <w:rPr>
                <w:sz w:val="20"/>
                <w:szCs w:val="20"/>
                <w:color w:val="auto"/>
              </w:rPr>
            </w:pPr>
            <w:r>
              <w:rPr>
                <w:rFonts w:ascii="Arial" w:cs="Arial" w:eastAsia="Arial" w:hAnsi="Arial"/>
                <w:sz w:val="16"/>
                <w:szCs w:val="16"/>
                <w:b w:val="1"/>
                <w:bCs w:val="1"/>
                <w:color w:val="auto"/>
                <w:w w:val="91"/>
              </w:rPr>
              <w:t>Accumulated</w:t>
            </w:r>
          </w:p>
        </w:tc>
        <w:tc>
          <w:tcPr>
            <w:tcW w:w="1140" w:type="dxa"/>
            <w:vAlign w:val="bottom"/>
            <w:gridSpan w:val="3"/>
            <w:vMerge w:val="restart"/>
          </w:tcPr>
          <w:p>
            <w:pPr>
              <w:jc w:val="center"/>
              <w:spacing w:after="0" w:line="142" w:lineRule="exact"/>
              <w:rPr>
                <w:sz w:val="20"/>
                <w:szCs w:val="20"/>
                <w:color w:val="auto"/>
              </w:rPr>
            </w:pPr>
            <w:r>
              <w:rPr>
                <w:rFonts w:ascii="Arial" w:cs="Arial" w:eastAsia="Arial" w:hAnsi="Arial"/>
                <w:sz w:val="16"/>
                <w:szCs w:val="16"/>
                <w:b w:val="1"/>
                <w:bCs w:val="1"/>
                <w:color w:val="auto"/>
                <w:w w:val="91"/>
              </w:rPr>
              <w:t>Shareholder’s</w:t>
            </w:r>
          </w:p>
        </w:tc>
        <w:tc>
          <w:tcPr>
            <w:tcW w:w="0" w:type="dxa"/>
            <w:vAlign w:val="bottom"/>
          </w:tcPr>
          <w:p>
            <w:pPr>
              <w:spacing w:after="0"/>
              <w:rPr>
                <w:sz w:val="1"/>
                <w:szCs w:val="1"/>
                <w:color w:val="auto"/>
              </w:rPr>
            </w:pPr>
          </w:p>
        </w:tc>
      </w:tr>
      <w:tr>
        <w:trPr>
          <w:trHeight w:val="46"/>
        </w:trPr>
        <w:tc>
          <w:tcPr>
            <w:tcW w:w="2220" w:type="dxa"/>
            <w:vAlign w:val="bottom"/>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880" w:type="dxa"/>
            <w:vAlign w:val="bottom"/>
            <w:gridSpan w:val="3"/>
            <w:vMerge w:val="continue"/>
          </w:tcPr>
          <w:p>
            <w:pPr>
              <w:spacing w:after="0"/>
              <w:rPr>
                <w:sz w:val="4"/>
                <w:szCs w:val="4"/>
                <w:color w:val="auto"/>
              </w:rPr>
            </w:pPr>
          </w:p>
        </w:tc>
        <w:tc>
          <w:tcPr>
            <w:tcW w:w="1020" w:type="dxa"/>
            <w:vAlign w:val="bottom"/>
            <w:gridSpan w:val="4"/>
            <w:vMerge w:val="continue"/>
          </w:tcPr>
          <w:p>
            <w:pPr>
              <w:spacing w:after="0"/>
              <w:rPr>
                <w:sz w:val="4"/>
                <w:szCs w:val="4"/>
                <w:color w:val="auto"/>
              </w:rPr>
            </w:pPr>
          </w:p>
        </w:tc>
        <w:tc>
          <w:tcPr>
            <w:tcW w:w="1140" w:type="dxa"/>
            <w:vAlign w:val="bottom"/>
            <w:gridSpan w:val="3"/>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2220" w:type="dxa"/>
            <w:vAlign w:val="bottom"/>
          </w:tcPr>
          <w:p>
            <w:pPr>
              <w:spacing w:after="0"/>
              <w:rPr>
                <w:sz w:val="20"/>
                <w:szCs w:val="20"/>
                <w:color w:val="auto"/>
              </w:rPr>
            </w:pPr>
          </w:p>
        </w:tc>
        <w:tc>
          <w:tcPr>
            <w:tcW w:w="600" w:type="dxa"/>
            <w:vAlign w:val="bottom"/>
            <w:gridSpan w:val="2"/>
          </w:tcPr>
          <w:p>
            <w:pPr>
              <w:ind w:left="20"/>
              <w:spacing w:after="0"/>
              <w:rPr>
                <w:sz w:val="20"/>
                <w:szCs w:val="20"/>
                <w:color w:val="auto"/>
              </w:rPr>
            </w:pPr>
            <w:r>
              <w:rPr>
                <w:rFonts w:ascii="Arial" w:cs="Arial" w:eastAsia="Arial" w:hAnsi="Arial"/>
                <w:sz w:val="16"/>
                <w:szCs w:val="16"/>
                <w:b w:val="1"/>
                <w:bCs w:val="1"/>
                <w:color w:val="auto"/>
              </w:rPr>
              <w:t>Shares</w:t>
            </w:r>
          </w:p>
        </w:tc>
        <w:tc>
          <w:tcPr>
            <w:tcW w:w="72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840" w:type="dxa"/>
            <w:vAlign w:val="bottom"/>
            <w:gridSpan w:val="2"/>
          </w:tcPr>
          <w:p>
            <w:pPr>
              <w:jc w:val="right"/>
              <w:ind w:right="240"/>
              <w:spacing w:after="0"/>
              <w:rPr>
                <w:sz w:val="20"/>
                <w:szCs w:val="20"/>
                <w:color w:val="auto"/>
              </w:rPr>
            </w:pPr>
            <w:r>
              <w:rPr>
                <w:rFonts w:ascii="Arial" w:cs="Arial" w:eastAsia="Arial" w:hAnsi="Arial"/>
                <w:sz w:val="16"/>
                <w:szCs w:val="16"/>
                <w:b w:val="1"/>
                <w:bCs w:val="1"/>
                <w:color w:val="auto"/>
              </w:rPr>
              <w:t>Shares</w:t>
            </w:r>
          </w:p>
        </w:tc>
        <w:tc>
          <w:tcPr>
            <w:tcW w:w="680" w:type="dxa"/>
            <w:vAlign w:val="bottom"/>
            <w:gridSpan w:val="3"/>
          </w:tcPr>
          <w:p>
            <w:pPr>
              <w:ind w:left="20"/>
              <w:spacing w:after="0"/>
              <w:rPr>
                <w:sz w:val="20"/>
                <w:szCs w:val="20"/>
                <w:color w:val="auto"/>
              </w:rPr>
            </w:pPr>
            <w:r>
              <w:rPr>
                <w:rFonts w:ascii="Arial" w:cs="Arial" w:eastAsia="Arial" w:hAnsi="Arial"/>
                <w:sz w:val="16"/>
                <w:szCs w:val="16"/>
                <w:b w:val="1"/>
                <w:bCs w:val="1"/>
                <w:color w:val="auto"/>
              </w:rPr>
              <w:t>Amount</w:t>
            </w:r>
          </w:p>
        </w:tc>
        <w:tc>
          <w:tcPr>
            <w:tcW w:w="880" w:type="dxa"/>
            <w:vAlign w:val="bottom"/>
            <w:gridSpan w:val="3"/>
          </w:tcPr>
          <w:p>
            <w:pPr>
              <w:jc w:val="center"/>
              <w:ind w:right="80"/>
              <w:spacing w:after="0"/>
              <w:rPr>
                <w:sz w:val="20"/>
                <w:szCs w:val="20"/>
                <w:color w:val="auto"/>
              </w:rPr>
            </w:pPr>
            <w:r>
              <w:rPr>
                <w:rFonts w:ascii="Arial" w:cs="Arial" w:eastAsia="Arial" w:hAnsi="Arial"/>
                <w:sz w:val="16"/>
                <w:szCs w:val="16"/>
                <w:b w:val="1"/>
                <w:bCs w:val="1"/>
                <w:color w:val="auto"/>
                <w:w w:val="97"/>
              </w:rPr>
              <w:t>Capital</w:t>
            </w:r>
          </w:p>
        </w:tc>
        <w:tc>
          <w:tcPr>
            <w:tcW w:w="180" w:type="dxa"/>
            <w:vAlign w:val="bottom"/>
          </w:tcPr>
          <w:p>
            <w:pPr>
              <w:spacing w:after="0"/>
              <w:rPr>
                <w:sz w:val="20"/>
                <w:szCs w:val="20"/>
                <w:color w:val="auto"/>
              </w:rPr>
            </w:pPr>
          </w:p>
        </w:tc>
        <w:tc>
          <w:tcPr>
            <w:tcW w:w="84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89"/>
              </w:rPr>
              <w:t>Deficit</w:t>
            </w:r>
          </w:p>
        </w:tc>
        <w:tc>
          <w:tcPr>
            <w:tcW w:w="240" w:type="dxa"/>
            <w:vAlign w:val="bottom"/>
          </w:tcPr>
          <w:p>
            <w:pPr>
              <w:spacing w:after="0"/>
              <w:rPr>
                <w:sz w:val="20"/>
                <w:szCs w:val="20"/>
                <w:color w:val="auto"/>
              </w:rPr>
            </w:pPr>
          </w:p>
        </w:tc>
        <w:tc>
          <w:tcPr>
            <w:tcW w:w="90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3"/>
              </w:rPr>
              <w:t>Equity</w:t>
            </w:r>
          </w:p>
        </w:tc>
        <w:tc>
          <w:tcPr>
            <w:tcW w:w="0" w:type="dxa"/>
            <w:vAlign w:val="bottom"/>
          </w:tcPr>
          <w:p>
            <w:pPr>
              <w:spacing w:after="0"/>
              <w:rPr>
                <w:sz w:val="1"/>
                <w:szCs w:val="1"/>
                <w:color w:val="auto"/>
              </w:rPr>
            </w:pPr>
          </w:p>
        </w:tc>
      </w:tr>
      <w:tr>
        <w:trPr>
          <w:trHeight w:val="46"/>
        </w:trPr>
        <w:tc>
          <w:tcPr>
            <w:tcW w:w="2220" w:type="dxa"/>
            <w:vAlign w:val="bottom"/>
            <w:tcBorders>
              <w:bottom w:val="single" w:sz="8" w:color="CCEEFF"/>
            </w:tcBorders>
          </w:tcPr>
          <w:p>
            <w:pPr>
              <w:spacing w:after="0"/>
              <w:rPr>
                <w:sz w:val="4"/>
                <w:szCs w:val="4"/>
                <w:color w:val="auto"/>
              </w:rPr>
            </w:pPr>
          </w:p>
        </w:tc>
        <w:tc>
          <w:tcPr>
            <w:tcW w:w="52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4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74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80" w:type="dxa"/>
            <w:vAlign w:val="bottom"/>
            <w:tcBorders>
              <w:bottom w:val="single" w:sz="8" w:color="CCEEFF"/>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240" w:type="dxa"/>
            <w:vAlign w:val="bottom"/>
            <w:tcBorders>
              <w:bottom w:val="single" w:sz="8" w:color="auto"/>
            </w:tcBorders>
          </w:tcPr>
          <w:p>
            <w:pPr>
              <w:spacing w:after="0"/>
              <w:rPr>
                <w:sz w:val="4"/>
                <w:szCs w:val="4"/>
                <w:color w:val="auto"/>
              </w:rPr>
            </w:pPr>
          </w:p>
        </w:tc>
        <w:tc>
          <w:tcPr>
            <w:tcW w:w="760" w:type="dxa"/>
            <w:vAlign w:val="bottom"/>
            <w:tcBorders>
              <w:bottom w:val="single" w:sz="8" w:color="auto"/>
            </w:tcBorders>
          </w:tcPr>
          <w:p>
            <w:pPr>
              <w:spacing w:after="0"/>
              <w:rPr>
                <w:sz w:val="4"/>
                <w:szCs w:val="4"/>
                <w:color w:val="auto"/>
              </w:rPr>
            </w:pPr>
          </w:p>
        </w:tc>
        <w:tc>
          <w:tcPr>
            <w:tcW w:w="14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78"/>
        </w:trPr>
        <w:tc>
          <w:tcPr>
            <w:tcW w:w="2220" w:type="dxa"/>
            <w:vAlign w:val="bottom"/>
            <w:shd w:val="clear" w:color="auto" w:fill="CCEEFF"/>
          </w:tcPr>
          <w:p>
            <w:pPr>
              <w:spacing w:after="0" w:line="177" w:lineRule="exact"/>
              <w:rPr>
                <w:sz w:val="20"/>
                <w:szCs w:val="20"/>
                <w:color w:val="auto"/>
              </w:rPr>
            </w:pPr>
            <w:r>
              <w:rPr>
                <w:rFonts w:ascii="Arial" w:cs="Arial" w:eastAsia="Arial" w:hAnsi="Arial"/>
                <w:sz w:val="18"/>
                <w:szCs w:val="18"/>
                <w:b w:val="1"/>
                <w:bCs w:val="1"/>
                <w:color w:val="auto"/>
              </w:rPr>
              <w:t>Balance – December 18,</w:t>
            </w:r>
          </w:p>
        </w:tc>
        <w:tc>
          <w:tcPr>
            <w:tcW w:w="5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7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36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75"/>
        </w:trPr>
        <w:tc>
          <w:tcPr>
            <w:tcW w:w="222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2019 (Inception)</w:t>
            </w: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b w:val="1"/>
                <w:bCs w:val="1"/>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w:t>
            </w:r>
          </w:p>
        </w:tc>
        <w:tc>
          <w:tcPr>
            <w:tcW w:w="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8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2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b w:val="1"/>
                <w:bCs w:val="1"/>
                <w:color w:val="auto"/>
              </w:rPr>
              <w:t>$</w:t>
            </w: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w:t>
            </w:r>
          </w:p>
        </w:tc>
        <w:tc>
          <w:tcPr>
            <w:tcW w:w="0" w:type="dxa"/>
            <w:vAlign w:val="bottom"/>
          </w:tcPr>
          <w:p>
            <w:pPr>
              <w:spacing w:after="0"/>
              <w:rPr>
                <w:sz w:val="1"/>
                <w:szCs w:val="1"/>
                <w:color w:val="auto"/>
              </w:rPr>
            </w:pPr>
          </w:p>
        </w:tc>
      </w:tr>
      <w:tr>
        <w:trPr>
          <w:trHeight w:val="182"/>
        </w:trPr>
        <w:tc>
          <w:tcPr>
            <w:tcW w:w="2220" w:type="dxa"/>
            <w:vAlign w:val="bottom"/>
          </w:tcPr>
          <w:p>
            <w:pPr>
              <w:spacing w:after="0" w:line="182" w:lineRule="exact"/>
              <w:rPr>
                <w:sz w:val="20"/>
                <w:szCs w:val="20"/>
                <w:color w:val="auto"/>
              </w:rPr>
            </w:pPr>
            <w:r>
              <w:rPr>
                <w:rFonts w:ascii="Arial" w:cs="Arial" w:eastAsia="Arial" w:hAnsi="Arial"/>
                <w:sz w:val="18"/>
                <w:szCs w:val="18"/>
                <w:color w:val="auto"/>
                <w:w w:val="96"/>
              </w:rPr>
              <w:t>Issuance of Class B ordinary</w:t>
            </w: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1"/>
        </w:trPr>
        <w:tc>
          <w:tcPr>
            <w:tcW w:w="2220" w:type="dxa"/>
            <w:vAlign w:val="bottom"/>
          </w:tcPr>
          <w:p>
            <w:pPr>
              <w:ind w:left="180"/>
              <w:spacing w:after="0"/>
              <w:rPr>
                <w:sz w:val="20"/>
                <w:szCs w:val="20"/>
                <w:color w:val="auto"/>
              </w:rPr>
            </w:pPr>
            <w:r>
              <w:rPr>
                <w:rFonts w:ascii="Arial" w:cs="Arial" w:eastAsia="Arial" w:hAnsi="Arial"/>
                <w:sz w:val="18"/>
                <w:szCs w:val="18"/>
                <w:color w:val="auto"/>
              </w:rPr>
              <w:t xml:space="preserve">shares to Sponsor </w:t>
            </w:r>
            <w:r>
              <w:rPr>
                <w:rFonts w:ascii="Arial" w:cs="Arial" w:eastAsia="Arial" w:hAnsi="Arial"/>
                <w:sz w:val="20"/>
                <w:szCs w:val="20"/>
                <w:color w:val="auto"/>
                <w:vertAlign w:val="superscript"/>
              </w:rPr>
              <w:t>(1)</w:t>
            </w:r>
          </w:p>
        </w:tc>
        <w:tc>
          <w:tcPr>
            <w:tcW w:w="600" w:type="dxa"/>
            <w:vAlign w:val="bottom"/>
            <w:gridSpan w:val="2"/>
          </w:tcPr>
          <w:p>
            <w:pPr>
              <w:ind w:left="3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5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8,625,000</w:t>
            </w:r>
          </w:p>
        </w:tc>
        <w:tc>
          <w:tcPr>
            <w:tcW w:w="240" w:type="dxa"/>
            <w:vAlign w:val="bottom"/>
          </w:tcPr>
          <w:p>
            <w:pPr>
              <w:spacing w:after="0"/>
              <w:rPr>
                <w:sz w:val="23"/>
                <w:szCs w:val="23"/>
                <w:color w:val="auto"/>
              </w:rPr>
            </w:pPr>
          </w:p>
        </w:tc>
        <w:tc>
          <w:tcPr>
            <w:tcW w:w="440" w:type="dxa"/>
            <w:vAlign w:val="bottom"/>
            <w:gridSpan w:val="2"/>
          </w:tcPr>
          <w:p>
            <w:pPr>
              <w:jc w:val="right"/>
              <w:ind w:right="80"/>
              <w:spacing w:after="0"/>
              <w:rPr>
                <w:sz w:val="20"/>
                <w:szCs w:val="20"/>
                <w:color w:val="auto"/>
              </w:rPr>
            </w:pPr>
            <w:r>
              <w:rPr>
                <w:rFonts w:ascii="Arial" w:cs="Arial" w:eastAsia="Arial" w:hAnsi="Arial"/>
                <w:sz w:val="18"/>
                <w:szCs w:val="18"/>
                <w:color w:val="auto"/>
              </w:rPr>
              <w:t>863</w:t>
            </w:r>
          </w:p>
        </w:tc>
        <w:tc>
          <w:tcPr>
            <w:tcW w:w="220" w:type="dxa"/>
            <w:vAlign w:val="bottom"/>
          </w:tcPr>
          <w:p>
            <w:pPr>
              <w:spacing w:after="0"/>
              <w:rPr>
                <w:sz w:val="23"/>
                <w:szCs w:val="23"/>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8"/>
                <w:szCs w:val="18"/>
                <w:color w:val="auto"/>
                <w:w w:val="98"/>
              </w:rPr>
              <w:t>24,137</w:t>
            </w:r>
          </w:p>
        </w:tc>
        <w:tc>
          <w:tcPr>
            <w:tcW w:w="180" w:type="dxa"/>
            <w:vAlign w:val="bottom"/>
          </w:tcPr>
          <w:p>
            <w:pPr>
              <w:spacing w:after="0"/>
              <w:rPr>
                <w:sz w:val="23"/>
                <w:szCs w:val="23"/>
                <w:color w:val="auto"/>
              </w:rPr>
            </w:pPr>
          </w:p>
        </w:tc>
        <w:tc>
          <w:tcPr>
            <w:tcW w:w="84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25,000</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3"/>
        </w:trPr>
        <w:tc>
          <w:tcPr>
            <w:tcW w:w="22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w:t>
            </w:r>
          </w:p>
        </w:tc>
        <w:tc>
          <w:tcPr>
            <w:tcW w:w="600" w:type="dxa"/>
            <w:vAlign w:val="bottom"/>
            <w:tcBorders>
              <w:bottom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5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4"/>
                <w:szCs w:val="24"/>
                <w:color w:val="auto"/>
              </w:rPr>
            </w:pPr>
          </w:p>
        </w:tc>
        <w:tc>
          <w:tcPr>
            <w:tcW w:w="4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4"/>
                <w:szCs w:val="24"/>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(9,039)</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spacing w:after="0"/>
              <w:rPr>
                <w:sz w:val="24"/>
                <w:szCs w:val="24"/>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(9,039)</w:t>
            </w:r>
          </w:p>
        </w:tc>
        <w:tc>
          <w:tcPr>
            <w:tcW w:w="0" w:type="dxa"/>
            <w:vAlign w:val="bottom"/>
          </w:tcPr>
          <w:p>
            <w:pPr>
              <w:spacing w:after="0"/>
              <w:rPr>
                <w:sz w:val="1"/>
                <w:szCs w:val="1"/>
                <w:color w:val="auto"/>
              </w:rPr>
            </w:pPr>
          </w:p>
        </w:tc>
      </w:tr>
      <w:tr>
        <w:trPr>
          <w:trHeight w:val="178"/>
        </w:trPr>
        <w:tc>
          <w:tcPr>
            <w:tcW w:w="2220" w:type="dxa"/>
            <w:vAlign w:val="bottom"/>
          </w:tcPr>
          <w:p>
            <w:pPr>
              <w:spacing w:after="0" w:line="177" w:lineRule="exact"/>
              <w:rPr>
                <w:sz w:val="20"/>
                <w:szCs w:val="20"/>
                <w:color w:val="auto"/>
              </w:rPr>
            </w:pPr>
            <w:r>
              <w:rPr>
                <w:rFonts w:ascii="Arial" w:cs="Arial" w:eastAsia="Arial" w:hAnsi="Arial"/>
                <w:sz w:val="18"/>
                <w:szCs w:val="18"/>
                <w:b w:val="1"/>
                <w:bCs w:val="1"/>
                <w:color w:val="auto"/>
              </w:rPr>
              <w:t>Balance – December 31,</w:t>
            </w:r>
          </w:p>
        </w:tc>
        <w:tc>
          <w:tcPr>
            <w:tcW w:w="52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4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360" w:type="dxa"/>
            <w:vAlign w:val="bottom"/>
            <w:tcBorders>
              <w:top w:val="single" w:sz="8" w:color="auto"/>
            </w:tcBorders>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Borders>
              <w:top w:val="single" w:sz="8" w:color="auto"/>
            </w:tcBorders>
          </w:tcPr>
          <w:p>
            <w:pPr>
              <w:spacing w:after="0"/>
              <w:rPr>
                <w:sz w:val="15"/>
                <w:szCs w:val="15"/>
                <w:color w:val="auto"/>
              </w:rPr>
            </w:pPr>
          </w:p>
        </w:tc>
        <w:tc>
          <w:tcPr>
            <w:tcW w:w="5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62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760" w:type="dxa"/>
            <w:vAlign w:val="bottom"/>
            <w:tcBorders>
              <w:top w:val="single" w:sz="8" w:color="auto"/>
            </w:tcBorders>
          </w:tcPr>
          <w:p>
            <w:pPr>
              <w:spacing w:after="0"/>
              <w:rPr>
                <w:sz w:val="15"/>
                <w:szCs w:val="15"/>
                <w:color w:val="auto"/>
              </w:rPr>
            </w:pPr>
          </w:p>
        </w:tc>
        <w:tc>
          <w:tcPr>
            <w:tcW w:w="1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5"/>
        </w:trPr>
        <w:tc>
          <w:tcPr>
            <w:tcW w:w="2220" w:type="dxa"/>
            <w:vAlign w:val="bottom"/>
          </w:tcPr>
          <w:p>
            <w:pPr>
              <w:ind w:left="180"/>
              <w:spacing w:after="0"/>
              <w:rPr>
                <w:sz w:val="20"/>
                <w:szCs w:val="20"/>
                <w:color w:val="auto"/>
              </w:rPr>
            </w:pPr>
            <w:r>
              <w:rPr>
                <w:rFonts w:ascii="Arial" w:cs="Arial" w:eastAsia="Arial" w:hAnsi="Arial"/>
                <w:sz w:val="18"/>
                <w:szCs w:val="18"/>
                <w:b w:val="1"/>
                <w:bCs w:val="1"/>
                <w:color w:val="auto"/>
              </w:rPr>
              <w:t>2019</w:t>
            </w:r>
          </w:p>
        </w:tc>
        <w:tc>
          <w:tcPr>
            <w:tcW w:w="600" w:type="dxa"/>
            <w:vAlign w:val="bottom"/>
            <w:gridSpan w:val="2"/>
          </w:tcPr>
          <w:p>
            <w:pPr>
              <w:ind w:left="34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540" w:type="dxa"/>
            <w:vAlign w:val="bottom"/>
            <w:gridSpan w:val="2"/>
          </w:tcPr>
          <w:p>
            <w:pPr>
              <w:ind w:left="260"/>
              <w:spacing w:after="0"/>
              <w:rPr>
                <w:sz w:val="20"/>
                <w:szCs w:val="20"/>
                <w:color w:val="auto"/>
              </w:rPr>
            </w:pPr>
            <w:r>
              <w:rPr>
                <w:rFonts w:ascii="Arial" w:cs="Arial" w:eastAsia="Arial" w:hAnsi="Arial"/>
                <w:sz w:val="18"/>
                <w:szCs w:val="18"/>
                <w:b w:val="1"/>
                <w:bCs w:val="1"/>
                <w:color w:val="auto"/>
              </w:rPr>
              <w:t>—</w:t>
            </w:r>
          </w:p>
        </w:tc>
        <w:tc>
          <w:tcPr>
            <w:tcW w:w="8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89"/>
              </w:rPr>
              <w:t>8,625,000</w:t>
            </w:r>
          </w:p>
        </w:tc>
        <w:tc>
          <w:tcPr>
            <w:tcW w:w="24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44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863</w:t>
            </w:r>
          </w:p>
        </w:tc>
        <w:tc>
          <w:tcPr>
            <w:tcW w:w="2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66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w w:val="98"/>
              </w:rPr>
              <w:t>24,137</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740" w:type="dxa"/>
            <w:vAlign w:val="bottom"/>
            <w:gridSpan w:val="2"/>
          </w:tcPr>
          <w:p>
            <w:pPr>
              <w:jc w:val="right"/>
              <w:ind w:right="60"/>
              <w:spacing w:after="0"/>
              <w:rPr>
                <w:sz w:val="20"/>
                <w:szCs w:val="20"/>
                <w:color w:val="auto"/>
              </w:rPr>
            </w:pPr>
            <w:r>
              <w:rPr>
                <w:rFonts w:ascii="Arial" w:cs="Arial" w:eastAsia="Arial" w:hAnsi="Arial"/>
                <w:sz w:val="18"/>
                <w:szCs w:val="18"/>
                <w:b w:val="1"/>
                <w:bCs w:val="1"/>
                <w:color w:val="auto"/>
              </w:rPr>
              <w:t>(9,039)</w:t>
            </w:r>
          </w:p>
        </w:tc>
        <w:tc>
          <w:tcPr>
            <w:tcW w:w="100" w:type="dxa"/>
            <w:vAlign w:val="bottom"/>
          </w:tcPr>
          <w:p>
            <w:pPr>
              <w:spacing w:after="0"/>
              <w:rPr>
                <w:sz w:val="22"/>
                <w:szCs w:val="22"/>
                <w:color w:val="auto"/>
              </w:rPr>
            </w:pPr>
          </w:p>
        </w:tc>
        <w:tc>
          <w:tcPr>
            <w:tcW w:w="240" w:type="dxa"/>
            <w:vAlign w:val="bottom"/>
          </w:tcPr>
          <w:p>
            <w:pPr>
              <w:jc w:val="right"/>
              <w:ind w:right="13"/>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jc w:val="right"/>
              <w:spacing w:after="0"/>
              <w:rPr>
                <w:sz w:val="20"/>
                <w:szCs w:val="20"/>
                <w:color w:val="auto"/>
              </w:rPr>
            </w:pPr>
            <w:r>
              <w:rPr>
                <w:rFonts w:ascii="Arial" w:cs="Arial" w:eastAsia="Arial" w:hAnsi="Arial"/>
                <w:sz w:val="18"/>
                <w:szCs w:val="18"/>
                <w:b w:val="1"/>
                <w:bCs w:val="1"/>
                <w:color w:val="auto"/>
              </w:rPr>
              <w:t>15,961</w:t>
            </w: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22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4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80" w:right="619" w:hanging="426"/>
        <w:spacing w:after="0" w:line="293" w:lineRule="auto"/>
        <w:tabs>
          <w:tab w:leader="none" w:pos="880" w:val="left"/>
        </w:tabs>
        <w:numPr>
          <w:ilvl w:val="0"/>
          <w:numId w:val="89"/>
        </w:numPr>
        <w:rPr>
          <w:rFonts w:ascii="Arial" w:cs="Arial" w:eastAsia="Arial" w:hAnsi="Arial"/>
          <w:sz w:val="16"/>
          <w:szCs w:val="16"/>
          <w:i w:val="1"/>
          <w:iCs w:val="1"/>
          <w:color w:val="auto"/>
        </w:rPr>
      </w:pPr>
      <w:r>
        <w:rPr>
          <w:rFonts w:ascii="Arial" w:cs="Arial" w:eastAsia="Arial" w:hAnsi="Arial"/>
          <w:sz w:val="16"/>
          <w:szCs w:val="16"/>
          <w:i w:val="1"/>
          <w:iCs w:val="1"/>
          <w:color w:val="auto"/>
        </w:rPr>
        <w:t>This number includes up to 1,125,000 shares subject to forfeiture if the over-allotment option is not exercised in full or in part by the underwriters (see Note 4).</w:t>
      </w:r>
    </w:p>
    <w:p>
      <w:pPr>
        <w:spacing w:after="0" w:line="86"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5" w:name="page156"/>
    <w:bookmarkEnd w:id="155"/>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STATEMENT OF CASH FLOWS</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period from December 18, 2019 (inception) through December 31, 2019</w:t>
      </w:r>
    </w:p>
    <w:p>
      <w:pPr>
        <w:spacing w:after="0" w:line="185" w:lineRule="exact"/>
        <w:rPr>
          <w:sz w:val="20"/>
          <w:szCs w:val="20"/>
          <w:color w:val="auto"/>
        </w:rPr>
      </w:pPr>
    </w:p>
    <w:tbl>
      <w:tblPr>
        <w:tblLayout w:type="fixed"/>
        <w:tblInd w:w="460" w:type="dxa"/>
        <w:tblCellMar>
          <w:top w:w="0" w:type="dxa"/>
          <w:left w:w="0" w:type="dxa"/>
          <w:bottom w:w="0" w:type="dxa"/>
          <w:right w:w="0" w:type="dxa"/>
        </w:tblCellMar>
      </w:tblPr>
      <w:tr>
        <w:trPr>
          <w:trHeight w:val="263"/>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Flows from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720" w:type="dxa"/>
            <w:vAlign w:val="bottom"/>
            <w:tcBorders>
              <w:bottom w:val="single" w:sz="8" w:color="CCEEFF"/>
            </w:tcBorders>
            <w:shd w:val="clear" w:color="auto" w:fill="CCEEFF"/>
          </w:tcPr>
          <w:p>
            <w:pPr>
              <w:spacing w:after="0"/>
              <w:rPr>
                <w:sz w:val="22"/>
                <w:szCs w:val="22"/>
                <w:color w:val="auto"/>
              </w:rPr>
            </w:pPr>
          </w:p>
        </w:tc>
        <w:tc>
          <w:tcPr>
            <w:tcW w:w="140" w:type="dxa"/>
            <w:vAlign w:val="bottom"/>
            <w:tcBorders>
              <w:bottom w:val="single" w:sz="8" w:color="CCEEFF"/>
            </w:tcBorders>
            <w:shd w:val="clear" w:color="auto" w:fill="CCEEFF"/>
          </w:tcPr>
          <w:p>
            <w:pPr>
              <w:spacing w:after="0"/>
              <w:rPr>
                <w:sz w:val="22"/>
                <w:szCs w:val="22"/>
                <w:color w:val="auto"/>
              </w:rPr>
            </w:pPr>
          </w:p>
        </w:tc>
      </w:tr>
      <w:tr>
        <w:trPr>
          <w:trHeight w:val="243"/>
        </w:trPr>
        <w:tc>
          <w:tcPr>
            <w:tcW w:w="6860" w:type="dxa"/>
            <w:vAlign w:val="bottom"/>
          </w:tcPr>
          <w:p>
            <w:pPr>
              <w:spacing w:after="0"/>
              <w:rPr>
                <w:sz w:val="20"/>
                <w:szCs w:val="20"/>
                <w:color w:val="auto"/>
              </w:rPr>
            </w:pPr>
            <w:r>
              <w:rPr>
                <w:rFonts w:ascii="Arial" w:cs="Arial" w:eastAsia="Arial" w:hAnsi="Arial"/>
                <w:sz w:val="18"/>
                <w:szCs w:val="18"/>
                <w:color w:val="auto"/>
              </w:rPr>
              <w:t>Net loss</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80"/>
              <w:spacing w:after="0"/>
              <w:rPr>
                <w:sz w:val="20"/>
                <w:szCs w:val="20"/>
                <w:color w:val="auto"/>
              </w:rPr>
            </w:pPr>
            <w:r>
              <w:rPr>
                <w:rFonts w:ascii="Arial" w:cs="Arial" w:eastAsia="Arial" w:hAnsi="Arial"/>
                <w:sz w:val="18"/>
                <w:szCs w:val="18"/>
                <w:color w:val="auto"/>
              </w:rPr>
              <w:t>(9,039)</w:t>
            </w:r>
          </w:p>
        </w:tc>
      </w:tr>
      <w:tr>
        <w:trPr>
          <w:trHeight w:val="41"/>
        </w:trPr>
        <w:tc>
          <w:tcPr>
            <w:tcW w:w="6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385"/>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Adjustments to reconcile net loss to net cash used in operating activities:</w:t>
            </w:r>
          </w:p>
        </w:tc>
        <w:tc>
          <w:tcPr>
            <w:tcW w:w="3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r>
      <w:tr>
        <w:trPr>
          <w:trHeight w:val="202"/>
        </w:trPr>
        <w:tc>
          <w:tcPr>
            <w:tcW w:w="6860" w:type="dxa"/>
            <w:vAlign w:val="bottom"/>
          </w:tcPr>
          <w:p>
            <w:pPr>
              <w:ind w:left="180"/>
              <w:spacing w:after="0" w:line="201" w:lineRule="exact"/>
              <w:rPr>
                <w:sz w:val="20"/>
                <w:szCs w:val="20"/>
                <w:color w:val="auto"/>
              </w:rPr>
            </w:pPr>
            <w:r>
              <w:rPr>
                <w:rFonts w:ascii="Arial" w:cs="Arial" w:eastAsia="Arial" w:hAnsi="Arial"/>
                <w:sz w:val="18"/>
                <w:szCs w:val="18"/>
                <w:color w:val="auto"/>
                <w:w w:val="92"/>
              </w:rPr>
              <w:t>General and administrative expenses paid by Sponsor in exchange for issuance of Class B</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44"/>
        </w:trPr>
        <w:tc>
          <w:tcPr>
            <w:tcW w:w="6860" w:type="dxa"/>
            <w:vAlign w:val="bottom"/>
          </w:tcPr>
          <w:p>
            <w:pPr>
              <w:ind w:left="360"/>
              <w:spacing w:after="0"/>
              <w:rPr>
                <w:sz w:val="20"/>
                <w:szCs w:val="20"/>
                <w:color w:val="auto"/>
              </w:rPr>
            </w:pPr>
            <w:r>
              <w:rPr>
                <w:rFonts w:ascii="Arial" w:cs="Arial" w:eastAsia="Arial" w:hAnsi="Arial"/>
                <w:sz w:val="18"/>
                <w:szCs w:val="18"/>
                <w:color w:val="auto"/>
              </w:rPr>
              <w:t>ordinary shares to Sponsor</w:t>
            </w:r>
          </w:p>
        </w:tc>
        <w:tc>
          <w:tcPr>
            <w:tcW w:w="38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9,039</w:t>
            </w:r>
          </w:p>
        </w:tc>
      </w:tr>
      <w:tr>
        <w:trPr>
          <w:trHeight w:val="27"/>
        </w:trPr>
        <w:tc>
          <w:tcPr>
            <w:tcW w:w="686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b w:val="1"/>
                <w:bCs w:val="1"/>
                <w:color w:val="auto"/>
              </w:rPr>
              <w:t>Net cash used in operating activities</w:t>
            </w:r>
          </w:p>
        </w:tc>
        <w:tc>
          <w:tcPr>
            <w:tcW w:w="38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358"/>
        </w:trPr>
        <w:tc>
          <w:tcPr>
            <w:tcW w:w="6860" w:type="dxa"/>
            <w:vAlign w:val="bottom"/>
          </w:tcPr>
          <w:p>
            <w:pPr>
              <w:spacing w:after="0"/>
              <w:rPr>
                <w:sz w:val="20"/>
                <w:szCs w:val="20"/>
                <w:color w:val="auto"/>
              </w:rPr>
            </w:pPr>
            <w:r>
              <w:rPr>
                <w:rFonts w:ascii="Arial" w:cs="Arial" w:eastAsia="Arial" w:hAnsi="Arial"/>
                <w:sz w:val="18"/>
                <w:szCs w:val="18"/>
                <w:b w:val="1"/>
                <w:bCs w:val="1"/>
                <w:color w:val="auto"/>
              </w:rPr>
              <w:t>Net change in cash</w:t>
            </w:r>
          </w:p>
        </w:tc>
        <w:tc>
          <w:tcPr>
            <w:tcW w:w="380" w:type="dxa"/>
            <w:vAlign w:val="bottom"/>
            <w:tcBorders>
              <w:top w:val="single" w:sz="8" w:color="auto"/>
            </w:tcBorders>
          </w:tcPr>
          <w:p>
            <w:pPr>
              <w:spacing w:after="0"/>
              <w:rPr>
                <w:sz w:val="24"/>
                <w:szCs w:val="24"/>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4"/>
                <w:szCs w:val="24"/>
                <w:color w:val="auto"/>
              </w:rPr>
            </w:pPr>
          </w:p>
        </w:tc>
      </w:tr>
      <w:tr>
        <w:trPr>
          <w:trHeight w:val="40"/>
        </w:trPr>
        <w:tc>
          <w:tcPr>
            <w:tcW w:w="6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405"/>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Cash – beginning of the period</w:t>
            </w:r>
          </w:p>
        </w:tc>
        <w:tc>
          <w:tcPr>
            <w:tcW w:w="380" w:type="dxa"/>
            <w:vAlign w:val="bottom"/>
            <w:tcBorders>
              <w:bottom w:val="single" w:sz="8" w:color="CCEEFF"/>
            </w:tcBorders>
            <w:shd w:val="clear" w:color="auto" w:fill="CCEEFF"/>
          </w:tcPr>
          <w:p>
            <w:pPr>
              <w:spacing w:after="0"/>
              <w:rPr>
                <w:sz w:val="24"/>
                <w:szCs w:val="24"/>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83"/>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b w:val="1"/>
                <w:bCs w:val="1"/>
                <w:color w:val="auto"/>
              </w:rPr>
              <w:t>Cash – end of the period</w:t>
            </w:r>
          </w:p>
        </w:tc>
        <w:tc>
          <w:tcPr>
            <w:tcW w:w="38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w:t>
            </w:r>
          </w:p>
        </w:tc>
        <w:tc>
          <w:tcPr>
            <w:tcW w:w="140" w:type="dxa"/>
            <w:vAlign w:val="bottom"/>
            <w:tcBorders>
              <w:bottom w:val="single" w:sz="8" w:color="CCEEFF"/>
            </w:tcBorders>
          </w:tcPr>
          <w:p>
            <w:pPr>
              <w:spacing w:after="0"/>
              <w:rPr>
                <w:sz w:val="24"/>
                <w:szCs w:val="24"/>
                <w:color w:val="auto"/>
              </w:rPr>
            </w:pPr>
          </w:p>
        </w:tc>
      </w:tr>
      <w:tr>
        <w:trPr>
          <w:trHeight w:val="372"/>
        </w:trPr>
        <w:tc>
          <w:tcPr>
            <w:tcW w:w="68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Supplemental disclosure of noncash investing and financing activities:</w:t>
            </w:r>
          </w:p>
        </w:tc>
        <w:tc>
          <w:tcPr>
            <w:tcW w:w="38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CCEEFF"/>
            </w:tcBorders>
            <w:shd w:val="clear" w:color="auto" w:fill="CCEEFF"/>
          </w:tcPr>
          <w:p>
            <w:pPr>
              <w:spacing w:after="0"/>
              <w:rPr>
                <w:sz w:val="24"/>
                <w:szCs w:val="24"/>
                <w:color w:val="auto"/>
              </w:rPr>
            </w:pPr>
          </w:p>
        </w:tc>
      </w:tr>
      <w:tr>
        <w:trPr>
          <w:trHeight w:val="243"/>
        </w:trPr>
        <w:tc>
          <w:tcPr>
            <w:tcW w:w="6860" w:type="dxa"/>
            <w:vAlign w:val="bottom"/>
          </w:tcPr>
          <w:p>
            <w:pPr>
              <w:ind w:left="180"/>
              <w:spacing w:after="0"/>
              <w:rPr>
                <w:sz w:val="20"/>
                <w:szCs w:val="20"/>
                <w:color w:val="auto"/>
              </w:rPr>
            </w:pPr>
            <w:r>
              <w:rPr>
                <w:rFonts w:ascii="Arial" w:cs="Arial" w:eastAsia="Arial" w:hAnsi="Arial"/>
                <w:sz w:val="18"/>
                <w:szCs w:val="18"/>
                <w:color w:val="auto"/>
              </w:rPr>
              <w:t>Deferred offering costs included in accounts payable</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23,060</w:t>
            </w:r>
          </w:p>
        </w:tc>
      </w:tr>
      <w:tr>
        <w:trPr>
          <w:trHeight w:val="41"/>
        </w:trPr>
        <w:tc>
          <w:tcPr>
            <w:tcW w:w="6860" w:type="dxa"/>
            <w:vAlign w:val="bottom"/>
          </w:tcPr>
          <w:p>
            <w:pPr>
              <w:spacing w:after="0"/>
              <w:rPr>
                <w:sz w:val="3"/>
                <w:szCs w:val="3"/>
                <w:color w:val="auto"/>
              </w:rPr>
            </w:pPr>
          </w:p>
        </w:tc>
        <w:tc>
          <w:tcPr>
            <w:tcW w:w="3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63"/>
        </w:trPr>
        <w:tc>
          <w:tcPr>
            <w:tcW w:w="686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Deferred offering costs included in accrued expenses</w:t>
            </w:r>
          </w:p>
        </w:tc>
        <w:tc>
          <w:tcPr>
            <w:tcW w:w="38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80,600</w:t>
            </w:r>
          </w:p>
        </w:tc>
      </w:tr>
      <w:tr>
        <w:trPr>
          <w:trHeight w:val="202"/>
        </w:trPr>
        <w:tc>
          <w:tcPr>
            <w:tcW w:w="6860" w:type="dxa"/>
            <w:vAlign w:val="bottom"/>
          </w:tcPr>
          <w:p>
            <w:pPr>
              <w:ind w:left="180"/>
              <w:spacing w:after="0" w:line="201" w:lineRule="exact"/>
              <w:rPr>
                <w:sz w:val="20"/>
                <w:szCs w:val="20"/>
                <w:color w:val="auto"/>
              </w:rPr>
            </w:pPr>
            <w:r>
              <w:rPr>
                <w:rFonts w:ascii="Arial" w:cs="Arial" w:eastAsia="Arial" w:hAnsi="Arial"/>
                <w:sz w:val="18"/>
                <w:szCs w:val="18"/>
                <w:color w:val="auto"/>
                <w:w w:val="98"/>
              </w:rPr>
              <w:t>Deferred offering costs paid by Sponsor in exchange for issuance of Class B ordinary</w:t>
            </w:r>
          </w:p>
        </w:tc>
        <w:tc>
          <w:tcPr>
            <w:tcW w:w="3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30"/>
        </w:trPr>
        <w:tc>
          <w:tcPr>
            <w:tcW w:w="6860" w:type="dxa"/>
            <w:vAlign w:val="bottom"/>
          </w:tcPr>
          <w:p>
            <w:pPr>
              <w:ind w:left="360"/>
              <w:spacing w:after="0"/>
              <w:rPr>
                <w:sz w:val="20"/>
                <w:szCs w:val="20"/>
                <w:color w:val="auto"/>
              </w:rPr>
            </w:pPr>
            <w:r>
              <w:rPr>
                <w:rFonts w:ascii="Arial" w:cs="Arial" w:eastAsia="Arial" w:hAnsi="Arial"/>
                <w:sz w:val="18"/>
                <w:szCs w:val="18"/>
                <w:color w:val="auto"/>
              </w:rPr>
              <w:t>shares to Sponsor</w:t>
            </w:r>
          </w:p>
        </w:tc>
        <w:tc>
          <w:tcPr>
            <w:tcW w:w="380" w:type="dxa"/>
            <w:vAlign w:val="bottom"/>
          </w:tcPr>
          <w:p>
            <w:pPr>
              <w:jc w:val="right"/>
              <w:ind w:right="15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40"/>
              <w:spacing w:after="0"/>
              <w:rPr>
                <w:sz w:val="20"/>
                <w:szCs w:val="20"/>
                <w:color w:val="auto"/>
              </w:rPr>
            </w:pPr>
            <w:r>
              <w:rPr>
                <w:rFonts w:ascii="Arial" w:cs="Arial" w:eastAsia="Arial" w:hAnsi="Arial"/>
                <w:sz w:val="18"/>
                <w:szCs w:val="18"/>
                <w:color w:val="auto"/>
              </w:rPr>
              <w:t>15,961</w:t>
            </w:r>
          </w:p>
        </w:tc>
      </w:tr>
    </w:tbl>
    <w:p>
      <w:pPr>
        <w:spacing w:after="0" w:line="215" w:lineRule="exact"/>
        <w:rPr>
          <w:sz w:val="20"/>
          <w:szCs w:val="20"/>
          <w:color w:val="auto"/>
        </w:rPr>
      </w:pPr>
    </w:p>
    <w:p>
      <w:pPr>
        <w:ind w:left="2020"/>
        <w:spacing w:after="0"/>
        <w:rPr>
          <w:sz w:val="20"/>
          <w:szCs w:val="20"/>
          <w:color w:val="auto"/>
        </w:rPr>
      </w:pPr>
      <w:r>
        <w:rPr>
          <w:rFonts w:ascii="Arial" w:cs="Arial" w:eastAsia="Arial" w:hAnsi="Arial"/>
          <w:sz w:val="18"/>
          <w:szCs w:val="18"/>
          <w:i w:val="1"/>
          <w:iCs w:val="1"/>
          <w:color w:val="auto"/>
        </w:rPr>
        <w:t>The accompanying notes are an integral part of these financial statements.</w:t>
      </w:r>
    </w:p>
    <w:p>
      <w:pPr>
        <w:spacing w:after="0" w:line="185" w:lineRule="exact"/>
        <w:rPr>
          <w:sz w:val="20"/>
          <w:szCs w:val="20"/>
          <w:color w:val="auto"/>
        </w:rPr>
      </w:pPr>
    </w:p>
    <w:p>
      <w:pPr>
        <w:ind w:left="4380"/>
        <w:spacing w:after="0"/>
        <w:rPr>
          <w:sz w:val="20"/>
          <w:szCs w:val="20"/>
          <w:color w:val="auto"/>
        </w:rPr>
      </w:pPr>
      <w:r>
        <w:rPr>
          <w:rFonts w:ascii="Arial" w:cs="Arial" w:eastAsia="Arial" w:hAnsi="Arial"/>
          <w:sz w:val="18"/>
          <w:szCs w:val="18"/>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6" w:name="page157"/>
    <w:bookmarkEnd w:id="156"/>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1 — Description of Organization, Business Operations and Basis of Presentation</w:t>
      </w:r>
    </w:p>
    <w:p>
      <w:pPr>
        <w:spacing w:after="0" w:line="162" w:lineRule="exact"/>
        <w:rPr>
          <w:sz w:val="20"/>
          <w:szCs w:val="20"/>
          <w:color w:val="auto"/>
        </w:rPr>
      </w:pPr>
    </w:p>
    <w:p>
      <w:pPr>
        <w:ind w:left="460" w:right="499" w:firstLine="432"/>
        <w:spacing w:after="0" w:line="271" w:lineRule="auto"/>
        <w:rPr>
          <w:sz w:val="20"/>
          <w:szCs w:val="20"/>
          <w:color w:val="auto"/>
        </w:rPr>
      </w:pPr>
      <w:r>
        <w:rPr>
          <w:rFonts w:ascii="Arial" w:cs="Arial" w:eastAsia="Arial" w:hAnsi="Arial"/>
          <w:sz w:val="17"/>
          <w:szCs w:val="17"/>
          <w:color w:val="auto"/>
        </w:rPr>
        <w:t>Sustainable Opportunities Acquisition Corp. (the “Company”) is a newly organized blank check company incorporated as a Cayman Islands exempted company on December 18, 2019. The Company was incorporated for the purpose of effecting a merger, share exchange, asset acquisition, share purchase, reorganization or similar business combination with one or more businesses or entities (the “Business Combination”). The Company has not selected any Business Combination target and the Company has not, nor has anyone on its behalf, initiated any substantive discussions, directly or indirectly, with any Business Combination target. The Company is an emerging growth company and, as such, the Company is subject to all of the risks associated with emerging growth companies.</w:t>
      </w:r>
    </w:p>
    <w:p>
      <w:pPr>
        <w:spacing w:after="0" w:line="97" w:lineRule="exact"/>
        <w:rPr>
          <w:sz w:val="20"/>
          <w:szCs w:val="20"/>
          <w:color w:val="auto"/>
        </w:rPr>
      </w:pPr>
    </w:p>
    <w:p>
      <w:pPr>
        <w:ind w:left="460" w:right="499" w:firstLine="432"/>
        <w:spacing w:after="0" w:line="293" w:lineRule="auto"/>
        <w:rPr>
          <w:sz w:val="20"/>
          <w:szCs w:val="20"/>
          <w:color w:val="auto"/>
        </w:rPr>
      </w:pPr>
      <w:r>
        <w:rPr>
          <w:rFonts w:ascii="Arial" w:cs="Arial" w:eastAsia="Arial" w:hAnsi="Arial"/>
          <w:sz w:val="16"/>
          <w:szCs w:val="16"/>
          <w:color w:val="auto"/>
        </w:rPr>
        <w:t>As of December 31, 2019, the Company had not commenced any operations. All activity for the period from December 18, 2019 (inception) through December 31, 2019 relates to the Company’s formation and the proposed initial public offering described below. The Company will not generate any operating revenues until after the completion of its initial Business Combination, at the earliest. The Company will generate non-operating income in the form of interest income on cash and cash equivalents from the proceeds derived from the Proposed Public Offering (as defined below). The Company has selected December 31 as its fiscal year end.</w:t>
      </w:r>
    </w:p>
    <w:p>
      <w:pPr>
        <w:spacing w:after="0" w:line="97" w:lineRule="exact"/>
        <w:rPr>
          <w:sz w:val="20"/>
          <w:szCs w:val="20"/>
          <w:color w:val="auto"/>
        </w:rPr>
      </w:pPr>
    </w:p>
    <w:p>
      <w:pPr>
        <w:ind w:left="460" w:right="499" w:firstLine="432"/>
        <w:spacing w:after="0" w:line="254" w:lineRule="auto"/>
        <w:rPr>
          <w:sz w:val="20"/>
          <w:szCs w:val="20"/>
          <w:color w:val="auto"/>
        </w:rPr>
      </w:pPr>
      <w:r>
        <w:rPr>
          <w:rFonts w:ascii="Arial" w:cs="Arial" w:eastAsia="Arial" w:hAnsi="Arial"/>
          <w:sz w:val="18"/>
          <w:szCs w:val="18"/>
          <w:color w:val="auto"/>
        </w:rPr>
        <w:t>The Company’s sponsor is Sustainable Opportunities Holdings LLC, a Delaware limited liability company (the “Sponsor”). The Company’s ability to commence operations is contingent upon obtaining adequate financial resources through a proposed public offering (the “Proposed Public Offering”) of 30,000,000 units (each, a “Unit” and collectively, the “Units”) at $10.00 per Unit (or 34,500,000 units if the underwriter’s over-allotment option is exercised in full), which is discussed in Note 3, and the sale of 9,500,000 warrants (each, a “Private Placement Warrant” and collectively, the “Private Placement Warrants”) at a price of $1.00 per Private Placement Warrant in a private placement to the Sponsor that will close simultaneously with the Proposed Public Offering.</w:t>
      </w:r>
    </w:p>
    <w:p>
      <w:pPr>
        <w:spacing w:after="0" w:line="124" w:lineRule="exact"/>
        <w:rPr>
          <w:sz w:val="20"/>
          <w:szCs w:val="20"/>
          <w:color w:val="auto"/>
        </w:rPr>
      </w:pPr>
    </w:p>
    <w:p>
      <w:pPr>
        <w:ind w:left="460" w:right="459" w:firstLine="432"/>
        <w:spacing w:after="0" w:line="284" w:lineRule="auto"/>
        <w:rPr>
          <w:sz w:val="20"/>
          <w:szCs w:val="20"/>
          <w:color w:val="auto"/>
        </w:rPr>
      </w:pPr>
      <w:r>
        <w:rPr>
          <w:rFonts w:ascii="Arial" w:cs="Arial" w:eastAsia="Arial" w:hAnsi="Arial"/>
          <w:sz w:val="16"/>
          <w:szCs w:val="16"/>
          <w:color w:val="auto"/>
        </w:rPr>
        <w:t>The Company’s management has broad discretion with respect to the specific application of the net proceeds of the Proposed Public Offering and the sale of Private Placement Warrants, although substantially all of the net proceeds are intended to be applied generally toward consummating a Business Combination. There is no assurance that the Company will be able to complete a Business Combination successfully. The Company must complete one or more initial Business Combinations having an aggregate fair market value of at least 80% of the assets held in the Trust Account (as defined below) (excluding the deferred underwriting commissions and taxes payable on income earned on the Trust Account) at the time of the signing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Upon the closing of the Proposed Public Offering, management has agreed that an amount equal to at least $10.00 per Unit sold in the Proposed Public Offering, including the proceeds of the Private Placement Warrants, will be held in a trust account (“Trust Account”), located in the United States at J.P. Morgan Chase Bank, N.A., with Continental Stock Transfer &amp; Trust Company acting as trustee, and invested only in U.S. government securities, within the meaning set forth in Section 2(a)(16) of the Investment Company Act, with a maturity of 185 days or less or in any open-ended investment company that holds itself out as a money market fund selected by the Company meeting the conditions of paragraphs (d)(2), (d)(3) and (d)(4) of Rule 2a-7 of the Investment Company Act, as determined by the Company, until the earlier of: (i) the completion of a Business Combination and (ii) the distribution of the Trust Account as described below.</w:t>
      </w:r>
    </w:p>
    <w:p>
      <w:pPr>
        <w:spacing w:after="0" w:line="101" w:lineRule="exact"/>
        <w:rPr>
          <w:sz w:val="20"/>
          <w:szCs w:val="20"/>
          <w:color w:val="auto"/>
        </w:rPr>
      </w:pPr>
    </w:p>
    <w:p>
      <w:pPr>
        <w:ind w:left="460" w:right="559" w:firstLine="432"/>
        <w:spacing w:after="0" w:line="271" w:lineRule="auto"/>
        <w:rPr>
          <w:sz w:val="20"/>
          <w:szCs w:val="20"/>
          <w:color w:val="auto"/>
        </w:rPr>
      </w:pPr>
      <w:r>
        <w:rPr>
          <w:rFonts w:ascii="Arial" w:cs="Arial" w:eastAsia="Arial" w:hAnsi="Arial"/>
          <w:sz w:val="17"/>
          <w:szCs w:val="17"/>
          <w:color w:val="auto"/>
        </w:rPr>
        <w:t>The Company will provide the holders (the “Public Shareholders”) of its Class A ordinary shares, par value $0.0001 per share sold in the Proposed Public Offering (the “Public Shares”) with the opportunity to redeem all or a portion of their Public Shares upon the completion of a Business Combination either (i) in connection with a shareholder meeting called to approve the Business Combination or (ii) by means of a tender offer. The decision as to whether the Company will seek shareholder approval of a Business Combination or conduct a tender offer will be made by the Company, solely in its discretion. The Public Shareholders will be entitled to redeem their Public Shares for a pro rata portion of the amount then in the Trust Account (initially anticipated to be $10.00 per Public Share).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7" w:name="page158"/>
    <w:bookmarkEnd w:id="157"/>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89" w:lineRule="exact"/>
        <w:rPr>
          <w:sz w:val="20"/>
          <w:szCs w:val="20"/>
          <w:color w:val="auto"/>
        </w:rPr>
      </w:pPr>
    </w:p>
    <w:p>
      <w:pPr>
        <w:ind w:left="460" w:right="479"/>
        <w:spacing w:after="0" w:line="267" w:lineRule="auto"/>
        <w:rPr>
          <w:sz w:val="20"/>
          <w:szCs w:val="20"/>
          <w:color w:val="auto"/>
        </w:rPr>
      </w:pPr>
      <w:r>
        <w:rPr>
          <w:rFonts w:ascii="Arial" w:cs="Arial" w:eastAsia="Arial" w:hAnsi="Arial"/>
          <w:sz w:val="17"/>
          <w:szCs w:val="17"/>
          <w:color w:val="auto"/>
        </w:rPr>
        <w:t>The per-share amount to be distributed to Public Shareholders who redeem their Public Shares will not be reduced by the deferred underwriting commissions the Company will pay to the underwriter (as discussed in Note 5). These Public Shares will be recorded at a redemption value and classified as temporary equity upon the completion of the Proposed Public Offering in accordance with the Financial Accounting Standards Board’s (“FASB”) Accounting Standards Codification (“ASC”) Topic 480 “Distinguishing Liabilities from Equity.” In such case, the Company will proceed with a Business Combination if the Company has net tangible assets of at least $5,000,001 upon such consummation of a Business Combination and a majority of the shares voted are voted in favor of the Business Combination. If a shareholder vote is not required by law and the Company does not decide to hold a shareholder vote for business or other legal reasons, the Company will, pursuant to the amended and restated memorandum and articles of association, which the Company will adopt upon the consummation of the Proposed Public Offering (the “Amended and Restated Memorandum and Articles of Association”) conduct the redemptions pursuant to the tender offer rules of the U.S. Securities and Exchange Commission (“SEC”) and file tender offer documents with the SEC prior to completing a Business Combination. If, however, shareholder approval of the transactions is required by law, or the Company decides to obtain shareholder approval for business or legal reasons, the Company will offer to redeem shares in conjunction with a proxy solicitation pursuant to the proxy rules and not pursuant to the tender offer rules. Additionally, each Public Shareholder may elect to redeem their Public Shares irrespective of whether they vote for or against the proposed transaction. If the Company seeks shareholder approval in connection with a Business Combination, the initial shareholders (as defined below) have agreed to vote their Founder Shares (as defined below in Note 4) and any Public Shares purchased during or after the Proposed Public Offering in favor of a Business Combination. In addition, the initial shareholders have agreed to waive their redemption rights with respect to their Founder Shares and Public Shares in connection with the completion of a Business Combination.</w:t>
      </w:r>
    </w:p>
    <w:p>
      <w:pPr>
        <w:spacing w:after="0" w:line="115" w:lineRule="exact"/>
        <w:rPr>
          <w:sz w:val="20"/>
          <w:szCs w:val="20"/>
          <w:color w:val="auto"/>
        </w:rPr>
      </w:pPr>
    </w:p>
    <w:p>
      <w:pPr>
        <w:ind w:left="460" w:right="499" w:firstLine="432"/>
        <w:spacing w:after="0" w:line="273" w:lineRule="auto"/>
        <w:rPr>
          <w:sz w:val="20"/>
          <w:szCs w:val="20"/>
          <w:color w:val="auto"/>
        </w:rPr>
      </w:pPr>
      <w:r>
        <w:rPr>
          <w:rFonts w:ascii="Arial" w:cs="Arial" w:eastAsia="Arial" w:hAnsi="Arial"/>
          <w:sz w:val="17"/>
          <w:szCs w:val="17"/>
          <w:color w:val="auto"/>
        </w:rPr>
        <w:t>Notwithstanding the foregoing, the Amended and Restated Memorandum and Articles of Association will provide that a Public Shareholder, together with any affiliate of such shareholder or any other person with whom such shareholder is acting in concert or as a “group” (as defined under Section 13 of the Securities Exchange Act of 1934, as amended (the “Exchange Act”)), will be restricted from redeeming its shares with respect to more than an aggregate of 15% or more of the Class A ordinary shares sold in the Proposed Public Offering, without the prior consent of the Company.</w:t>
      </w:r>
    </w:p>
    <w:p>
      <w:pPr>
        <w:spacing w:after="0" w:line="110" w:lineRule="exact"/>
        <w:rPr>
          <w:sz w:val="20"/>
          <w:szCs w:val="20"/>
          <w:color w:val="auto"/>
        </w:rPr>
      </w:pPr>
    </w:p>
    <w:p>
      <w:pPr>
        <w:ind w:left="460" w:right="579" w:firstLine="432"/>
        <w:spacing w:after="0" w:line="291" w:lineRule="auto"/>
        <w:rPr>
          <w:sz w:val="20"/>
          <w:szCs w:val="20"/>
          <w:color w:val="auto"/>
        </w:rPr>
      </w:pPr>
      <w:r>
        <w:rPr>
          <w:rFonts w:ascii="Arial" w:cs="Arial" w:eastAsia="Arial" w:hAnsi="Arial"/>
          <w:sz w:val="16"/>
          <w:szCs w:val="16"/>
          <w:color w:val="auto"/>
        </w:rPr>
        <w:t>The Company’s Sponsor, officers and directors (the “initial shareholders”) have agreed not to propose an amendment to the Amended and Restated Memorandum and Articles of Association that would affect the substance or timing of the Company’s obligation to provide holders of our Public Shares the right to have their shares redeemed in connection with our initial business combination or to redeem 100% of its Public Shares if the Company does not complete a Business Combination within 18 months from the closing of the Proposed Public Offering (the “Combination Period”) unless the Company provides the Public Shareholders with the opportunity to redeem their Class A ordinary shares in conjunction with any such amendment.</w:t>
      </w:r>
    </w:p>
    <w:p>
      <w:pPr>
        <w:spacing w:after="0" w:line="85"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If the Company is unable to complete a Business Combination within the Combination Period, the Company will: (i) cease all operations except for the purpose of winding up; (ii) as promptly as reasonably possible but not more than ten business days thereafter, redeem the Public Shares, at a per-share price, payable in cash, equal to the aggregate amount then on deposit in the Trust Account, including interest earned on the funds held in the Trust Account and not previously released to the Company to pay for its tax obligations, if any (less up to $100,000 of interest to pay dissolution expenses) divided by the number of the then-outstanding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our remaining shareholders and the Company’s board of directors, liquidate and dissolve, subject in the case of clauses (ii) and (iii), to the Company’s obligations under Cayman Islands law to provide for claims of creditors and the requirements of other applicable law.</w:t>
      </w:r>
    </w:p>
    <w:p>
      <w:pPr>
        <w:spacing w:after="0" w:line="1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8" w:name="page159"/>
    <w:bookmarkEnd w:id="158"/>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1 — Description of Organization, Business Operations and Basis of Presentation </w:t>
      </w:r>
      <w:r>
        <w:rPr>
          <w:rFonts w:ascii="Arial" w:cs="Arial" w:eastAsia="Arial" w:hAnsi="Arial"/>
          <w:sz w:val="18"/>
          <w:szCs w:val="18"/>
          <w:color w:val="auto"/>
        </w:rPr>
        <w:t>(cont.)</w:t>
      </w:r>
    </w:p>
    <w:p>
      <w:pPr>
        <w:spacing w:after="0" w:line="189" w:lineRule="exact"/>
        <w:rPr>
          <w:sz w:val="20"/>
          <w:szCs w:val="20"/>
          <w:color w:val="auto"/>
        </w:rPr>
      </w:pPr>
    </w:p>
    <w:p>
      <w:pPr>
        <w:ind w:left="460" w:right="479" w:firstLine="432"/>
        <w:spacing w:after="0" w:line="284" w:lineRule="auto"/>
        <w:rPr>
          <w:sz w:val="20"/>
          <w:szCs w:val="20"/>
          <w:color w:val="auto"/>
        </w:rPr>
      </w:pPr>
      <w:r>
        <w:rPr>
          <w:rFonts w:ascii="Arial" w:cs="Arial" w:eastAsia="Arial" w:hAnsi="Arial"/>
          <w:sz w:val="16"/>
          <w:szCs w:val="16"/>
          <w:color w:val="auto"/>
        </w:rPr>
        <w:t>The initial shareholders have agreed to waive their liquidation rights with respect to the Founder Shares if the Company fails to complete a Business Combination within the Combination Period. However, if the initial shareholders acquire Public Shares in or after the Proposed Public Offering, they will be entitled to liquidating distributions from the Trust Account with respect to such Public Shares if the Company fails to complete a Business Combination within the Combination Period. The underwriter has agreed to waive its rights to its deferred underwriting commission (see Note 5) held in the Trust Account in the event the Company does not complete a Business Combination within in the Combination Period and, in such event, such amounts will be included with the other funds held in the Trust Account that will be available to fund the redemption of the Public Shares. In the event of such distribution, it is possible that the per share value of the residual assets remaining available for distribution (including Trust Account assets) will be only $10.00 per share initially held in the Trust Account. In order to protect the amounts held in the Trust Account, the Sponsor has agreed to be liable to the Company if and to the extent any claims by a third party for services rendered or products sold to the Company, or a prospective target business with which the Company has discussed entering into a transaction agreement, reduce the amount of funds in the Trust Account. This liability will not apply with respect to any claims by a third party who executed a waiver of any right, title, interest or claim of any kind in or to any monies held in the Trust Account or to any claims under the Company’s indemnity of the underwriter of the Proposed Public Offering against certain liabilities, including liabilities under the Securities Act of 1933, as amended (the “Securities Act”). Moreover, in the event that an executed waiver is deemed to be unenforceable against a third party, the Sponsor will not be responsible to the extent of any liability for such third party claims. The Company will seek to reduce the possibility that the Sponsor will have to indemnify the Trust Account due to claims of creditors by endeavoring to have all vendors, service providers, prospective target businesses or other entities with which the Company does business, execute agreements with the Company waiving any right, title, interest or claim of any kind in or to monies held in the Trust Account.</w:t>
      </w:r>
    </w:p>
    <w:p>
      <w:pPr>
        <w:spacing w:after="0" w:line="177"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Going Concern Consideration</w:t>
      </w:r>
    </w:p>
    <w:p>
      <w:pPr>
        <w:spacing w:after="0" w:line="158"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As of December 31, 2019, the Company has no cash and a working capital deficit of approximately $88,000. As a result, the Company does not have sufficient liquidity to meet its anticipated obligations over the next year from the issuance date of these financial statements. In connection with the Company’s assessment of going concern considerations in accordance with FASB’s Accounting Standards Update (“ASU”) 2014-15, “Disclosures of Uncertainties about an Entity’s Ability to Continue as a Going Concern,” management has determined that these conditions raise substantial doubt about the Company’s ability to continue as a going concern within one year after the date that the financial statements are issued. Management plans to address this uncertainty through a Proposed Public Offering as discussed in Note 3. There is no assurance that the Company’s plans to raise capital or consummate a Business Combination will be successful. The Company currently relies on the Sponsor to provide working capital needs until the consummation of the Proposed Public Offering.</w:t>
      </w:r>
    </w:p>
    <w:p>
      <w:pPr>
        <w:spacing w:after="0" w:line="178"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2 — Summary of Significant Accounting Policies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158" w:lineRule="exact"/>
        <w:rPr>
          <w:sz w:val="20"/>
          <w:szCs w:val="20"/>
          <w:color w:val="auto"/>
        </w:rPr>
      </w:pPr>
    </w:p>
    <w:p>
      <w:pPr>
        <w:ind w:left="460" w:right="859" w:firstLine="432"/>
        <w:spacing w:after="0" w:line="263" w:lineRule="auto"/>
        <w:rPr>
          <w:sz w:val="20"/>
          <w:szCs w:val="20"/>
          <w:color w:val="auto"/>
        </w:rPr>
      </w:pPr>
      <w:r>
        <w:rPr>
          <w:rFonts w:ascii="Arial" w:cs="Arial" w:eastAsia="Arial" w:hAnsi="Arial"/>
          <w:sz w:val="18"/>
          <w:szCs w:val="18"/>
          <w:color w:val="auto"/>
        </w:rPr>
        <w:t>The accompanying financial statements are presented in U.S. dollars in conformity with accounting principles generally accepted in the United States of America (“U.S. GAAP”) and pursuant to the rules and regulations of the SEC.</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Emerging Growth Company</w:t>
      </w:r>
    </w:p>
    <w:p>
      <w:pPr>
        <w:spacing w:after="0" w:line="144" w:lineRule="exact"/>
        <w:rPr>
          <w:sz w:val="20"/>
          <w:szCs w:val="20"/>
          <w:color w:val="auto"/>
        </w:rPr>
      </w:pPr>
    </w:p>
    <w:p>
      <w:pPr>
        <w:ind w:left="460" w:right="479" w:firstLine="432"/>
        <w:spacing w:after="0" w:line="255" w:lineRule="auto"/>
        <w:rPr>
          <w:sz w:val="20"/>
          <w:szCs w:val="20"/>
          <w:color w:val="auto"/>
        </w:rPr>
      </w:pPr>
      <w:r>
        <w:rPr>
          <w:rFonts w:ascii="Arial" w:cs="Arial" w:eastAsia="Arial" w:hAnsi="Arial"/>
          <w:sz w:val="18"/>
          <w:szCs w:val="18"/>
          <w:color w:val="auto"/>
        </w:rPr>
        <w:t>Section 102(b)(1) of the Jumpstart Our Business Startups Act of 2012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an emerging growth company can elect to opt out of the extended</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59" w:name="page160"/>
    <w:bookmarkEnd w:id="159"/>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189" w:lineRule="exact"/>
        <w:rPr>
          <w:sz w:val="20"/>
          <w:szCs w:val="20"/>
          <w:color w:val="auto"/>
        </w:rPr>
      </w:pPr>
    </w:p>
    <w:p>
      <w:pPr>
        <w:ind w:left="460" w:right="519"/>
        <w:spacing w:after="0" w:line="275" w:lineRule="auto"/>
        <w:rPr>
          <w:sz w:val="20"/>
          <w:szCs w:val="20"/>
          <w:color w:val="auto"/>
        </w:rPr>
      </w:pPr>
      <w:r>
        <w:rPr>
          <w:rFonts w:ascii="Arial" w:cs="Arial" w:eastAsia="Arial" w:hAnsi="Arial"/>
          <w:sz w:val="17"/>
          <w:szCs w:val="17"/>
          <w:color w:val="auto"/>
        </w:rPr>
        <w:t>transition period and comply with the requirements that apply to non-emerging growth companies but any such an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w:t>
      </w:r>
    </w:p>
    <w:p>
      <w:pPr>
        <w:spacing w:after="0" w:line="109"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color w:val="auto"/>
        </w:rPr>
        <w:t>This may make comparison of the Company’s financial statements with another public company that is neither an emerging growth company nor an emerging growth company that has opted out of using the extended transition period difficult or impossible because of the potential differences in accounting standards used.</w:t>
      </w:r>
    </w:p>
    <w:p>
      <w:pPr>
        <w:spacing w:after="0" w:line="14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Net Loss Per Ordinary Share</w:t>
      </w:r>
    </w:p>
    <w:p>
      <w:pPr>
        <w:spacing w:after="0" w:line="158"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Company complies with accounting and disclosure requirements of FASB ASC Topic 260, “Earnings Per Share.” Net loss per share is computed by dividing net loss by the weighted average number of ordinary shares outstanding during the period. Weighted average shares were reduced for the effect of an aggregate of 1,125,000 ordinary shares that are subject to forfeiture if the over-allotment option is not exercised by the underwriters. At December 31, 2019, the Company did not have any dilutive securities and other contracts that could, potentially, be exercised or converted into ordinary shares and then share in the earnings of the Company. As a result, diluted loss per share is the same as basic loss per share for the period presented.</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Concentration of Credit Risk</w:t>
      </w:r>
    </w:p>
    <w:p>
      <w:pPr>
        <w:spacing w:after="0" w:line="144" w:lineRule="exact"/>
        <w:rPr>
          <w:sz w:val="20"/>
          <w:szCs w:val="20"/>
          <w:color w:val="auto"/>
        </w:rPr>
      </w:pPr>
    </w:p>
    <w:p>
      <w:pPr>
        <w:ind w:left="460" w:right="539" w:firstLine="432"/>
        <w:spacing w:after="0" w:line="279" w:lineRule="auto"/>
        <w:rPr>
          <w:sz w:val="20"/>
          <w:szCs w:val="20"/>
          <w:color w:val="auto"/>
        </w:rPr>
      </w:pPr>
      <w:r>
        <w:rPr>
          <w:rFonts w:ascii="Arial" w:cs="Arial" w:eastAsia="Arial" w:hAnsi="Arial"/>
          <w:sz w:val="17"/>
          <w:szCs w:val="17"/>
          <w:color w:val="auto"/>
        </w:rPr>
        <w:t>Financial instruments that potentially subject the Company to concentrations of credit risk consist of cash accounts in a financial institution, which, at times, may exceed the Federal Depository Insurance Coverage of $250,000. At December 31, 2019, the Company has not experienced losses on these accounts and management believes the Company is not exposed to significant risks on such accounts.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Instruments</w:t>
      </w:r>
    </w:p>
    <w:p>
      <w:pPr>
        <w:spacing w:after="0" w:line="15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color w:val="auto"/>
        </w:rPr>
        <w:t>The fair value of the Company’s assets and liabilities, which qualify as financial instruments under the FASB ASC 820, “Fair Value Measurements and Disclosures,” approximates the carrying amounts represented in the balance sheet primarily due to their short-term nature.</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Use of Estimates</w:t>
      </w:r>
    </w:p>
    <w:p>
      <w:pPr>
        <w:spacing w:after="0" w:line="158" w:lineRule="exact"/>
        <w:rPr>
          <w:sz w:val="20"/>
          <w:szCs w:val="20"/>
          <w:color w:val="auto"/>
        </w:rPr>
      </w:pPr>
    </w:p>
    <w:p>
      <w:pPr>
        <w:ind w:left="460" w:right="559" w:firstLine="432"/>
        <w:spacing w:after="0" w:line="279" w:lineRule="auto"/>
        <w:rPr>
          <w:sz w:val="20"/>
          <w:szCs w:val="20"/>
          <w:color w:val="auto"/>
        </w:rPr>
      </w:pPr>
      <w:r>
        <w:rPr>
          <w:rFonts w:ascii="Arial" w:cs="Arial" w:eastAsia="Arial" w:hAnsi="Arial"/>
          <w:sz w:val="17"/>
          <w:szCs w:val="17"/>
          <w:color w:val="auto"/>
        </w:rPr>
        <w:t>The preparation of financial statements in conformity with U.S. GAAP requires the Company’s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Deferred Offering Costs Associated with the Proposed Public Offering</w:t>
      </w:r>
    </w:p>
    <w:p>
      <w:pPr>
        <w:spacing w:after="0" w:line="144" w:lineRule="exact"/>
        <w:rPr>
          <w:sz w:val="20"/>
          <w:szCs w:val="20"/>
          <w:color w:val="auto"/>
        </w:rPr>
      </w:pPr>
    </w:p>
    <w:p>
      <w:pPr>
        <w:ind w:left="460" w:right="719" w:firstLine="432"/>
        <w:spacing w:after="0" w:line="257" w:lineRule="auto"/>
        <w:rPr>
          <w:sz w:val="20"/>
          <w:szCs w:val="20"/>
          <w:color w:val="auto"/>
        </w:rPr>
      </w:pPr>
      <w:r>
        <w:rPr>
          <w:rFonts w:ascii="Arial" w:cs="Arial" w:eastAsia="Arial" w:hAnsi="Arial"/>
          <w:sz w:val="18"/>
          <w:szCs w:val="18"/>
          <w:color w:val="auto"/>
        </w:rPr>
        <w:t>Deferred offering costs consist of legal, accounting, underwriting fees and other costs incurred through the balance sheet date that are directly related to the Proposed Public Offering and that will be charged to additional paid-in capital upon the completion of the Proposed Public Offering. Should the Proposed Public Offering prove to be unsuccessful, these deferred costs, as well as additional expenses to be incurred, will be charged to operations.</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0" w:name="page161"/>
    <w:bookmarkEnd w:id="160"/>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2 — Summary of Significant Accounting Policies </w:t>
      </w:r>
      <w:r>
        <w:rPr>
          <w:rFonts w:ascii="Arial" w:cs="Arial" w:eastAsia="Arial" w:hAnsi="Arial"/>
          <w:sz w:val="18"/>
          <w:szCs w:val="18"/>
          <w:color w:val="auto"/>
        </w:rPr>
        <w:t>(cont.)</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Income Taxes</w:t>
      </w:r>
    </w:p>
    <w:p>
      <w:pPr>
        <w:spacing w:after="0" w:line="158"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The Company follows the asset and liability method of accounting for income taxes under FASB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97" w:lineRule="exact"/>
        <w:rPr>
          <w:sz w:val="20"/>
          <w:szCs w:val="20"/>
          <w:color w:val="auto"/>
        </w:rPr>
      </w:pPr>
    </w:p>
    <w:p>
      <w:pPr>
        <w:ind w:left="460" w:right="499" w:firstLine="432"/>
        <w:spacing w:after="0" w:line="269" w:lineRule="auto"/>
        <w:rPr>
          <w:sz w:val="20"/>
          <w:szCs w:val="20"/>
          <w:color w:val="auto"/>
        </w:rPr>
      </w:pPr>
      <w:r>
        <w:rPr>
          <w:rFonts w:ascii="Arial" w:cs="Arial" w:eastAsia="Arial" w:hAnsi="Arial"/>
          <w:sz w:val="17"/>
          <w:szCs w:val="17"/>
          <w:color w:val="auto"/>
        </w:rPr>
        <w:t>FASB 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There were no unrecognized tax benefits as of December 31, 2019. The Company’s management determined that the Cayman Islands is the Company’s only major tax jurisdiction. The Company recognizes accrued interest and penalties related to unrecognized tax benefits as income tax expense. No amounts were accrued for the payment of interest and penalties for the period from December 18, 2019 (inception) through December 31, 2019.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18" w:lineRule="exact"/>
        <w:rPr>
          <w:sz w:val="20"/>
          <w:szCs w:val="20"/>
          <w:color w:val="auto"/>
        </w:rPr>
      </w:pPr>
    </w:p>
    <w:p>
      <w:pPr>
        <w:jc w:val="both"/>
        <w:ind w:left="460" w:right="499" w:firstLine="432"/>
        <w:spacing w:after="0" w:line="263" w:lineRule="auto"/>
        <w:rPr>
          <w:sz w:val="20"/>
          <w:szCs w:val="20"/>
          <w:color w:val="auto"/>
        </w:rPr>
      </w:pPr>
      <w:r>
        <w:rPr>
          <w:rFonts w:ascii="Arial" w:cs="Arial" w:eastAsia="Arial" w:hAnsi="Arial"/>
          <w:sz w:val="18"/>
          <w:szCs w:val="18"/>
          <w:color w:val="auto"/>
        </w:rPr>
        <w:t>The Company is considered an exempted Cayman Islands company and is presently not subject to income taxes or income tax filing requirements in the Cayman Islands or the United States. As such, the Company’s tax provision is zero for the period presented.</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158" w:lineRule="exact"/>
        <w:rPr>
          <w:sz w:val="20"/>
          <w:szCs w:val="20"/>
          <w:color w:val="auto"/>
        </w:rPr>
      </w:pPr>
    </w:p>
    <w:p>
      <w:pPr>
        <w:ind w:left="460" w:right="479" w:firstLine="432"/>
        <w:spacing w:after="0" w:line="285" w:lineRule="auto"/>
        <w:rPr>
          <w:sz w:val="20"/>
          <w:szCs w:val="20"/>
          <w:color w:val="auto"/>
        </w:rPr>
      </w:pPr>
      <w:r>
        <w:rPr>
          <w:rFonts w:ascii="Arial" w:cs="Arial" w:eastAsia="Arial" w:hAnsi="Arial"/>
          <w:sz w:val="16"/>
          <w:szCs w:val="16"/>
          <w:color w:val="auto"/>
        </w:rPr>
        <w:t>In July 2017, the FASB issued ASU 2017-11, Earnings Per Share (Topic 260), Distinguishing Liabilities from Equity (Topic 480) and Derivatives and Hedging (Topic 815): Part I. Accounting for Certain Financial Instruments with Down Round Features; Part II. Replacement of the Indefinite Deferral for Mandatorily Redeemable Financial Instruments of Certain Nonpublic Entities and Certain Mandatorily Redeemable Noncontrolling Interests with a Scope Exception. Part I of this update addresses the complexity of accounting for certain financial instruments with down round features. Down round features are features of certain equity-linked instruments (or embedded features) that result in the strike price being reduced on the basis of the pricing of future equity offerings. Also, entities must adjust their basic Earnings Per Share (“EPS”) calculation for the effect of the down round provision when triggered (that is, when the exercise price of the related equity-linked financial instrument is adjusted downward because of the down round feature). That effect is treated as a dividend and as a reduction of income available to common shareholders in basic EPS. An entity will also recognize the effect of the trigger within equity. The guidance is effective for fiscal years, and interim periods within those fiscal years, beginning after December 15, 2018. The Company adopted this guidance. The adoption of this guidance is not expected to have a material impact on the Company’s financial position, results of operations, cash flows or disclosures until a trigger event occurs. Part II of this update addresses the difficulty of navigating Topic 480, Distinguishing Liabilities from Equity, because of the existence of extensive pending content in the FASB Accounting Standards Codification. This pending content is the result of the indefinite deferral of accounting requirements about mandatorily redeemable financial instruments of certain nonpublic entities and certain mandatorily redeemable noncontrolling interests. The amendments in Part II of this update are not expected to have an impact on the Company.</w:t>
      </w:r>
    </w:p>
    <w:p>
      <w:pPr>
        <w:spacing w:after="0" w:line="304" w:lineRule="exact"/>
        <w:rPr>
          <w:sz w:val="20"/>
          <w:szCs w:val="20"/>
          <w:color w:val="auto"/>
        </w:rPr>
      </w:pPr>
    </w:p>
    <w:p>
      <w:pPr>
        <w:ind w:left="460" w:right="659" w:firstLine="432"/>
        <w:spacing w:after="0" w:line="342" w:lineRule="auto"/>
        <w:rPr>
          <w:sz w:val="20"/>
          <w:szCs w:val="20"/>
          <w:color w:val="auto"/>
        </w:rPr>
      </w:pPr>
      <w:r>
        <w:rPr>
          <w:rFonts w:ascii="Arial" w:cs="Arial" w:eastAsia="Arial" w:hAnsi="Arial"/>
          <w:sz w:val="16"/>
          <w:szCs w:val="16"/>
          <w:color w:val="auto"/>
        </w:rPr>
        <w:t>The Company’s management does not believe that any recently issued, but not yet effective, accounting standards, if currently adopted, would have a material effect on the accompanying financial statements.</w:t>
      </w:r>
    </w:p>
    <w:p>
      <w:pPr>
        <w:spacing w:after="0" w:line="9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1" w:name="page162"/>
    <w:bookmarkEnd w:id="161"/>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3 — Proposed Public Offering</w:t>
      </w:r>
    </w:p>
    <w:p>
      <w:pPr>
        <w:spacing w:after="0" w:line="162" w:lineRule="exact"/>
        <w:rPr>
          <w:sz w:val="20"/>
          <w:szCs w:val="20"/>
          <w:color w:val="auto"/>
        </w:rPr>
      </w:pPr>
    </w:p>
    <w:p>
      <w:pPr>
        <w:ind w:left="460" w:right="739" w:firstLine="432"/>
        <w:spacing w:after="0" w:line="279" w:lineRule="auto"/>
        <w:rPr>
          <w:sz w:val="20"/>
          <w:szCs w:val="20"/>
          <w:color w:val="auto"/>
        </w:rPr>
      </w:pPr>
      <w:r>
        <w:rPr>
          <w:rFonts w:ascii="Arial" w:cs="Arial" w:eastAsia="Arial" w:hAnsi="Arial"/>
          <w:sz w:val="17"/>
          <w:szCs w:val="17"/>
          <w:color w:val="auto"/>
        </w:rPr>
        <w:t>Pursuant to the Proposed Public Offering, the Company intends to offer for sale 30,000,000 Units at a price of $10.00 per Unit. Each Unit consists of one Class A ordinary share and one-half of one redeemable warrant (each, a “Public Warrant”). Each Public Warrant entitles the holder to purchase one Class A ordinary share at a price of $11.50 per share, subject to adjustment (see Note 6).</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4 — Related Party Transactions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Founder Shares</w:t>
      </w:r>
    </w:p>
    <w:p>
      <w:pPr>
        <w:spacing w:after="0" w:line="144" w:lineRule="exact"/>
        <w:rPr>
          <w:sz w:val="20"/>
          <w:szCs w:val="20"/>
          <w:color w:val="auto"/>
        </w:rPr>
      </w:pPr>
    </w:p>
    <w:p>
      <w:pPr>
        <w:ind w:left="460" w:right="459" w:firstLine="432"/>
        <w:spacing w:after="0" w:line="287" w:lineRule="auto"/>
        <w:rPr>
          <w:sz w:val="20"/>
          <w:szCs w:val="20"/>
          <w:color w:val="auto"/>
        </w:rPr>
      </w:pPr>
      <w:r>
        <w:rPr>
          <w:rFonts w:ascii="Arial" w:cs="Arial" w:eastAsia="Arial" w:hAnsi="Arial"/>
          <w:sz w:val="16"/>
          <w:szCs w:val="16"/>
          <w:color w:val="auto"/>
        </w:rPr>
        <w:t>On December 31, 2019, the Sponsor purchased 8,625,000 shares (the “Founder Shares”) of the Company’s Class B ordinary shares, par value $0.0001 for an aggregate price of $25,000. The Founder Shares will automatically convert into Class A ordinary shares at the time of the Company’s initial Business Combination and are subject to certain transfer restrictions, as described in Note 6. The Sponsor has agreed to forfeit up to 1,125,000 Founder Shares to the extent that the over-allotment option is not exercised in full by the underwriter. The forfeiture will be adjusted to the extent that the over-allotment option is not exercised in full by the underwriter so that the Founder Shares will represent 20.0% of the Company’s issued and outstanding shares after the Proposed Public Offering. If the Company increases or decreases the size of the Proposed Public Offering, the Company will effect a share dividend or share contribution back to capital, as applicable, prior to the consummation of the Proposed Public Offering in such amount as to maintain the Founder Share ownership of the Company’s shareholders prior to the Proposed Public Offering at 20% of the Company’s issued and outstanding ordinary shares upon the consummation of the Proposed Public Offering.</w:t>
      </w:r>
    </w:p>
    <w:p>
      <w:pPr>
        <w:spacing w:after="0" w:line="100" w:lineRule="exact"/>
        <w:rPr>
          <w:sz w:val="20"/>
          <w:szCs w:val="20"/>
          <w:color w:val="auto"/>
        </w:rPr>
      </w:pPr>
    </w:p>
    <w:p>
      <w:pPr>
        <w:ind w:left="460" w:right="519" w:firstLine="432"/>
        <w:spacing w:after="0" w:line="290" w:lineRule="auto"/>
        <w:rPr>
          <w:sz w:val="20"/>
          <w:szCs w:val="20"/>
          <w:color w:val="auto"/>
        </w:rPr>
      </w:pPr>
      <w:r>
        <w:rPr>
          <w:rFonts w:ascii="Arial" w:cs="Arial" w:eastAsia="Arial" w:hAnsi="Arial"/>
          <w:sz w:val="16"/>
          <w:szCs w:val="16"/>
          <w:color w:val="auto"/>
        </w:rPr>
        <w:t>The initial shareholders will agree, subject to limited exceptions, not to transfer, assign or sell any of their Founder Shares until the earlier to occur of: (A) one year after the completion of the initial Business Combination or (B) subsequent to the initial Business Combination, (x) if the last sale price of the Class A ordinary shares equals or exceeds $12.00 per share (as adjusted for share subdivisions, share capitalizations, reorganizations, recapitalizations and the like) for any 20 trading days within any 30-trading day period commencing at least 150 days after the initial Business Combination, or (y) the date on which the Company completes a liquidation, merger, share exchange or other similar transaction that results in all of the Company’s shareholders having the right to exchange their Class A ordinary shares for cash, securities or other property.</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Private Placement Warrants</w:t>
      </w:r>
    </w:p>
    <w:p>
      <w:pPr>
        <w:spacing w:after="0" w:line="158"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The Sponsor will agree to purchase an aggregate of 9,500,000 Private Placement Warrants at a price of $1.00 per Private Placement Warrant (or $9.5 million in the aggregate) in a private placement that will occur simultaneously with the closing of the Proposed Public Offering. Each Private Placement Warrant is exercisable for one whole Class A ordinary share at a price of $11.50 per share. A portion of the proceeds from the sale of the Private Placement Warrants will be added to the proceeds from the Proposed Public Offering to be held in the Trust Account. If the Company does not complete a Business Combination within the Combination Period, the Private Placement Warrants will expire worthless. The Private Placement Warrants will be non-redeemable and exercisable on a cashless basis so long as they are held by the Sponsor or its permitted transferees.</w:t>
      </w:r>
    </w:p>
    <w:p>
      <w:pPr>
        <w:spacing w:after="0" w:line="115" w:lineRule="exact"/>
        <w:rPr>
          <w:sz w:val="20"/>
          <w:szCs w:val="20"/>
          <w:color w:val="auto"/>
        </w:rPr>
      </w:pPr>
    </w:p>
    <w:p>
      <w:pPr>
        <w:ind w:left="460" w:right="679" w:firstLine="432"/>
        <w:spacing w:after="0" w:line="263" w:lineRule="auto"/>
        <w:rPr>
          <w:sz w:val="20"/>
          <w:szCs w:val="20"/>
          <w:color w:val="auto"/>
        </w:rPr>
      </w:pPr>
      <w:r>
        <w:rPr>
          <w:rFonts w:ascii="Arial" w:cs="Arial" w:eastAsia="Arial" w:hAnsi="Arial"/>
          <w:sz w:val="18"/>
          <w:szCs w:val="18"/>
          <w:color w:val="auto"/>
        </w:rPr>
        <w:t>The Sponsor and the Company’s officers and directors will agree, subject to limited exceptions, not to transfer, assign or sell any of their Private Placement Warrants until 30 days after the completion of the initial Business Combination.</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Related Party Transactions</w:t>
      </w:r>
    </w:p>
    <w:p>
      <w:pPr>
        <w:spacing w:after="0" w:line="158" w:lineRule="exact"/>
        <w:rPr>
          <w:sz w:val="20"/>
          <w:szCs w:val="20"/>
          <w:color w:val="auto"/>
        </w:rPr>
      </w:pPr>
    </w:p>
    <w:p>
      <w:pPr>
        <w:ind w:left="460" w:right="519" w:firstLine="432"/>
        <w:spacing w:after="0" w:line="279" w:lineRule="auto"/>
        <w:rPr>
          <w:sz w:val="20"/>
          <w:szCs w:val="20"/>
          <w:color w:val="auto"/>
        </w:rPr>
      </w:pPr>
      <w:r>
        <w:rPr>
          <w:rFonts w:ascii="Arial" w:cs="Arial" w:eastAsia="Arial" w:hAnsi="Arial"/>
          <w:sz w:val="17"/>
          <w:szCs w:val="17"/>
          <w:color w:val="auto"/>
        </w:rPr>
        <w:t>On December 31, 2019, the Sponsor agreed to loan the Company an aggregate of up to $300,000 to cover expenses related to the Proposed Public Offering pursuant to a promissory note (the “Note”). This loan is non-interest bearing and payable on the earlier of June 30, 2020 or the completion of the Proposed Public Offering. As of December 31, 2019, the Company has not borrowed any amount under the Note.</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2" w:name="page163"/>
    <w:bookmarkEnd w:id="162"/>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4 — Related Party Transactions </w:t>
      </w:r>
      <w:r>
        <w:rPr>
          <w:rFonts w:ascii="Arial" w:cs="Arial" w:eastAsia="Arial" w:hAnsi="Arial"/>
          <w:sz w:val="18"/>
          <w:szCs w:val="18"/>
          <w:color w:val="auto"/>
        </w:rPr>
        <w:t>(cont.)</w:t>
      </w:r>
    </w:p>
    <w:p>
      <w:pPr>
        <w:spacing w:after="0" w:line="189" w:lineRule="exact"/>
        <w:rPr>
          <w:sz w:val="20"/>
          <w:szCs w:val="20"/>
          <w:color w:val="auto"/>
        </w:rPr>
      </w:pPr>
    </w:p>
    <w:p>
      <w:pPr>
        <w:ind w:left="460" w:right="519" w:firstLine="432"/>
        <w:spacing w:after="0" w:line="263" w:lineRule="auto"/>
        <w:rPr>
          <w:sz w:val="20"/>
          <w:szCs w:val="20"/>
          <w:color w:val="auto"/>
        </w:rPr>
      </w:pPr>
      <w:r>
        <w:rPr>
          <w:rFonts w:ascii="Arial" w:cs="Arial" w:eastAsia="Arial" w:hAnsi="Arial"/>
          <w:sz w:val="18"/>
          <w:szCs w:val="18"/>
          <w:color w:val="auto"/>
        </w:rPr>
        <w:t>As of December 31, 2019, the Company has approximately $23,000 in accounts payable to related parties for certain offering costs and general and administrative expenses as presented in the accompanying balance sheet.</w:t>
      </w:r>
    </w:p>
    <w:p>
      <w:pPr>
        <w:spacing w:after="0" w:line="116" w:lineRule="exact"/>
        <w:rPr>
          <w:sz w:val="20"/>
          <w:szCs w:val="20"/>
          <w:color w:val="auto"/>
        </w:rPr>
      </w:pPr>
    </w:p>
    <w:p>
      <w:pPr>
        <w:ind w:left="460" w:right="539" w:firstLine="432"/>
        <w:spacing w:after="0" w:line="268" w:lineRule="auto"/>
        <w:rPr>
          <w:sz w:val="20"/>
          <w:szCs w:val="20"/>
          <w:color w:val="auto"/>
        </w:rPr>
      </w:pPr>
      <w:r>
        <w:rPr>
          <w:rFonts w:ascii="Arial" w:cs="Arial" w:eastAsia="Arial" w:hAnsi="Arial"/>
          <w:sz w:val="17"/>
          <w:szCs w:val="17"/>
          <w:color w:val="auto"/>
        </w:rPr>
        <w:t>In addition, in order to finance transaction costs in connection with a Business Combination, the Sponsor or an affiliate of the Sponsor, or certain of the Company’s officers and directors may, but are not obligated to, loan the Company funds as may be required (“Working Capital Loans”). If the Company completes a Business Combination, the Company would repay the Working Capital Loans out of the proceeds of the Trust Account released to the Company. Otherwise, the Working Capital Loans would be repaid only out of funds held outside the Trust Account. In the event that a Business Combination does not close, the Company may use a portion of the proceeds held outside the Trust Account to repay the Working Capital Loans but no proceeds held in the Trust Account would be used to repay the Working Capital Loans. Except for the foregoing, the terms of such Working Capital Loans, if any, have not been determined and no written agreements exist with respect to such loans. The Working Capital Loans would either be repaid upon consummation of a Business Combination, without interest, or, at the lender’s discretion, up to $1.5 million of such Working Capital Loans may be convertible into warrants of the post Business Combination entity at a price of $1.50 per warrant. The warrants would be identical to the Private Placement Warrants. To date, the Company had no borrowings under the Working Capital Loans.</w:t>
      </w:r>
    </w:p>
    <w:p>
      <w:pPr>
        <w:spacing w:after="0" w:line="184"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Administrative Support Agreement</w:t>
      </w:r>
    </w:p>
    <w:p>
      <w:pPr>
        <w:spacing w:after="0" w:line="158" w:lineRule="exact"/>
        <w:rPr>
          <w:sz w:val="20"/>
          <w:szCs w:val="20"/>
          <w:color w:val="auto"/>
        </w:rPr>
      </w:pPr>
    </w:p>
    <w:p>
      <w:pPr>
        <w:jc w:val="both"/>
        <w:ind w:left="460" w:right="539" w:firstLine="432"/>
        <w:spacing w:after="0" w:line="311" w:lineRule="auto"/>
        <w:rPr>
          <w:sz w:val="20"/>
          <w:szCs w:val="20"/>
          <w:color w:val="auto"/>
        </w:rPr>
      </w:pPr>
      <w:r>
        <w:rPr>
          <w:rFonts w:ascii="Arial" w:cs="Arial" w:eastAsia="Arial" w:hAnsi="Arial"/>
          <w:sz w:val="16"/>
          <w:szCs w:val="16"/>
          <w:color w:val="auto"/>
        </w:rPr>
        <w:t>The Company has agreed, commencing on the effective date of the Proposed Public Offering through the earlier of the Company’s consummation of a Business Combination and its liquidation, to reimburse an affiliate of the Sponsor a total of $10,000 per month for office space, secretarial and administrative services</w:t>
      </w:r>
    </w:p>
    <w:p>
      <w:pPr>
        <w:spacing w:after="0" w:line="14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5 — Commitments &amp; Contingencies</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Registration and Shareholder Rights</w:t>
      </w:r>
    </w:p>
    <w:p>
      <w:pPr>
        <w:spacing w:after="0" w:line="144" w:lineRule="exact"/>
        <w:rPr>
          <w:sz w:val="20"/>
          <w:szCs w:val="20"/>
          <w:color w:val="auto"/>
        </w:rPr>
      </w:pPr>
    </w:p>
    <w:p>
      <w:pPr>
        <w:ind w:left="460" w:right="459" w:firstLine="432"/>
        <w:spacing w:after="0" w:line="290" w:lineRule="auto"/>
        <w:rPr>
          <w:sz w:val="20"/>
          <w:szCs w:val="20"/>
          <w:color w:val="auto"/>
        </w:rPr>
      </w:pPr>
      <w:r>
        <w:rPr>
          <w:rFonts w:ascii="Arial" w:cs="Arial" w:eastAsia="Arial" w:hAnsi="Arial"/>
          <w:sz w:val="16"/>
          <w:szCs w:val="16"/>
          <w:color w:val="auto"/>
        </w:rPr>
        <w:t>The holders of Founder Shares, Private Placement Warrants and warrants that may be issued upon conversion of Working Capital Loans, if any, will be entitled to registration rights (in the case of the Founder Shares, only after conversion of such shares to Class A ordinary shares) pursuant to a registration and shareholder rights agreement to be signed upon consummation of the Proposed Public Offering. These holders will be entitled to certain demand and “piggyback” registration rights. However, the registration and shareholder rights agreement provides that the Company will not permit any registration statement filed under the Securities Act to become effective until the termination of the applicable lock-up period for the securities to be registered. The Company will bear the expenses incurred in connection with the filing of any such registration statements.</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Underwriting Agreement</w:t>
      </w:r>
    </w:p>
    <w:p>
      <w:pPr>
        <w:spacing w:after="0" w:line="158" w:lineRule="exact"/>
        <w:rPr>
          <w:sz w:val="20"/>
          <w:szCs w:val="20"/>
          <w:color w:val="auto"/>
        </w:rPr>
      </w:pPr>
    </w:p>
    <w:p>
      <w:pPr>
        <w:jc w:val="both"/>
        <w:ind w:left="460" w:right="619" w:firstLine="432"/>
        <w:spacing w:after="0" w:line="263" w:lineRule="auto"/>
        <w:rPr>
          <w:sz w:val="20"/>
          <w:szCs w:val="20"/>
          <w:color w:val="auto"/>
        </w:rPr>
      </w:pPr>
      <w:r>
        <w:rPr>
          <w:rFonts w:ascii="Arial" w:cs="Arial" w:eastAsia="Arial" w:hAnsi="Arial"/>
          <w:sz w:val="18"/>
          <w:szCs w:val="18"/>
          <w:color w:val="auto"/>
        </w:rPr>
        <w:t>The Company will grant the underwriter a 45-day option from the date of the final prospectus relating to the Proposed Public Offering to purchase up to 4,500,000 additional Units to cover over-allotments, if any, at $10.00 per Unit, less the underwriting discounts and commissions.</w:t>
      </w:r>
    </w:p>
    <w:p>
      <w:pPr>
        <w:spacing w:after="0" w:line="116" w:lineRule="exact"/>
        <w:rPr>
          <w:sz w:val="20"/>
          <w:szCs w:val="20"/>
          <w:color w:val="auto"/>
        </w:rPr>
      </w:pPr>
    </w:p>
    <w:p>
      <w:pPr>
        <w:ind w:left="460" w:right="479" w:firstLine="432"/>
        <w:spacing w:after="0" w:line="291" w:lineRule="auto"/>
        <w:rPr>
          <w:sz w:val="20"/>
          <w:szCs w:val="20"/>
          <w:color w:val="auto"/>
        </w:rPr>
      </w:pPr>
      <w:r>
        <w:rPr>
          <w:rFonts w:ascii="Arial" w:cs="Arial" w:eastAsia="Arial" w:hAnsi="Arial"/>
          <w:sz w:val="16"/>
          <w:szCs w:val="16"/>
          <w:color w:val="auto"/>
        </w:rPr>
        <w:t>The underwriter will be entitled to an underwriting discount of $0.20 per unit, or $6.0 million in the aggregate (or approximately $6.9 million in the aggregate if the underwriter’s over-allotment option is exercised in full), payable upon the closing of the Proposed Public Offering. In addition, $0.35 per unit, or $10.5 million in the aggregate (or $12.075 million in the aggregate if the underwriter’s over-allotment option is exercised in full) will be payable to the underwriter for deferred underwriting commissions. The deferred underwriting commissions will become payable to the underwriter from the amounts held in the Trust Account solely in the event that the Company completes a Business Combination, subject to the terms of the underwriting agreement.</w:t>
      </w:r>
    </w:p>
    <w:p>
      <w:pPr>
        <w:spacing w:after="0" w:line="1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6 — Shareholder’s Equity</w:t>
      </w:r>
    </w:p>
    <w:p>
      <w:pPr>
        <w:spacing w:after="0" w:line="22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Ordinary Shares</w:t>
      </w:r>
    </w:p>
    <w:p>
      <w:pPr>
        <w:spacing w:after="0" w:line="158" w:lineRule="exact"/>
        <w:rPr>
          <w:sz w:val="20"/>
          <w:szCs w:val="20"/>
          <w:color w:val="auto"/>
        </w:rPr>
      </w:pPr>
    </w:p>
    <w:p>
      <w:pPr>
        <w:ind w:left="460" w:right="639" w:firstLine="432"/>
        <w:spacing w:after="0" w:line="263" w:lineRule="auto"/>
        <w:rPr>
          <w:sz w:val="20"/>
          <w:szCs w:val="20"/>
          <w:color w:val="auto"/>
        </w:rPr>
      </w:pPr>
      <w:r>
        <w:rPr>
          <w:rFonts w:ascii="Arial" w:cs="Arial" w:eastAsia="Arial" w:hAnsi="Arial"/>
          <w:sz w:val="18"/>
          <w:szCs w:val="18"/>
          <w:b w:val="1"/>
          <w:bCs w:val="1"/>
          <w:i w:val="1"/>
          <w:iCs w:val="1"/>
          <w:color w:val="auto"/>
        </w:rPr>
        <w:t xml:space="preserve">Class A Ordinary Shares </w:t>
      </w:r>
      <w:r>
        <w:rPr>
          <w:rFonts w:ascii="Arial" w:cs="Arial" w:eastAsia="Arial" w:hAnsi="Arial"/>
          <w:sz w:val="18"/>
          <w:szCs w:val="18"/>
          <w:color w:val="auto"/>
        </w:rPr>
        <w:t>— The Company is authorized to issue 300,000,000 Class A ordinary shares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with a par value of $0.0001 per share. As of December 31, 2019, there were no Class A ordinary shares issued or outstanding.</w:t>
      </w:r>
    </w:p>
    <w:p>
      <w:pPr>
        <w:spacing w:after="0" w:line="103" w:lineRule="exact"/>
        <w:rPr>
          <w:sz w:val="20"/>
          <w:szCs w:val="20"/>
          <w:color w:val="auto"/>
        </w:rPr>
      </w:pPr>
    </w:p>
    <w:p>
      <w:pPr>
        <w:ind w:left="460" w:right="459" w:firstLine="432"/>
        <w:spacing w:after="0" w:line="293" w:lineRule="auto"/>
        <w:rPr>
          <w:sz w:val="20"/>
          <w:szCs w:val="20"/>
          <w:color w:val="auto"/>
        </w:rPr>
      </w:pPr>
      <w:r>
        <w:rPr>
          <w:rFonts w:ascii="Arial" w:cs="Arial" w:eastAsia="Arial" w:hAnsi="Arial"/>
          <w:sz w:val="16"/>
          <w:szCs w:val="16"/>
          <w:b w:val="1"/>
          <w:bCs w:val="1"/>
          <w:i w:val="1"/>
          <w:iCs w:val="1"/>
          <w:color w:val="auto"/>
        </w:rPr>
        <w:t xml:space="preserve">Class B Ordinary Shares </w:t>
      </w:r>
      <w:r>
        <w:rPr>
          <w:rFonts w:ascii="Arial" w:cs="Arial" w:eastAsia="Arial" w:hAnsi="Arial"/>
          <w:sz w:val="16"/>
          <w:szCs w:val="16"/>
          <w:color w:val="auto"/>
        </w:rPr>
        <w:t>— The Company is authorized to issue 30,000,000 Class B ordinary shares with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a par value of $0.0001 per share. Holders of Class B ordinary shares are entitled to one vote for each share. Of the 8,625,000 Class B ordinary shares outstanding, an aggregate of up to 1,125,000 shares are subject to forfeiture to the Company by the Sponsor for no consideration to the extent that the underwriter’s over-allotment option is not exercised in full or in part, so that the initial shareholders will collectively own 20% of the Company’s issued and outstanding ordinary shares after the Proposed Public Offering.</w:t>
      </w:r>
    </w:p>
    <w:p>
      <w:pPr>
        <w:spacing w:after="0" w:line="97" w:lineRule="exact"/>
        <w:rPr>
          <w:sz w:val="20"/>
          <w:szCs w:val="20"/>
          <w:color w:val="auto"/>
        </w:rPr>
      </w:pPr>
    </w:p>
    <w:p>
      <w:pPr>
        <w:ind w:left="460" w:right="639" w:firstLine="432"/>
        <w:spacing w:after="0" w:line="342" w:lineRule="auto"/>
        <w:rPr>
          <w:sz w:val="20"/>
          <w:szCs w:val="20"/>
          <w:color w:val="auto"/>
        </w:rPr>
      </w:pPr>
      <w:r>
        <w:rPr>
          <w:rFonts w:ascii="Arial" w:cs="Arial" w:eastAsia="Arial" w:hAnsi="Arial"/>
          <w:sz w:val="16"/>
          <w:szCs w:val="16"/>
          <w:color w:val="auto"/>
        </w:rPr>
        <w:t>Holders of the Class A ordinary shares and holders of the Class B ordinary shares will vote together as a single class on all matters submitted to a vote of the Company’s shareholders except as required by law.</w:t>
      </w:r>
    </w:p>
    <w:p>
      <w:pPr>
        <w:spacing w:after="0" w:line="56" w:lineRule="exact"/>
        <w:rPr>
          <w:sz w:val="20"/>
          <w:szCs w:val="20"/>
          <w:color w:val="auto"/>
        </w:rPr>
      </w:pPr>
    </w:p>
    <w:p>
      <w:pPr>
        <w:ind w:left="460" w:right="579" w:firstLine="432"/>
        <w:spacing w:after="0" w:line="268" w:lineRule="auto"/>
        <w:rPr>
          <w:sz w:val="20"/>
          <w:szCs w:val="20"/>
          <w:color w:val="auto"/>
        </w:rPr>
      </w:pPr>
      <w:r>
        <w:rPr>
          <w:rFonts w:ascii="Arial" w:cs="Arial" w:eastAsia="Arial" w:hAnsi="Arial"/>
          <w:sz w:val="17"/>
          <w:szCs w:val="17"/>
          <w:color w:val="auto"/>
        </w:rPr>
        <w:t>The Class B ordinary shares will automatically convert into Class A ordinary shares at the time of the initial Business Combination at a ratio such that the number of Class A ordinary shares issuable upon conversion of all Founder Shares will equal, in the aggregate, on an as-converted basis, 20% of the sum of (i) the total number of ordinary shares issued and outstanding upon completion of the Proposed Public Offering, plus (ii) the total number of Class A ordinary shares issued or deemed issued or issuable upon conversion or exercise of any equity-linked securities or rights issued or deemed issued, by the Company in connection with or in relation to the consummation of the initial Business Combination, excluding any Class A ordinary shares or equity-linked securities exercisable for or convertible into Class A ordinary shares issued, or to be issued, to any seller in the initial Business Combination and any Private Placement Warrants issued to the Sponsor upon conversion of Working Capital Loans. Any conversion of Class B ordinary shares will take effect as a compulsory redemption of Class B ordinary shares and an issuance of Class A ordinary shares as a matter of Cayman Islands law. In no event will the Class B ordinary shares convert into Class A ordinary shares at a rate of less than one-to-one.</w:t>
      </w:r>
    </w:p>
    <w:p>
      <w:pPr>
        <w:spacing w:after="0" w:line="105" w:lineRule="exact"/>
        <w:rPr>
          <w:sz w:val="20"/>
          <w:szCs w:val="20"/>
          <w:color w:val="auto"/>
        </w:rPr>
      </w:pPr>
    </w:p>
    <w:p>
      <w:pPr>
        <w:ind w:left="460" w:right="479" w:firstLine="432"/>
        <w:spacing w:after="0" w:line="311" w:lineRule="auto"/>
        <w:rPr>
          <w:sz w:val="20"/>
          <w:szCs w:val="20"/>
          <w:color w:val="auto"/>
        </w:rPr>
      </w:pPr>
      <w:r>
        <w:rPr>
          <w:rFonts w:ascii="Arial" w:cs="Arial" w:eastAsia="Arial" w:hAnsi="Arial"/>
          <w:sz w:val="16"/>
          <w:szCs w:val="16"/>
          <w:b w:val="1"/>
          <w:bCs w:val="1"/>
          <w:i w:val="1"/>
          <w:iCs w:val="1"/>
          <w:color w:val="auto"/>
        </w:rPr>
        <w:t xml:space="preserve">Preference Shares </w:t>
      </w:r>
      <w:r>
        <w:rPr>
          <w:rFonts w:ascii="Arial" w:cs="Arial" w:eastAsia="Arial" w:hAnsi="Arial"/>
          <w:sz w:val="16"/>
          <w:szCs w:val="16"/>
          <w:color w:val="auto"/>
        </w:rPr>
        <w:t>— The Company is authorized to issue 1,000,000 preference shares with such</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designations, voting and other rights and preferences as may be determined from time to time by the Company’s board of directors. As of December 31, 2019, there were no preference shares issued or outstanding.</w:t>
      </w:r>
    </w:p>
    <w:p>
      <w:pPr>
        <w:spacing w:after="0" w:line="81" w:lineRule="exact"/>
        <w:rPr>
          <w:sz w:val="20"/>
          <w:szCs w:val="20"/>
          <w:color w:val="auto"/>
        </w:rPr>
      </w:pPr>
    </w:p>
    <w:p>
      <w:pPr>
        <w:ind w:left="460" w:right="559" w:firstLine="432"/>
        <w:spacing w:after="0" w:line="287" w:lineRule="auto"/>
        <w:rPr>
          <w:sz w:val="20"/>
          <w:szCs w:val="20"/>
          <w:color w:val="auto"/>
        </w:rPr>
      </w:pPr>
      <w:r>
        <w:rPr>
          <w:rFonts w:ascii="Arial" w:cs="Arial" w:eastAsia="Arial" w:hAnsi="Arial"/>
          <w:sz w:val="16"/>
          <w:szCs w:val="16"/>
          <w:b w:val="1"/>
          <w:bCs w:val="1"/>
          <w:i w:val="1"/>
          <w:iCs w:val="1"/>
          <w:color w:val="auto"/>
        </w:rPr>
        <w:t xml:space="preserve">Warrants </w:t>
      </w:r>
      <w:r>
        <w:rPr>
          <w:rFonts w:ascii="Arial" w:cs="Arial" w:eastAsia="Arial" w:hAnsi="Arial"/>
          <w:sz w:val="16"/>
          <w:szCs w:val="16"/>
          <w:color w:val="auto"/>
        </w:rPr>
        <w:t>— Public Warrants may only be exercised for a whole number of shares. No fractional Public</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Warrants will be issued upon separation of the Units and only whole Public Warrants will trade. The Public Warrants will become exercisable on the later of (a) 30 days after the completion of a Business Combination or</w:t>
      </w:r>
    </w:p>
    <w:p>
      <w:pPr>
        <w:spacing w:after="0" w:line="2" w:lineRule="exact"/>
        <w:rPr>
          <w:sz w:val="20"/>
          <w:szCs w:val="20"/>
          <w:color w:val="auto"/>
        </w:rPr>
      </w:pPr>
    </w:p>
    <w:p>
      <w:pPr>
        <w:ind w:left="460" w:right="519" w:hanging="6"/>
        <w:spacing w:after="0" w:line="282" w:lineRule="auto"/>
        <w:tabs>
          <w:tab w:leader="none" w:pos="715" w:val="left"/>
        </w:tabs>
        <w:numPr>
          <w:ilvl w:val="0"/>
          <w:numId w:val="90"/>
        </w:numPr>
        <w:rPr>
          <w:rFonts w:ascii="Arial" w:cs="Arial" w:eastAsia="Arial" w:hAnsi="Arial"/>
          <w:sz w:val="16"/>
          <w:szCs w:val="16"/>
          <w:color w:val="auto"/>
        </w:rPr>
      </w:pPr>
      <w:r>
        <w:rPr>
          <w:rFonts w:ascii="Arial" w:cs="Arial" w:eastAsia="Arial" w:hAnsi="Arial"/>
          <w:sz w:val="16"/>
          <w:szCs w:val="16"/>
          <w:color w:val="auto"/>
        </w:rPr>
        <w:t>12 months from the closing of the Proposed Public Offering; provided in each case that the Company has an effective registration statement under the Securities Act covering the issuance of the Class A ordinary shares issuable upon exercise of the warrants and a current prospectus relating to them is available and such shares are registered, qualified or exempt from registration under the securities, or blue sky, laws of the state of residence of the holder (or the Company permits holders to exercise their warrants on a cashless basis under certain circumstances). The Company has agreed that as soon as practicable, but in no event later than 20 business days, after the closing of a Business Combination, the Company will use its commercially reasonable efforts to file with the SEC a registration statement covering the Class A ordinary shares issuable upon exercise of the warrants and to maintain a current prospectus relating to those Class A ordinary shares until the warrants expire or are redeemed. If a registration statement covering the Class A ordinary shares issuable upon exercise of the warrants is not effective by the 60</w:t>
      </w:r>
      <w:r>
        <w:rPr>
          <w:rFonts w:ascii="Arial" w:cs="Arial" w:eastAsia="Arial" w:hAnsi="Arial"/>
          <w:sz w:val="18"/>
          <w:szCs w:val="18"/>
          <w:color w:val="auto"/>
          <w:vertAlign w:val="superscript"/>
        </w:rPr>
        <w:t>th</w:t>
      </w:r>
      <w:r>
        <w:rPr>
          <w:rFonts w:ascii="Arial" w:cs="Arial" w:eastAsia="Arial" w:hAnsi="Arial"/>
          <w:sz w:val="16"/>
          <w:szCs w:val="16"/>
          <w:color w:val="auto"/>
        </w:rPr>
        <w:t xml:space="preserve"> day after the closing of the initial Business Combination, warrant holders may, until such time as there is an effective registration statement and during any period when the Company will have failed to maintain an effective registration statement, exercise warrants on a “cashless basis” in accordance with Section 3(a)(9) of the Securities Act or another exemption. The Public Warrants will expire five years after the completion of a Business Combination or earlier upon redemption or liquidation.</w:t>
      </w:r>
    </w:p>
    <w:p>
      <w:pPr>
        <w:spacing w:after="0" w:line="1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4" w:name="page165"/>
    <w:bookmarkEnd w:id="164"/>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left="2900"/>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 xml:space="preserve">Note 6 — Shareholder’s Equity </w:t>
      </w:r>
      <w:r>
        <w:rPr>
          <w:rFonts w:ascii="Arial" w:cs="Arial" w:eastAsia="Arial" w:hAnsi="Arial"/>
          <w:sz w:val="18"/>
          <w:szCs w:val="18"/>
          <w:color w:val="auto"/>
        </w:rPr>
        <w:t>(cont.)</w:t>
      </w:r>
    </w:p>
    <w:p>
      <w:pPr>
        <w:spacing w:after="0" w:line="189" w:lineRule="exact"/>
        <w:rPr>
          <w:sz w:val="20"/>
          <w:szCs w:val="20"/>
          <w:color w:val="auto"/>
        </w:rPr>
      </w:pPr>
    </w:p>
    <w:p>
      <w:pPr>
        <w:ind w:left="460" w:right="459" w:firstLine="432"/>
        <w:spacing w:after="0" w:line="267" w:lineRule="auto"/>
        <w:rPr>
          <w:sz w:val="20"/>
          <w:szCs w:val="20"/>
          <w:color w:val="auto"/>
        </w:rPr>
      </w:pPr>
      <w:r>
        <w:rPr>
          <w:rFonts w:ascii="Arial" w:cs="Arial" w:eastAsia="Arial" w:hAnsi="Arial"/>
          <w:sz w:val="17"/>
          <w:szCs w:val="17"/>
          <w:color w:val="auto"/>
        </w:rPr>
        <w:t>Each whole Public Warrant entitles the holder to purchase one Class A ordinary share at a price of $11.50 per share. If (x) the Company issues additional Class A ordinary shares or equity-linked securities for capital raising purposes in connection with the closing of the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Founder Shares held by the Sponsor or such affiliates, as applicable, prior to such issuance, and (ii) without taking into account the transfer of Founder Shares or Private Placement Warrants (including if such transfer is effectuated as a surrender to us and subsequent reissuance by the Company) by the Sponsor in connection with such issuance) (the “Newly Issued Price”),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volume weighted average trading price of the Company’s Class A ordinary shares during the 20-trading day period starting on the trading day prior to the day on which the Company consummates its initial Business Combination (such price, the “Market Value”) is below $9.20 per share, the exercise price of the warrants will be adjusted (to the nearest cent) to be equal to 115% of the higher of the Market Value and the Newly Issued Price, and the $18.00 per share redemption trigger price discussed below will be adjusted (to the nearest cent) to be equal to 180% of the higher of the Market Value and the Newly Issued Price.</w:t>
      </w:r>
    </w:p>
    <w:p>
      <w:pPr>
        <w:spacing w:after="0" w:line="122" w:lineRule="exact"/>
        <w:rPr>
          <w:sz w:val="20"/>
          <w:szCs w:val="20"/>
          <w:color w:val="auto"/>
        </w:rPr>
      </w:pPr>
    </w:p>
    <w:p>
      <w:pPr>
        <w:ind w:left="460" w:right="579" w:firstLine="432"/>
        <w:spacing w:after="0" w:line="277" w:lineRule="auto"/>
        <w:rPr>
          <w:sz w:val="20"/>
          <w:szCs w:val="20"/>
          <w:color w:val="auto"/>
        </w:rPr>
      </w:pPr>
      <w:r>
        <w:rPr>
          <w:rFonts w:ascii="Arial" w:cs="Arial" w:eastAsia="Arial" w:hAnsi="Arial"/>
          <w:sz w:val="18"/>
          <w:szCs w:val="18"/>
          <w:color w:val="auto"/>
        </w:rPr>
        <w:t>The Company may call the Public Warrants for redemption (except with respect to the Private Placement Warrants):</w:t>
      </w:r>
    </w:p>
    <w:p>
      <w:pPr>
        <w:spacing w:after="0" w:line="103" w:lineRule="exact"/>
        <w:rPr>
          <w:sz w:val="20"/>
          <w:szCs w:val="20"/>
          <w:color w:val="auto"/>
        </w:rPr>
      </w:pPr>
    </w:p>
    <w:p>
      <w:pPr>
        <w:ind w:left="1300" w:hanging="41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in whole and not in part;</w:t>
      </w:r>
    </w:p>
    <w:p>
      <w:pPr>
        <w:spacing w:after="0" w:line="144" w:lineRule="exact"/>
        <w:rPr>
          <w:rFonts w:ascii="Arial" w:cs="Arial" w:eastAsia="Arial" w:hAnsi="Arial"/>
          <w:sz w:val="18"/>
          <w:szCs w:val="18"/>
          <w:color w:val="auto"/>
        </w:rPr>
      </w:pPr>
    </w:p>
    <w:p>
      <w:pPr>
        <w:ind w:left="1300" w:hanging="41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at a price of $0.01 per warrant;</w:t>
      </w:r>
    </w:p>
    <w:p>
      <w:pPr>
        <w:spacing w:after="0" w:line="157" w:lineRule="exact"/>
        <w:rPr>
          <w:rFonts w:ascii="Arial" w:cs="Arial" w:eastAsia="Arial" w:hAnsi="Arial"/>
          <w:sz w:val="18"/>
          <w:szCs w:val="18"/>
          <w:color w:val="auto"/>
        </w:rPr>
      </w:pPr>
    </w:p>
    <w:p>
      <w:pPr>
        <w:ind w:left="1300" w:hanging="414"/>
        <w:spacing w:after="0"/>
        <w:tabs>
          <w:tab w:leader="none" w:pos="1300" w:val="left"/>
        </w:tabs>
        <w:numPr>
          <w:ilvl w:val="0"/>
          <w:numId w:val="91"/>
        </w:numPr>
        <w:rPr>
          <w:rFonts w:ascii="Arial" w:cs="Arial" w:eastAsia="Arial" w:hAnsi="Arial"/>
          <w:sz w:val="18"/>
          <w:szCs w:val="18"/>
          <w:color w:val="auto"/>
        </w:rPr>
      </w:pPr>
      <w:r>
        <w:rPr>
          <w:rFonts w:ascii="Arial" w:cs="Arial" w:eastAsia="Arial" w:hAnsi="Arial"/>
          <w:sz w:val="18"/>
          <w:szCs w:val="18"/>
          <w:color w:val="auto"/>
        </w:rPr>
        <w:t>upon a minimum of 30 days’ prior written notice of redemption, and</w:t>
      </w:r>
    </w:p>
    <w:p>
      <w:pPr>
        <w:spacing w:after="0" w:line="157" w:lineRule="exact"/>
        <w:rPr>
          <w:rFonts w:ascii="Arial" w:cs="Arial" w:eastAsia="Arial" w:hAnsi="Arial"/>
          <w:sz w:val="18"/>
          <w:szCs w:val="18"/>
          <w:color w:val="auto"/>
        </w:rPr>
      </w:pPr>
    </w:p>
    <w:p>
      <w:pPr>
        <w:ind w:left="1320" w:right="499" w:hanging="434"/>
        <w:spacing w:after="0" w:line="301" w:lineRule="auto"/>
        <w:tabs>
          <w:tab w:leader="none" w:pos="1311" w:val="left"/>
        </w:tabs>
        <w:numPr>
          <w:ilvl w:val="0"/>
          <w:numId w:val="91"/>
        </w:numPr>
        <w:rPr>
          <w:rFonts w:ascii="Arial" w:cs="Arial" w:eastAsia="Arial" w:hAnsi="Arial"/>
          <w:sz w:val="16"/>
          <w:szCs w:val="16"/>
          <w:color w:val="auto"/>
        </w:rPr>
      </w:pPr>
      <w:r>
        <w:rPr>
          <w:rFonts w:ascii="Arial" w:cs="Arial" w:eastAsia="Arial" w:hAnsi="Arial"/>
          <w:sz w:val="16"/>
          <w:szCs w:val="16"/>
          <w:color w:val="auto"/>
        </w:rPr>
        <w:t>if, and only if, the closing price of the Company’s Class A ordinary shares equals or exceeds $18.00 per share (as adjusted for share subdivisions, share capitalizations, reorganizations, recapitalizations and the like) for any 20 trading days within a 30-trading day period ending on the third trading day prior to the date on which the Company sends the notice of redemption to the warrant holders.</w:t>
      </w:r>
    </w:p>
    <w:p>
      <w:pPr>
        <w:spacing w:after="0" w:line="76" w:lineRule="exact"/>
        <w:rPr>
          <w:sz w:val="20"/>
          <w:szCs w:val="20"/>
          <w:color w:val="auto"/>
        </w:rPr>
      </w:pPr>
    </w:p>
    <w:p>
      <w:pPr>
        <w:ind w:left="460" w:right="599" w:firstLine="432"/>
        <w:spacing w:after="0" w:line="263" w:lineRule="auto"/>
        <w:rPr>
          <w:sz w:val="20"/>
          <w:szCs w:val="20"/>
          <w:color w:val="auto"/>
        </w:rPr>
      </w:pPr>
      <w:r>
        <w:rPr>
          <w:rFonts w:ascii="Arial" w:cs="Arial" w:eastAsia="Arial" w:hAnsi="Arial"/>
          <w:sz w:val="18"/>
          <w:szCs w:val="18"/>
          <w:color w:val="auto"/>
        </w:rPr>
        <w:t>If the Company calls the Public Warrants for redemption, management will have the option to require all holders that wish to exercise the Public Warrants to do so on a “cashless basis,” as described in the warrant agreement.</w:t>
      </w:r>
    </w:p>
    <w:p>
      <w:pPr>
        <w:spacing w:after="0" w:line="116" w:lineRule="exact"/>
        <w:rPr>
          <w:sz w:val="20"/>
          <w:szCs w:val="20"/>
          <w:color w:val="auto"/>
        </w:rPr>
      </w:pPr>
    </w:p>
    <w:p>
      <w:pPr>
        <w:ind w:left="460" w:right="539" w:firstLine="432"/>
        <w:spacing w:after="0" w:line="271" w:lineRule="auto"/>
        <w:rPr>
          <w:sz w:val="20"/>
          <w:szCs w:val="20"/>
          <w:color w:val="auto"/>
        </w:rPr>
      </w:pPr>
      <w:r>
        <w:rPr>
          <w:rFonts w:ascii="Arial" w:cs="Arial" w:eastAsia="Arial" w:hAnsi="Arial"/>
          <w:sz w:val="17"/>
          <w:szCs w:val="17"/>
          <w:color w:val="auto"/>
        </w:rPr>
        <w:t>The Private Placement Warrants are identical to the Public Warrants underlying the Units sold in the Proposed Public Offering, except that the Private Placement Warrants and the ordinary shares issuable upon exercise of the Private Placement Warrants will not be transferable, assignable or salable until 30 days after the completion of a Business Combination, subject to certain limited exceptions. Additionally, the Private Placement Warrants will be non-redeemable so long as they are held by the initial purchasers or such purchasers’ permitted transferees. If the Private Placement Warrants are held by someone other than the initial shareholders or their permitted transferees, the Private Placement Warrants will be redeemable by the Company and exercisable by such holders on the same basis as the Public Warrants.</w:t>
      </w:r>
    </w:p>
    <w:p>
      <w:pPr>
        <w:spacing w:after="0" w:line="111" w:lineRule="exact"/>
        <w:rPr>
          <w:sz w:val="20"/>
          <w:szCs w:val="20"/>
          <w:color w:val="auto"/>
        </w:rPr>
      </w:pPr>
    </w:p>
    <w:p>
      <w:pPr>
        <w:ind w:left="460" w:right="479" w:firstLine="432"/>
        <w:spacing w:after="0" w:line="296" w:lineRule="auto"/>
        <w:rPr>
          <w:sz w:val="20"/>
          <w:szCs w:val="20"/>
          <w:color w:val="auto"/>
        </w:rPr>
      </w:pPr>
      <w:r>
        <w:rPr>
          <w:rFonts w:ascii="Arial" w:cs="Arial" w:eastAsia="Arial" w:hAnsi="Arial"/>
          <w:sz w:val="16"/>
          <w:szCs w:val="16"/>
          <w:color w:val="auto"/>
        </w:rPr>
        <w:t>Additionally, in no event will the Company be required to net cash settle any Warrants. If the Company is unable to complete the initial Business Combination within the Combination Period and the Company liquidates the funds held in the Trust Account, holders of warrants will not receive any of such funds with respect to their warrants, nor will they receive any distribution from the Company’s assets held outside of the Trust Account with the respect to such warrants. Accordingly, the warrants may expire worthless.</w:t>
      </w:r>
    </w:p>
    <w:p>
      <w:pPr>
        <w:spacing w:after="0" w:line="1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5" w:name="page166"/>
    <w:bookmarkEnd w:id="165"/>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FINANCIAL STATEMENTS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Note 7 — Subsequent Events</w:t>
      </w:r>
    </w:p>
    <w:p>
      <w:pPr>
        <w:spacing w:after="0" w:line="162" w:lineRule="exact"/>
        <w:rPr>
          <w:sz w:val="20"/>
          <w:szCs w:val="20"/>
          <w:color w:val="auto"/>
        </w:rPr>
      </w:pPr>
    </w:p>
    <w:p>
      <w:pPr>
        <w:ind w:left="460" w:right="499" w:firstLine="432"/>
        <w:spacing w:after="0" w:line="259" w:lineRule="auto"/>
        <w:rPr>
          <w:sz w:val="20"/>
          <w:szCs w:val="20"/>
          <w:color w:val="auto"/>
        </w:rPr>
      </w:pPr>
      <w:r>
        <w:rPr>
          <w:rFonts w:ascii="Arial" w:cs="Arial" w:eastAsia="Arial" w:hAnsi="Arial"/>
          <w:sz w:val="18"/>
          <w:szCs w:val="18"/>
          <w:color w:val="auto"/>
        </w:rPr>
        <w:t>Management has evaluated subsequent events and transactions that occurred after the balance sheet date up to February 18, 2020, the date these financial statements were available to be issued. Based upon this review, the Company did not identify any subsequent events that would have required adjustment or disclosure in the financial statements.</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6" w:name="page167"/>
    <w:bookmarkEnd w:id="166"/>
    <w:p>
      <w:pPr>
        <w:jc w:val="center"/>
        <w:spacing w:after="0"/>
        <w:rPr>
          <w:sz w:val="20"/>
          <w:szCs w:val="20"/>
          <w:color w:val="auto"/>
        </w:rPr>
      </w:pPr>
      <w:r>
        <w:rPr>
          <w:rFonts w:ascii="Arial" w:cs="Arial" w:eastAsia="Arial" w:hAnsi="Arial"/>
          <w:sz w:val="38"/>
          <w:szCs w:val="38"/>
          <w:b w:val="1"/>
          <w:bCs w:val="1"/>
          <w:color w:val="auto"/>
        </w:rPr>
        <w:drawing>
          <wp:anchor simplePos="0" relativeHeight="251657728" behindDoc="1" locked="0" layoutInCell="0" allowOverlap="1">
            <wp:simplePos x="0" y="0"/>
            <wp:positionH relativeFrom="page">
              <wp:posOffset>1202690</wp:posOffset>
            </wp:positionH>
            <wp:positionV relativeFrom="page">
              <wp:posOffset>363220</wp:posOffset>
            </wp:positionV>
            <wp:extent cx="5143500" cy="2540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page">
              <wp:posOffset>1202690</wp:posOffset>
            </wp:positionH>
            <wp:positionV relativeFrom="page">
              <wp:posOffset>406400</wp:posOffset>
            </wp:positionV>
            <wp:extent cx="5143500" cy="2540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5143500" cy="25400"/>
                    </a:xfrm>
                    <a:prstGeom prst="rect">
                      <a:avLst/>
                    </a:prstGeom>
                    <a:noFill/>
                  </pic:spPr>
                </pic:pic>
              </a:graphicData>
            </a:graphic>
          </wp:anchor>
        </w:drawing>
        <w:t>Sustainable Opportunities Acquisition Corp.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30,000,000 Units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32"/>
          <w:szCs w:val="32"/>
          <w:b w:val="1"/>
          <w:bCs w:val="1"/>
          <w:color w:val="auto"/>
        </w:rPr>
        <w:t>Citigroup Global Markets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880"/>
        <w:spacing w:after="0"/>
        <w:rPr>
          <w:sz w:val="20"/>
          <w:szCs w:val="20"/>
          <w:color w:val="auto"/>
        </w:rPr>
      </w:pPr>
      <w:r>
        <w:rPr>
          <w:rFonts w:ascii="Arial" w:cs="Arial" w:eastAsia="Arial" w:hAnsi="Arial"/>
          <w:sz w:val="18"/>
          <w:szCs w:val="18"/>
          <w:color w:val="auto"/>
        </w:rPr>
        <w:t>______________</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PRELIMINARY PROSPECTUS</w:t>
      </w:r>
    </w:p>
    <w:p>
      <w:pPr>
        <w:spacing w:after="0" w:line="225" w:lineRule="exact"/>
        <w:rPr>
          <w:sz w:val="20"/>
          <w:szCs w:val="20"/>
          <w:color w:val="auto"/>
        </w:rPr>
      </w:pPr>
    </w:p>
    <w:p>
      <w:pPr>
        <w:ind w:left="4360" w:hanging="81"/>
        <w:spacing w:after="0"/>
        <w:tabs>
          <w:tab w:leader="none" w:pos="4360" w:val="left"/>
        </w:tabs>
        <w:numPr>
          <w:ilvl w:val="0"/>
          <w:numId w:val="92"/>
        </w:numPr>
        <w:rPr>
          <w:rFonts w:ascii="Arial" w:cs="Arial" w:eastAsia="Arial" w:hAnsi="Arial"/>
          <w:sz w:val="18"/>
          <w:szCs w:val="18"/>
          <w:b w:val="1"/>
          <w:bCs w:val="1"/>
          <w:color w:val="auto"/>
        </w:rPr>
      </w:pPr>
      <w:r>
        <w:rPr>
          <w:rFonts w:ascii="Arial" w:cs="Arial" w:eastAsia="Arial" w:hAnsi="Arial"/>
          <w:sz w:val="18"/>
          <w:szCs w:val="18"/>
          <w:b w:val="1"/>
          <w:bCs w:val="1"/>
          <w:color w:val="auto"/>
        </w:rPr>
        <w:t>2020</w:t>
      </w:r>
    </w:p>
    <w:p>
      <w:pPr>
        <w:spacing w:after="0" w:line="27" w:lineRule="exact"/>
        <w:rPr>
          <w:rFonts w:ascii="Arial" w:cs="Arial" w:eastAsia="Arial" w:hAnsi="Arial"/>
          <w:sz w:val="18"/>
          <w:szCs w:val="18"/>
          <w:b w:val="1"/>
          <w:bCs w:val="1"/>
          <w:color w:val="auto"/>
        </w:rPr>
      </w:pPr>
    </w:p>
    <w:p>
      <w:pPr>
        <w:ind w:left="3920"/>
        <w:spacing w:after="0"/>
        <w:rPr>
          <w:rFonts w:ascii="Arial" w:cs="Arial" w:eastAsia="Arial" w:hAnsi="Arial"/>
          <w:sz w:val="18"/>
          <w:szCs w:val="18"/>
          <w:b w:val="1"/>
          <w:bCs w:val="1"/>
          <w:color w:val="auto"/>
        </w:rPr>
      </w:pPr>
      <w:r>
        <w:rPr>
          <w:rFonts w:ascii="Arial" w:cs="Arial" w:eastAsia="Arial" w:hAnsi="Arial"/>
          <w:sz w:val="18"/>
          <w:szCs w:val="18"/>
          <w:color w:val="auto"/>
        </w:rPr>
        <w:t>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460" w:right="499"/>
        <w:spacing w:after="0" w:line="261" w:lineRule="auto"/>
        <w:rPr>
          <w:sz w:val="20"/>
          <w:szCs w:val="20"/>
          <w:color w:val="auto"/>
        </w:rPr>
      </w:pPr>
      <w:r>
        <w:rPr>
          <w:rFonts w:ascii="Arial" w:cs="Arial" w:eastAsia="Arial" w:hAnsi="Arial"/>
          <w:sz w:val="18"/>
          <w:szCs w:val="18"/>
          <w:b w:val="1"/>
          <w:bCs w:val="1"/>
          <w:color w:val="auto"/>
        </w:rPr>
        <w:t>Until , 2020 (25 days after the date of this prospectus), all dealers that buy, sell or trade our ordinary shares, whether or not participating in this offering, may be required to deliver a prospectus. This is in addition to the dealers’ obligation to deliver a prospectus when acting as underwriters and with respect to their unsold allotments or subscriptions.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459740</wp:posOffset>
            </wp:positionV>
            <wp:extent cx="5143500" cy="2540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502920</wp:posOffset>
            </wp:positionV>
            <wp:extent cx="5143500" cy="2540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5143500" cy="25400"/>
                    </a:xfrm>
                    <a:prstGeom prst="rect">
                      <a:avLst/>
                    </a:prstGeom>
                    <a:noFill/>
                  </pic:spPr>
                </pic:pic>
              </a:graphicData>
            </a:graphic>
          </wp:anchor>
        </w:drawing>
        <w:drawing>
          <wp:anchor simplePos="0" relativeHeight="251657728" behindDoc="1" locked="0" layoutInCell="0" allowOverlap="1">
            <wp:simplePos x="0" y="0"/>
            <wp:positionH relativeFrom="column">
              <wp:posOffset>288290</wp:posOffset>
            </wp:positionH>
            <wp:positionV relativeFrom="paragraph">
              <wp:posOffset>777240</wp:posOffset>
            </wp:positionV>
            <wp:extent cx="514350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1077" w:right="1440" w:bottom="1440" w:gutter="0" w:footer="0" w:header="0"/>
        </w:sectPr>
      </w:pPr>
    </w:p>
    <w:bookmarkStart w:id="167" w:name="page168"/>
    <w:bookmarkEnd w:id="167"/>
    <w:p>
      <w:pPr>
        <w:jc w:val="center"/>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INFORMATION NOT REQUIRED IN PROSPECTUS</w:t>
      </w:r>
    </w:p>
    <w:p>
      <w:pPr>
        <w:spacing w:after="0" w:line="207"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13. Other Expenses of Issuance and Distribution.</w:t>
      </w:r>
    </w:p>
    <w:p>
      <w:pPr>
        <w:spacing w:after="0" w:line="162" w:lineRule="exact"/>
        <w:rPr>
          <w:sz w:val="20"/>
          <w:szCs w:val="20"/>
          <w:color w:val="auto"/>
        </w:rPr>
      </w:pPr>
    </w:p>
    <w:p>
      <w:pPr>
        <w:ind w:left="460" w:right="1039" w:firstLine="432"/>
        <w:spacing w:after="0" w:line="308" w:lineRule="auto"/>
        <w:rPr>
          <w:sz w:val="20"/>
          <w:szCs w:val="20"/>
          <w:color w:val="auto"/>
        </w:rPr>
      </w:pPr>
      <w:r>
        <w:rPr>
          <w:rFonts w:ascii="Arial" w:cs="Arial" w:eastAsia="Arial" w:hAnsi="Arial"/>
          <w:sz w:val="17"/>
          <w:szCs w:val="17"/>
          <w:color w:val="auto"/>
        </w:rPr>
        <w:t>The estimated expenses payable by us in connection with the offering described in this registration statement (other than the underwriting discount and commissions) will be as follows:</w:t>
      </w:r>
    </w:p>
    <w:p>
      <w:pPr>
        <w:spacing w:after="0" w:line="120" w:lineRule="exact"/>
        <w:rPr>
          <w:sz w:val="20"/>
          <w:szCs w:val="20"/>
          <w:color w:val="auto"/>
        </w:rPr>
      </w:pPr>
    </w:p>
    <w:tbl>
      <w:tblPr>
        <w:tblLayout w:type="fixed"/>
        <w:tblInd w:w="460" w:type="dxa"/>
        <w:tblCellMar>
          <w:top w:w="0" w:type="dxa"/>
          <w:left w:w="0" w:type="dxa"/>
          <w:bottom w:w="0" w:type="dxa"/>
          <w:right w:w="0" w:type="dxa"/>
        </w:tblCellMar>
      </w:tblPr>
      <w:tr>
        <w:trPr>
          <w:trHeight w:val="264"/>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SEC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44,781</w:t>
            </w:r>
          </w:p>
        </w:tc>
        <w:tc>
          <w:tcPr>
            <w:tcW w:w="20" w:type="dxa"/>
            <w:vAlign w:val="bottom"/>
          </w:tcPr>
          <w:p>
            <w:pPr>
              <w:spacing w:after="0"/>
              <w:rPr>
                <w:sz w:val="22"/>
                <w:szCs w:val="22"/>
                <w:color w:val="auto"/>
              </w:rPr>
            </w:pPr>
          </w:p>
        </w:tc>
      </w:tr>
      <w:tr>
        <w:trPr>
          <w:trHeight w:val="243"/>
        </w:trPr>
        <w:tc>
          <w:tcPr>
            <w:tcW w:w="7140" w:type="dxa"/>
            <w:vAlign w:val="bottom"/>
          </w:tcPr>
          <w:p>
            <w:pPr>
              <w:spacing w:after="0"/>
              <w:rPr>
                <w:sz w:val="20"/>
                <w:szCs w:val="20"/>
                <w:color w:val="auto"/>
              </w:rPr>
            </w:pPr>
            <w:r>
              <w:rPr>
                <w:rFonts w:ascii="Arial" w:cs="Arial" w:eastAsia="Arial" w:hAnsi="Arial"/>
                <w:sz w:val="18"/>
                <w:szCs w:val="18"/>
                <w:color w:val="auto"/>
              </w:rPr>
              <w:t>FINRA expenses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52,250</w:t>
            </w:r>
          </w:p>
        </w:tc>
      </w:tr>
      <w:tr>
        <w:trPr>
          <w:trHeight w:val="41"/>
        </w:trPr>
        <w:tc>
          <w:tcPr>
            <w:tcW w:w="7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gridSpan w:val="2"/>
          </w:tcPr>
          <w:p>
            <w:pPr>
              <w:spacing w:after="0"/>
              <w:rPr>
                <w:sz w:val="3"/>
                <w:szCs w:val="3"/>
                <w:color w:val="auto"/>
              </w:rPr>
            </w:pPr>
          </w:p>
        </w:tc>
      </w:tr>
      <w:tr>
        <w:trPr>
          <w:trHeight w:val="263"/>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Accounting fees and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40,000</w:t>
            </w:r>
          </w:p>
        </w:tc>
        <w:tc>
          <w:tcPr>
            <w:tcW w:w="20" w:type="dxa"/>
            <w:vAlign w:val="bottom"/>
          </w:tcPr>
          <w:p>
            <w:pPr>
              <w:spacing w:after="0"/>
              <w:rPr>
                <w:sz w:val="22"/>
                <w:szCs w:val="22"/>
                <w:color w:val="auto"/>
              </w:rPr>
            </w:pPr>
          </w:p>
        </w:tc>
      </w:tr>
      <w:tr>
        <w:trPr>
          <w:trHeight w:val="243"/>
        </w:trPr>
        <w:tc>
          <w:tcPr>
            <w:tcW w:w="7140" w:type="dxa"/>
            <w:vAlign w:val="bottom"/>
          </w:tcPr>
          <w:p>
            <w:pPr>
              <w:spacing w:after="0"/>
              <w:rPr>
                <w:sz w:val="20"/>
                <w:szCs w:val="20"/>
                <w:color w:val="auto"/>
              </w:rPr>
            </w:pPr>
            <w:r>
              <w:rPr>
                <w:rFonts w:ascii="Arial" w:cs="Arial" w:eastAsia="Arial" w:hAnsi="Arial"/>
                <w:sz w:val="18"/>
                <w:szCs w:val="18"/>
                <w:color w:val="auto"/>
              </w:rPr>
              <w:t>Printing and engraving expenses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20,000</w:t>
            </w:r>
          </w:p>
        </w:tc>
      </w:tr>
      <w:tr>
        <w:trPr>
          <w:trHeight w:val="40"/>
        </w:trPr>
        <w:tc>
          <w:tcPr>
            <w:tcW w:w="7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gridSpan w:val="2"/>
          </w:tcPr>
          <w:p>
            <w:pPr>
              <w:spacing w:after="0"/>
              <w:rPr>
                <w:sz w:val="3"/>
                <w:szCs w:val="3"/>
                <w:color w:val="auto"/>
              </w:rPr>
            </w:pPr>
          </w:p>
        </w:tc>
      </w:tr>
      <w:tr>
        <w:trPr>
          <w:trHeight w:val="263"/>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Travel and road show expenses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30,000</w:t>
            </w:r>
          </w:p>
        </w:tc>
        <w:tc>
          <w:tcPr>
            <w:tcW w:w="20" w:type="dxa"/>
            <w:vAlign w:val="bottom"/>
          </w:tcPr>
          <w:p>
            <w:pPr>
              <w:spacing w:after="0"/>
              <w:rPr>
                <w:sz w:val="22"/>
                <w:szCs w:val="22"/>
                <w:color w:val="auto"/>
              </w:rPr>
            </w:pPr>
          </w:p>
        </w:tc>
      </w:tr>
      <w:tr>
        <w:trPr>
          <w:trHeight w:val="243"/>
        </w:trPr>
        <w:tc>
          <w:tcPr>
            <w:tcW w:w="7140" w:type="dxa"/>
            <w:vAlign w:val="bottom"/>
          </w:tcPr>
          <w:p>
            <w:pPr>
              <w:spacing w:after="0"/>
              <w:rPr>
                <w:sz w:val="20"/>
                <w:szCs w:val="20"/>
                <w:color w:val="auto"/>
              </w:rPr>
            </w:pPr>
            <w:r>
              <w:rPr>
                <w:rFonts w:ascii="Arial" w:cs="Arial" w:eastAsia="Arial" w:hAnsi="Arial"/>
                <w:sz w:val="18"/>
                <w:szCs w:val="18"/>
                <w:color w:val="auto"/>
              </w:rPr>
              <w:t>Legal fees and expenses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450,000</w:t>
            </w:r>
          </w:p>
        </w:tc>
      </w:tr>
      <w:tr>
        <w:trPr>
          <w:trHeight w:val="41"/>
        </w:trPr>
        <w:tc>
          <w:tcPr>
            <w:tcW w:w="7140" w:type="dxa"/>
            <w:vAlign w:val="bottom"/>
          </w:tcPr>
          <w:p>
            <w:pPr>
              <w:spacing w:after="0"/>
              <w:rPr>
                <w:sz w:val="3"/>
                <w:szCs w:val="3"/>
                <w:color w:val="auto"/>
              </w:rPr>
            </w:pPr>
          </w:p>
        </w:tc>
        <w:tc>
          <w:tcPr>
            <w:tcW w:w="180" w:type="dxa"/>
            <w:vAlign w:val="bottom"/>
          </w:tcPr>
          <w:p>
            <w:pPr>
              <w:spacing w:after="0"/>
              <w:rPr>
                <w:sz w:val="3"/>
                <w:szCs w:val="3"/>
                <w:color w:val="auto"/>
              </w:rPr>
            </w:pPr>
          </w:p>
        </w:tc>
        <w:tc>
          <w:tcPr>
            <w:tcW w:w="800" w:type="dxa"/>
            <w:vAlign w:val="bottom"/>
            <w:gridSpan w:val="2"/>
          </w:tcPr>
          <w:p>
            <w:pPr>
              <w:spacing w:after="0"/>
              <w:rPr>
                <w:sz w:val="3"/>
                <w:szCs w:val="3"/>
                <w:color w:val="auto"/>
              </w:rPr>
            </w:pPr>
          </w:p>
        </w:tc>
      </w:tr>
      <w:tr>
        <w:trPr>
          <w:trHeight w:val="263"/>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NYSE listing and filing fees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85,000</w:t>
            </w:r>
          </w:p>
        </w:tc>
        <w:tc>
          <w:tcPr>
            <w:tcW w:w="20" w:type="dxa"/>
            <w:vAlign w:val="bottom"/>
          </w:tcPr>
          <w:p>
            <w:pPr>
              <w:spacing w:after="0"/>
              <w:rPr>
                <w:sz w:val="22"/>
                <w:szCs w:val="22"/>
                <w:color w:val="auto"/>
              </w:rPr>
            </w:pPr>
          </w:p>
        </w:tc>
      </w:tr>
      <w:tr>
        <w:trPr>
          <w:trHeight w:val="283"/>
        </w:trPr>
        <w:tc>
          <w:tcPr>
            <w:tcW w:w="7140" w:type="dxa"/>
            <w:vAlign w:val="bottom"/>
          </w:tcPr>
          <w:p>
            <w:pPr>
              <w:spacing w:after="0"/>
              <w:rPr>
                <w:sz w:val="20"/>
                <w:szCs w:val="20"/>
                <w:color w:val="auto"/>
              </w:rPr>
            </w:pPr>
            <w:r>
              <w:rPr>
                <w:rFonts w:ascii="Arial" w:cs="Arial" w:eastAsia="Arial" w:hAnsi="Arial"/>
                <w:sz w:val="18"/>
                <w:szCs w:val="18"/>
                <w:color w:val="auto"/>
              </w:rPr>
              <w:t>Director &amp; Officers liability insurance premiums</w:t>
            </w:r>
            <w:r>
              <w:rPr>
                <w:rFonts w:ascii="Arial" w:cs="Arial" w:eastAsia="Arial" w:hAnsi="Arial"/>
                <w:sz w:val="20"/>
                <w:szCs w:val="20"/>
                <w:color w:val="auto"/>
                <w:vertAlign w:val="superscript"/>
              </w:rPr>
              <w:t>(1)</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800" w:type="dxa"/>
            <w:vAlign w:val="bottom"/>
            <w:gridSpan w:val="2"/>
          </w:tcPr>
          <w:p>
            <w:pPr>
              <w:jc w:val="right"/>
              <w:ind w:right="20"/>
              <w:spacing w:after="0"/>
              <w:rPr>
                <w:sz w:val="20"/>
                <w:szCs w:val="20"/>
                <w:color w:val="auto"/>
              </w:rPr>
            </w:pPr>
            <w:r>
              <w:rPr>
                <w:rFonts w:ascii="Arial" w:cs="Arial" w:eastAsia="Arial" w:hAnsi="Arial"/>
                <w:sz w:val="18"/>
                <w:szCs w:val="18"/>
                <w:color w:val="auto"/>
              </w:rPr>
              <w:t>250,000</w:t>
            </w:r>
          </w:p>
        </w:tc>
      </w:tr>
      <w:tr>
        <w:trPr>
          <w:trHeight w:val="283"/>
        </w:trPr>
        <w:tc>
          <w:tcPr>
            <w:tcW w:w="71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Miscellaneous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27,969</w:t>
            </w:r>
          </w:p>
        </w:tc>
        <w:tc>
          <w:tcPr>
            <w:tcW w:w="20" w:type="dxa"/>
            <w:vAlign w:val="bottom"/>
          </w:tcPr>
          <w:p>
            <w:pPr>
              <w:spacing w:after="0"/>
              <w:rPr>
                <w:sz w:val="24"/>
                <w:szCs w:val="24"/>
                <w:color w:val="auto"/>
              </w:rPr>
            </w:pPr>
          </w:p>
        </w:tc>
      </w:tr>
      <w:tr>
        <w:trPr>
          <w:trHeight w:val="224"/>
        </w:trPr>
        <w:tc>
          <w:tcPr>
            <w:tcW w:w="7140" w:type="dxa"/>
            <w:vAlign w:val="bottom"/>
          </w:tcPr>
          <w:p>
            <w:pPr>
              <w:spacing w:after="0"/>
              <w:rPr>
                <w:sz w:val="20"/>
                <w:szCs w:val="20"/>
                <w:color w:val="auto"/>
              </w:rPr>
            </w:pPr>
            <w:r>
              <w:rPr>
                <w:rFonts w:ascii="Arial" w:cs="Arial" w:eastAsia="Arial" w:hAnsi="Arial"/>
                <w:sz w:val="18"/>
                <w:szCs w:val="18"/>
                <w:color w:val="auto"/>
              </w:rPr>
              <w:t>Total</w:t>
            </w: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1,000,000</w:t>
            </w:r>
          </w:p>
        </w:tc>
        <w:tc>
          <w:tcPr>
            <w:tcW w:w="20" w:type="dxa"/>
            <w:vAlign w:val="bottom"/>
          </w:tcPr>
          <w:p>
            <w:pPr>
              <w:spacing w:after="0"/>
              <w:rPr>
                <w:sz w:val="19"/>
                <w:szCs w:val="19"/>
                <w:color w:val="auto"/>
              </w:rPr>
            </w:pPr>
          </w:p>
        </w:tc>
      </w:tr>
    </w:tbl>
    <w:p>
      <w:pPr>
        <w:spacing w:after="0" w:line="8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194" w:lineRule="exact"/>
        <w:rPr>
          <w:sz w:val="20"/>
          <w:szCs w:val="20"/>
          <w:color w:val="auto"/>
        </w:rPr>
      </w:pPr>
    </w:p>
    <w:p>
      <w:pPr>
        <w:ind w:left="880" w:right="699" w:hanging="426"/>
        <w:spacing w:after="0" w:line="278" w:lineRule="auto"/>
        <w:tabs>
          <w:tab w:leader="none" w:pos="877" w:val="left"/>
        </w:tabs>
        <w:numPr>
          <w:ilvl w:val="0"/>
          <w:numId w:val="93"/>
        </w:numPr>
        <w:rPr>
          <w:rFonts w:ascii="Arial" w:cs="Arial" w:eastAsia="Arial" w:hAnsi="Arial"/>
          <w:sz w:val="16"/>
          <w:szCs w:val="16"/>
          <w:color w:val="auto"/>
        </w:rPr>
      </w:pPr>
      <w:r>
        <w:rPr>
          <w:rFonts w:ascii="Arial" w:cs="Arial" w:eastAsia="Arial" w:hAnsi="Arial"/>
          <w:sz w:val="16"/>
          <w:szCs w:val="16"/>
          <w:color w:val="auto"/>
        </w:rPr>
        <w:t>This amount represents the approximate amount of annual director and officer liability insurance premiums the registrant anticipates paying following the completion of its initial public offering and until it completes a business combination.</w:t>
      </w:r>
    </w:p>
    <w:p>
      <w:pPr>
        <w:spacing w:after="0" w:line="176"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14. Indemnification of Directors and Officers.</w:t>
      </w:r>
    </w:p>
    <w:p>
      <w:pPr>
        <w:spacing w:after="0" w:line="162" w:lineRule="exact"/>
        <w:rPr>
          <w:sz w:val="20"/>
          <w:szCs w:val="20"/>
          <w:color w:val="auto"/>
        </w:rPr>
      </w:pPr>
    </w:p>
    <w:p>
      <w:pPr>
        <w:ind w:left="460" w:right="499" w:firstLine="432"/>
        <w:spacing w:after="0" w:line="253" w:lineRule="auto"/>
        <w:rPr>
          <w:sz w:val="20"/>
          <w:szCs w:val="20"/>
          <w:color w:val="auto"/>
        </w:rPr>
      </w:pPr>
      <w:r>
        <w:rPr>
          <w:rFonts w:ascii="Arial" w:cs="Arial" w:eastAsia="Arial" w:hAnsi="Arial"/>
          <w:sz w:val="18"/>
          <w:szCs w:val="18"/>
          <w:color w:val="auto"/>
        </w:rPr>
        <w:t>Cayman Islands law does not limit the extent to which a company’s memorandum and articles of association may provide for indemnification of officers and directors, except to the extent any such provision may be held by the Cayman Islands courts to be contrary to public policy, such as to provide indemnification against willful default, willful neglect, civil fraud or the consequences of committing a crime. Our amended and restated memorandum and articles of association will provide for indemnification of our officers and directors to the maximum extent permitted by law, including for any liability incurred in their capacities as such, except through their own actual fraud, willful default or willful neglect. We may purchase a policy of directors’ and officers’ liability insurance that insures our officers and directors against the cost of defense, settlement or payment of a judgment in some circumstances and insures us against our obligations to indemnify our officers and directors.</w:t>
      </w:r>
    </w:p>
    <w:p>
      <w:pPr>
        <w:spacing w:after="0" w:line="127" w:lineRule="exact"/>
        <w:rPr>
          <w:sz w:val="20"/>
          <w:szCs w:val="20"/>
          <w:color w:val="auto"/>
        </w:rPr>
      </w:pPr>
    </w:p>
    <w:p>
      <w:pPr>
        <w:ind w:left="460" w:right="459" w:firstLine="432"/>
        <w:spacing w:after="0" w:line="254" w:lineRule="auto"/>
        <w:rPr>
          <w:sz w:val="20"/>
          <w:szCs w:val="20"/>
          <w:color w:val="auto"/>
        </w:rPr>
      </w:pPr>
      <w:r>
        <w:rPr>
          <w:rFonts w:ascii="Arial" w:cs="Arial" w:eastAsia="Arial" w:hAnsi="Arial"/>
          <w:sz w:val="18"/>
          <w:szCs w:val="18"/>
          <w:color w:val="auto"/>
        </w:rPr>
        <w:t>Our officers and directors have agreed to waive any right, title, interest or claim of any kind in or to any monies in the trust account, and have agreed to waive any right, title, interest or claim of any kind they may have in the future as a result of, or arising out of, any services provided to us and will not seek recourse against the trust account for any reason whatsoever (except to the extent they are entitled to funds from the trust account due to their ownership of public shares). Accordingly, any indemnification provided will only be able to be satisfied by us if (i) we have sufficient funds outside of the trust account or (ii) we consummate an initial business combination.</w:t>
      </w:r>
    </w:p>
    <w:p>
      <w:pPr>
        <w:spacing w:after="0" w:line="114" w:lineRule="exact"/>
        <w:rPr>
          <w:sz w:val="20"/>
          <w:szCs w:val="20"/>
          <w:color w:val="auto"/>
        </w:rPr>
      </w:pPr>
    </w:p>
    <w:p>
      <w:pPr>
        <w:ind w:left="460" w:right="759" w:firstLine="432"/>
        <w:spacing w:after="0" w:line="259" w:lineRule="auto"/>
        <w:rPr>
          <w:sz w:val="20"/>
          <w:szCs w:val="20"/>
          <w:color w:val="auto"/>
        </w:rPr>
      </w:pPr>
      <w:r>
        <w:rPr>
          <w:rFonts w:ascii="Arial" w:cs="Arial" w:eastAsia="Arial" w:hAnsi="Arial"/>
          <w:sz w:val="18"/>
          <w:szCs w:val="18"/>
          <w:color w:val="auto"/>
        </w:rPr>
        <w:t>Insofar as indemnification for liabilities arising under the Securities Act may be permitted to directors, officers or persons controlling us pursuant to the foregoing provisions, we have been informed that in the opinion of the SEC such indemnification is against public policy as expressed in the Securities Act and is therefore unenforceable.</w:t>
      </w:r>
    </w:p>
    <w:p>
      <w:pPr>
        <w:spacing w:after="0" w:line="183"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15. Recent Sales of Unregistered Securities.</w:t>
      </w:r>
    </w:p>
    <w:p>
      <w:pPr>
        <w:spacing w:after="0" w:line="162" w:lineRule="exact"/>
        <w:rPr>
          <w:sz w:val="20"/>
          <w:szCs w:val="20"/>
          <w:color w:val="auto"/>
        </w:rPr>
      </w:pPr>
    </w:p>
    <w:p>
      <w:pPr>
        <w:ind w:left="460" w:right="579" w:firstLine="432"/>
        <w:spacing w:after="0" w:line="259" w:lineRule="auto"/>
        <w:rPr>
          <w:sz w:val="20"/>
          <w:szCs w:val="20"/>
          <w:color w:val="auto"/>
        </w:rPr>
      </w:pPr>
      <w:r>
        <w:rPr>
          <w:rFonts w:ascii="Arial" w:cs="Arial" w:eastAsia="Arial" w:hAnsi="Arial"/>
          <w:sz w:val="18"/>
          <w:szCs w:val="18"/>
          <w:color w:val="auto"/>
        </w:rPr>
        <w:t>On December 31, 2019, the sponsor paid $25,000, or approximately $0.003 per share, to cover certain of our offering costs in consideration of 8,625,000 Class B ordinary shares, par value $0.0001. Such securities were issued in connection with our organization pursuant to the exemption from registration contained in Section 4(a)(2) of the Securities Act.</w:t>
      </w:r>
    </w:p>
    <w:p>
      <w:pPr>
        <w:spacing w:after="0" w:line="119" w:lineRule="exact"/>
        <w:rPr>
          <w:sz w:val="20"/>
          <w:szCs w:val="20"/>
          <w:color w:val="auto"/>
        </w:rPr>
      </w:pPr>
    </w:p>
    <w:p>
      <w:pPr>
        <w:jc w:val="both"/>
        <w:ind w:left="460" w:right="979" w:firstLine="432"/>
        <w:spacing w:after="0" w:line="286" w:lineRule="auto"/>
        <w:rPr>
          <w:sz w:val="20"/>
          <w:szCs w:val="20"/>
          <w:color w:val="auto"/>
        </w:rPr>
      </w:pPr>
      <w:r>
        <w:rPr>
          <w:rFonts w:ascii="Arial" w:cs="Arial" w:eastAsia="Arial" w:hAnsi="Arial"/>
          <w:sz w:val="17"/>
          <w:szCs w:val="17"/>
          <w:color w:val="auto"/>
        </w:rPr>
        <w:t>Our sponsor is an accredited investor for purposes of Rule 501 of Regulation D. Each of the equity holders in our sponsor is an accredited investor under Rule 501 of Regulation D. The sole business of our sponsor is to act as the company’s sponsor in connection with this offering.</w:t>
      </w:r>
    </w:p>
    <w:p>
      <w:pPr>
        <w:spacing w:after="0" w:line="1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68" w:name="page169"/>
    <w:bookmarkEnd w:id="168"/>
    <w:p>
      <w:pPr>
        <w:ind w:left="460" w:right="599" w:firstLine="432"/>
        <w:spacing w:after="0" w:line="257" w:lineRule="auto"/>
        <w:rPr>
          <w:sz w:val="20"/>
          <w:szCs w:val="20"/>
          <w:color w:val="auto"/>
        </w:rPr>
      </w:pPr>
      <w:r>
        <w:rPr>
          <w:rFonts w:ascii="Arial" w:cs="Arial" w:eastAsia="Arial" w:hAnsi="Arial"/>
          <w:sz w:val="18"/>
          <w:szCs w:val="18"/>
          <w:color w:val="auto"/>
        </w:rPr>
        <w:t>Our sponsor has committed, pursuant to a written agreement, to purchase an aggregate of 9,500,000 private placement warrants, each exercisable to purchase one ordinary share at $11.50 per share, at a price of $1.00 per warrant ($9,500,000 in the aggregate), in a private placement that will close simultaneously with the closing of this offering. These issuances will be made pursuant to the exemption from registration contained in Section 4(a)(2) of the Securities Act.</w:t>
      </w:r>
    </w:p>
    <w:p>
      <w:pPr>
        <w:spacing w:after="0" w:line="107" w:lineRule="exact"/>
        <w:rPr>
          <w:sz w:val="20"/>
          <w:szCs w:val="20"/>
          <w:color w:val="auto"/>
        </w:rPr>
      </w:pPr>
    </w:p>
    <w:p>
      <w:pPr>
        <w:ind w:left="880"/>
        <w:spacing w:after="0"/>
        <w:rPr>
          <w:sz w:val="20"/>
          <w:szCs w:val="20"/>
          <w:color w:val="auto"/>
        </w:rPr>
      </w:pPr>
      <w:r>
        <w:rPr>
          <w:rFonts w:ascii="Arial" w:cs="Arial" w:eastAsia="Arial" w:hAnsi="Arial"/>
          <w:sz w:val="18"/>
          <w:szCs w:val="18"/>
          <w:color w:val="auto"/>
        </w:rPr>
        <w:t>No underwriting discounts or commissions were paid with respect to such sales.</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16. Exhibits and Financial Statement Schedules.</w:t>
      </w:r>
    </w:p>
    <w:p>
      <w:pPr>
        <w:spacing w:after="0" w:line="162" w:lineRule="exact"/>
        <w:rPr>
          <w:sz w:val="20"/>
          <w:szCs w:val="20"/>
          <w:color w:val="auto"/>
        </w:rPr>
      </w:pPr>
    </w:p>
    <w:p>
      <w:pPr>
        <w:ind w:left="1520" w:hanging="400"/>
        <w:spacing w:after="0"/>
        <w:tabs>
          <w:tab w:leader="none" w:pos="1520" w:val="left"/>
        </w:tabs>
        <w:numPr>
          <w:ilvl w:val="0"/>
          <w:numId w:val="94"/>
        </w:numPr>
        <w:rPr>
          <w:rFonts w:ascii="Arial" w:cs="Arial" w:eastAsia="Arial" w:hAnsi="Arial"/>
          <w:sz w:val="18"/>
          <w:szCs w:val="18"/>
          <w:color w:val="auto"/>
        </w:rPr>
      </w:pPr>
      <w:r>
        <w:rPr>
          <w:rFonts w:ascii="Arial" w:cs="Arial" w:eastAsia="Arial" w:hAnsi="Arial"/>
          <w:sz w:val="18"/>
          <w:szCs w:val="18"/>
          <w:color w:val="auto"/>
        </w:rPr>
        <w:t>The Exhibit Index is incorporated herein by reference.</w:t>
      </w:r>
    </w:p>
    <w:p>
      <w:pPr>
        <w:spacing w:after="0" w:line="221"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Item 17. Undertakings.</w:t>
      </w:r>
    </w:p>
    <w:p>
      <w:pPr>
        <w:spacing w:after="0" w:line="162" w:lineRule="exact"/>
        <w:rPr>
          <w:sz w:val="20"/>
          <w:szCs w:val="20"/>
          <w:color w:val="auto"/>
        </w:rPr>
      </w:pPr>
    </w:p>
    <w:p>
      <w:pPr>
        <w:ind w:left="1560" w:right="739" w:hanging="440"/>
        <w:spacing w:after="0" w:line="311" w:lineRule="auto"/>
        <w:tabs>
          <w:tab w:leader="none" w:pos="1519" w:val="left"/>
        </w:tabs>
        <w:numPr>
          <w:ilvl w:val="0"/>
          <w:numId w:val="95"/>
        </w:numPr>
        <w:rPr>
          <w:rFonts w:ascii="Arial" w:cs="Arial" w:eastAsia="Arial" w:hAnsi="Arial"/>
          <w:sz w:val="16"/>
          <w:szCs w:val="16"/>
          <w:color w:val="auto"/>
        </w:rPr>
      </w:pPr>
      <w:r>
        <w:rPr>
          <w:rFonts w:ascii="Arial" w:cs="Arial" w:eastAsia="Arial" w:hAnsi="Arial"/>
          <w:sz w:val="16"/>
          <w:szCs w:val="16"/>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67" w:lineRule="exact"/>
        <w:rPr>
          <w:rFonts w:ascii="Arial" w:cs="Arial" w:eastAsia="Arial" w:hAnsi="Arial"/>
          <w:sz w:val="16"/>
          <w:szCs w:val="16"/>
          <w:color w:val="auto"/>
        </w:rPr>
      </w:pPr>
    </w:p>
    <w:p>
      <w:pPr>
        <w:ind w:left="1560" w:right="499" w:hanging="440"/>
        <w:spacing w:after="0" w:line="269" w:lineRule="auto"/>
        <w:tabs>
          <w:tab w:leader="none" w:pos="1528" w:val="left"/>
        </w:tabs>
        <w:numPr>
          <w:ilvl w:val="0"/>
          <w:numId w:val="95"/>
        </w:numPr>
        <w:rPr>
          <w:rFonts w:ascii="Arial" w:cs="Arial" w:eastAsia="Arial" w:hAnsi="Arial"/>
          <w:sz w:val="17"/>
          <w:szCs w:val="17"/>
          <w:color w:val="auto"/>
        </w:rPr>
      </w:pPr>
      <w:r>
        <w:rPr>
          <w:rFonts w:ascii="Arial" w:cs="Arial" w:eastAsia="Arial" w:hAnsi="Arial"/>
          <w:sz w:val="17"/>
          <w:szCs w:val="17"/>
          <w:color w:val="auto"/>
        </w:rPr>
        <w:t>Insofar as indemnification for liabilities arising under the Securities Act may be permitted to directors, officers and 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Act and will be governed by the final adjudication of such issue.</w:t>
      </w:r>
    </w:p>
    <w:p>
      <w:pPr>
        <w:spacing w:after="0" w:line="111" w:lineRule="exact"/>
        <w:rPr>
          <w:rFonts w:ascii="Arial" w:cs="Arial" w:eastAsia="Arial" w:hAnsi="Arial"/>
          <w:sz w:val="17"/>
          <w:szCs w:val="17"/>
          <w:color w:val="auto"/>
        </w:rPr>
      </w:pPr>
    </w:p>
    <w:p>
      <w:pPr>
        <w:ind w:left="1520" w:hanging="400"/>
        <w:spacing w:after="0"/>
        <w:tabs>
          <w:tab w:leader="none" w:pos="1520" w:val="left"/>
        </w:tabs>
        <w:numPr>
          <w:ilvl w:val="0"/>
          <w:numId w:val="95"/>
        </w:numPr>
        <w:rPr>
          <w:rFonts w:ascii="Arial" w:cs="Arial" w:eastAsia="Arial" w:hAnsi="Arial"/>
          <w:sz w:val="18"/>
          <w:szCs w:val="18"/>
          <w:color w:val="auto"/>
        </w:rPr>
      </w:pPr>
      <w:r>
        <w:rPr>
          <w:rFonts w:ascii="Arial" w:cs="Arial" w:eastAsia="Arial" w:hAnsi="Arial"/>
          <w:sz w:val="18"/>
          <w:szCs w:val="18"/>
          <w:color w:val="auto"/>
        </w:rPr>
        <w:t>The undersigned registrant hereby undertakes that:</w:t>
      </w:r>
    </w:p>
    <w:p>
      <w:pPr>
        <w:spacing w:after="0" w:line="157" w:lineRule="exact"/>
        <w:rPr>
          <w:rFonts w:ascii="Arial" w:cs="Arial" w:eastAsia="Arial" w:hAnsi="Arial"/>
          <w:sz w:val="18"/>
          <w:szCs w:val="18"/>
          <w:color w:val="auto"/>
        </w:rPr>
      </w:pPr>
    </w:p>
    <w:p>
      <w:pPr>
        <w:ind w:left="1980" w:right="539" w:hanging="428"/>
        <w:spacing w:after="0" w:line="275" w:lineRule="auto"/>
        <w:tabs>
          <w:tab w:leader="none" w:pos="1953" w:val="left"/>
        </w:tabs>
        <w:numPr>
          <w:ilvl w:val="1"/>
          <w:numId w:val="95"/>
        </w:numPr>
        <w:rPr>
          <w:rFonts w:ascii="Arial" w:cs="Arial" w:eastAsia="Arial" w:hAnsi="Arial"/>
          <w:sz w:val="17"/>
          <w:szCs w:val="17"/>
          <w:color w:val="auto"/>
        </w:rPr>
      </w:pPr>
      <w:r>
        <w:rPr>
          <w:rFonts w:ascii="Arial" w:cs="Arial" w:eastAsia="Arial" w:hAnsi="Arial"/>
          <w:sz w:val="17"/>
          <w:szCs w:val="17"/>
          <w:color w:val="auto"/>
        </w:rPr>
        <w:t>For purposes of determining any liability under the Securities Act, the information omitted from the form of prospectus filed as part of this registration statement in reliance upon Rule 430A and contained in a form of prospectus filed by the registrant pursuant to Rule 424(b)(1) or (4) or 497(h) under the Securities Act shall be deemed to be part of this registration statement as of the time it was declared effective.</w:t>
      </w:r>
    </w:p>
    <w:p>
      <w:pPr>
        <w:spacing w:after="0" w:line="95" w:lineRule="exact"/>
        <w:rPr>
          <w:rFonts w:ascii="Arial" w:cs="Arial" w:eastAsia="Arial" w:hAnsi="Arial"/>
          <w:sz w:val="17"/>
          <w:szCs w:val="17"/>
          <w:color w:val="auto"/>
        </w:rPr>
      </w:pPr>
    </w:p>
    <w:p>
      <w:pPr>
        <w:ind w:left="1980" w:right="719" w:hanging="428"/>
        <w:spacing w:after="0" w:line="301" w:lineRule="auto"/>
        <w:tabs>
          <w:tab w:leader="none" w:pos="1953" w:val="left"/>
        </w:tabs>
        <w:numPr>
          <w:ilvl w:val="1"/>
          <w:numId w:val="95"/>
        </w:numPr>
        <w:rPr>
          <w:rFonts w:ascii="Arial" w:cs="Arial" w:eastAsia="Arial" w:hAnsi="Arial"/>
          <w:sz w:val="16"/>
          <w:szCs w:val="16"/>
          <w:color w:val="auto"/>
        </w:rPr>
      </w:pPr>
      <w:r>
        <w:rPr>
          <w:rFonts w:ascii="Arial" w:cs="Arial" w:eastAsia="Arial" w:hAnsi="Arial"/>
          <w:sz w:val="16"/>
          <w:szCs w:val="16"/>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274" w:right="1440" w:bottom="1440" w:gutter="0" w:footer="0" w:header="0"/>
        </w:sectPr>
      </w:pPr>
    </w:p>
    <w:bookmarkStart w:id="169" w:name="page170"/>
    <w:bookmarkEnd w:id="169"/>
    <w:p>
      <w:pPr>
        <w:jc w:val="center"/>
        <w:spacing w:after="0"/>
        <w:rPr>
          <w:sz w:val="20"/>
          <w:szCs w:val="20"/>
          <w:color w:val="auto"/>
        </w:rPr>
      </w:pPr>
      <w:r>
        <w:rPr>
          <w:rFonts w:ascii="Arial" w:cs="Arial" w:eastAsia="Arial" w:hAnsi="Arial"/>
          <w:sz w:val="18"/>
          <w:szCs w:val="18"/>
          <w:b w:val="1"/>
          <w:bCs w:val="1"/>
          <w:color w:val="auto"/>
        </w:rPr>
        <w:t>EXHIBIT INDEX</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6"/>
          <w:szCs w:val="16"/>
          <w:b w:val="1"/>
          <w:bCs w:val="1"/>
          <w:color w:val="auto"/>
        </w:rPr>
        <w:t>Exhibit</w:t>
      </w:r>
    </w:p>
    <w:p>
      <w:pPr>
        <w:spacing w:after="0" w:line="26" w:lineRule="exact"/>
        <w:rPr>
          <w:sz w:val="20"/>
          <w:szCs w:val="20"/>
          <w:color w:val="auto"/>
        </w:rPr>
      </w:pPr>
    </w:p>
    <w:p>
      <w:pPr>
        <w:ind w:left="600"/>
        <w:spacing w:after="0"/>
        <w:tabs>
          <w:tab w:leader="none" w:pos="4420" w:val="left"/>
        </w:tabs>
        <w:rPr>
          <w:sz w:val="20"/>
          <w:szCs w:val="20"/>
          <w:color w:val="auto"/>
        </w:rPr>
      </w:pPr>
      <w:r>
        <w:rPr>
          <w:rFonts w:ascii="Arial" w:cs="Arial" w:eastAsia="Arial" w:hAnsi="Arial"/>
          <w:sz w:val="16"/>
          <w:szCs w:val="16"/>
          <w:b w:val="1"/>
          <w:bCs w:val="1"/>
          <w:color w:val="auto"/>
        </w:rPr>
        <w:t>No.</w:t>
      </w:r>
      <w:r>
        <w:rPr>
          <w:sz w:val="20"/>
          <w:szCs w:val="20"/>
          <w:color w:val="auto"/>
        </w:rPr>
        <w:tab/>
      </w:r>
      <w:r>
        <w:rPr>
          <w:rFonts w:ascii="Arial" w:cs="Arial" w:eastAsia="Arial" w:hAnsi="Arial"/>
          <w:sz w:val="16"/>
          <w:szCs w:val="16"/>
          <w:b w:val="1"/>
          <w:bCs w:val="1"/>
          <w:color w:val="auto"/>
        </w:rPr>
        <w:t>Description</w:t>
      </w:r>
    </w:p>
    <w:p>
      <w:pPr>
        <w:spacing w:after="0" w:line="64" w:lineRule="exact"/>
        <w:rPr>
          <w:sz w:val="20"/>
          <w:szCs w:val="20"/>
          <w:color w:val="auto"/>
        </w:rPr>
      </w:pPr>
    </w:p>
    <w:p>
      <w:pPr>
        <w:ind w:left="64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1.1</w:t>
      </w:r>
      <w:r>
        <w:rPr>
          <w:sz w:val="20"/>
          <w:szCs w:val="20"/>
          <w:color w:val="auto"/>
        </w:rPr>
        <w:tab/>
      </w:r>
      <w:hyperlink w:anchor="page172">
        <w:r>
          <w:rPr>
            <w:rFonts w:ascii="Arial" w:cs="Arial" w:eastAsia="Arial" w:hAnsi="Arial"/>
            <w:sz w:val="16"/>
            <w:szCs w:val="16"/>
            <w:u w:val="single" w:color="auto"/>
            <w:color w:val="0000EE"/>
          </w:rPr>
          <w:t>Form of Underwriting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-130175</wp:posOffset>
            </wp:positionV>
            <wp:extent cx="5143500" cy="17970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43" w:lineRule="exact"/>
        <w:rPr>
          <w:sz w:val="20"/>
          <w:szCs w:val="20"/>
          <w:color w:val="auto"/>
        </w:rPr>
      </w:pPr>
    </w:p>
    <w:p>
      <w:pPr>
        <w:ind w:left="64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3.1</w:t>
      </w:r>
      <w:r>
        <w:rPr>
          <w:sz w:val="20"/>
          <w:szCs w:val="20"/>
          <w:color w:val="auto"/>
        </w:rPr>
        <w:tab/>
      </w:r>
      <w:hyperlink r:id="rId218">
        <w:r>
          <w:rPr>
            <w:rFonts w:ascii="Arial" w:cs="Arial" w:eastAsia="Arial" w:hAnsi="Arial"/>
            <w:sz w:val="16"/>
            <w:szCs w:val="16"/>
            <w:u w:val="single" w:color="auto"/>
            <w:color w:val="0000EE"/>
          </w:rPr>
          <w:t>Memorandum and Articles of Association.*</w:t>
        </w:r>
      </w:hyperlink>
    </w:p>
    <w:p>
      <w:pPr>
        <w:spacing w:after="0" w:line="77" w:lineRule="exact"/>
        <w:rPr>
          <w:sz w:val="20"/>
          <w:szCs w:val="20"/>
          <w:color w:val="auto"/>
        </w:rPr>
      </w:pPr>
    </w:p>
    <w:p>
      <w:pPr>
        <w:ind w:left="64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3.2</w:t>
      </w:r>
      <w:r>
        <w:rPr>
          <w:sz w:val="20"/>
          <w:szCs w:val="20"/>
          <w:color w:val="auto"/>
        </w:rPr>
        <w:tab/>
      </w:r>
      <w:hyperlink r:id="rId219">
        <w:r>
          <w:rPr>
            <w:rFonts w:ascii="Arial" w:cs="Arial" w:eastAsia="Arial" w:hAnsi="Arial"/>
            <w:sz w:val="16"/>
            <w:szCs w:val="16"/>
            <w:u w:val="single" w:color="auto"/>
            <w:color w:val="0000EE"/>
          </w:rPr>
          <w:t>Form of Amended and Restated Memorandum and Articles of Association.*</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20">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4.1</w:t>
      </w:r>
      <w:r>
        <w:rPr>
          <w:sz w:val="20"/>
          <w:szCs w:val="20"/>
          <w:color w:val="auto"/>
        </w:rPr>
        <w:tab/>
      </w:r>
      <w:hyperlink r:id="rId221">
        <w:r>
          <w:rPr>
            <w:rFonts w:ascii="Arial" w:cs="Arial" w:eastAsia="Arial" w:hAnsi="Arial"/>
            <w:sz w:val="16"/>
            <w:szCs w:val="16"/>
            <w:u w:val="single" w:color="auto"/>
            <w:color w:val="0000EE"/>
          </w:rPr>
          <w:t>Specimen Unit Certificate.*</w:t>
        </w:r>
      </w:hyperlink>
    </w:p>
    <w:p>
      <w:pPr>
        <w:spacing w:after="0" w:line="77" w:lineRule="exact"/>
        <w:rPr>
          <w:sz w:val="20"/>
          <w:szCs w:val="20"/>
          <w:color w:val="auto"/>
        </w:rPr>
      </w:pPr>
    </w:p>
    <w:p>
      <w:pPr>
        <w:ind w:left="64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4.2</w:t>
      </w:r>
      <w:r>
        <w:rPr>
          <w:sz w:val="20"/>
          <w:szCs w:val="20"/>
          <w:color w:val="auto"/>
        </w:rPr>
        <w:tab/>
      </w:r>
      <w:hyperlink r:id="rId222">
        <w:r>
          <w:rPr>
            <w:rFonts w:ascii="Arial" w:cs="Arial" w:eastAsia="Arial" w:hAnsi="Arial"/>
            <w:sz w:val="16"/>
            <w:szCs w:val="16"/>
            <w:u w:val="single" w:color="auto"/>
            <w:color w:val="0000EE"/>
          </w:rPr>
          <w:t>Specimen Class A Ordinary Share Certificate.*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23">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64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4.3</w:t>
      </w:r>
      <w:r>
        <w:rPr>
          <w:sz w:val="20"/>
          <w:szCs w:val="20"/>
          <w:color w:val="auto"/>
        </w:rPr>
        <w:tab/>
      </w:r>
      <w:hyperlink r:id="rId224">
        <w:r>
          <w:rPr>
            <w:rFonts w:ascii="Arial" w:cs="Arial" w:eastAsia="Arial" w:hAnsi="Arial"/>
            <w:sz w:val="16"/>
            <w:szCs w:val="16"/>
            <w:u w:val="single" w:color="auto"/>
            <w:color w:val="0000EE"/>
          </w:rPr>
          <w:t>Specimen Warrant Certificate.*</w:t>
        </w:r>
      </w:hyperlink>
    </w:p>
    <w:p>
      <w:pPr>
        <w:spacing w:after="0" w:line="77" w:lineRule="exact"/>
        <w:rPr>
          <w:sz w:val="20"/>
          <w:szCs w:val="20"/>
          <w:color w:val="auto"/>
        </w:rPr>
      </w:pPr>
    </w:p>
    <w:p>
      <w:pPr>
        <w:ind w:left="1120" w:right="1299" w:hanging="496"/>
        <w:spacing w:after="0" w:line="27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4.4</w:t>
      </w:r>
      <w:r>
        <w:rPr>
          <w:sz w:val="20"/>
          <w:szCs w:val="20"/>
          <w:color w:val="auto"/>
        </w:rPr>
        <w:tab/>
      </w:r>
      <w:hyperlink w:anchor="page212">
        <w:r>
          <w:rPr>
            <w:rFonts w:ascii="Arial" w:cs="Arial" w:eastAsia="Arial" w:hAnsi="Arial"/>
            <w:sz w:val="18"/>
            <w:szCs w:val="18"/>
            <w:u w:val="single" w:color="auto"/>
            <w:color w:val="0000EE"/>
          </w:rPr>
          <w:t>Form of Warrant Agreement between Continental Stock Transfer &amp; Trust Company and the</w:t>
        </w:r>
      </w:hyperlink>
      <w:r>
        <w:rPr>
          <w:rFonts w:ascii="Arial" w:cs="Arial" w:eastAsia="Arial" w:hAnsi="Arial"/>
          <w:sz w:val="18"/>
          <w:szCs w:val="18"/>
          <w:u w:val="single" w:color="auto"/>
          <w:color w:val="0000EE"/>
        </w:rPr>
        <w:t xml:space="preserve"> </w:t>
      </w:r>
      <w:hyperlink w:anchor="page212">
        <w:r>
          <w:rPr>
            <w:rFonts w:ascii="Arial" w:cs="Arial" w:eastAsia="Arial" w:hAnsi="Arial"/>
            <w:sz w:val="18"/>
            <w:szCs w:val="18"/>
            <w:u w:val="single" w:color="auto"/>
            <w:color w:val="0000EE"/>
          </w:rPr>
          <w:t>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-289560</wp:posOffset>
            </wp:positionV>
            <wp:extent cx="5143500" cy="3003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5">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640"/>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5.1</w:t>
      </w:r>
      <w:r>
        <w:rPr>
          <w:sz w:val="20"/>
          <w:szCs w:val="20"/>
          <w:color w:val="auto"/>
        </w:rPr>
        <w:tab/>
      </w:r>
      <w:hyperlink r:id="rId226">
        <w:r>
          <w:rPr>
            <w:rFonts w:ascii="Arial" w:cs="Arial" w:eastAsia="Arial" w:hAnsi="Arial"/>
            <w:sz w:val="17"/>
            <w:szCs w:val="17"/>
            <w:u w:val="single" w:color="auto"/>
            <w:color w:val="0000EE"/>
          </w:rPr>
          <w:t>Opinion of Kirkland &amp; Ellis LLP.*</w:t>
        </w:r>
      </w:hyperlink>
    </w:p>
    <w:p>
      <w:pPr>
        <w:spacing w:after="0" w:line="77" w:lineRule="exact"/>
        <w:rPr>
          <w:sz w:val="20"/>
          <w:szCs w:val="20"/>
          <w:color w:val="auto"/>
        </w:rPr>
      </w:pPr>
    </w:p>
    <w:p>
      <w:pPr>
        <w:ind w:left="64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5.2</w:t>
      </w:r>
      <w:r>
        <w:rPr>
          <w:sz w:val="20"/>
          <w:szCs w:val="20"/>
          <w:color w:val="auto"/>
        </w:rPr>
        <w:tab/>
      </w:r>
      <w:hyperlink w:anchor="page239">
        <w:r>
          <w:rPr>
            <w:rFonts w:ascii="Arial" w:cs="Arial" w:eastAsia="Arial" w:hAnsi="Arial"/>
            <w:sz w:val="16"/>
            <w:szCs w:val="16"/>
            <w:u w:val="single" w:color="auto"/>
            <w:color w:val="0000EE"/>
          </w:rPr>
          <w:t>Opinion of Maples and Calder, Cayman Islands Counsel to the Registrant.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7">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120" w:right="979" w:hanging="541"/>
        <w:spacing w:after="0" w:line="27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10.1</w:t>
      </w:r>
      <w:r>
        <w:rPr>
          <w:sz w:val="20"/>
          <w:szCs w:val="20"/>
          <w:color w:val="auto"/>
        </w:rPr>
        <w:tab/>
      </w:r>
      <w:hyperlink r:id="rId228">
        <w:r>
          <w:rPr>
            <w:rFonts w:ascii="Arial" w:cs="Arial" w:eastAsia="Arial" w:hAnsi="Arial"/>
            <w:sz w:val="18"/>
            <w:szCs w:val="18"/>
            <w:u w:val="single" w:color="auto"/>
            <w:color w:val="0000EE"/>
          </w:rPr>
          <w:t>Form of Investment Management Trust Agreement between Continental Stock Transfer &amp; Trust</w:t>
        </w:r>
      </w:hyperlink>
      <w:r>
        <w:rPr>
          <w:rFonts w:ascii="Arial" w:cs="Arial" w:eastAsia="Arial" w:hAnsi="Arial"/>
          <w:sz w:val="18"/>
          <w:szCs w:val="18"/>
          <w:u w:val="single" w:color="auto"/>
          <w:color w:val="0000EE"/>
        </w:rPr>
        <w:t xml:space="preserve"> </w:t>
      </w:r>
      <w:hyperlink r:id="rId228">
        <w:r>
          <w:rPr>
            <w:rFonts w:ascii="Arial" w:cs="Arial" w:eastAsia="Arial" w:hAnsi="Arial"/>
            <w:sz w:val="18"/>
            <w:szCs w:val="18"/>
            <w:u w:val="single" w:color="auto"/>
            <w:color w:val="0000EE"/>
          </w:rPr>
          <w:t>Company and the Registrant.*</w:t>
        </w:r>
      </w:hyperlink>
    </w:p>
    <w:p>
      <w:pPr>
        <w:spacing w:after="0" w:line="2" w:lineRule="exact"/>
        <w:rPr>
          <w:sz w:val="20"/>
          <w:szCs w:val="20"/>
          <w:color w:val="auto"/>
        </w:rPr>
      </w:pPr>
    </w:p>
    <w:p>
      <w:pPr>
        <w:ind w:left="1120" w:right="699" w:hanging="541"/>
        <w:spacing w:after="0" w:line="27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10.2</w:t>
      </w:r>
      <w:r>
        <w:rPr>
          <w:sz w:val="20"/>
          <w:szCs w:val="20"/>
          <w:color w:val="auto"/>
        </w:rPr>
        <w:tab/>
      </w:r>
      <w:hyperlink r:id="rId229">
        <w:r>
          <w:rPr>
            <w:rFonts w:ascii="Arial" w:cs="Arial" w:eastAsia="Arial" w:hAnsi="Arial"/>
            <w:sz w:val="18"/>
            <w:szCs w:val="18"/>
            <w:u w:val="single" w:color="auto"/>
            <w:color w:val="0000EE"/>
          </w:rPr>
          <w:t>Form of Registration and Shareholder Rights Agreement among the Registrant, the Sponsor and the</w:t>
        </w:r>
      </w:hyperlink>
      <w:r>
        <w:rPr>
          <w:rFonts w:ascii="Arial" w:cs="Arial" w:eastAsia="Arial" w:hAnsi="Arial"/>
          <w:sz w:val="18"/>
          <w:szCs w:val="18"/>
          <w:u w:val="single" w:color="auto"/>
          <w:color w:val="0000EE"/>
        </w:rPr>
        <w:t xml:space="preserve"> </w:t>
      </w:r>
      <w:hyperlink r:id="rId229">
        <w:r>
          <w:rPr>
            <w:rFonts w:ascii="Arial" w:cs="Arial" w:eastAsia="Arial" w:hAnsi="Arial"/>
            <w:sz w:val="18"/>
            <w:szCs w:val="18"/>
            <w:u w:val="single" w:color="auto"/>
            <w:color w:val="0000EE"/>
          </w:rPr>
          <w:t>Holders signatory thereto.*</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-289560</wp:posOffset>
            </wp:positionV>
            <wp:extent cx="5143500" cy="3003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0">
                      <a:extLst>
                        <a:ext uri="{28A0092B-C50C-407E-A947-70E740481C1C}"/>
                      </a:extLst>
                    </a:blip>
                    <a:srcRect/>
                    <a:stretch>
                      <a:fillRect/>
                    </a:stretch>
                  </pic:blipFill>
                  <pic:spPr bwMode="auto">
                    <a:xfrm>
                      <a:off x="0" y="0"/>
                      <a:ext cx="5143500" cy="300355"/>
                    </a:xfrm>
                    <a:prstGeom prst="rect">
                      <a:avLst/>
                    </a:prstGeom>
                    <a:noFill/>
                  </pic:spPr>
                </pic:pic>
              </a:graphicData>
            </a:graphic>
          </wp:anchor>
        </w:drawing>
      </w:r>
    </w:p>
    <w:p>
      <w:pPr>
        <w:ind w:left="5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10.3</w:t>
      </w:r>
      <w:r>
        <w:rPr>
          <w:sz w:val="20"/>
          <w:szCs w:val="20"/>
          <w:color w:val="auto"/>
        </w:rPr>
        <w:tab/>
      </w:r>
      <w:hyperlink r:id="rId231">
        <w:r>
          <w:rPr>
            <w:rFonts w:ascii="Arial" w:cs="Arial" w:eastAsia="Arial" w:hAnsi="Arial"/>
            <w:sz w:val="16"/>
            <w:szCs w:val="16"/>
            <w:u w:val="single" w:color="auto"/>
            <w:color w:val="0000EE"/>
          </w:rPr>
          <w:t>Form of Private Placement Warrants Purchase Agreement between the Registrant and the Sponsor.*</w:t>
        </w:r>
      </w:hyperlink>
    </w:p>
    <w:p>
      <w:pPr>
        <w:spacing w:after="0" w:line="77" w:lineRule="exact"/>
        <w:rPr>
          <w:sz w:val="20"/>
          <w:szCs w:val="20"/>
          <w:color w:val="auto"/>
        </w:rPr>
      </w:pPr>
    </w:p>
    <w:p>
      <w:pPr>
        <w:ind w:left="5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10.4</w:t>
      </w:r>
      <w:r>
        <w:rPr>
          <w:sz w:val="20"/>
          <w:szCs w:val="20"/>
          <w:color w:val="auto"/>
        </w:rPr>
        <w:tab/>
      </w:r>
      <w:hyperlink r:id="rId232">
        <w:r>
          <w:rPr>
            <w:rFonts w:ascii="Arial" w:cs="Arial" w:eastAsia="Arial" w:hAnsi="Arial"/>
            <w:sz w:val="16"/>
            <w:szCs w:val="16"/>
            <w:u w:val="single" w:color="auto"/>
            <w:color w:val="0000EE"/>
          </w:rPr>
          <w:t>Form of Indemnity Agreement.*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33">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57" w:lineRule="exact"/>
        <w:rPr>
          <w:sz w:val="20"/>
          <w:szCs w:val="20"/>
          <w:color w:val="auto"/>
        </w:rPr>
      </w:pPr>
    </w:p>
    <w:p>
      <w:pPr>
        <w:ind w:left="5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10.5</w:t>
      </w:r>
      <w:r>
        <w:rPr>
          <w:sz w:val="20"/>
          <w:szCs w:val="20"/>
          <w:color w:val="auto"/>
        </w:rPr>
        <w:tab/>
      </w:r>
      <w:hyperlink r:id="rId234">
        <w:r>
          <w:rPr>
            <w:rFonts w:ascii="Arial" w:cs="Arial" w:eastAsia="Arial" w:hAnsi="Arial"/>
            <w:sz w:val="16"/>
            <w:szCs w:val="16"/>
            <w:u w:val="single" w:color="auto"/>
            <w:color w:val="0000EE"/>
          </w:rPr>
          <w:t>Form of Administrative Services Agreement between the Registrant and the Sponsor.*</w:t>
        </w:r>
      </w:hyperlink>
    </w:p>
    <w:p>
      <w:pPr>
        <w:spacing w:after="0" w:line="77" w:lineRule="exact"/>
        <w:rPr>
          <w:sz w:val="20"/>
          <w:szCs w:val="20"/>
          <w:color w:val="auto"/>
        </w:rPr>
      </w:pPr>
    </w:p>
    <w:p>
      <w:pPr>
        <w:ind w:left="5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10.6</w:t>
      </w:r>
      <w:r>
        <w:rPr>
          <w:sz w:val="20"/>
          <w:szCs w:val="20"/>
          <w:color w:val="auto"/>
        </w:rPr>
        <w:tab/>
      </w:r>
      <w:hyperlink r:id="rId235">
        <w:r>
          <w:rPr>
            <w:rFonts w:ascii="Arial" w:cs="Arial" w:eastAsia="Arial" w:hAnsi="Arial"/>
            <w:sz w:val="16"/>
            <w:szCs w:val="16"/>
            <w:u w:val="single" w:color="auto"/>
            <w:color w:val="0000EE"/>
          </w:rPr>
          <w:t>Promissory Note, dated as of December 31, 2019, between the Registrant and the Sponsor.*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36">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120" w:right="1139" w:hanging="541"/>
        <w:spacing w:after="0" w:line="27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10.7</w:t>
      </w:r>
      <w:r>
        <w:rPr>
          <w:sz w:val="20"/>
          <w:szCs w:val="20"/>
          <w:color w:val="auto"/>
        </w:rPr>
        <w:tab/>
      </w:r>
      <w:hyperlink r:id="rId237">
        <w:r>
          <w:rPr>
            <w:rFonts w:ascii="Arial" w:cs="Arial" w:eastAsia="Arial" w:hAnsi="Arial"/>
            <w:sz w:val="18"/>
            <w:szCs w:val="18"/>
            <w:u w:val="single" w:color="auto"/>
            <w:color w:val="0000EE"/>
          </w:rPr>
          <w:t>Securities Subscription Agreement, dated December 31, 2019, between the Registrant and the</w:t>
        </w:r>
      </w:hyperlink>
      <w:r>
        <w:rPr>
          <w:rFonts w:ascii="Arial" w:cs="Arial" w:eastAsia="Arial" w:hAnsi="Arial"/>
          <w:sz w:val="18"/>
          <w:szCs w:val="18"/>
          <w:u w:val="single" w:color="auto"/>
          <w:color w:val="0000EE"/>
        </w:rPr>
        <w:t xml:space="preserve"> </w:t>
      </w:r>
      <w:hyperlink r:id="rId237">
        <w:r>
          <w:rPr>
            <w:rFonts w:ascii="Arial" w:cs="Arial" w:eastAsia="Arial" w:hAnsi="Arial"/>
            <w:sz w:val="18"/>
            <w:szCs w:val="18"/>
            <w:u w:val="single" w:color="auto"/>
            <w:color w:val="0000EE"/>
          </w:rPr>
          <w:t>Sponsor.*</w:t>
        </w:r>
      </w:hyperlink>
    </w:p>
    <w:p>
      <w:pPr>
        <w:spacing w:after="0" w:line="2" w:lineRule="exact"/>
        <w:rPr>
          <w:sz w:val="20"/>
          <w:szCs w:val="20"/>
          <w:color w:val="auto"/>
        </w:rPr>
      </w:pPr>
    </w:p>
    <w:p>
      <w:pPr>
        <w:ind w:left="5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10.8</w:t>
      </w:r>
      <w:r>
        <w:rPr>
          <w:sz w:val="20"/>
          <w:szCs w:val="20"/>
          <w:color w:val="auto"/>
        </w:rPr>
        <w:tab/>
      </w:r>
      <w:hyperlink r:id="rId238">
        <w:r>
          <w:rPr>
            <w:rFonts w:ascii="Arial" w:cs="Arial" w:eastAsia="Arial" w:hAnsi="Arial"/>
            <w:sz w:val="16"/>
            <w:szCs w:val="16"/>
            <w:u w:val="single" w:color="auto"/>
            <w:color w:val="0000EE"/>
          </w:rPr>
          <w:t>Form of Letter Agreement between the Registrant and the Sponsor.*</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39">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120" w:right="1099" w:hanging="541"/>
        <w:spacing w:after="0" w:line="273" w:lineRule="auto"/>
        <w:tabs>
          <w:tab w:leader="none" w:pos="1100" w:val="left"/>
        </w:tabs>
        <w:rPr>
          <w:rFonts w:ascii="Arial" w:cs="Arial" w:eastAsia="Arial" w:hAnsi="Arial"/>
          <w:sz w:val="18"/>
          <w:szCs w:val="18"/>
          <w:u w:val="single" w:color="auto"/>
          <w:color w:val="0000EE"/>
        </w:rPr>
      </w:pPr>
      <w:r>
        <w:rPr>
          <w:rFonts w:ascii="Arial" w:cs="Arial" w:eastAsia="Arial" w:hAnsi="Arial"/>
          <w:sz w:val="18"/>
          <w:szCs w:val="18"/>
          <w:color w:val="auto"/>
        </w:rPr>
        <w:t>10.9</w:t>
      </w:r>
      <w:r>
        <w:rPr>
          <w:sz w:val="20"/>
          <w:szCs w:val="20"/>
          <w:color w:val="auto"/>
        </w:rPr>
        <w:tab/>
      </w:r>
      <w:hyperlink r:id="rId240">
        <w:r>
          <w:rPr>
            <w:rFonts w:ascii="Arial" w:cs="Arial" w:eastAsia="Arial" w:hAnsi="Arial"/>
            <w:sz w:val="18"/>
            <w:szCs w:val="18"/>
            <w:u w:val="single" w:color="auto"/>
            <w:color w:val="0000EE"/>
          </w:rPr>
          <w:t>Form of Letter Agreement among the Registrant and each director and executive officer of the</w:t>
        </w:r>
      </w:hyperlink>
      <w:r>
        <w:rPr>
          <w:rFonts w:ascii="Arial" w:cs="Arial" w:eastAsia="Arial" w:hAnsi="Arial"/>
          <w:sz w:val="18"/>
          <w:szCs w:val="18"/>
          <w:u w:val="single" w:color="auto"/>
          <w:color w:val="0000EE"/>
        </w:rPr>
        <w:t xml:space="preserve"> </w:t>
      </w:r>
      <w:hyperlink r:id="rId240">
        <w:r>
          <w:rPr>
            <w:rFonts w:ascii="Arial" w:cs="Arial" w:eastAsia="Arial" w:hAnsi="Arial"/>
            <w:sz w:val="18"/>
            <w:szCs w:val="18"/>
            <w:u w:val="single" w:color="auto"/>
            <w:color w:val="0000EE"/>
          </w:rPr>
          <w:t>Registrant.*</w:t>
        </w:r>
      </w:hyperlink>
    </w:p>
    <w:p>
      <w:pPr>
        <w:spacing w:after="0" w:line="2" w:lineRule="exact"/>
        <w:rPr>
          <w:sz w:val="20"/>
          <w:szCs w:val="20"/>
          <w:color w:val="auto"/>
        </w:rPr>
      </w:pPr>
    </w:p>
    <w:p>
      <w:pPr>
        <w:ind w:left="580"/>
        <w:spacing w:after="0"/>
        <w:tabs>
          <w:tab w:leader="none" w:pos="1100" w:val="left"/>
        </w:tabs>
        <w:rPr>
          <w:rFonts w:ascii="Arial" w:cs="Arial" w:eastAsia="Arial" w:hAnsi="Arial"/>
          <w:sz w:val="16"/>
          <w:szCs w:val="16"/>
          <w:u w:val="single" w:color="auto"/>
          <w:color w:val="215E9E"/>
        </w:rPr>
      </w:pPr>
      <w:r>
        <w:rPr>
          <w:rFonts w:ascii="Arial" w:cs="Arial" w:eastAsia="Arial" w:hAnsi="Arial"/>
          <w:sz w:val="18"/>
          <w:szCs w:val="18"/>
          <w:color w:val="auto"/>
        </w:rPr>
        <w:t>23.1</w:t>
      </w:r>
      <w:r>
        <w:rPr>
          <w:sz w:val="20"/>
          <w:szCs w:val="20"/>
          <w:color w:val="auto"/>
        </w:rPr>
        <w:tab/>
      </w:r>
      <w:hyperlink w:anchor="page247">
        <w:r>
          <w:rPr>
            <w:rFonts w:ascii="Arial" w:cs="Arial" w:eastAsia="Arial" w:hAnsi="Arial"/>
            <w:sz w:val="16"/>
            <w:szCs w:val="16"/>
            <w:u w:val="single" w:color="auto"/>
            <w:color w:val="215E9E"/>
          </w:rPr>
          <w:t>Consent of Marcum LLP</w:t>
        </w:r>
        <w:r>
          <w:rPr>
            <w:rFonts w:ascii="Arial" w:cs="Arial" w:eastAsia="Arial" w:hAnsi="Arial"/>
            <w:sz w:val="16"/>
            <w:szCs w:val="16"/>
            <w:color w:val="215E9E"/>
          </w:rPr>
          <w:t>.</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1">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580"/>
        <w:spacing w:after="0"/>
        <w:tabs>
          <w:tab w:leader="none" w:pos="1100" w:val="left"/>
        </w:tabs>
        <w:rPr>
          <w:rFonts w:ascii="Arial" w:cs="Arial" w:eastAsia="Arial" w:hAnsi="Arial"/>
          <w:sz w:val="17"/>
          <w:szCs w:val="17"/>
          <w:u w:val="single" w:color="auto"/>
          <w:color w:val="0000EE"/>
        </w:rPr>
      </w:pPr>
      <w:r>
        <w:rPr>
          <w:rFonts w:ascii="Arial" w:cs="Arial" w:eastAsia="Arial" w:hAnsi="Arial"/>
          <w:sz w:val="18"/>
          <w:szCs w:val="18"/>
          <w:color w:val="auto"/>
        </w:rPr>
        <w:t>23.2</w:t>
      </w:r>
      <w:r>
        <w:rPr>
          <w:sz w:val="20"/>
          <w:szCs w:val="20"/>
          <w:color w:val="auto"/>
        </w:rPr>
        <w:tab/>
      </w:r>
      <w:hyperlink r:id="rId226">
        <w:r>
          <w:rPr>
            <w:rFonts w:ascii="Arial" w:cs="Arial" w:eastAsia="Arial" w:hAnsi="Arial"/>
            <w:sz w:val="17"/>
            <w:szCs w:val="17"/>
            <w:u w:val="single" w:color="auto"/>
            <w:color w:val="0000EE"/>
          </w:rPr>
          <w:t>Consent of Kirkland &amp; Ellis LLP (included on Exhibit 5.1).*</w:t>
        </w:r>
      </w:hyperlink>
    </w:p>
    <w:p>
      <w:pPr>
        <w:spacing w:after="0" w:line="77" w:lineRule="exact"/>
        <w:rPr>
          <w:sz w:val="20"/>
          <w:szCs w:val="20"/>
          <w:color w:val="auto"/>
        </w:rPr>
      </w:pPr>
    </w:p>
    <w:p>
      <w:pPr>
        <w:ind w:left="5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23.3</w:t>
      </w:r>
      <w:r>
        <w:rPr>
          <w:sz w:val="20"/>
          <w:szCs w:val="20"/>
          <w:color w:val="auto"/>
        </w:rPr>
        <w:tab/>
      </w:r>
      <w:hyperlink w:anchor="page239">
        <w:r>
          <w:rPr>
            <w:rFonts w:ascii="Arial" w:cs="Arial" w:eastAsia="Arial" w:hAnsi="Arial"/>
            <w:sz w:val="16"/>
            <w:szCs w:val="16"/>
            <w:u w:val="single" w:color="auto"/>
            <w:color w:val="0000EE"/>
          </w:rPr>
          <w:t>Consent of Maples and Calder (included on Exhibit 5.2).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2">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1120" w:hanging="466"/>
        <w:spacing w:after="0"/>
        <w:tabs>
          <w:tab w:leader="none" w:pos="1120" w:val="left"/>
        </w:tabs>
        <w:numPr>
          <w:ilvl w:val="0"/>
          <w:numId w:val="96"/>
        </w:numPr>
        <w:rPr>
          <w:rFonts w:ascii="Arial" w:cs="Arial" w:eastAsia="Arial" w:hAnsi="Arial"/>
          <w:sz w:val="18"/>
          <w:szCs w:val="18"/>
          <w:u w:val="single" w:color="auto"/>
          <w:color w:val="0000EE"/>
        </w:rPr>
      </w:pPr>
      <w:hyperlink r:id="rId243">
        <w:r>
          <w:rPr>
            <w:rFonts w:ascii="Arial" w:cs="Arial" w:eastAsia="Arial" w:hAnsi="Arial"/>
            <w:sz w:val="18"/>
            <w:szCs w:val="18"/>
            <w:u w:val="single" w:color="auto"/>
            <w:color w:val="0000EE"/>
          </w:rPr>
          <w:t>Power of Attorney.*</w:t>
        </w:r>
      </w:hyperlink>
    </w:p>
    <w:p>
      <w:pPr>
        <w:spacing w:after="0" w:line="77" w:lineRule="exact"/>
        <w:rPr>
          <w:sz w:val="20"/>
          <w:szCs w:val="20"/>
          <w:color w:val="auto"/>
        </w:rPr>
      </w:pPr>
    </w:p>
    <w:p>
      <w:pPr>
        <w:ind w:left="5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99.1</w:t>
      </w:r>
      <w:r>
        <w:rPr>
          <w:sz w:val="20"/>
          <w:szCs w:val="20"/>
          <w:color w:val="auto"/>
        </w:rPr>
        <w:tab/>
      </w:r>
      <w:hyperlink r:id="rId244">
        <w:r>
          <w:rPr>
            <w:rFonts w:ascii="Arial" w:cs="Arial" w:eastAsia="Arial" w:hAnsi="Arial"/>
            <w:sz w:val="16"/>
            <w:szCs w:val="16"/>
            <w:u w:val="single" w:color="auto"/>
            <w:color w:val="0000EE"/>
          </w:rPr>
          <w:t>Consent of Rick Gaenzle*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7970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5143500" cy="179705"/>
                    </a:xfrm>
                    <a:prstGeom prst="rect">
                      <a:avLst/>
                    </a:prstGeom>
                    <a:noFill/>
                  </pic:spPr>
                </pic:pic>
              </a:graphicData>
            </a:graphic>
          </wp:anchor>
        </w:drawing>
      </w:r>
    </w:p>
    <w:p>
      <w:pPr>
        <w:spacing w:after="0" w:line="57" w:lineRule="exact"/>
        <w:rPr>
          <w:sz w:val="20"/>
          <w:szCs w:val="20"/>
          <w:color w:val="auto"/>
        </w:rPr>
      </w:pPr>
    </w:p>
    <w:p>
      <w:pPr>
        <w:ind w:left="5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99.2</w:t>
      </w:r>
      <w:r>
        <w:rPr>
          <w:sz w:val="20"/>
          <w:szCs w:val="20"/>
          <w:color w:val="auto"/>
        </w:rPr>
        <w:tab/>
      </w:r>
      <w:hyperlink r:id="rId246">
        <w:r>
          <w:rPr>
            <w:rFonts w:ascii="Arial" w:cs="Arial" w:eastAsia="Arial" w:hAnsi="Arial"/>
            <w:sz w:val="16"/>
            <w:szCs w:val="16"/>
            <w:u w:val="single" w:color="auto"/>
            <w:color w:val="0000EE"/>
          </w:rPr>
          <w:t>Consent of Isaac Barchas*</w:t>
        </w:r>
      </w:hyperlink>
    </w:p>
    <w:p>
      <w:pPr>
        <w:spacing w:after="0" w:line="77" w:lineRule="exact"/>
        <w:rPr>
          <w:sz w:val="20"/>
          <w:szCs w:val="20"/>
          <w:color w:val="auto"/>
        </w:rPr>
      </w:pPr>
    </w:p>
    <w:p>
      <w:pPr>
        <w:ind w:left="580"/>
        <w:spacing w:after="0"/>
        <w:tabs>
          <w:tab w:leader="none" w:pos="1100" w:val="left"/>
        </w:tabs>
        <w:rPr>
          <w:rFonts w:ascii="Arial" w:cs="Arial" w:eastAsia="Arial" w:hAnsi="Arial"/>
          <w:sz w:val="16"/>
          <w:szCs w:val="16"/>
          <w:u w:val="single" w:color="auto"/>
          <w:color w:val="0000EE"/>
        </w:rPr>
      </w:pPr>
      <w:r>
        <w:rPr>
          <w:rFonts w:ascii="Arial" w:cs="Arial" w:eastAsia="Arial" w:hAnsi="Arial"/>
          <w:sz w:val="18"/>
          <w:szCs w:val="18"/>
          <w:color w:val="auto"/>
        </w:rPr>
        <w:t>99.3</w:t>
      </w:r>
      <w:r>
        <w:rPr>
          <w:sz w:val="20"/>
          <w:szCs w:val="20"/>
          <w:color w:val="auto"/>
        </w:rPr>
        <w:tab/>
      </w:r>
      <w:hyperlink w:anchor="page248">
        <w:r>
          <w:rPr>
            <w:rFonts w:ascii="Arial" w:cs="Arial" w:eastAsia="Arial" w:hAnsi="Arial"/>
            <w:sz w:val="16"/>
            <w:szCs w:val="16"/>
            <w:u w:val="single" w:color="auto"/>
            <w:color w:val="0000EE"/>
          </w:rPr>
          <w:t>Consent of Justin Kelly</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-121920</wp:posOffset>
            </wp:positionV>
            <wp:extent cx="5143500" cy="1803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7">
                      <a:extLst>
                        <a:ext uri="{28A0092B-C50C-407E-A947-70E740481C1C}"/>
                      </a:extLst>
                    </a:blip>
                    <a:srcRect/>
                    <a:stretch>
                      <a:fillRect/>
                    </a:stretch>
                  </pic:blipFill>
                  <pic:spPr bwMode="auto">
                    <a:xfrm>
                      <a:off x="0" y="0"/>
                      <a:ext cx="5143500" cy="180340"/>
                    </a:xfrm>
                    <a:prstGeom prst="rect">
                      <a:avLst/>
                    </a:prstGeom>
                    <a:noFill/>
                  </pic:spPr>
                </pic:pic>
              </a:graphicData>
            </a:graphic>
          </wp:anchor>
        </w:drawing>
      </w:r>
    </w:p>
    <w:p>
      <w:pPr>
        <w:spacing w:after="0" w:line="115" w:lineRule="exact"/>
        <w:rPr>
          <w:sz w:val="20"/>
          <w:szCs w:val="20"/>
          <w:color w:val="auto"/>
        </w:rPr>
      </w:pPr>
    </w:p>
    <w:p>
      <w:pPr>
        <w:ind w:left="460"/>
        <w:spacing w:after="0"/>
        <w:rPr>
          <w:sz w:val="20"/>
          <w:szCs w:val="20"/>
          <w:color w:val="auto"/>
        </w:rPr>
      </w:pPr>
      <w:r>
        <w:rPr>
          <w:rFonts w:ascii="Arial" w:cs="Arial" w:eastAsia="Arial" w:hAnsi="Arial"/>
          <w:sz w:val="16"/>
          <w:szCs w:val="16"/>
          <w:color w:val="auto"/>
        </w:rPr>
        <w:t>____________</w:t>
      </w:r>
    </w:p>
    <w:p>
      <w:pPr>
        <w:spacing w:after="0" w:line="208" w:lineRule="exact"/>
        <w:rPr>
          <w:sz w:val="20"/>
          <w:szCs w:val="20"/>
          <w:color w:val="auto"/>
        </w:rPr>
      </w:pPr>
    </w:p>
    <w:p>
      <w:pPr>
        <w:ind w:left="860" w:hanging="406"/>
        <w:spacing w:after="0"/>
        <w:tabs>
          <w:tab w:leader="none" w:pos="860" w:val="left"/>
        </w:tabs>
        <w:numPr>
          <w:ilvl w:val="0"/>
          <w:numId w:val="97"/>
        </w:numPr>
        <w:rPr>
          <w:rFonts w:ascii="Arial" w:cs="Arial" w:eastAsia="Arial" w:hAnsi="Arial"/>
          <w:sz w:val="16"/>
          <w:szCs w:val="16"/>
          <w:color w:val="auto"/>
        </w:rPr>
      </w:pPr>
      <w:r>
        <w:rPr>
          <w:rFonts w:ascii="Arial" w:cs="Arial" w:eastAsia="Arial" w:hAnsi="Arial"/>
          <w:sz w:val="16"/>
          <w:szCs w:val="16"/>
          <w:color w:val="auto"/>
        </w:rPr>
        <w:t>Previously filed.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89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8">
                      <a:extLst>
                        <a:ext uri="{28A0092B-C50C-407E-A947-70E740481C1C}"/>
                      </a:extLst>
                    </a:blip>
                    <a:srcRect/>
                    <a:stretch>
                      <a:fillRect/>
                    </a:stretch>
                  </pic:blipFill>
                  <pic:spPr bwMode="auto">
                    <a:xfrm>
                      <a:off x="0" y="0"/>
                      <a:ext cx="5143500" cy="8890"/>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70" w:name="page171"/>
    <w:bookmarkEnd w:id="170"/>
    <w:p>
      <w:pPr>
        <w:jc w:val="center"/>
        <w:spacing w:after="0"/>
        <w:rPr>
          <w:sz w:val="20"/>
          <w:szCs w:val="20"/>
          <w:color w:val="auto"/>
        </w:rPr>
      </w:pPr>
      <w:r>
        <w:rPr>
          <w:rFonts w:ascii="Arial" w:cs="Arial" w:eastAsia="Arial" w:hAnsi="Arial"/>
          <w:sz w:val="18"/>
          <w:szCs w:val="18"/>
          <w:b w:val="1"/>
          <w:bCs w:val="1"/>
          <w:color w:val="auto"/>
        </w:rPr>
        <w:t>SIGNATURES</w:t>
      </w:r>
    </w:p>
    <w:p>
      <w:pPr>
        <w:spacing w:after="0" w:line="162" w:lineRule="exact"/>
        <w:rPr>
          <w:sz w:val="20"/>
          <w:szCs w:val="20"/>
          <w:color w:val="auto"/>
        </w:rPr>
      </w:pPr>
    </w:p>
    <w:p>
      <w:pPr>
        <w:ind w:left="460" w:right="499" w:firstLine="432"/>
        <w:spacing w:after="0" w:line="276" w:lineRule="auto"/>
        <w:rPr>
          <w:sz w:val="20"/>
          <w:szCs w:val="20"/>
          <w:color w:val="auto"/>
        </w:rPr>
      </w:pPr>
      <w:r>
        <w:rPr>
          <w:rFonts w:ascii="Arial" w:cs="Arial" w:eastAsia="Arial" w:hAnsi="Arial"/>
          <w:sz w:val="18"/>
          <w:szCs w:val="18"/>
          <w:color w:val="auto"/>
        </w:rPr>
        <w:t>Pursuant to the requirements of the Securities Act of 1933, as amended, the registrant has duly caused this Registration Statement to be signed on its behalf by the undersigned, thereunto duly authorized, in the city of New York, State of New York, on the 1</w:t>
      </w:r>
      <w:r>
        <w:rPr>
          <w:rFonts w:ascii="Arial" w:cs="Arial" w:eastAsia="Arial" w:hAnsi="Arial"/>
          <w:sz w:val="20"/>
          <w:szCs w:val="20"/>
          <w:color w:val="auto"/>
          <w:vertAlign w:val="superscript"/>
        </w:rPr>
        <w:t>st</w:t>
      </w:r>
      <w:r>
        <w:rPr>
          <w:rFonts w:ascii="Arial" w:cs="Arial" w:eastAsia="Arial" w:hAnsi="Arial"/>
          <w:sz w:val="18"/>
          <w:szCs w:val="18"/>
          <w:color w:val="auto"/>
        </w:rPr>
        <w:t xml:space="preserve"> day of May, 2020.</w:t>
      </w:r>
    </w:p>
    <w:p>
      <w:pPr>
        <w:spacing w:after="0" w:line="7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SUSTAINABLE OPPORTUNITIES</w:t>
      </w:r>
    </w:p>
    <w:p>
      <w:pPr>
        <w:spacing w:after="0" w:line="27"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ACQUISITION CORP.</w:t>
      </w:r>
    </w:p>
    <w:p>
      <w:pPr>
        <w:spacing w:after="0" w:line="184" w:lineRule="exact"/>
        <w:rPr>
          <w:sz w:val="20"/>
          <w:szCs w:val="20"/>
          <w:color w:val="auto"/>
        </w:rPr>
      </w:pPr>
    </w:p>
    <w:p>
      <w:pPr>
        <w:ind w:left="506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3605530</wp:posOffset>
            </wp:positionH>
            <wp:positionV relativeFrom="paragraph">
              <wp:posOffset>40640</wp:posOffset>
            </wp:positionV>
            <wp:extent cx="182562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9">
                      <a:extLst>
                        <a:ext uri="{28A0092B-C50C-407E-A947-70E740481C1C}"/>
                      </a:extLst>
                    </a:blip>
                    <a:srcRect/>
                    <a:stretch>
                      <a:fillRect/>
                    </a:stretch>
                  </pic:blipFill>
                  <pic:spPr bwMode="auto">
                    <a:xfrm>
                      <a:off x="0" y="0"/>
                      <a:ext cx="1825625" cy="8255"/>
                    </a:xfrm>
                    <a:prstGeom prst="rect">
                      <a:avLst/>
                    </a:prstGeom>
                    <a:noFill/>
                  </pic:spPr>
                </pic:pic>
              </a:graphicData>
            </a:graphic>
          </wp:anchor>
        </w:drawing>
      </w:r>
    </w:p>
    <w:p>
      <w:pPr>
        <w:spacing w:after="0" w:line="5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Name: Scott Leonard</w:t>
      </w:r>
    </w:p>
    <w:p>
      <w:pPr>
        <w:spacing w:after="0" w:line="77" w:lineRule="exact"/>
        <w:rPr>
          <w:sz w:val="20"/>
          <w:szCs w:val="20"/>
          <w:color w:val="auto"/>
        </w:rPr>
      </w:pPr>
    </w:p>
    <w:p>
      <w:pPr>
        <w:ind w:left="5680"/>
        <w:spacing w:after="0"/>
        <w:rPr>
          <w:sz w:val="20"/>
          <w:szCs w:val="20"/>
          <w:color w:val="auto"/>
        </w:rPr>
      </w:pPr>
      <w:r>
        <w:rPr>
          <w:rFonts w:ascii="Arial" w:cs="Arial" w:eastAsia="Arial" w:hAnsi="Arial"/>
          <w:sz w:val="18"/>
          <w:szCs w:val="18"/>
          <w:color w:val="auto"/>
        </w:rPr>
        <w:t>Title: Chief Executive Officer</w:t>
      </w:r>
    </w:p>
    <w:p>
      <w:pPr>
        <w:spacing w:after="0" w:line="225" w:lineRule="exact"/>
        <w:rPr>
          <w:sz w:val="20"/>
          <w:szCs w:val="20"/>
          <w:color w:val="auto"/>
        </w:rPr>
      </w:pPr>
    </w:p>
    <w:p>
      <w:pPr>
        <w:ind w:left="460" w:right="779" w:firstLine="432"/>
        <w:spacing w:after="0" w:line="308" w:lineRule="auto"/>
        <w:rPr>
          <w:sz w:val="20"/>
          <w:szCs w:val="20"/>
          <w:color w:val="auto"/>
        </w:rPr>
      </w:pPr>
      <w:r>
        <w:rPr>
          <w:rFonts w:ascii="Arial" w:cs="Arial" w:eastAsia="Arial" w:hAnsi="Arial"/>
          <w:sz w:val="17"/>
          <w:szCs w:val="17"/>
          <w:color w:val="auto"/>
        </w:rPr>
        <w:t>Pursuant to the requirements of the Securities Act of 1933, as amended, this registration statement has been signed below by the following persons in the capacities and on the dates indicated.</w:t>
      </w:r>
    </w:p>
    <w:p>
      <w:pPr>
        <w:spacing w:after="0" w:line="160" w:lineRule="exact"/>
        <w:rPr>
          <w:sz w:val="20"/>
          <w:szCs w:val="20"/>
          <w:color w:val="auto"/>
        </w:rPr>
      </w:pPr>
    </w:p>
    <w:tbl>
      <w:tblPr>
        <w:tblLayout w:type="fixed"/>
        <w:tblInd w:w="460" w:type="dxa"/>
        <w:tblCellMar>
          <w:top w:w="0" w:type="dxa"/>
          <w:left w:w="0" w:type="dxa"/>
          <w:bottom w:w="0" w:type="dxa"/>
          <w:right w:w="0" w:type="dxa"/>
        </w:tblCellMar>
      </w:tblPr>
      <w:tr>
        <w:trPr>
          <w:trHeight w:val="210"/>
        </w:trPr>
        <w:tc>
          <w:tcPr>
            <w:tcW w:w="2580" w:type="dxa"/>
            <w:vAlign w:val="bottom"/>
          </w:tcPr>
          <w:p>
            <w:pPr>
              <w:ind w:left="1060"/>
              <w:spacing w:after="0"/>
              <w:rPr>
                <w:sz w:val="20"/>
                <w:szCs w:val="20"/>
                <w:color w:val="auto"/>
              </w:rPr>
            </w:pPr>
            <w:r>
              <w:rPr>
                <w:rFonts w:ascii="Arial" w:cs="Arial" w:eastAsia="Arial" w:hAnsi="Arial"/>
                <w:sz w:val="16"/>
                <w:szCs w:val="16"/>
                <w:b w:val="1"/>
                <w:bCs w:val="1"/>
                <w:color w:val="auto"/>
              </w:rPr>
              <w:t>Name</w:t>
            </w:r>
          </w:p>
        </w:tc>
        <w:tc>
          <w:tcPr>
            <w:tcW w:w="80" w:type="dxa"/>
            <w:vAlign w:val="bottom"/>
          </w:tcPr>
          <w:p>
            <w:pPr>
              <w:spacing w:after="0"/>
              <w:rPr>
                <w:sz w:val="18"/>
                <w:szCs w:val="18"/>
                <w:color w:val="auto"/>
              </w:rPr>
            </w:pPr>
          </w:p>
        </w:tc>
        <w:tc>
          <w:tcPr>
            <w:tcW w:w="332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88"/>
              </w:rPr>
              <w:t>Position</w:t>
            </w:r>
          </w:p>
        </w:tc>
        <w:tc>
          <w:tcPr>
            <w:tcW w:w="2120" w:type="dxa"/>
            <w:vAlign w:val="bottom"/>
          </w:tcPr>
          <w:p>
            <w:pPr>
              <w:jc w:val="center"/>
              <w:spacing w:after="0"/>
              <w:rPr>
                <w:sz w:val="20"/>
                <w:szCs w:val="20"/>
                <w:color w:val="auto"/>
              </w:rPr>
            </w:pPr>
            <w:r>
              <w:rPr>
                <w:rFonts w:ascii="Arial" w:cs="Arial" w:eastAsia="Arial" w:hAnsi="Arial"/>
                <w:sz w:val="16"/>
                <w:szCs w:val="16"/>
                <w:b w:val="1"/>
                <w:bCs w:val="1"/>
                <w:color w:val="auto"/>
                <w:w w:val="92"/>
              </w:rPr>
              <w:t>Date</w:t>
            </w:r>
          </w:p>
        </w:tc>
        <w:tc>
          <w:tcPr>
            <w:tcW w:w="0" w:type="dxa"/>
            <w:vAlign w:val="bottom"/>
          </w:tcPr>
          <w:p>
            <w:pPr>
              <w:spacing w:after="0"/>
              <w:rPr>
                <w:sz w:val="1"/>
                <w:szCs w:val="1"/>
                <w:color w:val="auto"/>
              </w:rPr>
            </w:pPr>
          </w:p>
        </w:tc>
      </w:tr>
      <w:tr>
        <w:trPr>
          <w:trHeight w:val="46"/>
        </w:trPr>
        <w:tc>
          <w:tcPr>
            <w:tcW w:w="2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385"/>
        </w:trPr>
        <w:tc>
          <w:tcPr>
            <w:tcW w:w="2580" w:type="dxa"/>
            <w:vAlign w:val="bottom"/>
          </w:tcPr>
          <w:p>
            <w:pPr>
              <w:jc w:val="center"/>
              <w:spacing w:after="0"/>
              <w:rPr>
                <w:sz w:val="20"/>
                <w:szCs w:val="20"/>
                <w:color w:val="auto"/>
              </w:rPr>
            </w:pPr>
            <w:r>
              <w:rPr>
                <w:rFonts w:ascii="Arial" w:cs="Arial" w:eastAsia="Arial" w:hAnsi="Arial"/>
                <w:sz w:val="18"/>
                <w:szCs w:val="18"/>
                <w:color w:val="auto"/>
                <w:w w:val="91"/>
              </w:rPr>
              <w:t>/s/ Scott Leonard</w:t>
            </w:r>
          </w:p>
        </w:tc>
        <w:tc>
          <w:tcPr>
            <w:tcW w:w="80" w:type="dxa"/>
            <w:vAlign w:val="bottom"/>
          </w:tcPr>
          <w:p>
            <w:pPr>
              <w:spacing w:after="0"/>
              <w:rPr>
                <w:sz w:val="24"/>
                <w:szCs w:val="24"/>
                <w:color w:val="auto"/>
              </w:rPr>
            </w:pPr>
          </w:p>
        </w:tc>
        <w:tc>
          <w:tcPr>
            <w:tcW w:w="3320" w:type="dxa"/>
            <w:vAlign w:val="bottom"/>
            <w:gridSpan w:val="2"/>
          </w:tcPr>
          <w:p>
            <w:pPr>
              <w:jc w:val="center"/>
              <w:ind w:right="80"/>
              <w:spacing w:after="0"/>
              <w:rPr>
                <w:sz w:val="20"/>
                <w:szCs w:val="20"/>
                <w:color w:val="auto"/>
              </w:rPr>
            </w:pPr>
            <w:r>
              <w:rPr>
                <w:rFonts w:ascii="Arial" w:cs="Arial" w:eastAsia="Arial" w:hAnsi="Arial"/>
                <w:sz w:val="18"/>
                <w:szCs w:val="18"/>
                <w:color w:val="auto"/>
                <w:w w:val="93"/>
              </w:rPr>
              <w:t>Chief Executive Officer and Director</w:t>
            </w: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May 1, 2020</w:t>
            </w:r>
          </w:p>
        </w:tc>
        <w:tc>
          <w:tcPr>
            <w:tcW w:w="0" w:type="dxa"/>
            <w:vAlign w:val="bottom"/>
          </w:tcPr>
          <w:p>
            <w:pPr>
              <w:spacing w:after="0"/>
              <w:rPr>
                <w:sz w:val="1"/>
                <w:szCs w:val="1"/>
                <w:color w:val="auto"/>
              </w:rPr>
            </w:pPr>
          </w:p>
        </w:tc>
      </w:tr>
      <w:tr>
        <w:trPr>
          <w:trHeight w:val="40"/>
        </w:trPr>
        <w:tc>
          <w:tcPr>
            <w:tcW w:w="25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33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(Principal Executive Officer)</w:t>
            </w:r>
          </w:p>
        </w:tc>
        <w:tc>
          <w:tcPr>
            <w:tcW w:w="2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0"/>
              </w:rPr>
              <w:t>Scott Leonard</w:t>
            </w:r>
          </w:p>
        </w:tc>
        <w:tc>
          <w:tcPr>
            <w:tcW w:w="80" w:type="dxa"/>
            <w:vAlign w:val="bottom"/>
          </w:tcPr>
          <w:p>
            <w:pPr>
              <w:spacing w:after="0"/>
              <w:rPr>
                <w:sz w:val="19"/>
                <w:szCs w:val="19"/>
                <w:color w:val="auto"/>
              </w:rPr>
            </w:pPr>
          </w:p>
        </w:tc>
        <w:tc>
          <w:tcPr>
            <w:tcW w:w="332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58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320" w:type="dxa"/>
            <w:vAlign w:val="bottom"/>
            <w:gridSpan w:val="2"/>
          </w:tcPr>
          <w:p>
            <w:pPr>
              <w:jc w:val="center"/>
              <w:ind w:right="80"/>
              <w:spacing w:after="0"/>
              <w:rPr>
                <w:sz w:val="20"/>
                <w:szCs w:val="20"/>
                <w:color w:val="auto"/>
              </w:rPr>
            </w:pPr>
            <w:r>
              <w:rPr>
                <w:rFonts w:ascii="Arial" w:cs="Arial" w:eastAsia="Arial" w:hAnsi="Arial"/>
                <w:sz w:val="18"/>
                <w:szCs w:val="18"/>
                <w:color w:val="auto"/>
                <w:w w:val="92"/>
              </w:rPr>
              <w:t>Chairman</w:t>
            </w: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May 1, 2020</w:t>
            </w:r>
          </w:p>
        </w:tc>
        <w:tc>
          <w:tcPr>
            <w:tcW w:w="0" w:type="dxa"/>
            <w:vAlign w:val="bottom"/>
          </w:tcPr>
          <w:p>
            <w:pPr>
              <w:spacing w:after="0"/>
              <w:rPr>
                <w:sz w:val="1"/>
                <w:szCs w:val="1"/>
                <w:color w:val="auto"/>
              </w:rPr>
            </w:pPr>
          </w:p>
        </w:tc>
      </w:tr>
      <w:tr>
        <w:trPr>
          <w:trHeight w:val="54"/>
        </w:trPr>
        <w:tc>
          <w:tcPr>
            <w:tcW w:w="2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240" w:type="dxa"/>
            <w:vAlign w:val="bottom"/>
          </w:tcPr>
          <w:p>
            <w:pPr>
              <w:spacing w:after="0"/>
              <w:rPr>
                <w:sz w:val="4"/>
                <w:szCs w:val="4"/>
                <w:color w:val="auto"/>
              </w:rPr>
            </w:pPr>
          </w:p>
        </w:tc>
        <w:tc>
          <w:tcPr>
            <w:tcW w:w="80" w:type="dxa"/>
            <w:vAlign w:val="bottom"/>
          </w:tcPr>
          <w:p>
            <w:pPr>
              <w:spacing w:after="0"/>
              <w:rPr>
                <w:sz w:val="4"/>
                <w:szCs w:val="4"/>
                <w:color w:val="auto"/>
              </w:rPr>
            </w:pP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1"/>
              </w:rPr>
              <w:t>Scott Honour</w:t>
            </w:r>
          </w:p>
        </w:tc>
        <w:tc>
          <w:tcPr>
            <w:tcW w:w="80" w:type="dxa"/>
            <w:vAlign w:val="bottom"/>
          </w:tcPr>
          <w:p>
            <w:pPr>
              <w:spacing w:after="0"/>
              <w:rPr>
                <w:sz w:val="19"/>
                <w:szCs w:val="19"/>
                <w:color w:val="auto"/>
              </w:rPr>
            </w:pPr>
          </w:p>
        </w:tc>
        <w:tc>
          <w:tcPr>
            <w:tcW w:w="3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1"/>
        </w:trPr>
        <w:tc>
          <w:tcPr>
            <w:tcW w:w="2580" w:type="dxa"/>
            <w:vAlign w:val="bottom"/>
          </w:tcPr>
          <w:p>
            <w:pPr>
              <w:jc w:val="center"/>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4"/>
                <w:szCs w:val="24"/>
                <w:color w:val="auto"/>
              </w:rPr>
            </w:pPr>
          </w:p>
        </w:tc>
        <w:tc>
          <w:tcPr>
            <w:tcW w:w="3320" w:type="dxa"/>
            <w:vAlign w:val="bottom"/>
            <w:gridSpan w:val="2"/>
          </w:tcPr>
          <w:p>
            <w:pPr>
              <w:jc w:val="center"/>
              <w:ind w:right="80"/>
              <w:spacing w:after="0"/>
              <w:rPr>
                <w:sz w:val="20"/>
                <w:szCs w:val="20"/>
                <w:color w:val="auto"/>
              </w:rPr>
            </w:pPr>
            <w:r>
              <w:rPr>
                <w:rFonts w:ascii="Arial" w:cs="Arial" w:eastAsia="Arial" w:hAnsi="Arial"/>
                <w:sz w:val="18"/>
                <w:szCs w:val="18"/>
                <w:color w:val="auto"/>
                <w:w w:val="94"/>
              </w:rPr>
              <w:t>Chief Financial Officer</w:t>
            </w:r>
          </w:p>
        </w:tc>
        <w:tc>
          <w:tcPr>
            <w:tcW w:w="2120" w:type="dxa"/>
            <w:vAlign w:val="bottom"/>
          </w:tcPr>
          <w:p>
            <w:pPr>
              <w:jc w:val="center"/>
              <w:spacing w:after="0"/>
              <w:rPr>
                <w:sz w:val="20"/>
                <w:szCs w:val="20"/>
                <w:color w:val="auto"/>
              </w:rPr>
            </w:pPr>
            <w:r>
              <w:rPr>
                <w:rFonts w:ascii="Arial" w:cs="Arial" w:eastAsia="Arial" w:hAnsi="Arial"/>
                <w:sz w:val="18"/>
                <w:szCs w:val="18"/>
                <w:color w:val="auto"/>
                <w:w w:val="92"/>
              </w:rPr>
              <w:t>May 1, 2020</w:t>
            </w:r>
          </w:p>
        </w:tc>
        <w:tc>
          <w:tcPr>
            <w:tcW w:w="0" w:type="dxa"/>
            <w:vAlign w:val="bottom"/>
          </w:tcPr>
          <w:p>
            <w:pPr>
              <w:spacing w:after="0"/>
              <w:rPr>
                <w:sz w:val="1"/>
                <w:szCs w:val="1"/>
                <w:color w:val="auto"/>
              </w:rPr>
            </w:pPr>
          </w:p>
        </w:tc>
      </w:tr>
      <w:tr>
        <w:trPr>
          <w:trHeight w:val="54"/>
        </w:trPr>
        <w:tc>
          <w:tcPr>
            <w:tcW w:w="258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3320" w:type="dxa"/>
            <w:vAlign w:val="bottom"/>
            <w:gridSpan w:val="2"/>
            <w:vMerge w:val="restart"/>
          </w:tcPr>
          <w:p>
            <w:pPr>
              <w:jc w:val="center"/>
              <w:ind w:right="80"/>
              <w:spacing w:after="0"/>
              <w:rPr>
                <w:sz w:val="20"/>
                <w:szCs w:val="20"/>
                <w:color w:val="auto"/>
              </w:rPr>
            </w:pPr>
            <w:r>
              <w:rPr>
                <w:rFonts w:ascii="Arial" w:cs="Arial" w:eastAsia="Arial" w:hAnsi="Arial"/>
                <w:sz w:val="18"/>
                <w:szCs w:val="18"/>
                <w:color w:val="auto"/>
                <w:w w:val="93"/>
              </w:rPr>
              <w:t>(Principal Financial and Accounting Officer)</w:t>
            </w:r>
          </w:p>
        </w:tc>
        <w:tc>
          <w:tcPr>
            <w:tcW w:w="21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4"/>
        </w:trPr>
        <w:tc>
          <w:tcPr>
            <w:tcW w:w="2580" w:type="dxa"/>
            <w:vAlign w:val="bottom"/>
          </w:tcPr>
          <w:p>
            <w:pPr>
              <w:jc w:val="center"/>
              <w:spacing w:after="0"/>
              <w:rPr>
                <w:sz w:val="20"/>
                <w:szCs w:val="20"/>
                <w:color w:val="auto"/>
              </w:rPr>
            </w:pPr>
            <w:r>
              <w:rPr>
                <w:rFonts w:ascii="Arial" w:cs="Arial" w:eastAsia="Arial" w:hAnsi="Arial"/>
                <w:sz w:val="18"/>
                <w:szCs w:val="18"/>
                <w:color w:val="auto"/>
                <w:w w:val="94"/>
              </w:rPr>
              <w:t>David Quiram</w:t>
            </w:r>
          </w:p>
        </w:tc>
        <w:tc>
          <w:tcPr>
            <w:tcW w:w="80" w:type="dxa"/>
            <w:vAlign w:val="bottom"/>
          </w:tcPr>
          <w:p>
            <w:pPr>
              <w:spacing w:after="0"/>
              <w:rPr>
                <w:sz w:val="19"/>
                <w:szCs w:val="19"/>
                <w:color w:val="auto"/>
              </w:rPr>
            </w:pPr>
          </w:p>
        </w:tc>
        <w:tc>
          <w:tcPr>
            <w:tcW w:w="3320" w:type="dxa"/>
            <w:vAlign w:val="bottom"/>
            <w:gridSpan w:val="2"/>
            <w:vMerge w:val="continue"/>
          </w:tcPr>
          <w:p>
            <w:pPr>
              <w:spacing w:after="0"/>
              <w:rPr>
                <w:sz w:val="19"/>
                <w:szCs w:val="19"/>
                <w:color w:val="auto"/>
              </w:rPr>
            </w:pPr>
          </w:p>
        </w:tc>
        <w:tc>
          <w:tcPr>
            <w:tcW w:w="2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By:  /s/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622300</wp:posOffset>
            </wp:positionH>
            <wp:positionV relativeFrom="paragraph">
              <wp:posOffset>40640</wp:posOffset>
            </wp:positionV>
            <wp:extent cx="1320165" cy="889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50">
                      <a:extLst>
                        <a:ext uri="{28A0092B-C50C-407E-A947-70E740481C1C}"/>
                      </a:extLst>
                    </a:blip>
                    <a:srcRect/>
                    <a:stretch>
                      <a:fillRect/>
                    </a:stretch>
                  </pic:blipFill>
                  <pic:spPr bwMode="auto">
                    <a:xfrm>
                      <a:off x="0" y="0"/>
                      <a:ext cx="1320165" cy="8890"/>
                    </a:xfrm>
                    <a:prstGeom prst="rect">
                      <a:avLst/>
                    </a:prstGeom>
                    <a:noFill/>
                  </pic:spPr>
                </pic:pic>
              </a:graphicData>
            </a:graphic>
          </wp:anchor>
        </w:drawing>
      </w:r>
    </w:p>
    <w:p>
      <w:pPr>
        <w:spacing w:after="0" w:line="5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Scott Leonard</w:t>
      </w:r>
    </w:p>
    <w:p>
      <w:pPr>
        <w:spacing w:after="0" w:line="77" w:lineRule="exact"/>
        <w:rPr>
          <w:sz w:val="20"/>
          <w:szCs w:val="20"/>
          <w:color w:val="auto"/>
        </w:rPr>
      </w:pPr>
    </w:p>
    <w:p>
      <w:pPr>
        <w:ind w:left="980"/>
        <w:spacing w:after="0"/>
        <w:rPr>
          <w:sz w:val="20"/>
          <w:szCs w:val="20"/>
          <w:color w:val="auto"/>
        </w:rPr>
      </w:pPr>
      <w:r>
        <w:rPr>
          <w:rFonts w:ascii="Arial" w:cs="Arial" w:eastAsia="Arial" w:hAnsi="Arial"/>
          <w:sz w:val="18"/>
          <w:szCs w:val="18"/>
          <w:color w:val="auto"/>
        </w:rPr>
        <w:t>Attorney-in-Fact</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288290</wp:posOffset>
            </wp:positionH>
            <wp:positionV relativeFrom="paragraph">
              <wp:posOffset>14605</wp:posOffset>
            </wp:positionV>
            <wp:extent cx="514350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1">
                      <a:extLst>
                        <a:ext uri="{28A0092B-C50C-407E-A947-70E740481C1C}"/>
                      </a:extLst>
                    </a:blip>
                    <a:srcRect/>
                    <a:stretch>
                      <a:fillRect/>
                    </a:stretch>
                  </pic:blipFill>
                  <pic:spPr bwMode="auto">
                    <a:xfrm>
                      <a:off x="0" y="0"/>
                      <a:ext cx="5143500" cy="8255"/>
                    </a:xfrm>
                    <a:prstGeom prst="rect">
                      <a:avLst/>
                    </a:prstGeom>
                    <a:noFill/>
                  </pic:spPr>
                </pic:pic>
              </a:graphicData>
            </a:graphic>
          </wp:anchor>
        </w:drawing>
      </w:r>
    </w:p>
    <w:p>
      <w:pPr>
        <w:sectPr>
          <w:pgSz w:w="11900" w:h="16838" w:orient="portrait"/>
          <w:cols w:equalWidth="0" w:num="1">
            <w:col w:w="9019"/>
          </w:cols>
          <w:pgMar w:left="1440" w:top="337" w:right="1440" w:bottom="1440" w:gutter="0" w:footer="0" w:header="0"/>
        </w:sectPr>
      </w:pPr>
    </w:p>
    <w:bookmarkStart w:id="171" w:name="page172"/>
    <w:bookmarkEnd w:id="171"/>
    <w:p>
      <w:pPr>
        <w:jc w:val="right"/>
        <w:spacing w:after="0"/>
        <w:rPr>
          <w:sz w:val="20"/>
          <w:szCs w:val="20"/>
          <w:color w:val="auto"/>
        </w:rPr>
      </w:pPr>
      <w:r>
        <w:rPr>
          <w:rFonts w:ascii="Arial" w:cs="Arial" w:eastAsia="Arial" w:hAnsi="Arial"/>
          <w:sz w:val="18"/>
          <w:szCs w:val="18"/>
          <w:b w:val="1"/>
          <w:bCs w:val="1"/>
          <w:color w:val="auto"/>
        </w:rPr>
        <w:t>Exhibit 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30,000,000 Units</w:t>
      </w:r>
      <w:r>
        <w:rPr>
          <w:rFonts w:ascii="Arial" w:cs="Arial" w:eastAsia="Arial" w:hAnsi="Arial"/>
          <w:sz w:val="29"/>
          <w:szCs w:val="29"/>
          <w:b w:val="1"/>
          <w:bCs w:val="1"/>
          <w:color w:val="auto"/>
          <w:vertAlign w:val="superscript"/>
        </w:rPr>
        <w:t>1</w:t>
      </w:r>
    </w:p>
    <w:p>
      <w:pPr>
        <w:jc w:val="center"/>
        <w:spacing w:after="0"/>
        <w:rPr>
          <w:sz w:val="20"/>
          <w:szCs w:val="20"/>
          <w:color w:val="auto"/>
        </w:rPr>
      </w:pPr>
      <w:r>
        <w:rPr>
          <w:rFonts w:ascii="Arial" w:cs="Arial" w:eastAsia="Arial" w:hAnsi="Arial"/>
          <w:sz w:val="18"/>
          <w:szCs w:val="18"/>
          <w:b w:val="1"/>
          <w:bCs w:val="1"/>
          <w:color w:val="auto"/>
        </w:rPr>
        <w:t>Ordinary Shares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Warrants</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UNDERWRITING AGREEMENT</w:t>
      </w:r>
    </w:p>
    <w:p>
      <w:pPr>
        <w:spacing w:after="0" w:line="229" w:lineRule="exact"/>
        <w:rPr>
          <w:sz w:val="20"/>
          <w:szCs w:val="20"/>
          <w:color w:val="auto"/>
        </w:rPr>
      </w:pPr>
    </w:p>
    <w:p>
      <w:pPr>
        <w:jc w:val="right"/>
        <w:spacing w:after="0"/>
        <w:rPr>
          <w:sz w:val="20"/>
          <w:szCs w:val="20"/>
          <w:color w:val="auto"/>
        </w:rPr>
      </w:pPr>
      <w:r>
        <w:rPr>
          <w:rFonts w:ascii="Arial" w:cs="Arial" w:eastAsia="Arial" w:hAnsi="Arial"/>
          <w:sz w:val="18"/>
          <w:szCs w:val="18"/>
          <w:color w:val="auto"/>
        </w:rPr>
        <w:t>New York, New York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May [●], 2020</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388 Greenwich Street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New York, New York 10013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As Representative of the several Underwriters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ind w:right="120" w:firstLine="1296"/>
        <w:spacing w:after="0" w:line="289" w:lineRule="auto"/>
        <w:rPr>
          <w:sz w:val="20"/>
          <w:szCs w:val="20"/>
          <w:color w:val="auto"/>
        </w:rPr>
      </w:pPr>
      <w:r>
        <w:rPr>
          <w:rFonts w:ascii="Arial" w:cs="Arial" w:eastAsia="Arial" w:hAnsi="Arial"/>
          <w:sz w:val="16"/>
          <w:szCs w:val="16"/>
          <w:color w:val="auto"/>
        </w:rPr>
        <w:t>Sustainable Opportunities Acquisition Corp., a Cayman Islands exempted company (the “Company”), proposes to sell to the several underwriters named in Schedule I hereto (the “Underwriters”), for whom you (the “Representative”) are acting as representative, 30,000,000 units (the “Units”) of the Company (said Units to be issued and sold by the Company being hereinafter called the “Underwritten Securities”). The Company also proposes to grant to the Underwriters an option to purchase up to 4,500,000 additional units to cover over-allotments, if any (the “Option Securities”; the Option Securities, together with the Underwritten Securities, being hereinafter called the “Securities”). To the extent there are no additional Underwriters listed on Schedule I other than you, the term Representative as used herein shall mean you, as the Underwriter, and the term Underwriter shall mean either the singular or plural as the context requires. Certain capitalized terms used herein and not otherwise defined are defined in Section 20 hereof. As used herein, the term “Business Combination” (as described more fully in the Registration Statement) shall mean effecting a merger, share exchange, asset acquisition, share purchase, reorganization or similar business combination with one or more businesses involving the Company.</w:t>
      </w:r>
    </w:p>
    <w:p>
      <w:pPr>
        <w:spacing w:after="0" w:line="166" w:lineRule="exact"/>
        <w:rPr>
          <w:sz w:val="20"/>
          <w:szCs w:val="20"/>
          <w:color w:val="auto"/>
        </w:rPr>
      </w:pPr>
    </w:p>
    <w:p>
      <w:pPr>
        <w:ind w:right="180" w:firstLine="1296"/>
        <w:spacing w:after="0" w:line="291" w:lineRule="auto"/>
        <w:rPr>
          <w:sz w:val="20"/>
          <w:szCs w:val="20"/>
          <w:color w:val="auto"/>
        </w:rPr>
      </w:pPr>
      <w:r>
        <w:rPr>
          <w:rFonts w:ascii="Arial" w:cs="Arial" w:eastAsia="Arial" w:hAnsi="Arial"/>
          <w:sz w:val="16"/>
          <w:szCs w:val="16"/>
          <w:color w:val="auto"/>
        </w:rPr>
        <w:t>Each Unit consists of one of the Company’s Class A ordinary shares, par value $0.0001 per share (the “Ordinary Shares”), and one half of one warrant, where each whole warrant entitles the holder to purchase one Ordinary Share (the “Warrant(s)”). The Ordinary Shares and the Warrants</w:t>
      </w:r>
    </w:p>
    <w:p>
      <w:pPr>
        <w:spacing w:after="0" w:line="239" w:lineRule="auto"/>
        <w:rPr>
          <w:sz w:val="20"/>
          <w:szCs w:val="20"/>
          <w:color w:val="auto"/>
        </w:rPr>
      </w:pPr>
      <w:r>
        <w:rPr>
          <w:rFonts w:ascii="Arial" w:cs="Arial" w:eastAsia="Arial" w:hAnsi="Arial"/>
          <w:sz w:val="18"/>
          <w:szCs w:val="18"/>
          <w:color w:val="auto"/>
        </w:rPr>
        <w:t>included in the Units will not trade separately until the 52</w:t>
      </w:r>
      <w:r>
        <w:rPr>
          <w:rFonts w:ascii="Arial" w:cs="Arial" w:eastAsia="Arial" w:hAnsi="Arial"/>
          <w:sz w:val="29"/>
          <w:szCs w:val="29"/>
          <w:color w:val="auto"/>
          <w:vertAlign w:val="superscript"/>
        </w:rPr>
        <w:t>nd</w:t>
      </w:r>
      <w:r>
        <w:rPr>
          <w:rFonts w:ascii="Arial" w:cs="Arial" w:eastAsia="Arial" w:hAnsi="Arial"/>
          <w:sz w:val="18"/>
          <w:szCs w:val="18"/>
          <w:color w:val="auto"/>
        </w:rPr>
        <w:t xml:space="preserve"> day following the date of the Prospectus (unless the Representative informs the Company of its decision to allow earlier separate trading), subject to (a) the Company’s preparation of an audited balance sheet reflecting the receipt by the Company of the proceeds of the Offering (as defined herein), (b) the filing of such audited balance sheet with the Commission on a Current Report on Form 8-K or similar form by the Company that includes such audited balance sheet (the “Closing Form 8-K”), and (c) the Company having issued a press release announcing when such separate trading will begin. Each whole Warrant entitles its holder, upon exercise, to purchase one Ordinary Share for $11.50 during the period commencing on the later of thirty (30) days after the completion of an initial Business Combination or twelve (12) months from the date of the consummation of the Offering and terminating on the five-year anniversary of the date of the completion of such initial Business Combination or earlier upon redemption or liquidation;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pursuant to the Warrant Agreement (as defined below), no fractional Warrants will be issued upon separation.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413385</wp:posOffset>
            </wp:positionV>
            <wp:extent cx="1783080" cy="1714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0" w:lineRule="exact"/>
        <w:rPr>
          <w:sz w:val="20"/>
          <w:szCs w:val="20"/>
          <w:color w:val="auto"/>
        </w:rPr>
      </w:pPr>
    </w:p>
    <w:p>
      <w:pPr>
        <w:spacing w:after="0" w:line="343" w:lineRule="exact"/>
        <w:rPr>
          <w:sz w:val="20"/>
          <w:szCs w:val="20"/>
          <w:color w:val="auto"/>
        </w:rPr>
      </w:pPr>
    </w:p>
    <w:p>
      <w:pPr>
        <w:ind w:left="460" w:hanging="452"/>
        <w:spacing w:after="0"/>
        <w:tabs>
          <w:tab w:leader="none" w:pos="460" w:val="left"/>
        </w:tabs>
        <w:numPr>
          <w:ilvl w:val="0"/>
          <w:numId w:val="98"/>
        </w:numPr>
        <w:rPr>
          <w:rFonts w:ascii="Arial" w:cs="Arial" w:eastAsia="Arial" w:hAnsi="Arial"/>
          <w:sz w:val="30"/>
          <w:szCs w:val="30"/>
          <w:color w:val="auto"/>
          <w:vertAlign w:val="superscript"/>
        </w:rPr>
      </w:pPr>
      <w:r>
        <w:rPr>
          <w:rFonts w:ascii="Arial" w:cs="Arial" w:eastAsia="Arial" w:hAnsi="Arial"/>
          <w:sz w:val="18"/>
          <w:szCs w:val="18"/>
          <w:color w:val="auto"/>
        </w:rPr>
        <w:t>Plus an option to purchase from the Company up to 4,500,000 additional Units to cover over-allotments.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428625</wp:posOffset>
            </wp:positionV>
            <wp:extent cx="7132320" cy="1714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72" w:name="page173"/>
    <w:bookmarkEnd w:id="172"/>
    <w:p>
      <w:pPr>
        <w:ind w:firstLine="1296"/>
        <w:spacing w:after="0" w:line="257" w:lineRule="auto"/>
        <w:rPr>
          <w:sz w:val="20"/>
          <w:szCs w:val="20"/>
          <w:color w:val="auto"/>
        </w:rPr>
      </w:pPr>
      <w:r>
        <w:rPr>
          <w:rFonts w:ascii="Arial" w:cs="Arial" w:eastAsia="Arial" w:hAnsi="Arial"/>
          <w:sz w:val="18"/>
          <w:szCs w:val="18"/>
          <w:color w:val="auto"/>
        </w:rPr>
        <w:t>The Company will enter into an Investment Management Trust Agreement, to be effective as of the Closing Date, with Continental Stock Transfer &amp; Trust Company (“CST”), as trustee (the “Trustee”), in substantially the form filed as an exhibit to the Registration Statement (the “Trust Agreement”), pursuant to which certain proceeds from the sale of the Private Placement Warrants (as defined herein) and the proceeds of the Offering will be deposited and held in a U.S.-based trust account (the “Trust Account”) for the benefit of the Company, the Underwriters and the holders of the Underwritten Securities and the Option Securities, if and when issued.</w:t>
      </w:r>
    </w:p>
    <w:p>
      <w:pPr>
        <w:spacing w:after="0" w:line="188" w:lineRule="exact"/>
        <w:rPr>
          <w:sz w:val="20"/>
          <w:szCs w:val="20"/>
          <w:color w:val="auto"/>
        </w:rPr>
      </w:pPr>
    </w:p>
    <w:p>
      <w:pPr>
        <w:ind w:firstLine="1296"/>
        <w:spacing w:after="0" w:line="259" w:lineRule="auto"/>
        <w:rPr>
          <w:sz w:val="20"/>
          <w:szCs w:val="20"/>
          <w:color w:val="auto"/>
        </w:rPr>
      </w:pPr>
      <w:r>
        <w:rPr>
          <w:rFonts w:ascii="Arial" w:cs="Arial" w:eastAsia="Arial" w:hAnsi="Arial"/>
          <w:sz w:val="18"/>
          <w:szCs w:val="18"/>
          <w:color w:val="auto"/>
        </w:rPr>
        <w:t>The Company will enter into a Warrant Agreement, to be effective as of the Closing Date hereof, with respect to the Warrants and the Private Placement Warrants with CST, as warrant agent, in substantially the form filed as an exhibit to the Registration Statement (the “Warrant Agreement”), pursuant to which CST will act as warrant agent in connection with the issuance, registration, transfer, exchange, redemption, and exercise of the Warrants and the Private Placement Warrants.</w:t>
      </w:r>
    </w:p>
    <w:p>
      <w:pPr>
        <w:spacing w:after="0" w:line="187" w:lineRule="exact"/>
        <w:rPr>
          <w:sz w:val="20"/>
          <w:szCs w:val="20"/>
          <w:color w:val="auto"/>
        </w:rPr>
      </w:pPr>
    </w:p>
    <w:p>
      <w:pPr>
        <w:ind w:right="380" w:firstLine="1296"/>
        <w:spacing w:after="0" w:line="254" w:lineRule="auto"/>
        <w:rPr>
          <w:sz w:val="20"/>
          <w:szCs w:val="20"/>
          <w:color w:val="auto"/>
        </w:rPr>
      </w:pPr>
      <w:r>
        <w:rPr>
          <w:rFonts w:ascii="Arial" w:cs="Arial" w:eastAsia="Arial" w:hAnsi="Arial"/>
          <w:sz w:val="18"/>
          <w:szCs w:val="18"/>
          <w:color w:val="auto"/>
        </w:rPr>
        <w:t>The Company has entered into a Securities Subscription Agreement, effective as of December 31, 2019 (the “Founder’s Purchase Agreement”), with Sustainable Opportunities Holdings LLC, a Delaware limited liability company (the “Sponsor”), pursuant to which the Sponsor purchased an aggregate of 8,625,000 Class B ordinary shares, par value $0.0001 per share of the Company (the “Class B Shares”), for an aggregate purchase price of $25,000. After the closing of the Offering depending on the extent to which the underwriter’s over-allotment option is exercised, the Sponsor will surrender up to 1,125,000 Founder Shares to the Company for no consideration (the “Founder Forfeiture”). The Founder Shares are substantially similar to the Ordinary Shares included in the Units, except as described in the Registration Statement, the Statutory Prospectus and the Prospectus.</w:t>
      </w:r>
    </w:p>
    <w:p>
      <w:pPr>
        <w:spacing w:after="0" w:line="195" w:lineRule="exact"/>
        <w:rPr>
          <w:sz w:val="20"/>
          <w:szCs w:val="20"/>
          <w:color w:val="auto"/>
        </w:rPr>
      </w:pPr>
    </w:p>
    <w:p>
      <w:pPr>
        <w:ind w:right="20" w:firstLine="1296"/>
        <w:spacing w:after="0" w:line="301" w:lineRule="auto"/>
        <w:rPr>
          <w:sz w:val="20"/>
          <w:szCs w:val="20"/>
          <w:color w:val="auto"/>
        </w:rPr>
      </w:pPr>
      <w:r>
        <w:rPr>
          <w:rFonts w:ascii="Arial" w:cs="Arial" w:eastAsia="Arial" w:hAnsi="Arial"/>
          <w:sz w:val="16"/>
          <w:szCs w:val="16"/>
          <w:color w:val="auto"/>
        </w:rPr>
        <w:t>The Company has entered into a Private Placement Warrants Purchase Agreement, dated as of the date hereof (the “Warrant Subscription Agreement”), with the Sponsor, pursuant to which the Sponsor has agreed to purchase an aggregate of 9,500,000 warrants, each entitling the holder to purchase one Ordinary Share (the “Private Placement Warrants”) for $1.00 per Private Placement Warrant. The Private Placement Warrants are substantially similar to the Warrants included in the Units, except as described in the Registration Statement, the Statutory Prospectus and the Prospectus.</w:t>
      </w:r>
    </w:p>
    <w:p>
      <w:pPr>
        <w:spacing w:after="0" w:line="157" w:lineRule="exact"/>
        <w:rPr>
          <w:sz w:val="20"/>
          <w:szCs w:val="20"/>
          <w:color w:val="auto"/>
        </w:rPr>
      </w:pPr>
    </w:p>
    <w:p>
      <w:pPr>
        <w:ind w:right="120" w:firstLine="1296"/>
        <w:spacing w:after="0" w:line="257" w:lineRule="auto"/>
        <w:rPr>
          <w:sz w:val="20"/>
          <w:szCs w:val="20"/>
          <w:color w:val="auto"/>
        </w:rPr>
      </w:pPr>
      <w:r>
        <w:rPr>
          <w:rFonts w:ascii="Arial" w:cs="Arial" w:eastAsia="Arial" w:hAnsi="Arial"/>
          <w:sz w:val="18"/>
          <w:szCs w:val="18"/>
          <w:color w:val="auto"/>
        </w:rPr>
        <w:t>The Company will enter into a Registration and Shareholder Rights Agreement, to be effective as of the Closing Date, with the Sponsor and the other parties thereto, in substantially the form filed as an exhibit to the Registration Statement (the “Registration Rights Agreement”), pursuant to which the Company will grant certain registration and shareholder rights in respect of the Founder Shares, the Private Placement Warrants, the Ordinary Shares underlying the Private Placement Warrants and the warrants (which will be substantially similar to the Private Placement Warrants) that may be issued upon conversion of working capital loans.</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173" w:name="page174"/>
    <w:bookmarkEnd w:id="173"/>
    <w:p>
      <w:pPr>
        <w:ind w:right="600" w:firstLine="1296"/>
        <w:spacing w:after="0" w:line="342" w:lineRule="auto"/>
        <w:rPr>
          <w:sz w:val="20"/>
          <w:szCs w:val="20"/>
          <w:color w:val="auto"/>
        </w:rPr>
      </w:pPr>
      <w:r>
        <w:rPr>
          <w:rFonts w:ascii="Arial" w:cs="Arial" w:eastAsia="Arial" w:hAnsi="Arial"/>
          <w:sz w:val="16"/>
          <w:szCs w:val="16"/>
          <w:color w:val="auto"/>
        </w:rPr>
        <w:t>The Company will cause to be duly executed and delivered letter agreements by the Sponsor, and each of the Company’s officers, directors, and director nominees, in substantially the form filed as an exhibit to the Registration Statement (collectively, the “Insider Letters”).</w:t>
      </w:r>
    </w:p>
    <w:p>
      <w:pPr>
        <w:spacing w:after="0" w:line="124" w:lineRule="exact"/>
        <w:rPr>
          <w:sz w:val="20"/>
          <w:szCs w:val="20"/>
          <w:color w:val="auto"/>
        </w:rPr>
      </w:pPr>
    </w:p>
    <w:p>
      <w:pPr>
        <w:ind w:right="40" w:firstLine="1296"/>
        <w:spacing w:after="0" w:line="257" w:lineRule="auto"/>
        <w:rPr>
          <w:sz w:val="20"/>
          <w:szCs w:val="20"/>
          <w:color w:val="auto"/>
        </w:rPr>
      </w:pPr>
      <w:r>
        <w:rPr>
          <w:rFonts w:ascii="Arial" w:cs="Arial" w:eastAsia="Arial" w:hAnsi="Arial"/>
          <w:sz w:val="18"/>
          <w:szCs w:val="18"/>
          <w:color w:val="auto"/>
        </w:rPr>
        <w:t>The Company will enter into an Administrative Services Agreement, to be effective as of the Closing Date (the “Services Agreement”), with the Sponsor, in substantially the form filed as an exhibit to the Registration Statement, pursuant to which the Company will, subject to the terms of the Services Agreement, pay to the Sponsor, an aggregate monthly fee of $10,000 for general and administrative services, including office space, secretarial support and administrative services from the date that the Units are first listed on the New York Stock Exchange until the earlier of (x) the consummation of an initial Business Combination and (y) the Liquidation.</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6"/>
          <w:szCs w:val="16"/>
          <w:color w:val="auto"/>
        </w:rPr>
        <w:t xml:space="preserve">1. </w:t>
      </w:r>
      <w:r>
        <w:rPr>
          <w:rFonts w:ascii="Arial" w:cs="Arial" w:eastAsia="Arial" w:hAnsi="Arial"/>
          <w:sz w:val="16"/>
          <w:szCs w:val="16"/>
          <w:u w:val="single" w:color="auto"/>
          <w:color w:val="auto"/>
        </w:rPr>
        <w:t>Representations and Warranties</w:t>
      </w:r>
      <w:r>
        <w:rPr>
          <w:rFonts w:ascii="Arial" w:cs="Arial" w:eastAsia="Arial" w:hAnsi="Arial"/>
          <w:sz w:val="16"/>
          <w:szCs w:val="16"/>
          <w:color w:val="auto"/>
        </w:rPr>
        <w:t>. The Company represents and warrants to, and agrees with, each Underwriter as set forth below in this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Section 1.</w:t>
      </w:r>
    </w:p>
    <w:p>
      <w:pPr>
        <w:spacing w:after="0" w:line="211" w:lineRule="exact"/>
        <w:rPr>
          <w:sz w:val="20"/>
          <w:szCs w:val="20"/>
          <w:color w:val="auto"/>
        </w:rPr>
      </w:pPr>
    </w:p>
    <w:p>
      <w:pPr>
        <w:ind w:left="660" w:firstLine="644"/>
        <w:spacing w:after="0" w:line="269" w:lineRule="auto"/>
        <w:tabs>
          <w:tab w:leader="none" w:pos="1549" w:val="left"/>
        </w:tabs>
        <w:numPr>
          <w:ilvl w:val="0"/>
          <w:numId w:val="99"/>
        </w:numPr>
        <w:rPr>
          <w:rFonts w:ascii="Arial" w:cs="Arial" w:eastAsia="Arial" w:hAnsi="Arial"/>
          <w:sz w:val="17"/>
          <w:szCs w:val="17"/>
          <w:color w:val="auto"/>
        </w:rPr>
      </w:pPr>
      <w:r>
        <w:rPr>
          <w:rFonts w:ascii="Arial" w:cs="Arial" w:eastAsia="Arial" w:hAnsi="Arial"/>
          <w:sz w:val="17"/>
          <w:szCs w:val="17"/>
          <w:color w:val="auto"/>
        </w:rPr>
        <w:t>The Company has prepared and filed with the Commission the Registration Statement (file number 333-237245) on Form S-1, including the related Preliminary Prospectus, for registration under the Act of the offering and sale of the Securities. Such Registration Statement, including any amendments thereto filed prior to the Execution Time, has become effective. The Company may have filed one or more amendments thereto, including the related Preliminary Prospectus, each of which has previously been furnished to you. The Company will file with the Commission the Prospectus in accordance with Rule 424(b). As filed, such Prospectus shall contain all information required by the Act and, except to the extent the Representative shall agree in writing to a modification, shall be in all substantive respects in the form furnished to you prior to the Execution Time or, to the extent not completed at the Execution Time, shall contain only such specific additional information and other changes (beyond that contained in the latest Preliminary Prospectus) as the Company has advised you, prior to the Execution Time, will be included or made therein. The Company has complied to the Commission’s satisfaction with all requests of the Commission for additional or supplemental information.</w:t>
      </w:r>
    </w:p>
    <w:p>
      <w:pPr>
        <w:spacing w:after="0" w:line="185" w:lineRule="exact"/>
        <w:rPr>
          <w:rFonts w:ascii="Arial" w:cs="Arial" w:eastAsia="Arial" w:hAnsi="Arial"/>
          <w:sz w:val="17"/>
          <w:szCs w:val="17"/>
          <w:color w:val="auto"/>
        </w:rPr>
      </w:pPr>
    </w:p>
    <w:p>
      <w:pPr>
        <w:ind w:left="660" w:right="20" w:firstLine="644"/>
        <w:spacing w:after="0" w:line="287" w:lineRule="auto"/>
        <w:tabs>
          <w:tab w:leader="none" w:pos="1563" w:val="left"/>
        </w:tabs>
        <w:numPr>
          <w:ilvl w:val="0"/>
          <w:numId w:val="99"/>
        </w:numPr>
        <w:rPr>
          <w:rFonts w:ascii="Arial" w:cs="Arial" w:eastAsia="Arial" w:hAnsi="Arial"/>
          <w:sz w:val="16"/>
          <w:szCs w:val="16"/>
          <w:color w:val="auto"/>
        </w:rPr>
      </w:pPr>
      <w:r>
        <w:rPr>
          <w:rFonts w:ascii="Arial" w:cs="Arial" w:eastAsia="Arial" w:hAnsi="Arial"/>
          <w:sz w:val="16"/>
          <w:szCs w:val="16"/>
          <w:color w:val="auto"/>
        </w:rPr>
        <w:t xml:space="preserve">On the Effective Date, the Registration Statement did, and when the Prospectus is first filed in accordance with Rule 424(b) and on the Closing Date (as defined herein) and on any date on which Option Securities are purchased, if such date is not the Closing Date (a “settlement date”), the Prospectus (and any supplement thereto) will, comply in all material respects with the applicable requirements of the Act; on the Effective Date and at the Execution Time,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and on the Closing Date and each settlement date, the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Registration Statement or the Prospectus (or any supplement thereto) in reliance upon and in conformity with information furnished in writing to the Company by or on behalf of any Underwriter through the Representative specifically for inclusion in the Registration Statement or the Prospectus (or any supplement thereto), it being understood and agreed that the only such information furnished by any Underwriter consists of the information described as such in Section 8(b) hereof.</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74" w:name="page175"/>
    <w:bookmarkEnd w:id="174"/>
    <w:p>
      <w:pPr>
        <w:ind w:left="-460" w:firstLine="644"/>
        <w:spacing w:after="0" w:line="291" w:lineRule="auto"/>
        <w:tabs>
          <w:tab w:leader="none" w:pos="423" w:val="left"/>
        </w:tabs>
        <w:numPr>
          <w:ilvl w:val="0"/>
          <w:numId w:val="100"/>
        </w:numPr>
        <w:rPr>
          <w:rFonts w:ascii="Arial" w:cs="Arial" w:eastAsia="Arial" w:hAnsi="Arial"/>
          <w:sz w:val="16"/>
          <w:szCs w:val="16"/>
          <w:color w:val="auto"/>
        </w:rPr>
      </w:pPr>
      <w:r>
        <w:rPr>
          <w:rFonts w:ascii="Arial" w:cs="Arial" w:eastAsia="Arial" w:hAnsi="Arial"/>
          <w:sz w:val="16"/>
          <w:szCs w:val="16"/>
          <w:color w:val="auto"/>
        </w:rPr>
        <w:t xml:space="preserve">At the Execution Time, the Statutory Prospectus, each road show, when taken together as a whole with the Statutory Prospectus, and any individual Written Testing-the-Waters Communication (as defined below), when taken together as a whole with the Statutory Prospectus, does not contain any untrue statement of a material fact or omit to state any material fact necessary in order to make the statements therein, in the light of the circumstances under which they were made, not misleading;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makes no representations or warranties as to the information contained in or omitted from the Statutory Prospectus in reliance upon and in conformity with written information furnished to the Company by or on behalf of any Underwriter through the Representative specifically for use therein, it being understood and agreed that the only such information furnished by or on behalf of any Underwriter consists of the information described as such in Section 8(b) hereof.</w:t>
      </w:r>
    </w:p>
    <w:p>
      <w:pPr>
        <w:spacing w:after="0" w:line="166" w:lineRule="exact"/>
        <w:rPr>
          <w:rFonts w:ascii="Arial" w:cs="Arial" w:eastAsia="Arial" w:hAnsi="Arial"/>
          <w:sz w:val="16"/>
          <w:szCs w:val="16"/>
          <w:color w:val="auto"/>
        </w:rPr>
      </w:pPr>
    </w:p>
    <w:p>
      <w:pPr>
        <w:ind w:left="-460" w:firstLine="644"/>
        <w:spacing w:after="0" w:line="257" w:lineRule="auto"/>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has filed with the Commission a Form 8-A (file number 001-[●]) providing for the registration under the Exchange Act of the Securities, the Ordinary Shares included as part of the Securities and the Warrants included as part of the Securities, which registration is currently effective on the date hereof. The Securities have been authorized for listing, subject to official notice of issuance and evidence of satisfactory distribution, on the New York Stock Exchange, and the Company knows of no reason or set of facts that is likely to adversely affect such authorization.</w:t>
      </w:r>
    </w:p>
    <w:p>
      <w:pPr>
        <w:spacing w:after="0" w:line="187" w:lineRule="exact"/>
        <w:rPr>
          <w:rFonts w:ascii="Arial" w:cs="Arial" w:eastAsia="Arial" w:hAnsi="Arial"/>
          <w:sz w:val="18"/>
          <w:szCs w:val="18"/>
          <w:color w:val="auto"/>
        </w:rPr>
      </w:pPr>
    </w:p>
    <w:p>
      <w:pPr>
        <w:jc w:val="both"/>
        <w:ind w:left="-460" w:right="160" w:firstLine="644"/>
        <w:spacing w:after="0" w:line="259" w:lineRule="auto"/>
        <w:tabs>
          <w:tab w:leader="none" w:pos="43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Neither the Commission nor, to the Company’s knowledge, any state regulatory authority has issued any order or, to the Company’s knowledge, threatened to issue any order preventing or suspending the effectiveness of the Registration Statement or the use of any Preliminary Prospectus, the Prospectus or any part thereof, or has instituted or, to the Company’s knowledge, threatened to institute any proceedings with respect to such an order.</w:t>
      </w:r>
    </w:p>
    <w:p>
      <w:pPr>
        <w:spacing w:after="0" w:line="186" w:lineRule="exact"/>
        <w:rPr>
          <w:rFonts w:ascii="Arial" w:cs="Arial" w:eastAsia="Arial" w:hAnsi="Arial"/>
          <w:sz w:val="18"/>
          <w:szCs w:val="18"/>
          <w:color w:val="auto"/>
        </w:rPr>
      </w:pPr>
    </w:p>
    <w:p>
      <w:pPr>
        <w:ind w:left="-460" w:right="180" w:firstLine="644"/>
        <w:spacing w:after="0" w:line="277" w:lineRule="auto"/>
        <w:tabs>
          <w:tab w:leader="none" w:pos="413" w:val="left"/>
        </w:tabs>
        <w:numPr>
          <w:ilvl w:val="0"/>
          <w:numId w:val="100"/>
        </w:numPr>
        <w:rPr>
          <w:rFonts w:ascii="Arial" w:cs="Arial" w:eastAsia="Arial" w:hAnsi="Arial"/>
          <w:sz w:val="18"/>
          <w:szCs w:val="18"/>
          <w:color w:val="auto"/>
        </w:rPr>
      </w:pPr>
      <w:r>
        <w:rPr>
          <w:rFonts w:ascii="Arial" w:cs="Arial" w:eastAsia="Arial" w:hAnsi="Arial"/>
          <w:sz w:val="18"/>
          <w:szCs w:val="18"/>
          <w:color w:val="auto"/>
        </w:rPr>
        <w:t>(i) At the time of filing the Registration Statement and (ii) as of the Execution Time (with such date being used as the determination date for purposes of this clause (ii)), the Company was and is an Ineligible Issuer (as defined in Rule 405).</w:t>
      </w:r>
    </w:p>
    <w:p>
      <w:pPr>
        <w:spacing w:after="0" w:line="170" w:lineRule="exact"/>
        <w:rPr>
          <w:rFonts w:ascii="Arial" w:cs="Arial" w:eastAsia="Arial" w:hAnsi="Arial"/>
          <w:sz w:val="18"/>
          <w:szCs w:val="18"/>
          <w:color w:val="auto"/>
        </w:rPr>
      </w:pPr>
    </w:p>
    <w:p>
      <w:pPr>
        <w:ind w:left="440" w:hanging="256"/>
        <w:spacing w:after="0"/>
        <w:tabs>
          <w:tab w:leader="none" w:pos="440" w:val="left"/>
        </w:tabs>
        <w:numPr>
          <w:ilvl w:val="0"/>
          <w:numId w:val="100"/>
        </w:numPr>
        <w:rPr>
          <w:rFonts w:ascii="Arial" w:cs="Arial" w:eastAsia="Arial" w:hAnsi="Arial"/>
          <w:sz w:val="18"/>
          <w:szCs w:val="18"/>
          <w:color w:val="auto"/>
        </w:rPr>
      </w:pPr>
      <w:r>
        <w:rPr>
          <w:rFonts w:ascii="Arial" w:cs="Arial" w:eastAsia="Arial" w:hAnsi="Arial"/>
          <w:sz w:val="18"/>
          <w:szCs w:val="18"/>
          <w:color w:val="auto"/>
        </w:rPr>
        <w:t>The Company has not prepared or used a Free Writing Prospectus.</w:t>
      </w:r>
    </w:p>
    <w:p>
      <w:pPr>
        <w:spacing w:after="0" w:line="200" w:lineRule="exact"/>
        <w:rPr>
          <w:sz w:val="20"/>
          <w:szCs w:val="20"/>
          <w:color w:val="auto"/>
        </w:rPr>
      </w:pPr>
    </w:p>
    <w:p>
      <w:pPr>
        <w:spacing w:after="0" w:line="23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175" w:name="page176"/>
    <w:bookmarkEnd w:id="175"/>
    <w:p>
      <w:pPr>
        <w:ind w:right="20" w:firstLine="644"/>
        <w:spacing w:after="0" w:line="272" w:lineRule="auto"/>
        <w:tabs>
          <w:tab w:leader="none" w:pos="90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Company has been duly incorporated and is validly existing as an exempted company in good standing under the laws of the Cayman Islands with full corporate power and authority to own or lease, as the case may be, and to operate its properties and conduct its business as described in the Statutory Prospectus and the Prospectus, and to enter into this Agreement, the Trust Agreement, the Warrant Agreement, the Founder’s Purchase Agreement, the Warrant Subscription Agreement, the Registration Rights Agreement, the Insider Letters and the Services Agreement and to carry out the transactions contemplated hereby and thereby, and, except where the failure to so qualify would not reasonably be expected to have a material adverse effect on the Company, is duly qualified to do business as a foreign corporation and is in good standing under the laws of each jurisdiction that requires such qualification.</w:t>
      </w:r>
    </w:p>
    <w:p>
      <w:pPr>
        <w:spacing w:after="0" w:line="177" w:lineRule="exact"/>
        <w:rPr>
          <w:rFonts w:ascii="Arial" w:cs="Arial" w:eastAsia="Arial" w:hAnsi="Arial"/>
          <w:sz w:val="17"/>
          <w:szCs w:val="17"/>
          <w:color w:val="auto"/>
        </w:rPr>
      </w:pPr>
    </w:p>
    <w:p>
      <w:pPr>
        <w:ind w:right="40" w:firstLine="644"/>
        <w:spacing w:after="0" w:line="270" w:lineRule="auto"/>
        <w:tabs>
          <w:tab w:leader="none" w:pos="8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agreements and documents described in the Statutory Prospectus, the Registration Statement and the Prospectus conform in all material respects to the descriptions thereof contained therein. There is no franchise, contract or other document of a character required to be described in the Registration Statement or Prospectus, or to be filed as an exhibit thereto, which is not described or filed as required (and the Statutory Prospectus contains in all material respects the same description of the foregoing matters contained in the Prospectus); and the statements in the Statutory Prospectus and the Prospectus under the headings “Principal Shareholders,” “Certain Relationships and Related Party Transactions,” and “Description of Securities” insofar as such statements summarize legal matters, agreements, documents or proceedings discussed therein, are in all material respects accurate and fair summaries of such legal matters, agreements, documents or proceedings. There are no business relationships or related party transactions involving the Company or any other person required by the Act to be described in the Registration Statement or Prospectus that have not been described as required.</w:t>
      </w:r>
    </w:p>
    <w:p>
      <w:pPr>
        <w:spacing w:after="0" w:line="180" w:lineRule="exact"/>
        <w:rPr>
          <w:rFonts w:ascii="Arial" w:cs="Arial" w:eastAsia="Arial" w:hAnsi="Arial"/>
          <w:sz w:val="17"/>
          <w:szCs w:val="17"/>
          <w:color w:val="auto"/>
        </w:rPr>
      </w:pPr>
    </w:p>
    <w:p>
      <w:pPr>
        <w:ind w:left="860" w:hanging="216"/>
        <w:spacing w:after="0"/>
        <w:tabs>
          <w:tab w:leader="none" w:pos="860" w:val="left"/>
        </w:tabs>
        <w:numPr>
          <w:ilvl w:val="0"/>
          <w:numId w:val="101"/>
        </w:numPr>
        <w:rPr>
          <w:rFonts w:ascii="Arial" w:cs="Arial" w:eastAsia="Arial" w:hAnsi="Arial"/>
          <w:sz w:val="17"/>
          <w:szCs w:val="17"/>
          <w:color w:val="auto"/>
        </w:rPr>
      </w:pPr>
      <w:r>
        <w:rPr>
          <w:rFonts w:ascii="Arial" w:cs="Arial" w:eastAsia="Arial" w:hAnsi="Arial"/>
          <w:sz w:val="17"/>
          <w:szCs w:val="17"/>
          <w:color w:val="auto"/>
        </w:rPr>
        <w:t>The Company’s authorized equity capitalization is as set forth in the Statutory Prospectus, the Registration Statement and the</w:t>
      </w:r>
    </w:p>
    <w:p>
      <w:pPr>
        <w:spacing w:after="0" w:line="34"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8"/>
          <w:szCs w:val="18"/>
          <w:color w:val="auto"/>
        </w:rPr>
        <w:t>Prospectus.</w:t>
      </w:r>
    </w:p>
    <w:p>
      <w:pPr>
        <w:spacing w:after="0" w:line="210" w:lineRule="exact"/>
        <w:rPr>
          <w:rFonts w:ascii="Arial" w:cs="Arial" w:eastAsia="Arial" w:hAnsi="Arial"/>
          <w:sz w:val="17"/>
          <w:szCs w:val="17"/>
          <w:color w:val="auto"/>
        </w:rPr>
      </w:pPr>
    </w:p>
    <w:p>
      <w:pPr>
        <w:ind w:firstLine="644"/>
        <w:spacing w:after="0" w:line="289" w:lineRule="auto"/>
        <w:tabs>
          <w:tab w:leader="none" w:pos="893" w:val="left"/>
        </w:tabs>
        <w:numPr>
          <w:ilvl w:val="0"/>
          <w:numId w:val="101"/>
        </w:numPr>
        <w:rPr>
          <w:rFonts w:ascii="Arial" w:cs="Arial" w:eastAsia="Arial" w:hAnsi="Arial"/>
          <w:sz w:val="16"/>
          <w:szCs w:val="16"/>
          <w:color w:val="auto"/>
        </w:rPr>
      </w:pPr>
      <w:r>
        <w:rPr>
          <w:rFonts w:ascii="Arial" w:cs="Arial" w:eastAsia="Arial" w:hAnsi="Arial"/>
          <w:sz w:val="16"/>
          <w:szCs w:val="16"/>
          <w:color w:val="auto"/>
        </w:rPr>
        <w:t>All issued and outstanding securities of the Company have been duly and validly authorized and issued and are fully paid and nonassessable; and none of such securities were issued in violation of the preemptive rights of any holders of any security of the Company or similar contractual rights granted by the Company. The offers and sales of the outstanding Ordinary Shares and warrants were at all relevant times either registered under the Act, the applicable state securities and blue sky laws or, based in part on the representations and warranties of the purchasers of such Ordinary Shares and warrants, exempt from such registration requirements. The holders of outstanding securities of the Company are not entitled to preemptive or other rights to subscribe for the Securities arising by operation of law or under the Amended and Restated Memorandum and Articles of Association of the Company (the “Charter”); and, except as set forth in the Registration Statement, the Statutory Prospectus and the Prospectus, no options, warrants or other rights to purchase, agreements or other obligations to issue, or rights to convert any obligations into or exchange any securities for, shares or ownership interests in the Company are outstanding.</w:t>
      </w:r>
    </w:p>
    <w:p>
      <w:pPr>
        <w:spacing w:after="0" w:line="375" w:lineRule="exact"/>
        <w:rPr>
          <w:sz w:val="20"/>
          <w:szCs w:val="20"/>
          <w:color w:val="auto"/>
        </w:rPr>
      </w:pPr>
    </w:p>
    <w:p>
      <w:pPr>
        <w:ind w:left="4920"/>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0"/>
          </w:cols>
          <w:pgMar w:left="980" w:top="908" w:right="399" w:bottom="1440" w:gutter="0" w:footer="0" w:header="0"/>
        </w:sectPr>
      </w:pPr>
    </w:p>
    <w:bookmarkStart w:id="176" w:name="page177"/>
    <w:bookmarkEnd w:id="176"/>
    <w:p>
      <w:pPr>
        <w:ind w:left="-460" w:firstLine="644"/>
        <w:spacing w:after="0" w:line="277" w:lineRule="auto"/>
        <w:tabs>
          <w:tab w:leader="none" w:pos="40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Securities have been duly authorized and when issued and delivered against payment therefor by the Underwriters pursuant to this Agreement, will be validly issued.</w:t>
      </w:r>
    </w:p>
    <w:p>
      <w:pPr>
        <w:spacing w:after="0" w:line="170" w:lineRule="exact"/>
        <w:rPr>
          <w:rFonts w:ascii="Arial" w:cs="Arial" w:eastAsia="Arial" w:hAnsi="Arial"/>
          <w:sz w:val="18"/>
          <w:szCs w:val="18"/>
          <w:color w:val="auto"/>
        </w:rPr>
      </w:pPr>
    </w:p>
    <w:p>
      <w:pPr>
        <w:ind w:left="-460" w:right="600" w:firstLine="644"/>
        <w:spacing w:after="0" w:line="308" w:lineRule="auto"/>
        <w:tabs>
          <w:tab w:leader="none" w:pos="49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Ordinary Shares included in the Units have been duly authorized and, when issued and delivered against payment for the Securities by the Underwriters pursuant to this Agreement, will be validly issued, fully paid and non-assessable.</w:t>
      </w:r>
    </w:p>
    <w:p>
      <w:pPr>
        <w:spacing w:after="0" w:line="146" w:lineRule="exact"/>
        <w:rPr>
          <w:rFonts w:ascii="Arial" w:cs="Arial" w:eastAsia="Arial" w:hAnsi="Arial"/>
          <w:sz w:val="17"/>
          <w:szCs w:val="17"/>
          <w:color w:val="auto"/>
        </w:rPr>
      </w:pPr>
    </w:p>
    <w:p>
      <w:pPr>
        <w:ind w:left="-460" w:right="80" w:firstLine="644"/>
        <w:spacing w:after="0" w:line="257" w:lineRule="auto"/>
        <w:tabs>
          <w:tab w:leader="none" w:pos="44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Warrants included in the Units, when issued and delivered in the manner set forth in the Warrant Agreement against payment for the Securities by the Underwriters pursuant to this Agreement, will be duly issued and delivered,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87" w:lineRule="exact"/>
        <w:rPr>
          <w:rFonts w:ascii="Arial" w:cs="Arial" w:eastAsia="Arial" w:hAnsi="Arial"/>
          <w:sz w:val="18"/>
          <w:szCs w:val="18"/>
          <w:color w:val="auto"/>
        </w:rPr>
      </w:pPr>
    </w:p>
    <w:p>
      <w:pPr>
        <w:ind w:left="-460" w:right="20" w:firstLine="644"/>
        <w:spacing w:after="0" w:line="272" w:lineRule="auto"/>
        <w:tabs>
          <w:tab w:leader="none" w:pos="440" w:val="left"/>
        </w:tabs>
        <w:numPr>
          <w:ilvl w:val="0"/>
          <w:numId w:val="102"/>
        </w:numPr>
        <w:rPr>
          <w:rFonts w:ascii="Arial" w:cs="Arial" w:eastAsia="Arial" w:hAnsi="Arial"/>
          <w:sz w:val="17"/>
          <w:szCs w:val="17"/>
          <w:color w:val="auto"/>
        </w:rPr>
      </w:pPr>
      <w:r>
        <w:rPr>
          <w:rFonts w:ascii="Arial" w:cs="Arial" w:eastAsia="Arial" w:hAnsi="Arial"/>
          <w:sz w:val="17"/>
          <w:szCs w:val="17"/>
          <w:color w:val="auto"/>
        </w:rPr>
        <w:t>The Ordinary Shares issuable upon exercise of the Warrants included in the Units and the Private Placement Warrants have been duly authorized and reserved for issuance upon exercise thereof and, when issued and delivered against payment therefor pursuant to the Warrants and the Private Placement Warrants, as applicable, and the Warrant Agreement, will be validly issued, fully paid and non-assessable. The holders of such Ordinary Shares are not and will not be subject to personal liability by reason of being such holders; such Ordinary Shares are not and will not be subject to any preemptive or other similar contractual rights granted by the Company; and all corporate action required to be taken for the authorization, issuance and sale of such Ordinary Shares (other than such execution (if applicable), countersignature (if applicable) and delivery at the time of issuance) has been duly and validly taken.</w:t>
      </w:r>
    </w:p>
    <w:p>
      <w:pPr>
        <w:spacing w:after="0" w:line="177" w:lineRule="exact"/>
        <w:rPr>
          <w:rFonts w:ascii="Arial" w:cs="Arial" w:eastAsia="Arial" w:hAnsi="Arial"/>
          <w:sz w:val="17"/>
          <w:szCs w:val="17"/>
          <w:color w:val="auto"/>
        </w:rPr>
      </w:pPr>
    </w:p>
    <w:p>
      <w:pPr>
        <w:ind w:left="-460" w:right="80" w:firstLine="644"/>
        <w:spacing w:after="0" w:line="311" w:lineRule="auto"/>
        <w:tabs>
          <w:tab w:leader="none" w:pos="443" w:val="left"/>
        </w:tabs>
        <w:numPr>
          <w:ilvl w:val="0"/>
          <w:numId w:val="102"/>
        </w:numPr>
        <w:rPr>
          <w:rFonts w:ascii="Arial" w:cs="Arial" w:eastAsia="Arial" w:hAnsi="Arial"/>
          <w:sz w:val="16"/>
          <w:szCs w:val="16"/>
          <w:color w:val="auto"/>
        </w:rPr>
      </w:pPr>
      <w:r>
        <w:rPr>
          <w:rFonts w:ascii="Arial" w:cs="Arial" w:eastAsia="Arial" w:hAnsi="Arial"/>
          <w:sz w:val="16"/>
          <w:szCs w:val="16"/>
          <w:color w:val="auto"/>
        </w:rPr>
        <w:t>Except as set forth in the Registration Statement, the Statutory Prospectus and the Prospectus, no holders of any securities of the Company or any rights exercisable for or convertible or exchangeable into securities of the Company have the right to require the Company to register any such securities of the Company under the Act or to include any such securities in a registration statement to be filed by the Company.</w:t>
      </w:r>
    </w:p>
    <w:p>
      <w:pPr>
        <w:spacing w:after="0" w:line="148" w:lineRule="exact"/>
        <w:rPr>
          <w:rFonts w:ascii="Arial" w:cs="Arial" w:eastAsia="Arial" w:hAnsi="Arial"/>
          <w:sz w:val="16"/>
          <w:szCs w:val="16"/>
          <w:color w:val="auto"/>
        </w:rPr>
      </w:pPr>
    </w:p>
    <w:p>
      <w:pPr>
        <w:ind w:left="-460" w:right="480" w:firstLine="644"/>
        <w:spacing w:after="0" w:line="263" w:lineRule="auto"/>
        <w:tabs>
          <w:tab w:leader="none" w:pos="443" w:val="left"/>
        </w:tabs>
        <w:numPr>
          <w:ilvl w:val="0"/>
          <w:numId w:val="102"/>
        </w:numPr>
        <w:rPr>
          <w:rFonts w:ascii="Arial" w:cs="Arial" w:eastAsia="Arial" w:hAnsi="Arial"/>
          <w:sz w:val="18"/>
          <w:szCs w:val="18"/>
          <w:color w:val="auto"/>
        </w:rPr>
      </w:pPr>
      <w:r>
        <w:rPr>
          <w:rFonts w:ascii="Arial" w:cs="Arial" w:eastAsia="Arial" w:hAnsi="Arial"/>
          <w:sz w:val="18"/>
          <w:szCs w:val="18"/>
          <w:color w:val="auto"/>
        </w:rPr>
        <w:t>No securities of the Company have been sold by the Company or by or on behalf of, or for the benefit of, any person or persons controlling, controlled by, or under common control with the Company from its inception through and including the date hereof, except as disclosed in the Registration Statement, the Statutory Prospectus and the Prospectus.</w:t>
      </w:r>
    </w:p>
    <w:p>
      <w:pPr>
        <w:spacing w:after="0" w:line="183" w:lineRule="exact"/>
        <w:rPr>
          <w:rFonts w:ascii="Arial" w:cs="Arial" w:eastAsia="Arial" w:hAnsi="Arial"/>
          <w:sz w:val="18"/>
          <w:szCs w:val="18"/>
          <w:color w:val="auto"/>
        </w:rPr>
      </w:pPr>
    </w:p>
    <w:p>
      <w:pPr>
        <w:ind w:left="-460" w:right="120" w:firstLine="644"/>
        <w:spacing w:after="0" w:line="308" w:lineRule="auto"/>
        <w:tabs>
          <w:tab w:leader="none" w:pos="413" w:val="left"/>
        </w:tabs>
        <w:numPr>
          <w:ilvl w:val="0"/>
          <w:numId w:val="102"/>
        </w:numPr>
        <w:rPr>
          <w:rFonts w:ascii="Arial" w:cs="Arial" w:eastAsia="Arial" w:hAnsi="Arial"/>
          <w:sz w:val="17"/>
          <w:szCs w:val="17"/>
          <w:color w:val="auto"/>
        </w:rPr>
      </w:pPr>
      <w:r>
        <w:rPr>
          <w:rFonts w:ascii="Arial" w:cs="Arial" w:eastAsia="Arial" w:hAnsi="Arial"/>
          <w:sz w:val="17"/>
          <w:szCs w:val="17"/>
          <w:color w:val="auto"/>
        </w:rPr>
        <w:t>Neither the Company nor any of its affiliates has, prior to the date hereof, made any offer or sale of any securities that are required to be “integrated” pursuant to the Act with the offer and sale of the Underwritten Securities pursuant to the Registration Statement.</w:t>
      </w:r>
    </w:p>
    <w:p>
      <w:pPr>
        <w:spacing w:after="0" w:line="146" w:lineRule="exact"/>
        <w:rPr>
          <w:rFonts w:ascii="Arial" w:cs="Arial" w:eastAsia="Arial" w:hAnsi="Arial"/>
          <w:sz w:val="17"/>
          <w:szCs w:val="17"/>
          <w:color w:val="auto"/>
        </w:rPr>
      </w:pPr>
    </w:p>
    <w:p>
      <w:pPr>
        <w:ind w:left="420" w:hanging="236"/>
        <w:spacing w:after="0"/>
        <w:tabs>
          <w:tab w:leader="none" w:pos="420" w:val="left"/>
        </w:tabs>
        <w:numPr>
          <w:ilvl w:val="0"/>
          <w:numId w:val="102"/>
        </w:numPr>
        <w:rPr>
          <w:rFonts w:ascii="Arial" w:cs="Arial" w:eastAsia="Arial" w:hAnsi="Arial"/>
          <w:sz w:val="18"/>
          <w:szCs w:val="18"/>
          <w:color w:val="auto"/>
        </w:rPr>
      </w:pPr>
      <w:r>
        <w:rPr>
          <w:rFonts w:ascii="Arial" w:cs="Arial" w:eastAsia="Arial" w:hAnsi="Arial"/>
          <w:sz w:val="18"/>
          <w:szCs w:val="18"/>
          <w:color w:val="auto"/>
        </w:rPr>
        <w:t>The Founder Shares are duly authorized, validly issued, fully paid and non-assessable.</w:t>
      </w:r>
    </w:p>
    <w:p>
      <w:pPr>
        <w:spacing w:after="0" w:line="200" w:lineRule="exact"/>
        <w:rPr>
          <w:sz w:val="20"/>
          <w:szCs w:val="20"/>
          <w:color w:val="auto"/>
        </w:rPr>
      </w:pPr>
    </w:p>
    <w:p>
      <w:pPr>
        <w:spacing w:after="0" w:line="234"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77" w:name="page178"/>
    <w:bookmarkEnd w:id="177"/>
    <w:p>
      <w:pPr>
        <w:jc w:val="both"/>
        <w:ind w:left="-460" w:firstLine="644"/>
        <w:spacing w:after="0" w:line="259" w:lineRule="auto"/>
        <w:tabs>
          <w:tab w:leader="none" w:pos="40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Private Placement Warrants, when delivered upon the consummation of the Offering, will be duly issued, and will constitute valid and binding obligations of the Company, enforceable against the Company in accordance with their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460" w:right="400" w:firstLine="644"/>
        <w:spacing w:after="0" w:line="311" w:lineRule="auto"/>
        <w:tabs>
          <w:tab w:leader="none" w:pos="440" w:val="left"/>
        </w:tabs>
        <w:numPr>
          <w:ilvl w:val="0"/>
          <w:numId w:val="103"/>
        </w:numPr>
        <w:rPr>
          <w:rFonts w:ascii="Arial" w:cs="Arial" w:eastAsia="Arial" w:hAnsi="Arial"/>
          <w:sz w:val="16"/>
          <w:szCs w:val="16"/>
          <w:color w:val="auto"/>
        </w:rPr>
      </w:pPr>
      <w:r>
        <w:rPr>
          <w:rFonts w:ascii="Arial" w:cs="Arial" w:eastAsia="Arial" w:hAnsi="Arial"/>
          <w:sz w:val="16"/>
          <w:szCs w:val="16"/>
          <w:color w:val="auto"/>
        </w:rPr>
        <w:t>This Agreement has been duly authorized, executed and delivered by the Company and is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48" w:lineRule="exact"/>
        <w:rPr>
          <w:rFonts w:ascii="Arial" w:cs="Arial" w:eastAsia="Arial" w:hAnsi="Arial"/>
          <w:sz w:val="16"/>
          <w:szCs w:val="16"/>
          <w:color w:val="auto"/>
        </w:rPr>
      </w:pPr>
    </w:p>
    <w:p>
      <w:pPr>
        <w:ind w:left="-460" w:right="280" w:firstLine="644"/>
        <w:spacing w:after="0" w:line="259" w:lineRule="auto"/>
        <w:tabs>
          <w:tab w:leader="none" w:pos="4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Trust Agreement, when executed, will be duly authorized, executed and delivered by the Company, and will be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460" w:right="280" w:firstLine="644"/>
        <w:spacing w:after="0" w:line="259" w:lineRule="auto"/>
        <w:tabs>
          <w:tab w:leader="none" w:pos="48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Warrant Agreement, when executed, will be duly authorized, executed and delivered by the Company and will be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460" w:right="40" w:firstLine="644"/>
        <w:spacing w:after="0" w:line="259" w:lineRule="auto"/>
        <w:tabs>
          <w:tab w:leader="none" w:pos="4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Founder’s Purchase Agreement has been duly authorized, executed and delivered by the Company and the 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460" w:right="320" w:firstLine="644"/>
        <w:spacing w:after="0" w:line="259" w:lineRule="auto"/>
        <w:tabs>
          <w:tab w:leader="none" w:pos="440"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Warrant Subscription Agreement has been duly authorized, executed and delivered by the Company and the Sponsor, and is a valid and binding agreement of the Company and the Sponsor, enforceable against the Company and the Sponsor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jc w:val="both"/>
        <w:ind w:left="-460" w:right="280" w:firstLine="644"/>
        <w:spacing w:after="0" w:line="259" w:lineRule="auto"/>
        <w:tabs>
          <w:tab w:leader="none" w:pos="429" w:val="left"/>
        </w:tabs>
        <w:numPr>
          <w:ilvl w:val="0"/>
          <w:numId w:val="103"/>
        </w:numPr>
        <w:rPr>
          <w:rFonts w:ascii="Arial" w:cs="Arial" w:eastAsia="Arial" w:hAnsi="Arial"/>
          <w:sz w:val="18"/>
          <w:szCs w:val="18"/>
          <w:color w:val="auto"/>
        </w:rPr>
      </w:pPr>
      <w:r>
        <w:rPr>
          <w:rFonts w:ascii="Arial" w:cs="Arial" w:eastAsia="Arial" w:hAnsi="Arial"/>
          <w:sz w:val="18"/>
          <w:szCs w:val="18"/>
          <w:color w:val="auto"/>
        </w:rPr>
        <w:t>The Services Agreement, when executed, will be duly authorized, executed and delivered by the Company and will be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395"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78" w:name="page179"/>
    <w:bookmarkEnd w:id="178"/>
    <w:p>
      <w:pPr>
        <w:jc w:val="both"/>
        <w:ind w:left="4" w:right="120" w:firstLine="644"/>
        <w:spacing w:after="0" w:line="259" w:lineRule="auto"/>
        <w:tabs>
          <w:tab w:leader="none" w:pos="97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Registration Rights Agreement, when executed, will be duly authorized, executed and delivered by the Company and will be a valid and binding agreement of the Company, enforceable against the Company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86" w:lineRule="exact"/>
        <w:rPr>
          <w:rFonts w:ascii="Arial" w:cs="Arial" w:eastAsia="Arial" w:hAnsi="Arial"/>
          <w:sz w:val="18"/>
          <w:szCs w:val="18"/>
          <w:color w:val="auto"/>
        </w:rPr>
      </w:pPr>
    </w:p>
    <w:p>
      <w:pPr>
        <w:ind w:left="4" w:right="20" w:firstLine="644"/>
        <w:spacing w:after="0" w:line="272" w:lineRule="auto"/>
        <w:tabs>
          <w:tab w:leader="none" w:pos="997" w:val="left"/>
        </w:tabs>
        <w:numPr>
          <w:ilvl w:val="1"/>
          <w:numId w:val="104"/>
        </w:numPr>
        <w:rPr>
          <w:rFonts w:ascii="Arial" w:cs="Arial" w:eastAsia="Arial" w:hAnsi="Arial"/>
          <w:sz w:val="17"/>
          <w:szCs w:val="17"/>
          <w:color w:val="auto"/>
        </w:rPr>
      </w:pPr>
      <w:r>
        <w:rPr>
          <w:rFonts w:ascii="Arial" w:cs="Arial" w:eastAsia="Arial" w:hAnsi="Arial"/>
          <w:sz w:val="17"/>
          <w:szCs w:val="17"/>
          <w:color w:val="auto"/>
        </w:rPr>
        <w:t>Each of the Insider Letters to be executed by the Company, the Sponsor and each executive officer, director and director nominee of the Company, when executed, will be duly authorized, executed and delivered by the Company, the Sponsor, and, to the Company’s knowledge, each such executive officer, director and director nominee, respectively, and will be a valid and binding agreement of the Company, the Sponsor and, to the Company’s knowledge, each such executive officer, director and director nominee, respectively, enforceable against the Company, the Sponsor and, to the Company’s knowledge, each such executive officer director and director nominee, respectively, in accordance with its terms except as the enforceability thereof may be limited by bankruptcy, insolvency, or similar laws affecting creditors’ rights generally from time to time in effect and by equitable principles of general applicability.</w:t>
      </w:r>
    </w:p>
    <w:p>
      <w:pPr>
        <w:spacing w:after="0" w:line="177" w:lineRule="exact"/>
        <w:rPr>
          <w:rFonts w:ascii="Arial" w:cs="Arial" w:eastAsia="Arial" w:hAnsi="Arial"/>
          <w:sz w:val="17"/>
          <w:szCs w:val="17"/>
          <w:color w:val="auto"/>
        </w:rPr>
      </w:pPr>
    </w:p>
    <w:p>
      <w:pPr>
        <w:ind w:left="4" w:right="180" w:firstLine="644"/>
        <w:spacing w:after="0" w:line="263" w:lineRule="auto"/>
        <w:tabs>
          <w:tab w:leader="none" w:pos="973" w:val="left"/>
        </w:tabs>
        <w:numPr>
          <w:ilvl w:val="1"/>
          <w:numId w:val="104"/>
        </w:numPr>
        <w:rPr>
          <w:rFonts w:ascii="Arial" w:cs="Arial" w:eastAsia="Arial" w:hAnsi="Arial"/>
          <w:sz w:val="18"/>
          <w:szCs w:val="18"/>
          <w:color w:val="auto"/>
        </w:rPr>
      </w:pPr>
      <w:r>
        <w:rPr>
          <w:rFonts w:ascii="Arial" w:cs="Arial" w:eastAsia="Arial" w:hAnsi="Arial"/>
          <w:sz w:val="18"/>
          <w:szCs w:val="18"/>
          <w:color w:val="auto"/>
        </w:rPr>
        <w:t>The Company is not and, after giving effect to the offering and sale of the Securities and the application of the proceeds thereof as described in the Registration Statement, the Statutory Prospectus and the Prospectus, will not be an “investment company” as defined in the Investment Company Act of 1940, as amended.</w:t>
      </w:r>
    </w:p>
    <w:p>
      <w:pPr>
        <w:spacing w:after="0" w:line="183" w:lineRule="exact"/>
        <w:rPr>
          <w:rFonts w:ascii="Arial" w:cs="Arial" w:eastAsia="Arial" w:hAnsi="Arial"/>
          <w:sz w:val="18"/>
          <w:szCs w:val="18"/>
          <w:color w:val="auto"/>
        </w:rPr>
      </w:pPr>
    </w:p>
    <w:p>
      <w:pPr>
        <w:ind w:left="4" w:firstLine="644"/>
        <w:spacing w:after="0" w:line="255" w:lineRule="auto"/>
        <w:tabs>
          <w:tab w:leader="none" w:pos="997" w:val="left"/>
        </w:tabs>
        <w:numPr>
          <w:ilvl w:val="1"/>
          <w:numId w:val="104"/>
        </w:numPr>
        <w:rPr>
          <w:rFonts w:ascii="Arial" w:cs="Arial" w:eastAsia="Arial" w:hAnsi="Arial"/>
          <w:sz w:val="18"/>
          <w:szCs w:val="18"/>
          <w:color w:val="auto"/>
        </w:rPr>
      </w:pPr>
      <w:r>
        <w:rPr>
          <w:rFonts w:ascii="Arial" w:cs="Arial" w:eastAsia="Arial" w:hAnsi="Arial"/>
          <w:sz w:val="18"/>
          <w:szCs w:val="18"/>
          <w:color w:val="auto"/>
        </w:rPr>
        <w:t>No consent, approval, authorization, filing with or order of any court or governmental agency or body is required in connection with the transactions contemplated herein or in the Trust Agreement, the Warrant Agreement, the Founder’s Purchase Agreement, the Warrant Subscription Agreement, the Services Agreement, the Registration Rights Agreement or the Insider Letters, except for the registration under the Act and the Exchange Act of the Securities and such as may be required under state securities or blue sky laws of any jurisdiction in connection with the purchase and distribution of the Securities by the Underwriters in the manner contemplated herein and in the Registration Statement, the Statutory Prospectus and the Prospectus.</w:t>
      </w:r>
    </w:p>
    <w:p>
      <w:pPr>
        <w:spacing w:after="0" w:line="192" w:lineRule="exact"/>
        <w:rPr>
          <w:rFonts w:ascii="Arial" w:cs="Arial" w:eastAsia="Arial" w:hAnsi="Arial"/>
          <w:sz w:val="18"/>
          <w:szCs w:val="18"/>
          <w:color w:val="auto"/>
        </w:rPr>
      </w:pPr>
    </w:p>
    <w:p>
      <w:pPr>
        <w:ind w:left="4" w:right="20" w:firstLine="644"/>
        <w:spacing w:after="0" w:line="286" w:lineRule="auto"/>
        <w:tabs>
          <w:tab w:leader="none" w:pos="973" w:val="left"/>
        </w:tabs>
        <w:numPr>
          <w:ilvl w:val="1"/>
          <w:numId w:val="104"/>
        </w:numPr>
        <w:rPr>
          <w:rFonts w:ascii="Arial" w:cs="Arial" w:eastAsia="Arial" w:hAnsi="Arial"/>
          <w:sz w:val="16"/>
          <w:szCs w:val="16"/>
          <w:color w:val="auto"/>
        </w:rPr>
      </w:pPr>
      <w:r>
        <w:rPr>
          <w:rFonts w:ascii="Arial" w:cs="Arial" w:eastAsia="Arial" w:hAnsi="Arial"/>
          <w:sz w:val="16"/>
          <w:szCs w:val="16"/>
          <w:color w:val="auto"/>
        </w:rPr>
        <w:t>The Company is not in violation or default of (i) any provision of the Charter, (ii) the terms of any indenture, contract, lease, mortgage, deed of trust, note agreement, loan agreement or other agreement, obligation, condition, covenant or instrument to which it is a party or bound or to which its property is subject, or (iii) any (x) statute, law, rule, regulation, or (y) judgment, order or decree of any court, regulatory body, administrative agency, governmental body, arbitrator or other authority having jurisdiction over the Company; except in the case of clauses</w:t>
      </w:r>
    </w:p>
    <w:p>
      <w:pPr>
        <w:spacing w:after="0" w:line="1" w:lineRule="exact"/>
        <w:rPr>
          <w:rFonts w:ascii="Arial" w:cs="Arial" w:eastAsia="Arial" w:hAnsi="Arial"/>
          <w:sz w:val="16"/>
          <w:szCs w:val="16"/>
          <w:color w:val="auto"/>
        </w:rPr>
      </w:pPr>
    </w:p>
    <w:p>
      <w:pPr>
        <w:jc w:val="both"/>
        <w:ind w:left="4" w:right="300" w:hanging="4"/>
        <w:spacing w:after="0" w:line="277" w:lineRule="auto"/>
        <w:tabs>
          <w:tab w:leader="none" w:pos="269" w:val="left"/>
        </w:tabs>
        <w:numPr>
          <w:ilvl w:val="0"/>
          <w:numId w:val="105"/>
        </w:numPr>
        <w:rPr>
          <w:rFonts w:ascii="Arial" w:cs="Arial" w:eastAsia="Arial" w:hAnsi="Arial"/>
          <w:sz w:val="17"/>
          <w:szCs w:val="17"/>
          <w:color w:val="auto"/>
        </w:rPr>
      </w:pPr>
      <w:r>
        <w:rPr>
          <w:rFonts w:ascii="Arial" w:cs="Arial" w:eastAsia="Arial" w:hAnsi="Arial"/>
          <w:sz w:val="17"/>
          <w:szCs w:val="17"/>
          <w:color w:val="auto"/>
        </w:rPr>
        <w:t>and (iii) above for any such conflict, breach or violation that would not, individually or in the aggregate, be reasonably expected to have a material adverse effect on the condition (financial or otherwise), prospects, earnings, business or properties of the Company, taken as a whole, whether or not arising from transactions in the ordinary course of business (a “Material Adverse Effect”).</w:t>
      </w:r>
    </w:p>
    <w:p>
      <w:pPr>
        <w:spacing w:after="0" w:line="382" w:lineRule="exact"/>
        <w:rPr>
          <w:sz w:val="20"/>
          <w:szCs w:val="20"/>
          <w:color w:val="auto"/>
        </w:rPr>
      </w:pPr>
    </w:p>
    <w:p>
      <w:pPr>
        <w:ind w:left="4924"/>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24"/>
          </w:cols>
          <w:pgMar w:left="976" w:top="908" w:right="399" w:bottom="1440" w:gutter="0" w:footer="0" w:header="0"/>
        </w:sectPr>
      </w:pPr>
    </w:p>
    <w:bookmarkStart w:id="179" w:name="page180"/>
    <w:bookmarkEnd w:id="179"/>
    <w:p>
      <w:pPr>
        <w:ind w:left="-460" w:right="60" w:firstLine="644"/>
        <w:spacing w:after="0" w:line="269" w:lineRule="auto"/>
        <w:tabs>
          <w:tab w:leader="none" w:pos="469" w:val="left"/>
        </w:tabs>
        <w:numPr>
          <w:ilvl w:val="0"/>
          <w:numId w:val="106"/>
        </w:numPr>
        <w:rPr>
          <w:rFonts w:ascii="Arial" w:cs="Arial" w:eastAsia="Arial" w:hAnsi="Arial"/>
          <w:sz w:val="17"/>
          <w:szCs w:val="17"/>
          <w:color w:val="auto"/>
        </w:rPr>
      </w:pPr>
      <w:r>
        <w:rPr>
          <w:rFonts w:ascii="Arial" w:cs="Arial" w:eastAsia="Arial" w:hAnsi="Arial"/>
          <w:sz w:val="17"/>
          <w:szCs w:val="17"/>
          <w:color w:val="auto"/>
        </w:rPr>
        <w:t xml:space="preserve">Neither the issue and sale of the Securities nor the consummation of any other of the transactions herein contemplated nor the fulfillment of the terms hereof or of the Trust Agreement, the Warrant Agreement, the Founder’s Purchase Agreement, the Warrant Subscription Agreement, the Services Agreement, the Registration Rights Agreement, or the Insider Letters will conflict with, result in a breach or violation of, or imposition of any lien, charge or encumbrance upon any property or assets of the Company pursuant to, (i) the Charter, (ii) the terms of any indenture, contract, lease, mortgage, deed of trust, note agreement, loan agreement or other agreement, obligation, condition, covenant or instrument to which the Company is a party or bound or to which the Company’s property is subject, or (iii) any statute, law, rule, or regulation, judgment, order or decree applicable to the Company of any court, regulatory body, administrative agency, governmental body, arbitrator or other authority having jurisdiction over the Company or any of its respective properties; except in the case of clause (iii) above for any such conflict, breach or violation that would not, individually or in the aggregate, be reasonably expected to have a Material Adverse Effect,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such conflict, breach or violation would also not materially adversely affect the ability of the Underwriters to consummate the transactions contemplated by this Agreement.</w:t>
      </w:r>
    </w:p>
    <w:p>
      <w:pPr>
        <w:spacing w:after="0" w:line="181" w:lineRule="exact"/>
        <w:rPr>
          <w:rFonts w:ascii="Arial" w:cs="Arial" w:eastAsia="Arial" w:hAnsi="Arial"/>
          <w:sz w:val="17"/>
          <w:szCs w:val="17"/>
          <w:color w:val="auto"/>
        </w:rPr>
      </w:pPr>
    </w:p>
    <w:p>
      <w:pPr>
        <w:ind w:left="-460" w:right="60" w:firstLine="644"/>
        <w:spacing w:after="0" w:line="277" w:lineRule="auto"/>
        <w:tabs>
          <w:tab w:leader="none" w:pos="533" w:val="left"/>
        </w:tabs>
        <w:numPr>
          <w:ilvl w:val="0"/>
          <w:numId w:val="106"/>
        </w:numPr>
        <w:rPr>
          <w:rFonts w:ascii="Arial" w:cs="Arial" w:eastAsia="Arial" w:hAnsi="Arial"/>
          <w:sz w:val="18"/>
          <w:szCs w:val="18"/>
          <w:color w:val="auto"/>
        </w:rPr>
      </w:pPr>
      <w:r>
        <w:rPr>
          <w:rFonts w:ascii="Arial" w:cs="Arial" w:eastAsia="Arial" w:hAnsi="Arial"/>
          <w:sz w:val="18"/>
          <w:szCs w:val="18"/>
          <w:color w:val="auto"/>
        </w:rPr>
        <w:t>No holders of securities of the Company have rights to the registration of such securities under the Registration Statement, except as filed as an exhibit to the Registration Statement.</w:t>
      </w:r>
    </w:p>
    <w:p>
      <w:pPr>
        <w:spacing w:after="0" w:line="170" w:lineRule="exact"/>
        <w:rPr>
          <w:rFonts w:ascii="Arial" w:cs="Arial" w:eastAsia="Arial" w:hAnsi="Arial"/>
          <w:sz w:val="18"/>
          <w:szCs w:val="18"/>
          <w:color w:val="auto"/>
        </w:rPr>
      </w:pPr>
    </w:p>
    <w:p>
      <w:pPr>
        <w:ind w:left="-460" w:firstLine="644"/>
        <w:spacing w:after="0" w:line="286" w:lineRule="auto"/>
        <w:tabs>
          <w:tab w:leader="none" w:pos="529" w:val="left"/>
        </w:tabs>
        <w:numPr>
          <w:ilvl w:val="0"/>
          <w:numId w:val="106"/>
        </w:numPr>
        <w:rPr>
          <w:rFonts w:ascii="Arial" w:cs="Arial" w:eastAsia="Arial" w:hAnsi="Arial"/>
          <w:sz w:val="16"/>
          <w:szCs w:val="16"/>
          <w:color w:val="auto"/>
        </w:rPr>
      </w:pPr>
      <w:r>
        <w:rPr>
          <w:rFonts w:ascii="Arial" w:cs="Arial" w:eastAsia="Arial" w:hAnsi="Arial"/>
          <w:sz w:val="16"/>
          <w:szCs w:val="16"/>
          <w:color w:val="auto"/>
        </w:rPr>
        <w:t>The historical financial statements, including the notes thereto and the supporting schedules, if any, of the Company included in the Statutory Prospectus, the Prospectus and the Registration Statement present fairly in all material respects the financial condition, results of operations and cash flows of the Company as of the dates and for the periods indicated, comply as to form with the applicable accounting requirements of the Act and have been prepared in conformity with generally accepted accounting principles applied on a consistent basis throughout the periods involved (except as otherwise noted therein). The summary financial data set forth under the caption “Summary Financial Data” in the Statutory Prospectus, Prospectus and Registration Statement fairly present, on the basis stated in the Statutory Prospectus, Prospectus and Registration Statement, the information included therein. There are no pro forma or as adjusted financial statements that are required to be included in the Statutory Prospectus, the Prospectus and the Registration Statement in accordance with Regulation S-X that have not been included as so required. The Company is not party to any off-balance sheet transactions, arrangements, obligations (including contingent obligations), or other relationships with unconsolidated entities or other persons that may have a material current or future effect on the Company’s financial condition, changes in financial condition, results of operations, liquidity, capital expenditures, capital resources, or significant components of revenues or expenses. The statistical, industry-related and market-related data included in the Registration Statement, the Statutory Prospectus and the Prospectus are based on or derived from sources that the Company reasonably and in good faith believes are reliable and accurate, and such data agree with the sources from which they are derived.</w:t>
      </w:r>
    </w:p>
    <w:p>
      <w:pPr>
        <w:spacing w:after="0" w:line="170" w:lineRule="exact"/>
        <w:rPr>
          <w:rFonts w:ascii="Arial" w:cs="Arial" w:eastAsia="Arial" w:hAnsi="Arial"/>
          <w:sz w:val="16"/>
          <w:szCs w:val="16"/>
          <w:color w:val="auto"/>
        </w:rPr>
      </w:pPr>
    </w:p>
    <w:p>
      <w:pPr>
        <w:ind w:left="-460" w:right="40" w:firstLine="644"/>
        <w:spacing w:after="0" w:line="273" w:lineRule="auto"/>
        <w:tabs>
          <w:tab w:leader="none" w:pos="453" w:val="left"/>
        </w:tabs>
        <w:numPr>
          <w:ilvl w:val="0"/>
          <w:numId w:val="106"/>
        </w:numPr>
        <w:rPr>
          <w:rFonts w:ascii="Arial" w:cs="Arial" w:eastAsia="Arial" w:hAnsi="Arial"/>
          <w:sz w:val="17"/>
          <w:szCs w:val="17"/>
          <w:color w:val="auto"/>
        </w:rPr>
      </w:pPr>
      <w:r>
        <w:rPr>
          <w:rFonts w:ascii="Arial" w:cs="Arial" w:eastAsia="Arial" w:hAnsi="Arial"/>
          <w:sz w:val="17"/>
          <w:szCs w:val="17"/>
          <w:color w:val="auto"/>
        </w:rPr>
        <w:t>No action, suit or proceeding by or before any court or governmental agency, authority or body or any arbitrator involving the Company or the Sponsor, or, to the Company’s knowledge, any officer, director or director nominee of the Company (in their capacities as such), or the property of any of them is pending or, to the knowledge of the Company, threatened that (i) could reasonably be expected to have a material adverse effect on the performance of this Agreement or the consummation of any of the transactions contemplated hereby by the Company or (ii) could reasonably be expected to have a Material Adverse Effect, except as set forth in or contemplated in the Registration Statement, the Statutory Prospectus and the Prospectus (exclusive of any supplement thereto).</w:t>
      </w:r>
    </w:p>
    <w:p>
      <w:pPr>
        <w:spacing w:after="0" w:line="387"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0" w:name="page181"/>
    <w:bookmarkEnd w:id="180"/>
    <w:p>
      <w:pPr>
        <w:ind w:left="-460" w:right="120" w:firstLine="644"/>
        <w:spacing w:after="0" w:line="277" w:lineRule="auto"/>
        <w:tabs>
          <w:tab w:leader="none" w:pos="45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owns or leases all such properties as are necessary to the conduct of its operations as presently conducted, or has such properties available to it pursuant to the Services Agreement.</w:t>
      </w:r>
    </w:p>
    <w:p>
      <w:pPr>
        <w:spacing w:after="0" w:line="170" w:lineRule="exact"/>
        <w:rPr>
          <w:rFonts w:ascii="Arial" w:cs="Arial" w:eastAsia="Arial" w:hAnsi="Arial"/>
          <w:sz w:val="18"/>
          <w:szCs w:val="18"/>
          <w:color w:val="auto"/>
        </w:rPr>
      </w:pPr>
    </w:p>
    <w:p>
      <w:pPr>
        <w:ind w:left="-460" w:right="40" w:firstLine="644"/>
        <w:spacing w:after="0" w:line="259" w:lineRule="auto"/>
        <w:tabs>
          <w:tab w:leader="none" w:pos="533" w:val="left"/>
        </w:tabs>
        <w:numPr>
          <w:ilvl w:val="0"/>
          <w:numId w:val="107"/>
        </w:numPr>
        <w:rPr>
          <w:rFonts w:ascii="Arial" w:cs="Arial" w:eastAsia="Arial" w:hAnsi="Arial"/>
          <w:sz w:val="18"/>
          <w:szCs w:val="18"/>
          <w:color w:val="auto"/>
        </w:rPr>
      </w:pPr>
      <w:r>
        <w:rPr>
          <w:rFonts w:ascii="Arial" w:cs="Arial" w:eastAsia="Arial" w:hAnsi="Arial"/>
          <w:sz w:val="18"/>
          <w:szCs w:val="18"/>
          <w:color w:val="auto"/>
        </w:rPr>
        <w:t>Marcum LLP (“Marcum”), who have certified certain financial statements of the Company and delivered their report with respect to the audited financial statements and schedules included in the Registration Statement, Statutory Prospectus and the Prospectus, is a registered public accounting firm that is independent with respect to the Company within the meaning of the Act and the Exchange Act and the applicable published rules and regulations thereunder.</w:t>
      </w:r>
    </w:p>
    <w:p>
      <w:pPr>
        <w:spacing w:after="0" w:line="186" w:lineRule="exact"/>
        <w:rPr>
          <w:rFonts w:ascii="Arial" w:cs="Arial" w:eastAsia="Arial" w:hAnsi="Arial"/>
          <w:sz w:val="18"/>
          <w:szCs w:val="18"/>
          <w:color w:val="auto"/>
        </w:rPr>
      </w:pPr>
    </w:p>
    <w:p>
      <w:pPr>
        <w:ind w:left="-460" w:right="80" w:firstLine="644"/>
        <w:spacing w:after="0" w:line="277" w:lineRule="auto"/>
        <w:tabs>
          <w:tab w:leader="none" w:pos="450"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 Company maintains effective “disclosure controls and procedures” (as defined under Rule 13a-15(e) under the Exchange Act) to the extent required by such rule.</w:t>
      </w:r>
    </w:p>
    <w:p>
      <w:pPr>
        <w:spacing w:after="0" w:line="170" w:lineRule="exact"/>
        <w:rPr>
          <w:rFonts w:ascii="Arial" w:cs="Arial" w:eastAsia="Arial" w:hAnsi="Arial"/>
          <w:sz w:val="18"/>
          <w:szCs w:val="18"/>
          <w:color w:val="auto"/>
        </w:rPr>
      </w:pPr>
    </w:p>
    <w:p>
      <w:pPr>
        <w:ind w:left="-460" w:right="100" w:firstLine="644"/>
        <w:spacing w:after="0" w:line="279" w:lineRule="auto"/>
        <w:tabs>
          <w:tab w:leader="none" w:pos="633" w:val="left"/>
        </w:tabs>
        <w:numPr>
          <w:ilvl w:val="0"/>
          <w:numId w:val="107"/>
        </w:numPr>
        <w:rPr>
          <w:rFonts w:ascii="Arial" w:cs="Arial" w:eastAsia="Arial" w:hAnsi="Arial"/>
          <w:sz w:val="17"/>
          <w:szCs w:val="17"/>
          <w:color w:val="auto"/>
        </w:rPr>
      </w:pPr>
      <w:r>
        <w:rPr>
          <w:rFonts w:ascii="Arial" w:cs="Arial" w:eastAsia="Arial" w:hAnsi="Arial"/>
          <w:sz w:val="17"/>
          <w:szCs w:val="17"/>
          <w:color w:val="auto"/>
        </w:rPr>
        <w:t>Solely to the extent that the Sarbanes-Oxley Act of 2002, as amended, and the rules and regulations promulgated by the Commission thereunder (the “Sarbanes-Oxley Act”) have been applicable to the Company, there is and has been no failure on the part of the Company to comply with any applicable provision of the Sarbanes-Oxley Act. The Company has taken all necessary actions to ensure that it is in compliance with all provisions of the Sarbanes-Oxley Act that are in effect and with which the Company is required to comply.</w:t>
      </w:r>
    </w:p>
    <w:p>
      <w:pPr>
        <w:spacing w:after="0" w:line="171" w:lineRule="exact"/>
        <w:rPr>
          <w:rFonts w:ascii="Arial" w:cs="Arial" w:eastAsia="Arial" w:hAnsi="Arial"/>
          <w:sz w:val="17"/>
          <w:szCs w:val="17"/>
          <w:color w:val="auto"/>
        </w:rPr>
      </w:pPr>
    </w:p>
    <w:p>
      <w:pPr>
        <w:ind w:left="-460" w:right="40" w:firstLine="644"/>
        <w:spacing w:after="0" w:line="272" w:lineRule="auto"/>
        <w:tabs>
          <w:tab w:leader="none" w:pos="529" w:val="left"/>
        </w:tabs>
        <w:numPr>
          <w:ilvl w:val="0"/>
          <w:numId w:val="107"/>
        </w:numPr>
        <w:rPr>
          <w:rFonts w:ascii="Arial" w:cs="Arial" w:eastAsia="Arial" w:hAnsi="Arial"/>
          <w:sz w:val="17"/>
          <w:szCs w:val="17"/>
          <w:color w:val="auto"/>
        </w:rPr>
      </w:pPr>
      <w:r>
        <w:rPr>
          <w:rFonts w:ascii="Arial" w:cs="Arial" w:eastAsia="Arial" w:hAnsi="Arial"/>
          <w:sz w:val="17"/>
          <w:szCs w:val="17"/>
          <w:color w:val="auto"/>
        </w:rPr>
        <w:t>There is and has been no failure on the part of the Company or, to the knowledge of the Company, any of the Company’s officers or directors, in their capacities as such, to comply with (as and when applicable), and immediately following the Effective Date the Company will be in compliance with, the requirements of Section 303A of the New York Stock Exchange Listed Company Manual (taking into account any applicable phase-in requirements). Further, there is and has been no failure on the part of the Company or, to the knowledge of the Company, any of the Company’s officers or directors, in their capacities as such, to comply with (as and when applicable), and immediately following the Effective Date the Company will be in compliance with, the phase-in requirements and all other provisions of the New York Stock Exchange corporate governance requirements set forth in the New York Stock Exchange’s Listing Standards.</w:t>
      </w:r>
    </w:p>
    <w:p>
      <w:pPr>
        <w:spacing w:after="0" w:line="177" w:lineRule="exact"/>
        <w:rPr>
          <w:rFonts w:ascii="Arial" w:cs="Arial" w:eastAsia="Arial" w:hAnsi="Arial"/>
          <w:sz w:val="17"/>
          <w:szCs w:val="17"/>
          <w:color w:val="auto"/>
        </w:rPr>
      </w:pPr>
    </w:p>
    <w:p>
      <w:pPr>
        <w:ind w:left="-460" w:firstLine="644"/>
        <w:spacing w:after="0" w:line="263" w:lineRule="auto"/>
        <w:tabs>
          <w:tab w:leader="none" w:pos="529" w:val="left"/>
        </w:tabs>
        <w:numPr>
          <w:ilvl w:val="0"/>
          <w:numId w:val="107"/>
        </w:numPr>
        <w:rPr>
          <w:rFonts w:ascii="Arial" w:cs="Arial" w:eastAsia="Arial" w:hAnsi="Arial"/>
          <w:sz w:val="18"/>
          <w:szCs w:val="18"/>
          <w:color w:val="auto"/>
        </w:rPr>
      </w:pPr>
      <w:r>
        <w:rPr>
          <w:rFonts w:ascii="Arial" w:cs="Arial" w:eastAsia="Arial" w:hAnsi="Arial"/>
          <w:sz w:val="18"/>
          <w:szCs w:val="18"/>
          <w:color w:val="auto"/>
        </w:rPr>
        <w:t>There are no transfer, stamp, issue, registration, documentary taxes or other similar duties, fees or charges under U.S. federal law or the laws of any state, or any political subdivision thereof, or under the laws of any non-U.S. jurisdiction, required to be paid in connection with the execution and delivery of this Agreement or the issuance or sale by the Company of the Securities.</w:t>
      </w:r>
    </w:p>
    <w:p>
      <w:pPr>
        <w:spacing w:after="0" w:line="39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81" w:name="page182"/>
    <w:bookmarkEnd w:id="181"/>
    <w:p>
      <w:pPr>
        <w:ind w:left="-460" w:firstLine="644"/>
        <w:spacing w:after="0" w:line="293" w:lineRule="auto"/>
        <w:tabs>
          <w:tab w:leader="none" w:pos="529" w:val="left"/>
        </w:tabs>
        <w:numPr>
          <w:ilvl w:val="0"/>
          <w:numId w:val="108"/>
        </w:numPr>
        <w:rPr>
          <w:rFonts w:ascii="Arial" w:cs="Arial" w:eastAsia="Arial" w:hAnsi="Arial"/>
          <w:sz w:val="16"/>
          <w:szCs w:val="16"/>
          <w:color w:val="auto"/>
        </w:rPr>
      </w:pPr>
      <w:r>
        <w:rPr>
          <w:rFonts w:ascii="Arial" w:cs="Arial" w:eastAsia="Arial" w:hAnsi="Arial"/>
          <w:sz w:val="16"/>
          <w:szCs w:val="16"/>
          <w:color w:val="auto"/>
        </w:rPr>
        <w:t>The Company has filed all tax returns (including U.S. federal, state and non-U.S.) that are required to be filed by it or has requested extensions thereof (except in any case in which the failure so to file would not have a Material Adverse Effect) through the date hereof and has paid all taxes required to be paid by it and any other assessment, fine or penalty levied against it, to the extent that any of the foregoing is due and payable, except for any such assessment, fine or penalty that is currently being contested in good faith and for which adequate reserves required by generally accepted accounting principles have been created with respect thereto or as would not have a Material Adverse Effect, except as set forth in or contemplated in the Registration Statement, Statutory Prospectus and the Prospectus (exclusive of any supplement thereto).</w:t>
      </w:r>
    </w:p>
    <w:p>
      <w:pPr>
        <w:spacing w:after="0" w:line="164" w:lineRule="exact"/>
        <w:rPr>
          <w:rFonts w:ascii="Arial" w:cs="Arial" w:eastAsia="Arial" w:hAnsi="Arial"/>
          <w:sz w:val="16"/>
          <w:szCs w:val="16"/>
          <w:color w:val="auto"/>
        </w:rPr>
      </w:pPr>
    </w:p>
    <w:p>
      <w:pPr>
        <w:ind w:left="-460" w:right="120" w:firstLine="644"/>
        <w:spacing w:after="0" w:line="257" w:lineRule="auto"/>
        <w:tabs>
          <w:tab w:leader="none" w:pos="529" w:val="left"/>
        </w:tabs>
        <w:numPr>
          <w:ilvl w:val="0"/>
          <w:numId w:val="108"/>
        </w:numPr>
        <w:rPr>
          <w:rFonts w:ascii="Arial" w:cs="Arial" w:eastAsia="Arial" w:hAnsi="Arial"/>
          <w:sz w:val="18"/>
          <w:szCs w:val="18"/>
          <w:color w:val="auto"/>
        </w:rPr>
      </w:pPr>
      <w:r>
        <w:rPr>
          <w:rFonts w:ascii="Arial" w:cs="Arial" w:eastAsia="Arial" w:hAnsi="Arial"/>
          <w:sz w:val="18"/>
          <w:szCs w:val="18"/>
          <w:color w:val="auto"/>
        </w:rPr>
        <w:t>The Company possesses all licenses, certificates, permits and other authorizations issued by the appropriate federal, state or foreign regulatory authorities necessary to conduct its business, and the Company has not received any notice of proceedings relating to the revocation or modification of any such license, certificate, authorization or permit that, singly or in the aggregate, if the subject of an unfavorable decision, ruling or finding, would have a Material Adverse Effect, except as set forth in or contemplated in the Registration Statement, the Statutory Prospectus and the Prospectus (exclusive of any supplement thereto).</w:t>
      </w:r>
    </w:p>
    <w:p>
      <w:pPr>
        <w:spacing w:after="0" w:line="187" w:lineRule="exact"/>
        <w:rPr>
          <w:rFonts w:ascii="Arial" w:cs="Arial" w:eastAsia="Arial" w:hAnsi="Arial"/>
          <w:sz w:val="18"/>
          <w:szCs w:val="18"/>
          <w:color w:val="auto"/>
        </w:rPr>
      </w:pPr>
    </w:p>
    <w:p>
      <w:pPr>
        <w:ind w:left="-460" w:firstLine="644"/>
        <w:spacing w:after="0" w:line="268" w:lineRule="auto"/>
        <w:tabs>
          <w:tab w:leader="none" w:pos="473" w:val="left"/>
        </w:tabs>
        <w:numPr>
          <w:ilvl w:val="0"/>
          <w:numId w:val="108"/>
        </w:numPr>
        <w:rPr>
          <w:rFonts w:ascii="Arial" w:cs="Arial" w:eastAsia="Arial" w:hAnsi="Arial"/>
          <w:sz w:val="17"/>
          <w:szCs w:val="17"/>
          <w:color w:val="auto"/>
        </w:rPr>
      </w:pPr>
      <w:r>
        <w:rPr>
          <w:rFonts w:ascii="Arial" w:cs="Arial" w:eastAsia="Arial" w:hAnsi="Arial"/>
          <w:sz w:val="17"/>
          <w:szCs w:val="17"/>
          <w:color w:val="auto"/>
        </w:rPr>
        <w:t>None of the Company, the Sponsor, or, to the knowledge of the Company, any director, director nominee, officer, agent, employee or affiliate of the Company (i) has used any corporate funds for any unlawful contribution, gift, entertainment or other unlawful expense relating to political activity; (ii) has made any direct or indirect unlawful contribution or payment to any official of, or candidate for, or any employee of, any federal, state or foreign office from corporate funds; (iii) has made any bribe, unlawful rebate, payoff, influence payment, kickback or other unlawful payment; or (iv) is aware of or has taken any action, directly or indirectly, that would result in a violation by the Company or, to the knowledge of the Company, such other persons, of the OECD Convention on Bribery of Foreign Public Officials in International Business Transactions, the Foreign Corrupt Practices Act of 1977, as amended, and the rules and regulations thereunder (collectively, the “FCPA”), including, without limitation, making use of the mails or any means or instrumentality of interstate commerce corruptly in furtherance of an offer, payment, promise to pay or authorization of the payment of any money, or other property, gift, promise to give, or authorization of the giving of anything of value to any “foreign official” (as such term is defined in the FCPA) or any foreign political party or official thereof or any candidate for foreign political office, in contravention of the FCPA; and the Company, the Sponsor and, to the knowledge of the Company, its directors, director nominees, officers, agents, employees and affiliates have conducted the businesses of the Company in compliance with the FCPA and the Company and the Sponsor have instituted and maintain policies and procedures designed to ensure, and that are reasonably expected to continue to ensure, continued compliance therewith.</w:t>
      </w:r>
    </w:p>
    <w:p>
      <w:pPr>
        <w:spacing w:after="0" w:line="39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2" w:name="page183"/>
    <w:bookmarkEnd w:id="182"/>
    <w:p>
      <w:pPr>
        <w:ind w:left="-460" w:right="40" w:firstLine="644"/>
        <w:spacing w:after="0" w:line="255" w:lineRule="auto"/>
        <w:tabs>
          <w:tab w:leader="none" w:pos="49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The operations of the Company are and have been conducted at all times in compliance with applicable financial recordkeeping and reporting requirements of the Currency and Foreign Transactions Reporting Act of 1970, as amended, the applicable money laundering statutes and the applicable rules and regulations thereunder and any related or similar rules, regulations or guidelines, issued, administered or enforced by any governmental agency (collectively, the “Money Laundering Laws”) and no action, suit or proceeding by or before any court or governmental agency, authority or body or any arbitrator involving the Company with respect to the Money Laundering Laws is pending or, to the knowledge of the Company, threatened.</w:t>
      </w:r>
    </w:p>
    <w:p>
      <w:pPr>
        <w:spacing w:after="0" w:line="192" w:lineRule="exact"/>
        <w:rPr>
          <w:rFonts w:ascii="Arial" w:cs="Arial" w:eastAsia="Arial" w:hAnsi="Arial"/>
          <w:sz w:val="18"/>
          <w:szCs w:val="18"/>
          <w:color w:val="auto"/>
        </w:rPr>
      </w:pPr>
    </w:p>
    <w:p>
      <w:pPr>
        <w:ind w:left="-460" w:firstLine="644"/>
        <w:spacing w:after="0" w:line="293" w:lineRule="auto"/>
        <w:tabs>
          <w:tab w:leader="none" w:pos="45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None of the Company, the Sponsor or to the knowledge of the Company, any director, director nominee, officer, agent or affiliate of the Company is currently subject to any sanctions administered by the Office of Foreign Assets Control of the U.S. Treasury Department (“OFAC”) or any similar sanctions imposed by any other body, governmental or other, to which any of such persons is subject (collectively, “other economic sanctions”); and the Company (either directly or through the Trust Account) will not directly or indirectly use the proceeds of the Offering, or lend, contribute or otherwise make available such proceeds to any subsidiary, joint venture partner or other person or entity, for the purpose of financing the activities of any person currently subject to any sanctions administered by OFAC or other economic sanctions.</w:t>
      </w:r>
    </w:p>
    <w:p>
      <w:pPr>
        <w:spacing w:after="0" w:line="164" w:lineRule="exact"/>
        <w:rPr>
          <w:rFonts w:ascii="Arial" w:cs="Arial" w:eastAsia="Arial" w:hAnsi="Arial"/>
          <w:sz w:val="16"/>
          <w:szCs w:val="16"/>
          <w:color w:val="auto"/>
        </w:rPr>
      </w:pPr>
    </w:p>
    <w:p>
      <w:pPr>
        <w:ind w:left="-460" w:right="200" w:firstLine="644"/>
        <w:spacing w:after="0" w:line="259" w:lineRule="auto"/>
        <w:tabs>
          <w:tab w:leader="none" w:pos="533" w:val="left"/>
        </w:tabs>
        <w:numPr>
          <w:ilvl w:val="0"/>
          <w:numId w:val="109"/>
        </w:numPr>
        <w:rPr>
          <w:rFonts w:ascii="Arial" w:cs="Arial" w:eastAsia="Arial" w:hAnsi="Arial"/>
          <w:sz w:val="18"/>
          <w:szCs w:val="18"/>
          <w:color w:val="auto"/>
        </w:rPr>
      </w:pPr>
      <w:r>
        <w:rPr>
          <w:rFonts w:ascii="Arial" w:cs="Arial" w:eastAsia="Arial" w:hAnsi="Arial"/>
          <w:sz w:val="18"/>
          <w:szCs w:val="18"/>
          <w:color w:val="auto"/>
        </w:rPr>
        <w:t>None of the Company, the Sponsor or to the knowledge of the Company, any officer, director or director nominee of the Company has violated: (a) the Bank Secrecy Act, as amended, (b) the Money Laundering Laws or (c) the Uniting and Strengthening of America by Providing Appropriate Tools Required to Intercept and Obstruct Terrorism (USA PATRIOT ACT) Act of 2001, and/or the rules and regulations promulgated under any such law, or any successor law.</w:t>
      </w:r>
    </w:p>
    <w:p>
      <w:pPr>
        <w:spacing w:after="0" w:line="186" w:lineRule="exact"/>
        <w:rPr>
          <w:rFonts w:ascii="Arial" w:cs="Arial" w:eastAsia="Arial" w:hAnsi="Arial"/>
          <w:sz w:val="18"/>
          <w:szCs w:val="18"/>
          <w:color w:val="auto"/>
        </w:rPr>
      </w:pPr>
    </w:p>
    <w:p>
      <w:pPr>
        <w:ind w:left="-460" w:right="180" w:firstLine="644"/>
        <w:spacing w:after="0" w:line="311" w:lineRule="auto"/>
        <w:tabs>
          <w:tab w:leader="none" w:pos="53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Except as disclosed in the Registration Statement, the Statutory Prospectus and the Prospectus, the Company (i) does not have any material lending or other relationship with any bank or lending affiliate of any of the Underwriters and (ii) does not intend to use any of the proceeds from the sale of the Securities hereunder to repay any outstanding debt owed to any affiliate of any of the Underwriters.</w:t>
      </w:r>
    </w:p>
    <w:p>
      <w:pPr>
        <w:spacing w:after="0" w:line="148" w:lineRule="exact"/>
        <w:rPr>
          <w:rFonts w:ascii="Arial" w:cs="Arial" w:eastAsia="Arial" w:hAnsi="Arial"/>
          <w:sz w:val="16"/>
          <w:szCs w:val="16"/>
          <w:color w:val="auto"/>
        </w:rPr>
      </w:pPr>
    </w:p>
    <w:p>
      <w:pPr>
        <w:ind w:left="-460" w:right="140" w:firstLine="644"/>
        <w:spacing w:after="0" w:line="301" w:lineRule="auto"/>
        <w:tabs>
          <w:tab w:leader="none" w:pos="603" w:val="left"/>
        </w:tabs>
        <w:numPr>
          <w:ilvl w:val="0"/>
          <w:numId w:val="109"/>
        </w:numPr>
        <w:rPr>
          <w:rFonts w:ascii="Arial" w:cs="Arial" w:eastAsia="Arial" w:hAnsi="Arial"/>
          <w:sz w:val="16"/>
          <w:szCs w:val="16"/>
          <w:color w:val="auto"/>
        </w:rPr>
      </w:pPr>
      <w:r>
        <w:rPr>
          <w:rFonts w:ascii="Arial" w:cs="Arial" w:eastAsia="Arial" w:hAnsi="Arial"/>
          <w:sz w:val="16"/>
          <w:szCs w:val="16"/>
          <w:color w:val="auto"/>
        </w:rPr>
        <w:t>All information contained in the questionnaires (the “Questionnaires”) completed by the Sponsor and, to the knowledge of the Company, the Company’s officers, directors and director nominees and provided to the Representative, is true and correct in all material respects and the Company has not become aware of any information that would cause the information disclosed in the Questionnaires completed by the Sponsor, and the Company’s officers, directors and director nominees to become inaccurate and incorrect.</w:t>
      </w:r>
    </w:p>
    <w:p>
      <w:pPr>
        <w:spacing w:after="0" w:line="157" w:lineRule="exact"/>
        <w:rPr>
          <w:rFonts w:ascii="Arial" w:cs="Arial" w:eastAsia="Arial" w:hAnsi="Arial"/>
          <w:sz w:val="16"/>
          <w:szCs w:val="16"/>
          <w:color w:val="auto"/>
        </w:rPr>
      </w:pPr>
    </w:p>
    <w:p>
      <w:pPr>
        <w:ind w:left="-460" w:firstLine="644"/>
        <w:spacing w:after="0" w:line="286" w:lineRule="auto"/>
        <w:tabs>
          <w:tab w:leader="none" w:pos="533" w:val="left"/>
        </w:tabs>
        <w:numPr>
          <w:ilvl w:val="0"/>
          <w:numId w:val="109"/>
        </w:numPr>
        <w:rPr>
          <w:rFonts w:ascii="Arial" w:cs="Arial" w:eastAsia="Arial" w:hAnsi="Arial"/>
          <w:sz w:val="17"/>
          <w:szCs w:val="17"/>
          <w:color w:val="auto"/>
        </w:rPr>
      </w:pPr>
      <w:r>
        <w:rPr>
          <w:rFonts w:ascii="Arial" w:cs="Arial" w:eastAsia="Arial" w:hAnsi="Arial"/>
          <w:sz w:val="17"/>
          <w:szCs w:val="17"/>
          <w:color w:val="auto"/>
        </w:rPr>
        <w:t>Except as disclosed in the Registration Statement, the Statutory Prospectus and the Prospectus, prior to the date hereof, the Company has not selected any business combination target and it has not, nor has anyone on its behalf, engaged in any substantive discussions, directly or indirectly, with any business combination target with respect to an initial business combination with the Company.</w:t>
      </w:r>
    </w:p>
    <w:p>
      <w:pPr>
        <w:spacing w:after="0" w:line="37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83" w:name="page184"/>
    <w:bookmarkEnd w:id="183"/>
    <w:p>
      <w:pPr>
        <w:ind w:left="-460" w:right="20" w:firstLine="644"/>
        <w:spacing w:after="0" w:line="255" w:lineRule="auto"/>
        <w:tabs>
          <w:tab w:leader="none" w:pos="53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Statutory Prospectus and the Prospectus, there are no claims, payments, arrangements, contracts, agreements or understandings relating to the payment of a brokerage commission or finder’s, consulting, origination or similar fee by the Company, the Sponsor or any officer, director or director nominee of the Company with respect to the sale of the Securities hereunder or any other arrangements, agreements or understandings of the Company, the Sponsor or any such officer, director or director nominee, or their respective affiliates, that may affect the Underwriters’ compensation, as determined by the Financial Industry Regulatory Authority (“FINRA”).</w:t>
      </w:r>
    </w:p>
    <w:p>
      <w:pPr>
        <w:spacing w:after="0" w:line="192" w:lineRule="exact"/>
        <w:rPr>
          <w:rFonts w:ascii="Arial" w:cs="Arial" w:eastAsia="Arial" w:hAnsi="Arial"/>
          <w:sz w:val="18"/>
          <w:szCs w:val="18"/>
          <w:color w:val="auto"/>
        </w:rPr>
      </w:pPr>
    </w:p>
    <w:p>
      <w:pPr>
        <w:ind w:left="-460" w:firstLine="644"/>
        <w:spacing w:after="0" w:line="254" w:lineRule="auto"/>
        <w:tabs>
          <w:tab w:leader="none" w:pos="513" w:val="left"/>
        </w:tabs>
        <w:numPr>
          <w:ilvl w:val="0"/>
          <w:numId w:val="110"/>
        </w:numPr>
        <w:rPr>
          <w:rFonts w:ascii="Arial" w:cs="Arial" w:eastAsia="Arial" w:hAnsi="Arial"/>
          <w:sz w:val="18"/>
          <w:szCs w:val="18"/>
          <w:color w:val="auto"/>
        </w:rPr>
      </w:pPr>
      <w:r>
        <w:rPr>
          <w:rFonts w:ascii="Arial" w:cs="Arial" w:eastAsia="Arial" w:hAnsi="Arial"/>
          <w:sz w:val="18"/>
          <w:szCs w:val="18"/>
          <w:color w:val="auto"/>
        </w:rPr>
        <w:t>Except as described in the Registration Statement, the Statutory Prospectus and the Prospectus, the Company has not made any direct or indirect payments (in cash, securities or any other “item of value” as defined in Rule 5110(c)(3) of FINRA’s Conduct Rules): (i) to any person, as a finder’s fee, consulting fee or otherwise, in consideration of such person raising capital for the Company or introducing to the Company persons who raised or provided capital to the Company; (ii) to any person that, to the Company's knowledge, has been accepted by FINRA as a member of FINRA (a “Member”); or (iii) to any person or entity that, to the Company's knowledge, has any direct or indirect affiliation or association with any Member, within the twelve months prior to the Effective Date, other than payments to the Underwriters pursuant to this Agreement.</w:t>
      </w:r>
    </w:p>
    <w:p>
      <w:pPr>
        <w:spacing w:after="0" w:line="195" w:lineRule="exact"/>
        <w:rPr>
          <w:sz w:val="20"/>
          <w:szCs w:val="20"/>
          <w:color w:val="auto"/>
        </w:rPr>
      </w:pPr>
    </w:p>
    <w:p>
      <w:pPr>
        <w:ind w:left="-460" w:right="20" w:firstLine="644"/>
        <w:spacing w:after="0" w:line="286" w:lineRule="auto"/>
        <w:tabs>
          <w:tab w:leader="none" w:pos="59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Statutory Prospectus and the Prospectus, during the period beginning 180 days prior to the initial filing of the Registration Statement and ending on the Effective Date, no Member and/or any person associated or affiliated with a Member has provided any investment banking, financial advisory and/or consulting services to the Company.</w:t>
      </w:r>
    </w:p>
    <w:p>
      <w:pPr>
        <w:spacing w:after="0" w:line="165" w:lineRule="exact"/>
        <w:rPr>
          <w:rFonts w:ascii="Arial" w:cs="Arial" w:eastAsia="Arial" w:hAnsi="Arial"/>
          <w:sz w:val="17"/>
          <w:szCs w:val="17"/>
          <w:color w:val="auto"/>
        </w:rPr>
      </w:pPr>
    </w:p>
    <w:p>
      <w:pPr>
        <w:jc w:val="both"/>
        <w:ind w:left="-460" w:right="80" w:firstLine="644"/>
        <w:spacing w:after="0" w:line="259" w:lineRule="auto"/>
        <w:tabs>
          <w:tab w:leader="none" w:pos="62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Except as disclosed in the FINRA questionnaires provided to the Representative, to the Company's knowledge, no officer, director, or beneficial owner of any class of the Company’s securities (whether debt or equity, registered or unregistered, regardless of the time acquired or the source from which derived) (any such individual or entity, a “Company Affiliate”) is a Member or a person associated or affiliated with a Member.</w:t>
      </w:r>
    </w:p>
    <w:p>
      <w:pPr>
        <w:spacing w:after="0" w:line="186" w:lineRule="exact"/>
        <w:rPr>
          <w:rFonts w:ascii="Arial" w:cs="Arial" w:eastAsia="Arial" w:hAnsi="Arial"/>
          <w:sz w:val="18"/>
          <w:szCs w:val="18"/>
          <w:color w:val="auto"/>
        </w:rPr>
      </w:pPr>
    </w:p>
    <w:p>
      <w:pPr>
        <w:ind w:left="-460" w:right="560" w:firstLine="644"/>
        <w:spacing w:after="0" w:line="308" w:lineRule="auto"/>
        <w:tabs>
          <w:tab w:leader="none" w:pos="59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Except as disclosed in the FINRA questionnaires provided to the Representative, to the Company's knowledge, no Company Affiliate is an owner of stock or other securities of any Member (other than securities purchased on the open market).</w:t>
      </w:r>
    </w:p>
    <w:p>
      <w:pPr>
        <w:spacing w:after="0" w:line="146" w:lineRule="exact"/>
        <w:rPr>
          <w:rFonts w:ascii="Arial" w:cs="Arial" w:eastAsia="Arial" w:hAnsi="Arial"/>
          <w:sz w:val="17"/>
          <w:szCs w:val="17"/>
          <w:color w:val="auto"/>
        </w:rPr>
      </w:pPr>
    </w:p>
    <w:p>
      <w:pPr>
        <w:ind w:left="620" w:hanging="436"/>
        <w:spacing w:after="0"/>
        <w:tabs>
          <w:tab w:leader="none" w:pos="620" w:val="left"/>
        </w:tabs>
        <w:numPr>
          <w:ilvl w:val="0"/>
          <w:numId w:val="111"/>
        </w:numPr>
        <w:rPr>
          <w:rFonts w:ascii="Arial" w:cs="Arial" w:eastAsia="Arial" w:hAnsi="Arial"/>
          <w:sz w:val="18"/>
          <w:szCs w:val="18"/>
          <w:color w:val="auto"/>
        </w:rPr>
      </w:pPr>
      <w:r>
        <w:rPr>
          <w:rFonts w:ascii="Arial" w:cs="Arial" w:eastAsia="Arial" w:hAnsi="Arial"/>
          <w:sz w:val="18"/>
          <w:szCs w:val="18"/>
          <w:color w:val="auto"/>
        </w:rPr>
        <w:t>No Company Affiliate has made a subordinated loan to any Member.</w:t>
      </w:r>
    </w:p>
    <w:p>
      <w:pPr>
        <w:spacing w:after="0" w:line="225" w:lineRule="exact"/>
        <w:rPr>
          <w:rFonts w:ascii="Arial" w:cs="Arial" w:eastAsia="Arial" w:hAnsi="Arial"/>
          <w:sz w:val="18"/>
          <w:szCs w:val="18"/>
          <w:color w:val="auto"/>
        </w:rPr>
      </w:pPr>
    </w:p>
    <w:p>
      <w:pPr>
        <w:ind w:left="-460" w:right="340" w:firstLine="644"/>
        <w:spacing w:after="0" w:line="286" w:lineRule="auto"/>
        <w:tabs>
          <w:tab w:leader="none" w:pos="592" w:val="left"/>
        </w:tabs>
        <w:numPr>
          <w:ilvl w:val="0"/>
          <w:numId w:val="111"/>
        </w:numPr>
        <w:rPr>
          <w:rFonts w:ascii="Arial" w:cs="Arial" w:eastAsia="Arial" w:hAnsi="Arial"/>
          <w:sz w:val="17"/>
          <w:szCs w:val="17"/>
          <w:color w:val="auto"/>
        </w:rPr>
      </w:pPr>
      <w:r>
        <w:rPr>
          <w:rFonts w:ascii="Arial" w:cs="Arial" w:eastAsia="Arial" w:hAnsi="Arial"/>
          <w:sz w:val="17"/>
          <w:szCs w:val="17"/>
          <w:color w:val="auto"/>
        </w:rPr>
        <w:t>Except as described in the Registration Statement, the Statutory Prospectus and the Prospectus, no proceeds from the sale of the Underwritten Securities (excluding underwriting compensation as disclosed in the Registration Statement, Statutory Prospectus and the Prospectus) will be paid by the Company to any Member, or any persons associated or affiliated with a Member.</w:t>
      </w:r>
    </w:p>
    <w:p>
      <w:pPr>
        <w:spacing w:after="0" w:line="165" w:lineRule="exact"/>
        <w:rPr>
          <w:rFonts w:ascii="Arial" w:cs="Arial" w:eastAsia="Arial" w:hAnsi="Arial"/>
          <w:sz w:val="17"/>
          <w:szCs w:val="17"/>
          <w:color w:val="auto"/>
        </w:rPr>
      </w:pPr>
    </w:p>
    <w:p>
      <w:pPr>
        <w:ind w:left="-460" w:right="60" w:firstLine="644"/>
        <w:spacing w:after="0" w:line="263" w:lineRule="auto"/>
        <w:tabs>
          <w:tab w:leader="none" w:pos="523" w:val="left"/>
        </w:tabs>
        <w:numPr>
          <w:ilvl w:val="0"/>
          <w:numId w:val="111"/>
        </w:numPr>
        <w:rPr>
          <w:rFonts w:ascii="Arial" w:cs="Arial" w:eastAsia="Arial" w:hAnsi="Arial"/>
          <w:sz w:val="18"/>
          <w:szCs w:val="18"/>
          <w:color w:val="auto"/>
        </w:rPr>
      </w:pPr>
      <w:r>
        <w:rPr>
          <w:rFonts w:ascii="Arial" w:cs="Arial" w:eastAsia="Arial" w:hAnsi="Arial"/>
          <w:sz w:val="18"/>
          <w:szCs w:val="18"/>
          <w:color w:val="auto"/>
        </w:rPr>
        <w:t>The Company has not issued any warrants or other securities, or granted any options, directly or indirectly to anyone who is a potential underwriter in the Offering or a related person (as defined by FINRA rules) of such an underwriter within the 180-day period prior to the initial filing date of the Registration Statement.</w:t>
      </w:r>
    </w:p>
    <w:p>
      <w:pPr>
        <w:spacing w:after="0" w:line="39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4" w:name="page185"/>
    <w:bookmarkEnd w:id="184"/>
    <w:p>
      <w:pPr>
        <w:ind w:left="-460" w:firstLine="644"/>
        <w:spacing w:after="0" w:line="263" w:lineRule="auto"/>
        <w:tabs>
          <w:tab w:leader="none" w:pos="623" w:val="left"/>
        </w:tabs>
        <w:numPr>
          <w:ilvl w:val="0"/>
          <w:numId w:val="112"/>
        </w:numPr>
        <w:rPr>
          <w:rFonts w:ascii="Arial" w:cs="Arial" w:eastAsia="Arial" w:hAnsi="Arial"/>
          <w:sz w:val="18"/>
          <w:szCs w:val="18"/>
          <w:color w:val="auto"/>
        </w:rPr>
      </w:pPr>
      <w:r>
        <w:rPr>
          <w:rFonts w:ascii="Arial" w:cs="Arial" w:eastAsia="Arial" w:hAnsi="Arial"/>
          <w:sz w:val="18"/>
          <w:szCs w:val="18"/>
          <w:color w:val="auto"/>
        </w:rPr>
        <w:t>No person to whom securities of the Company have been privately issued within the 180-day period prior to the initial filing date of the Registration Statement has, to the Company's knowledge, any affiliation or association with any Member intending to participate in the Offering.</w:t>
      </w:r>
    </w:p>
    <w:p>
      <w:pPr>
        <w:spacing w:after="0" w:line="183" w:lineRule="exact"/>
        <w:rPr>
          <w:rFonts w:ascii="Arial" w:cs="Arial" w:eastAsia="Arial" w:hAnsi="Arial"/>
          <w:sz w:val="18"/>
          <w:szCs w:val="18"/>
          <w:color w:val="auto"/>
        </w:rPr>
      </w:pPr>
    </w:p>
    <w:p>
      <w:pPr>
        <w:ind w:left="-460" w:firstLine="644"/>
        <w:spacing w:after="0" w:line="269" w:lineRule="auto"/>
        <w:tabs>
          <w:tab w:leader="none" w:pos="61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To the Company's knowledge, no Member intending to participate in the Offering has a conflict of interest with the Company. For this purpose, a “conflict of interest” means, if at the time of the Member’s participation in the Offering, any of the following applies: (A) the securities are to be issued by the Member; (B) the Company controls, is controlled by or is under common control with the Member or the Member’s associated persons; (C) at least 5% of the net offering proceeds, not including underwriting compensation, are intended to be: (i) used to reduce or retire the balance of a loan or credit facility extended by the Member, its affiliates and its associated persons, in the aggregate; or (ii) otherwise directed to the Member, its affiliates and associated persons, in the aggregate; or (D) as a result of the Offering and any transactions contemplated at the time of the Offering: (i) the Member will be an affiliate of the Company; (ii) the Member will become publicly owned; or (iii) the Company will become a Member or form a broker-dealer subsidiary. “Member intending to participate in the Offering” includes any associated person of a Member that is participating in the Offering, any members of such associated person’s immediate family, and any affiliate of a Member that is participating in the Offering.</w:t>
      </w:r>
    </w:p>
    <w:p>
      <w:pPr>
        <w:spacing w:after="0" w:line="185" w:lineRule="exact"/>
        <w:rPr>
          <w:rFonts w:ascii="Arial" w:cs="Arial" w:eastAsia="Arial" w:hAnsi="Arial"/>
          <w:sz w:val="17"/>
          <w:szCs w:val="17"/>
          <w:color w:val="auto"/>
        </w:rPr>
      </w:pPr>
    </w:p>
    <w:p>
      <w:pPr>
        <w:jc w:val="both"/>
        <w:ind w:left="-460" w:right="140" w:firstLine="644"/>
        <w:spacing w:after="0" w:line="311" w:lineRule="auto"/>
        <w:tabs>
          <w:tab w:leader="none" w:pos="503" w:val="left"/>
        </w:tabs>
        <w:numPr>
          <w:ilvl w:val="0"/>
          <w:numId w:val="112"/>
        </w:numPr>
        <w:rPr>
          <w:rFonts w:ascii="Arial" w:cs="Arial" w:eastAsia="Arial" w:hAnsi="Arial"/>
          <w:sz w:val="16"/>
          <w:szCs w:val="16"/>
          <w:color w:val="auto"/>
        </w:rPr>
      </w:pPr>
      <w:r>
        <w:rPr>
          <w:rFonts w:ascii="Arial" w:cs="Arial" w:eastAsia="Arial" w:hAnsi="Arial"/>
          <w:sz w:val="16"/>
          <w:szCs w:val="16"/>
          <w:color w:val="auto"/>
        </w:rPr>
        <w:t>Except as described in the Statutory Prospectus and the Prospectus, to the Company’s knowledge, none of the Sponsor, directors or officers of the Company is subject to a non-competition agreement or non-solicitation agreement with any employer or prior employer that could materially affect its, his or her ability to be and act in the capacity of shareholder, officer or director of the Company, as applicable.</w:t>
      </w:r>
    </w:p>
    <w:p>
      <w:pPr>
        <w:spacing w:after="0" w:line="148" w:lineRule="exact"/>
        <w:rPr>
          <w:rFonts w:ascii="Arial" w:cs="Arial" w:eastAsia="Arial" w:hAnsi="Arial"/>
          <w:sz w:val="16"/>
          <w:szCs w:val="16"/>
          <w:color w:val="auto"/>
        </w:rPr>
      </w:pPr>
    </w:p>
    <w:p>
      <w:pPr>
        <w:ind w:left="-460" w:right="200" w:firstLine="644"/>
        <w:spacing w:after="0" w:line="263" w:lineRule="auto"/>
        <w:tabs>
          <w:tab w:leader="none" w:pos="500" w:val="left"/>
        </w:tabs>
        <w:numPr>
          <w:ilvl w:val="0"/>
          <w:numId w:val="112"/>
        </w:numPr>
        <w:rPr>
          <w:rFonts w:ascii="Arial" w:cs="Arial" w:eastAsia="Arial" w:hAnsi="Arial"/>
          <w:sz w:val="18"/>
          <w:szCs w:val="18"/>
          <w:color w:val="auto"/>
        </w:rPr>
      </w:pPr>
      <w:r>
        <w:rPr>
          <w:rFonts w:ascii="Arial" w:cs="Arial" w:eastAsia="Arial" w:hAnsi="Arial"/>
          <w:sz w:val="18"/>
          <w:szCs w:val="18"/>
          <w:color w:val="auto"/>
        </w:rPr>
        <w:t>The Company has not taken,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3" w:lineRule="exact"/>
        <w:rPr>
          <w:rFonts w:ascii="Arial" w:cs="Arial" w:eastAsia="Arial" w:hAnsi="Arial"/>
          <w:sz w:val="18"/>
          <w:szCs w:val="18"/>
          <w:color w:val="auto"/>
        </w:rPr>
      </w:pPr>
    </w:p>
    <w:p>
      <w:pPr>
        <w:ind w:left="620" w:hanging="436"/>
        <w:spacing w:after="0"/>
        <w:tabs>
          <w:tab w:leader="none" w:pos="62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The Company does not own an interest in any corporation, partnership, limited liability company, joint venture, trust or other entity.</w:t>
      </w:r>
    </w:p>
    <w:p>
      <w:pPr>
        <w:spacing w:after="0" w:line="248" w:lineRule="exact"/>
        <w:rPr>
          <w:rFonts w:ascii="Arial" w:cs="Arial" w:eastAsia="Arial" w:hAnsi="Arial"/>
          <w:sz w:val="16"/>
          <w:szCs w:val="16"/>
          <w:color w:val="auto"/>
        </w:rPr>
      </w:pPr>
    </w:p>
    <w:p>
      <w:pPr>
        <w:ind w:left="-460" w:right="40" w:firstLine="644"/>
        <w:spacing w:after="0" w:line="271" w:lineRule="auto"/>
        <w:tabs>
          <w:tab w:leader="none" w:pos="503" w:val="left"/>
        </w:tabs>
        <w:numPr>
          <w:ilvl w:val="0"/>
          <w:numId w:val="112"/>
        </w:numPr>
        <w:rPr>
          <w:rFonts w:ascii="Arial" w:cs="Arial" w:eastAsia="Arial" w:hAnsi="Arial"/>
          <w:sz w:val="17"/>
          <w:szCs w:val="17"/>
          <w:color w:val="auto"/>
        </w:rPr>
      </w:pPr>
      <w:r>
        <w:rPr>
          <w:rFonts w:ascii="Arial" w:cs="Arial" w:eastAsia="Arial" w:hAnsi="Arial"/>
          <w:sz w:val="17"/>
          <w:szCs w:val="17"/>
          <w:color w:val="auto"/>
        </w:rPr>
        <w:t>No relationship, direct or indirect, exists between or among any of the Company or any affiliate of the Company, on the one hand, and the Sponsor or any director, director nominee, officer, shareholder, special advisor, customer or supplier of the Company or any affiliate of the Company, on the other hand, which is required by the Act or the Exchange Act to be described in the Registration Statement, Statutory Prospectus or the Prospectus that is not described as required. There are no outstanding loans, advances (except normal advances for business expenses in the ordinary course of business) or guarantees of indebtedness by the Company to or for the benefit of any of the officers, directors or director nominees of the Company or any of their respective family members, except as disclosed in the Registration Statement, Statutory Prospectus and the Prospectus. The Company has not extended or maintained credit, arranged for the extension of credit, or renewed an extension of credit, in the form of a personal loan to or for any director or officer of the Company.</w:t>
      </w:r>
    </w:p>
    <w:p>
      <w:pPr>
        <w:spacing w:after="0" w:line="387"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85" w:name="page186"/>
    <w:bookmarkEnd w:id="185"/>
    <w:p>
      <w:pPr>
        <w:ind w:left="660" w:firstLine="644"/>
        <w:spacing w:after="0" w:line="259" w:lineRule="auto"/>
        <w:tabs>
          <w:tab w:leader="none" w:pos="1889" w:val="left"/>
        </w:tabs>
        <w:numPr>
          <w:ilvl w:val="0"/>
          <w:numId w:val="113"/>
        </w:numPr>
        <w:rPr>
          <w:rFonts w:ascii="Arial" w:cs="Arial" w:eastAsia="Arial" w:hAnsi="Arial"/>
          <w:sz w:val="18"/>
          <w:szCs w:val="18"/>
          <w:color w:val="auto"/>
        </w:rPr>
      </w:pPr>
      <w:r>
        <w:rPr>
          <w:rFonts w:ascii="Arial" w:cs="Arial" w:eastAsia="Arial" w:hAnsi="Arial"/>
          <w:sz w:val="18"/>
          <w:szCs w:val="18"/>
          <w:color w:val="auto"/>
        </w:rPr>
        <w:t>The Company has not offered, or caused the Underwriters to offer, the Underwritten Securities to any person or entity with the intention of unlawfully influencing: (a) a customer or supplier of the Company or any affiliate of the Company to alter the customer’s or supplier’s level or type of business with the Company or such affiliate or (b) a journalist or publication to write or publish favorable information about the Company or any such affiliate.</w:t>
      </w:r>
    </w:p>
    <w:p>
      <w:pPr>
        <w:spacing w:after="0" w:line="186" w:lineRule="exact"/>
        <w:rPr>
          <w:rFonts w:ascii="Arial" w:cs="Arial" w:eastAsia="Arial" w:hAnsi="Arial"/>
          <w:sz w:val="18"/>
          <w:szCs w:val="18"/>
          <w:color w:val="auto"/>
        </w:rPr>
      </w:pPr>
    </w:p>
    <w:p>
      <w:pPr>
        <w:ind w:left="660" w:right="340" w:firstLine="644"/>
        <w:spacing w:after="0" w:line="263" w:lineRule="auto"/>
        <w:tabs>
          <w:tab w:leader="none" w:pos="174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Upon delivery and payment for the Units on the Closing Date and the filing of the Closing Form 8-K, the Company will not be subject to Rule 419 under the Act and none of the Company’s outstanding securities will be deemed to be a “penny stock” as defined in Rule 3a51-1 under the Exchange Act.</w:t>
      </w:r>
    </w:p>
    <w:p>
      <w:pPr>
        <w:spacing w:after="0" w:line="183" w:lineRule="exact"/>
        <w:rPr>
          <w:rFonts w:ascii="Arial" w:cs="Arial" w:eastAsia="Arial" w:hAnsi="Arial"/>
          <w:sz w:val="18"/>
          <w:szCs w:val="18"/>
          <w:color w:val="auto"/>
        </w:rPr>
      </w:pPr>
    </w:p>
    <w:p>
      <w:pPr>
        <w:ind w:left="660" w:right="60" w:firstLine="644"/>
        <w:spacing w:after="0" w:line="257" w:lineRule="auto"/>
        <w:tabs>
          <w:tab w:leader="none" w:pos="1743" w:val="left"/>
        </w:tabs>
        <w:numPr>
          <w:ilvl w:val="0"/>
          <w:numId w:val="113"/>
        </w:numPr>
        <w:rPr>
          <w:rFonts w:ascii="Arial" w:cs="Arial" w:eastAsia="Arial" w:hAnsi="Arial"/>
          <w:sz w:val="18"/>
          <w:szCs w:val="18"/>
          <w:color w:val="auto"/>
        </w:rPr>
      </w:pPr>
      <w:r>
        <w:rPr>
          <w:rFonts w:ascii="Arial" w:cs="Arial" w:eastAsia="Arial" w:hAnsi="Arial"/>
          <w:sz w:val="18"/>
          <w:szCs w:val="18"/>
          <w:color w:val="auto"/>
        </w:rPr>
        <w:t>From the time of the initial confidential submission of the Registration Statement to the Commission (or, if earlier, the first date on which the Company engaged, directly or through any Person authorized to act on its behalf, in any Testing-the-Waters Communication) through the Execution Time, the Company has been and is an “emerging growth company,” as defined in Section 2(a) of the Act (an “Emerging Growth Company”). “Testing-the-Waters Communication” means any oral or written communication with potential investors undertaken in reliance on Section 5(d) of the Act.</w:t>
      </w:r>
    </w:p>
    <w:p>
      <w:pPr>
        <w:spacing w:after="0" w:line="187" w:lineRule="exact"/>
        <w:rPr>
          <w:rFonts w:ascii="Arial" w:cs="Arial" w:eastAsia="Arial" w:hAnsi="Arial"/>
          <w:sz w:val="18"/>
          <w:szCs w:val="18"/>
          <w:color w:val="auto"/>
        </w:rPr>
      </w:pPr>
    </w:p>
    <w:p>
      <w:pPr>
        <w:ind w:left="660" w:right="20" w:firstLine="644"/>
        <w:spacing w:after="0" w:line="272" w:lineRule="auto"/>
        <w:tabs>
          <w:tab w:leader="none" w:pos="173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The Company (i) has not alone engaged in any Testing-the-Waters Communication other than Testing-the-Waters Communications with the consent of the Representative with entities that are qualified institutional buyers within the meaning of Rule 144A under the Act or institutions that are accredited investors within the meaning of Rule 501 under the Act and (ii) has not authorized anyone other than the Representative to engage in Testing-the-Waters Communications. The Company reconfirms that the Representative has been authorized to act on its behalf in undertaking Testing-the-Waters Communications. The Company has not distributed any Written Testing-the-Waters Communications other than those listed on Schedule III hereto. “Written Testing-the-Waters Communication” means any Testing-the-Waters Communication that is a written communication within the meaning of Rule 405 under the Act.</w:t>
      </w:r>
    </w:p>
    <w:p>
      <w:pPr>
        <w:spacing w:after="0" w:line="177" w:lineRule="exact"/>
        <w:rPr>
          <w:sz w:val="20"/>
          <w:szCs w:val="20"/>
          <w:color w:val="auto"/>
        </w:rPr>
      </w:pPr>
    </w:p>
    <w:p>
      <w:pPr>
        <w:ind w:right="160" w:firstLine="1296"/>
        <w:spacing w:after="0" w:line="308" w:lineRule="auto"/>
        <w:rPr>
          <w:sz w:val="20"/>
          <w:szCs w:val="20"/>
          <w:color w:val="auto"/>
        </w:rPr>
      </w:pPr>
      <w:r>
        <w:rPr>
          <w:rFonts w:ascii="Arial" w:cs="Arial" w:eastAsia="Arial" w:hAnsi="Arial"/>
          <w:sz w:val="17"/>
          <w:szCs w:val="17"/>
          <w:color w:val="auto"/>
        </w:rPr>
        <w:t>Any certificate signed by any officer of the Company and delivered to the Representative or counsel for the Underwriters in connection with the Offering shall be deemed a representation and warranty by the Company, as to matters covered thereby, to each Underwriter.</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6" w:name="page187"/>
    <w:bookmarkEnd w:id="186"/>
    <w:p>
      <w:pPr>
        <w:jc w:val="both"/>
        <w:ind w:right="120" w:firstLine="1304"/>
        <w:spacing w:after="0" w:line="286" w:lineRule="auto"/>
        <w:tabs>
          <w:tab w:leader="none" w:pos="1476" w:val="left"/>
        </w:tabs>
        <w:numPr>
          <w:ilvl w:val="0"/>
          <w:numId w:val="114"/>
        </w:numPr>
        <w:rPr>
          <w:rFonts w:ascii="Arial" w:cs="Arial" w:eastAsia="Arial" w:hAnsi="Arial"/>
          <w:sz w:val="17"/>
          <w:szCs w:val="17"/>
          <w:color w:val="auto"/>
        </w:rPr>
      </w:pPr>
      <w:r>
        <w:rPr>
          <w:rFonts w:ascii="Arial" w:cs="Arial" w:eastAsia="Arial" w:hAnsi="Arial"/>
          <w:sz w:val="17"/>
          <w:szCs w:val="17"/>
          <w:u w:val="single" w:color="auto"/>
          <w:color w:val="auto"/>
        </w:rPr>
        <w:t>Purchase and Sale</w:t>
      </w:r>
      <w:r>
        <w:rPr>
          <w:rFonts w:ascii="Arial" w:cs="Arial" w:eastAsia="Arial" w:hAnsi="Arial"/>
          <w:sz w:val="17"/>
          <w:szCs w:val="17"/>
          <w:color w:val="auto"/>
        </w:rPr>
        <w:t>. (a) Subject to the terms and conditions and in reliance upon the representations and warranties herein set forth, the Company agrees to sell to each Underwriter, and each Underwriter agrees, severally and not jointly, to purchase from the Company, at a purchase price of $9.80 per Unit, the amount of the Underwritten Securities set forth opposite such Underwriter’s name in Schedule I hereto.</w:t>
      </w:r>
    </w:p>
    <w:p>
      <w:pPr>
        <w:spacing w:after="0" w:line="165" w:lineRule="exact"/>
        <w:rPr>
          <w:sz w:val="20"/>
          <w:szCs w:val="20"/>
          <w:color w:val="auto"/>
        </w:rPr>
      </w:pPr>
    </w:p>
    <w:p>
      <w:pPr>
        <w:ind w:left="660" w:firstLine="644"/>
        <w:spacing w:after="0" w:line="270" w:lineRule="auto"/>
        <w:tabs>
          <w:tab w:leader="none" w:pos="1563" w:val="left"/>
        </w:tabs>
        <w:numPr>
          <w:ilvl w:val="1"/>
          <w:numId w:val="115"/>
        </w:numPr>
        <w:rPr>
          <w:rFonts w:ascii="Arial" w:cs="Arial" w:eastAsia="Arial" w:hAnsi="Arial"/>
          <w:sz w:val="17"/>
          <w:szCs w:val="17"/>
          <w:color w:val="auto"/>
        </w:rPr>
      </w:pPr>
      <w:r>
        <w:rPr>
          <w:rFonts w:ascii="Arial" w:cs="Arial" w:eastAsia="Arial" w:hAnsi="Arial"/>
          <w:sz w:val="17"/>
          <w:szCs w:val="17"/>
          <w:color w:val="auto"/>
        </w:rPr>
        <w:t>Subject to the terms and conditions and in reliance upon the representations and warranties set forth herein, the Company hereby grants an option to the several Underwriters to purchase, severally and not jointly, up to 4,500,000 Option Securities at the same purchase price per Unit as the Underwriters shall pay for the Underwritten Securities. Said option may be exercised only to cover over-allotments in the sale of the Underwritten Securities by the Underwriters. Said option may be exercised in whole or in part at any time on or before the 45th day after the date of the Prospectus upon written notice by the Representative to the Company setting forth the number of Option Securities as to which the several Underwriters are exercising the option and the settlement date. The number of Option Securities to be purchased by each Underwriter shall be based upon the same percentage of the total number of the Option Securities to be purchased by the several Underwriters as such Underwriter is purchasing of the Underwritten Securities, subject to such adjustments as the Representative in its absolute discretion shall make to eliminate any fractional shares.</w:t>
      </w:r>
    </w:p>
    <w:p>
      <w:pPr>
        <w:spacing w:after="0" w:line="180" w:lineRule="exact"/>
        <w:rPr>
          <w:rFonts w:ascii="Arial" w:cs="Arial" w:eastAsia="Arial" w:hAnsi="Arial"/>
          <w:sz w:val="17"/>
          <w:szCs w:val="17"/>
          <w:color w:val="auto"/>
        </w:rPr>
      </w:pPr>
    </w:p>
    <w:p>
      <w:pPr>
        <w:ind w:left="1540" w:hanging="236"/>
        <w:spacing w:after="0"/>
        <w:tabs>
          <w:tab w:leader="none" w:pos="1540" w:val="left"/>
        </w:tabs>
        <w:numPr>
          <w:ilvl w:val="1"/>
          <w:numId w:val="115"/>
        </w:numPr>
        <w:rPr>
          <w:rFonts w:ascii="Arial" w:cs="Arial" w:eastAsia="Arial" w:hAnsi="Arial"/>
          <w:sz w:val="16"/>
          <w:szCs w:val="16"/>
          <w:color w:val="auto"/>
        </w:rPr>
      </w:pPr>
      <w:r>
        <w:rPr>
          <w:rFonts w:ascii="Arial" w:cs="Arial" w:eastAsia="Arial" w:hAnsi="Arial"/>
          <w:sz w:val="16"/>
          <w:szCs w:val="16"/>
          <w:color w:val="auto"/>
        </w:rPr>
        <w:t>In addition to the discount from the public offering price represented by the purchase price set forth in the first sentence of Section 2</w:t>
      </w:r>
    </w:p>
    <w:p>
      <w:pPr>
        <w:spacing w:after="0" w:line="46" w:lineRule="exact"/>
        <w:rPr>
          <w:rFonts w:ascii="Arial" w:cs="Arial" w:eastAsia="Arial" w:hAnsi="Arial"/>
          <w:sz w:val="16"/>
          <w:szCs w:val="16"/>
          <w:color w:val="auto"/>
        </w:rPr>
      </w:pPr>
    </w:p>
    <w:p>
      <w:pPr>
        <w:ind w:left="660" w:right="100" w:hanging="4"/>
        <w:spacing w:after="0" w:line="288" w:lineRule="auto"/>
        <w:tabs>
          <w:tab w:leader="none" w:pos="905" w:val="left"/>
        </w:tabs>
        <w:numPr>
          <w:ilvl w:val="0"/>
          <w:numId w:val="116"/>
        </w:numPr>
        <w:rPr>
          <w:rFonts w:ascii="Arial" w:cs="Arial" w:eastAsia="Arial" w:hAnsi="Arial"/>
          <w:sz w:val="16"/>
          <w:szCs w:val="16"/>
          <w:color w:val="auto"/>
        </w:rPr>
      </w:pPr>
      <w:r>
        <w:rPr>
          <w:rFonts w:ascii="Arial" w:cs="Arial" w:eastAsia="Arial" w:hAnsi="Arial"/>
          <w:sz w:val="16"/>
          <w:szCs w:val="16"/>
          <w:color w:val="auto"/>
        </w:rPr>
        <w:t>of this Agreement, the Company hereby agrees to pay to the Underwriters a deferred discount of $0.35 per Unit (for both Underwritten Securities and Option Securities) purchased hereunder (the “Deferred Discount”). The Deferred Discount will be paid directly to the Representative, on behalf of the Underwriters, by the Trustee from amounts on deposit in the Trust Account by wire transfer if and when the Company consummates an initial Business Combination. The Underwriters hereby agree that if no Business Combination is consummated within the time period provided in the Charter and the funds held under the Trust Agreement are distributed to the holders of the Ordinary Shares included in the Securities sold pursuant to this Agreement (the “Public Shareholders”), (i) the Underwriters will forfeit any rights or claims to the Deferred Discount and (ii) the Trustee is authorized to distribute the Deferred Discount to the Public Shareholders on a pro rata basis.</w:t>
      </w:r>
    </w:p>
    <w:p>
      <w:pPr>
        <w:spacing w:after="0" w:line="168" w:lineRule="exact"/>
        <w:rPr>
          <w:sz w:val="20"/>
          <w:szCs w:val="20"/>
          <w:color w:val="auto"/>
        </w:rPr>
      </w:pPr>
    </w:p>
    <w:p>
      <w:pPr>
        <w:ind w:right="60" w:firstLine="1304"/>
        <w:spacing w:after="0" w:line="270" w:lineRule="auto"/>
        <w:tabs>
          <w:tab w:leader="none" w:pos="1476" w:val="left"/>
        </w:tabs>
        <w:numPr>
          <w:ilvl w:val="0"/>
          <w:numId w:val="117"/>
        </w:numPr>
        <w:rPr>
          <w:rFonts w:ascii="Arial" w:cs="Arial" w:eastAsia="Arial" w:hAnsi="Arial"/>
          <w:sz w:val="17"/>
          <w:szCs w:val="17"/>
          <w:color w:val="auto"/>
        </w:rPr>
      </w:pPr>
      <w:r>
        <w:rPr>
          <w:rFonts w:ascii="Arial" w:cs="Arial" w:eastAsia="Arial" w:hAnsi="Arial"/>
          <w:sz w:val="17"/>
          <w:szCs w:val="17"/>
          <w:u w:val="single" w:color="auto"/>
          <w:color w:val="auto"/>
        </w:rPr>
        <w:t>Delivery and Payment</w:t>
      </w:r>
      <w:r>
        <w:rPr>
          <w:rFonts w:ascii="Arial" w:cs="Arial" w:eastAsia="Arial" w:hAnsi="Arial"/>
          <w:sz w:val="17"/>
          <w:szCs w:val="17"/>
          <w:color w:val="auto"/>
        </w:rPr>
        <w:t>. (a) Delivery of and payment for the Underwritten Securities and the Option Securities (if the option provided for in Section 2(a) hereof shall have been exercised on or before the third Business Day immediately preceding the Closing Date) shall be made at 10:00 a.m., New York City time, on May [●], 2020, or at such time on such later date not more than three Business Days after the foregoing date as the Representative shall designate, which date and time may be postponed by agreement between the Representative and the Company or as provided in Section 9 hereof (such date and time of delivery and payment for the Securities being herein called the “Closing Date”). Delivery of the Securities shall be made to the Representative for the respective accounts of the several Underwriters against payment by the several Underwriters through the Representative of the purchase price thereof by wire transfer payable in same-day funds to an account specified by the Company and to the Trust Account as described below in this Section 3. Delivery of the Underwritten Securities and the Option Securities shall be made through the facilities of The Depository Trust Company (“DTC”) unless the Representative shall otherwise instruct.</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187" w:name="page188"/>
    <w:bookmarkEnd w:id="187"/>
    <w:p>
      <w:pPr>
        <w:ind w:left="-460" w:right="60" w:firstLine="644"/>
        <w:spacing w:after="0" w:line="287" w:lineRule="auto"/>
        <w:tabs>
          <w:tab w:leader="none" w:pos="443" w:val="left"/>
        </w:tabs>
        <w:numPr>
          <w:ilvl w:val="0"/>
          <w:numId w:val="118"/>
        </w:numPr>
        <w:rPr>
          <w:rFonts w:ascii="Arial" w:cs="Arial" w:eastAsia="Arial" w:hAnsi="Arial"/>
          <w:sz w:val="16"/>
          <w:szCs w:val="16"/>
          <w:color w:val="auto"/>
        </w:rPr>
      </w:pPr>
      <w:r>
        <w:rPr>
          <w:rFonts w:ascii="Arial" w:cs="Arial" w:eastAsia="Arial" w:hAnsi="Arial"/>
          <w:sz w:val="16"/>
          <w:szCs w:val="16"/>
          <w:color w:val="auto"/>
        </w:rPr>
        <w:t>Payment for the Underwritten Securities shall be made as follows: $294,000,000 of the proceeds received by the Company for the Underwritten Securities, including $10,500,000 of the Deferred Discount, shall be deposited in the Trust Account pursuant to the terms of the Trust Agreement along with such portion of the gross proceeds of the Private Placement Warrants in order for the Trust Account to equal the product of the number of Units sold and the public offering price per unit as set forth on the cover of the Prospectus upon delivery to the Representative of the Underwritten Securities through the facilities of DTC or, if the Representative has otherwise instructed, upon delivery to the Representative of certificates (in form and substance satisfactory to the Representative) representing the Underwritten Securities, in each case for the account of the Underwriters. The Underwritten Securities shall be registered in such name or names and in such authorized denominations as the Representative may request in writing at least two Business Days prior to the Closing Date. If delivery is not made through the facilities of DTC, the Company will permit the Representative to examine and package the Underwritten Securities for delivery, at least one Business Day prior to the Closing Date. The Company shall not be obligated to sell or deliver the Underwritten Securities except upon tender of payment by the Representative for all the Underwritten Securities. Payment by the Underwriters for the Underwritten Securities is contingent on the payment by the Sponsor to the Trust Account for the Private Placement Warrants at least one Business Day prior to the Closing Date.</w:t>
      </w:r>
    </w:p>
    <w:p>
      <w:pPr>
        <w:spacing w:after="0" w:line="167" w:lineRule="exact"/>
        <w:rPr>
          <w:rFonts w:ascii="Arial" w:cs="Arial" w:eastAsia="Arial" w:hAnsi="Arial"/>
          <w:sz w:val="16"/>
          <w:szCs w:val="16"/>
          <w:color w:val="auto"/>
        </w:rPr>
      </w:pPr>
    </w:p>
    <w:p>
      <w:pPr>
        <w:ind w:left="-460" w:firstLine="644"/>
        <w:spacing w:after="0" w:line="269" w:lineRule="auto"/>
        <w:tabs>
          <w:tab w:leader="none" w:pos="433" w:val="left"/>
        </w:tabs>
        <w:numPr>
          <w:ilvl w:val="0"/>
          <w:numId w:val="118"/>
        </w:numPr>
        <w:rPr>
          <w:rFonts w:ascii="Arial" w:cs="Arial" w:eastAsia="Arial" w:hAnsi="Arial"/>
          <w:sz w:val="17"/>
          <w:szCs w:val="17"/>
          <w:color w:val="auto"/>
        </w:rPr>
      </w:pPr>
      <w:r>
        <w:rPr>
          <w:rFonts w:ascii="Arial" w:cs="Arial" w:eastAsia="Arial" w:hAnsi="Arial"/>
          <w:sz w:val="17"/>
          <w:szCs w:val="17"/>
          <w:color w:val="auto"/>
        </w:rPr>
        <w:t>Payment for the Option Securities shall be made as follows: $9.80 per Option Security (including $0.35 per Option Security of Deferred Discount) shall be deposited in the Trust Account pursuant to the terms of the Trust Agreement along with such portion of the gross proceeds of the Private Placement Warrants in order for the Trust Account to equal the product of the number of Units sold and the public offering price per Unit as set forth on the cover of the Prospectus upon delivery to the Representative of the Option Securities through the facilities of DTC or, if the Representative has otherwise instructed, upon delivery to the Representative of certificates (in form and substance satisfactory to the Representative) representing the Option Securities (or through the facilities of DTC) for the account of the Underwriters. The Option Securities shall be registered in such name or names and in such authorized denominations as the Representative may request in writing at least two Business Days prior to the Closing Date. If delivery is not made through the facilities of DTC, the Company will permit the Representative to examine and package the Option Securities for delivery, at least one Business Day prior to the Closing Date. The Company shall not be obligated to sell or deliver the Option Securities except upon tender of payment by the Representative for all the Option Securities. Payment by the Underwriters for the Option Securities is contingent on the payment by the Sponsor to the Trust Account for the Private Placement Warrants at least one Business Day prior to the applicable settlement date.</w:t>
      </w:r>
    </w:p>
    <w:p>
      <w:pPr>
        <w:spacing w:after="0" w:line="388"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88" w:name="page189"/>
    <w:bookmarkEnd w:id="188"/>
    <w:p>
      <w:pPr>
        <w:ind w:right="80" w:firstLine="1296"/>
        <w:spacing w:after="0" w:line="254" w:lineRule="auto"/>
        <w:rPr>
          <w:sz w:val="20"/>
          <w:szCs w:val="20"/>
          <w:color w:val="auto"/>
        </w:rPr>
      </w:pPr>
      <w:r>
        <w:rPr>
          <w:rFonts w:ascii="Arial" w:cs="Arial" w:eastAsia="Arial" w:hAnsi="Arial"/>
          <w:sz w:val="18"/>
          <w:szCs w:val="18"/>
          <w:color w:val="auto"/>
        </w:rPr>
        <w:t>If the option provided for in Section 2(b) hereof is exercised after the second Business Day prior to the Closing Date, the Company will deliver the Option Securities (at the expense of the Company) to the Representative, at c/o Citigroup Global Markets Inc., 388 Greenwich Street, New York, New York on the date specified by the Representative (which shall be at least two Business Days after exercise of said option) for the respective accounts of the several Underwriters, against payment by the several Underwriters through the Representative of the purchase price thereof to the Trust Account as described above in Section 3(c). If settlement for the Option Securities occurs after the Closing Date, the Company will deliver to the Representative on the settlement date for the Option Securities, and the obligation of the Underwriters to purchase the Option Securities shall be conditioned upon receipt of, supplemental opinions, certificates and letters confirming as of such date the opinions, certificates and letters delivered on the Closing Date pursuant to Section 6 hereof.</w:t>
      </w:r>
    </w:p>
    <w:p>
      <w:pPr>
        <w:spacing w:after="0" w:line="192" w:lineRule="exact"/>
        <w:rPr>
          <w:sz w:val="20"/>
          <w:szCs w:val="20"/>
          <w:color w:val="auto"/>
        </w:rPr>
      </w:pPr>
    </w:p>
    <w:p>
      <w:pPr>
        <w:ind w:right="120" w:firstLine="1304"/>
        <w:spacing w:after="0" w:line="277" w:lineRule="auto"/>
        <w:tabs>
          <w:tab w:leader="none" w:pos="1476"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Offering by the Underwriters</w:t>
      </w:r>
      <w:r>
        <w:rPr>
          <w:rFonts w:ascii="Arial" w:cs="Arial" w:eastAsia="Arial" w:hAnsi="Arial"/>
          <w:sz w:val="18"/>
          <w:szCs w:val="18"/>
          <w:color w:val="auto"/>
        </w:rPr>
        <w:t>. It is understood that the several Underwriters propose to offer the Securities for sale to the public as set forth in the Prospectus (the “Offering”).</w:t>
      </w:r>
    </w:p>
    <w:p>
      <w:pPr>
        <w:spacing w:after="0" w:line="170" w:lineRule="exact"/>
        <w:rPr>
          <w:rFonts w:ascii="Arial" w:cs="Arial" w:eastAsia="Arial" w:hAnsi="Arial"/>
          <w:sz w:val="18"/>
          <w:szCs w:val="18"/>
          <w:color w:val="auto"/>
        </w:rPr>
      </w:pPr>
    </w:p>
    <w:p>
      <w:pPr>
        <w:ind w:left="1480" w:hanging="176"/>
        <w:spacing w:after="0"/>
        <w:tabs>
          <w:tab w:leader="none" w:pos="1480" w:val="left"/>
        </w:tabs>
        <w:numPr>
          <w:ilvl w:val="0"/>
          <w:numId w:val="119"/>
        </w:numPr>
        <w:rPr>
          <w:rFonts w:ascii="Arial" w:cs="Arial" w:eastAsia="Arial" w:hAnsi="Arial"/>
          <w:sz w:val="18"/>
          <w:szCs w:val="18"/>
          <w:color w:val="auto"/>
        </w:rPr>
      </w:pPr>
      <w:r>
        <w:rPr>
          <w:rFonts w:ascii="Arial" w:cs="Arial" w:eastAsia="Arial" w:hAnsi="Arial"/>
          <w:sz w:val="18"/>
          <w:szCs w:val="18"/>
          <w:u w:val="single" w:color="auto"/>
          <w:color w:val="auto"/>
        </w:rPr>
        <w:t>Agreements</w:t>
      </w:r>
      <w:r>
        <w:rPr>
          <w:rFonts w:ascii="Arial" w:cs="Arial" w:eastAsia="Arial" w:hAnsi="Arial"/>
          <w:sz w:val="18"/>
          <w:szCs w:val="18"/>
          <w:color w:val="auto"/>
        </w:rPr>
        <w:t>. The Company agrees with the several Underwriters that:</w:t>
      </w:r>
    </w:p>
    <w:p>
      <w:pPr>
        <w:spacing w:after="0" w:line="225" w:lineRule="exact"/>
        <w:rPr>
          <w:sz w:val="20"/>
          <w:szCs w:val="20"/>
          <w:color w:val="auto"/>
        </w:rPr>
      </w:pPr>
    </w:p>
    <w:p>
      <w:pPr>
        <w:ind w:left="660" w:firstLine="644"/>
        <w:spacing w:after="0" w:line="285" w:lineRule="auto"/>
        <w:tabs>
          <w:tab w:leader="none" w:pos="1553" w:val="left"/>
        </w:tabs>
        <w:numPr>
          <w:ilvl w:val="0"/>
          <w:numId w:val="120"/>
        </w:numPr>
        <w:rPr>
          <w:rFonts w:ascii="Arial" w:cs="Arial" w:eastAsia="Arial" w:hAnsi="Arial"/>
          <w:sz w:val="16"/>
          <w:szCs w:val="16"/>
          <w:color w:val="auto"/>
        </w:rPr>
      </w:pPr>
      <w:r>
        <w:rPr>
          <w:rFonts w:ascii="Arial" w:cs="Arial" w:eastAsia="Arial" w:hAnsi="Arial"/>
          <w:sz w:val="16"/>
          <w:szCs w:val="16"/>
          <w:color w:val="auto"/>
        </w:rPr>
        <w:t>Prior to the termination of Offering, the Company will not file any amendment of the Registration Statement or supplement to the Prospectus or any Rule 462(b) Registration Statement unless the Company has furnished you a copy for your review prior to filing and will not file any such proposed amendment, supplement or Rule 462(b) Registration Statement to which you reasonably object. The Company will cause the Prospectus, properly completed, and any supplement thereto to be filed in a form approved by the Representative with the Commission pursuant to the applicable paragraph of Rule 424(b) within the time period prescribed and will provide evidence satisfactory to the Representative of such timely filing. The Company will promptly advise the Representative (i) when the Prospectus, and any supplement thereto, shall have been filed (if required) with the Commission pursuant to Rule 424(b) or when any Rule 462(b) Registration Statement or any Written Testing-the-Waters Communication shall have been filed with the Commission, (ii) when, prior to termination of the Offering, any amendment to the Registration Statement shall have been filed or become effective, (iii) of any request by the Commission or its staff for any amendment of the Registration Statement, or any Rule 462(b) Registration Statement or any Written Testing-the-Waters Communication or for any supplement to the Prospectus or for any additional information, (iv) of the issuance by the Commission of any stop order suspending the effectiveness of the Registration Statement or of any notice objecting to its use or the institution or threatening of any proceeding for that purpose and (v) of the receipt by the Company of any notification with respect to the suspension of the qualification of the Securities for sale in any jurisdiction or the institution or threatening of any proceeding for such purpose. The Company will use its best efforts to prevent the issuance of any such stop order or the occurrence of any such suspension or objection to the use of the Registration Statement and, upon such issuance, occurrence or notice of objection, to obtain as soon as possible the withdrawal of such stop order or relief from such occurrence or objection, including, if necessary, by filing an amendment to the Registration Statement or a new registration statement and using its best efforts to have such amendment or new registration statement declared effective as soon as practicable.</w:t>
      </w:r>
    </w:p>
    <w:p>
      <w:pPr>
        <w:spacing w:after="0" w:line="200" w:lineRule="exact"/>
        <w:rPr>
          <w:sz w:val="20"/>
          <w:szCs w:val="20"/>
          <w:color w:val="auto"/>
        </w:rPr>
      </w:pPr>
    </w:p>
    <w:p>
      <w:pPr>
        <w:spacing w:after="0" w:line="39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189" w:name="page190"/>
    <w:bookmarkEnd w:id="189"/>
    <w:p>
      <w:pPr>
        <w:ind w:left="-460" w:right="120" w:firstLine="644"/>
        <w:spacing w:after="0" w:line="296" w:lineRule="auto"/>
        <w:tabs>
          <w:tab w:leader="none" w:pos="44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If, at any time prior to the filing of the Prospectus pursuant to Rule 424(b), any event occurs as a result of which the Statutory Prospectus would include any untrue statement of a material fact or omit to state any material fact necessary to make the statements therein in the light of the circumstances under which they were made at such time not misleading, the Company will (i) notify promptly the Representative so that any use of the Statutory Prospectus may cease until it is amended or supplemented; (ii) amend or supplement the Statutory Prospectus to correct such statement or omission; and (iii) supply any amendment or supplement to you in such quantities as you may reasonably request.</w:t>
      </w:r>
    </w:p>
    <w:p>
      <w:pPr>
        <w:spacing w:after="0" w:line="161" w:lineRule="exact"/>
        <w:rPr>
          <w:rFonts w:ascii="Arial" w:cs="Arial" w:eastAsia="Arial" w:hAnsi="Arial"/>
          <w:sz w:val="16"/>
          <w:szCs w:val="16"/>
          <w:color w:val="auto"/>
        </w:rPr>
      </w:pPr>
    </w:p>
    <w:p>
      <w:pPr>
        <w:ind w:left="-460" w:firstLine="644"/>
        <w:spacing w:after="0" w:line="254" w:lineRule="auto"/>
        <w:tabs>
          <w:tab w:leader="none" w:pos="433"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at any time when a prospectus relating to the Securities is required to be delivered under the Act (including in circumstances where such requirement may be satisfied pursuant to Rule 172), any event occurs as a result of which the Prospectus as then supplemented would include any untrue statement of a material fact or omit to state any material fact necessary to make the statements therein in the light of the circumstances under which they were made at such time not misleading, or if it shall be necessary to amend the Registration Statement or supplement the Prospectus to comply with the Act or the rules thereunder, the Company promptly will (i) notify the Representative of any such event; (ii) prepare and file with the Commission, subject to the second sentence of paragraph (a) of this Section 5, an amendment or supplement that will correct such statement or omission or effect such compliance; and (iii) supply any supplemented Prospectus to you in such quantities as you may reasonably request.</w:t>
      </w:r>
    </w:p>
    <w:p>
      <w:pPr>
        <w:spacing w:after="0" w:line="191" w:lineRule="exact"/>
        <w:rPr>
          <w:rFonts w:ascii="Arial" w:cs="Arial" w:eastAsia="Arial" w:hAnsi="Arial"/>
          <w:sz w:val="18"/>
          <w:szCs w:val="18"/>
          <w:color w:val="auto"/>
        </w:rPr>
      </w:pPr>
    </w:p>
    <w:p>
      <w:pPr>
        <w:ind w:left="-460" w:right="520" w:firstLine="644"/>
        <w:spacing w:after="0" w:line="342" w:lineRule="auto"/>
        <w:tabs>
          <w:tab w:leader="none" w:pos="433" w:val="left"/>
        </w:tabs>
        <w:numPr>
          <w:ilvl w:val="0"/>
          <w:numId w:val="121"/>
        </w:numPr>
        <w:rPr>
          <w:rFonts w:ascii="Arial" w:cs="Arial" w:eastAsia="Arial" w:hAnsi="Arial"/>
          <w:sz w:val="16"/>
          <w:szCs w:val="16"/>
          <w:color w:val="auto"/>
        </w:rPr>
      </w:pPr>
      <w:r>
        <w:rPr>
          <w:rFonts w:ascii="Arial" w:cs="Arial" w:eastAsia="Arial" w:hAnsi="Arial"/>
          <w:sz w:val="16"/>
          <w:szCs w:val="16"/>
          <w:color w:val="auto"/>
        </w:rPr>
        <w:t>As soon as practicable, the Company will make generally available to its security holders and to the Representative an earnings statement or statements of the Company and its subsidiaries that will satisfy the provisions of Section 11(a) of the Act and Rule 158.</w:t>
      </w:r>
    </w:p>
    <w:p>
      <w:pPr>
        <w:spacing w:after="0" w:line="123" w:lineRule="exact"/>
        <w:rPr>
          <w:rFonts w:ascii="Arial" w:cs="Arial" w:eastAsia="Arial" w:hAnsi="Arial"/>
          <w:sz w:val="16"/>
          <w:szCs w:val="16"/>
          <w:color w:val="auto"/>
        </w:rPr>
      </w:pPr>
    </w:p>
    <w:p>
      <w:pPr>
        <w:ind w:left="-460" w:right="100" w:firstLine="644"/>
        <w:spacing w:after="0" w:line="308" w:lineRule="auto"/>
        <w:tabs>
          <w:tab w:leader="none" w:pos="429" w:val="left"/>
        </w:tabs>
        <w:numPr>
          <w:ilvl w:val="0"/>
          <w:numId w:val="121"/>
        </w:numPr>
        <w:rPr>
          <w:rFonts w:ascii="Arial" w:cs="Arial" w:eastAsia="Arial" w:hAnsi="Arial"/>
          <w:sz w:val="17"/>
          <w:szCs w:val="17"/>
          <w:color w:val="auto"/>
        </w:rPr>
      </w:pPr>
      <w:r>
        <w:rPr>
          <w:rFonts w:ascii="Arial" w:cs="Arial" w:eastAsia="Arial" w:hAnsi="Arial"/>
          <w:sz w:val="17"/>
          <w:szCs w:val="17"/>
          <w:color w:val="auto"/>
        </w:rPr>
        <w:t>The Company will not make any offer relating to the Units that constitutes or would constitute a Free Writing Prospectus or a portion thereof required to be filed by the Company with the Commission or retained by the Company under Rule 433 of the Act.</w:t>
      </w:r>
    </w:p>
    <w:p>
      <w:pPr>
        <w:spacing w:after="0" w:line="146" w:lineRule="exact"/>
        <w:rPr>
          <w:rFonts w:ascii="Arial" w:cs="Arial" w:eastAsia="Arial" w:hAnsi="Arial"/>
          <w:sz w:val="17"/>
          <w:szCs w:val="17"/>
          <w:color w:val="auto"/>
        </w:rPr>
      </w:pPr>
    </w:p>
    <w:p>
      <w:pPr>
        <w:ind w:left="-460" w:firstLine="644"/>
        <w:spacing w:after="0" w:line="296" w:lineRule="auto"/>
        <w:tabs>
          <w:tab w:leader="none" w:pos="409"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Company will furnish to the Representative and counsel for the Underwriters, without charge, signed copies of the Registration Statement (including exhibits thereto) and to each other Underwriter a copy of the Registration Statement (without exhibits thereto) and, so long as delivery of a prospectus by an Underwriter or dealer may be required by the Act (including in circumstances where such requirement may be satisfied pursuant to Rule 172), as many copies of each Preliminary Prospectus, the Prospectus and any supplement thereto as the Representative may reasonably request. The Company will pay the expenses of printing or other production of all documents relating to the Offering.</w:t>
      </w:r>
    </w:p>
    <w:p>
      <w:pPr>
        <w:spacing w:after="0" w:line="370"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0" w:name="page191"/>
    <w:bookmarkEnd w:id="190"/>
    <w:p>
      <w:pPr>
        <w:ind w:left="4" w:firstLine="644"/>
        <w:spacing w:after="0" w:line="284" w:lineRule="auto"/>
        <w:tabs>
          <w:tab w:leader="none" w:pos="904" w:val="left"/>
        </w:tabs>
        <w:numPr>
          <w:ilvl w:val="1"/>
          <w:numId w:val="122"/>
        </w:numPr>
        <w:rPr>
          <w:rFonts w:ascii="Arial" w:cs="Arial" w:eastAsia="Arial" w:hAnsi="Arial"/>
          <w:sz w:val="16"/>
          <w:szCs w:val="16"/>
          <w:color w:val="auto"/>
        </w:rPr>
      </w:pPr>
      <w:r>
        <w:rPr>
          <w:rFonts w:ascii="Arial" w:cs="Arial" w:eastAsia="Arial" w:hAnsi="Arial"/>
          <w:sz w:val="16"/>
          <w:szCs w:val="16"/>
          <w:color w:val="auto"/>
        </w:rPr>
        <w:t xml:space="preserve">The Company will not, without the prior written consent of the Representative, offer, sell, contract to sell, pledge, hedge or otherwise dispose of (or enter into any transaction that is designed to, or might reasonably be expected to, result in the disposition (whether by actual disposition or effective economic disposition due to cash settlement or otherwise) by the Company or any affiliate of the Company or any person in privity with the Company or any affiliate of the Company), directly or indirectly, including the filing (or participation in the filing) of a registration statement with the Commission in respect of, or establish or increase a put equivalent position or liquidate or decrease a call equivalent position within the meaning of Section 16 of the Exchange Act with respect to, any other Units, Ordinary Shares, warrants or any securities convertible into, or exercisable, or exchangeable for, Ordinary Shares or publicly announce an intention to effect any such transaction during the period commencing on the date hereof and ending 180 days after the date of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may</w:t>
      </w:r>
    </w:p>
    <w:p>
      <w:pPr>
        <w:ind w:left="4" w:right="140" w:hanging="4"/>
        <w:spacing w:after="0" w:line="253" w:lineRule="auto"/>
        <w:tabs>
          <w:tab w:leader="none" w:pos="259" w:val="left"/>
        </w:tabs>
        <w:numPr>
          <w:ilvl w:val="0"/>
          <w:numId w:val="123"/>
        </w:numPr>
        <w:rPr>
          <w:rFonts w:ascii="Arial" w:cs="Arial" w:eastAsia="Arial" w:hAnsi="Arial"/>
          <w:sz w:val="18"/>
          <w:szCs w:val="18"/>
          <w:color w:val="auto"/>
        </w:rPr>
      </w:pPr>
      <w:r>
        <w:rPr>
          <w:rFonts w:ascii="Arial" w:cs="Arial" w:eastAsia="Arial" w:hAnsi="Arial"/>
          <w:sz w:val="18"/>
          <w:szCs w:val="18"/>
          <w:color w:val="auto"/>
        </w:rPr>
        <w:t>issue and sell the Private Placement Warrants, (2) issue and sell the Option Securities on exercise of the option provided for in Section 2(b) hereof, (3) issue shares or any securities convertible into, or exchangeable for, Ordinary Shares in connection with the initial Business Combination and (4) register with the Commission pursuant to the Registration Rights Agreement, in accordance with the terms of the Registration Rights Agreement, the resale of the Founder Shares, the Private Placement Warrants and the Ordinary Shares issuable upon exercise thereof.</w:t>
      </w:r>
    </w:p>
    <w:p>
      <w:pPr>
        <w:spacing w:after="0" w:line="190" w:lineRule="exact"/>
        <w:rPr>
          <w:rFonts w:ascii="Arial" w:cs="Arial" w:eastAsia="Arial" w:hAnsi="Arial"/>
          <w:sz w:val="18"/>
          <w:szCs w:val="18"/>
          <w:color w:val="auto"/>
        </w:rPr>
      </w:pPr>
    </w:p>
    <w:p>
      <w:pPr>
        <w:ind w:left="4" w:firstLine="644"/>
        <w:spacing w:after="0" w:line="263" w:lineRule="auto"/>
        <w:tabs>
          <w:tab w:leader="none" w:pos="904" w:val="left"/>
        </w:tabs>
        <w:numPr>
          <w:ilvl w:val="1"/>
          <w:numId w:val="123"/>
        </w:numPr>
        <w:rPr>
          <w:rFonts w:ascii="Arial" w:cs="Arial" w:eastAsia="Arial" w:hAnsi="Arial"/>
          <w:sz w:val="18"/>
          <w:szCs w:val="18"/>
          <w:color w:val="auto"/>
        </w:rPr>
      </w:pPr>
      <w:r>
        <w:rPr>
          <w:rFonts w:ascii="Arial" w:cs="Arial" w:eastAsia="Arial" w:hAnsi="Arial"/>
          <w:sz w:val="18"/>
          <w:szCs w:val="18"/>
          <w:color w:val="auto"/>
        </w:rPr>
        <w:t>The Company will not take, directly or indirectly, any action designed to or that would constitute or that might reasonably be expected to cause or result in, under the Exchange Act or otherwise, stabilization or manipulation of the price of any security of the Company to facilitate the sale or resale of the Securities.</w:t>
      </w:r>
    </w:p>
    <w:p>
      <w:pPr>
        <w:spacing w:after="0" w:line="183" w:lineRule="exact"/>
        <w:rPr>
          <w:rFonts w:ascii="Arial" w:cs="Arial" w:eastAsia="Arial" w:hAnsi="Arial"/>
          <w:sz w:val="18"/>
          <w:szCs w:val="18"/>
          <w:color w:val="auto"/>
        </w:rPr>
      </w:pPr>
    </w:p>
    <w:p>
      <w:pPr>
        <w:ind w:left="4" w:right="40" w:firstLine="644"/>
        <w:spacing w:after="0" w:line="286" w:lineRule="auto"/>
        <w:tabs>
          <w:tab w:leader="none" w:pos="864" w:val="left"/>
        </w:tabs>
        <w:numPr>
          <w:ilvl w:val="1"/>
          <w:numId w:val="123"/>
        </w:numPr>
        <w:rPr>
          <w:rFonts w:ascii="Arial" w:cs="Arial" w:eastAsia="Arial" w:hAnsi="Arial"/>
          <w:sz w:val="16"/>
          <w:szCs w:val="16"/>
          <w:color w:val="auto"/>
        </w:rPr>
      </w:pPr>
      <w:r>
        <w:rPr>
          <w:rFonts w:ascii="Arial" w:cs="Arial" w:eastAsia="Arial" w:hAnsi="Arial"/>
          <w:sz w:val="16"/>
          <w:szCs w:val="16"/>
          <w:color w:val="auto"/>
        </w:rPr>
        <w:t>The Company agrees to pay the costs and expenses relating to the following matters: (i) the preparation, printing or reproduction and filing with the Commission of the Registration Statement (including financial statements and exhibits thereto), each Preliminary Prospectus, the Prospectus and each amendment or supplement to any of them; (ii) the printing (or reproduction) and delivery (including postage, air freight charges and charges for counting and packaging) of such copies of the Registration Statement, each Preliminary Prospectus, the Prospectus and all amendments or supplements to any of them, as may, in each case, be reasonably requested for use in connection with the offering and sale of the Securities; (iii) the preparation, printing, authentication, issuance and delivery of certificates, if any, for the Securities, including any stamp or transfer taxes in connection with the original issuance and sale of the Securities; (iv) the printing (or reproduction) and delivery of this Agreement and all other agreements or documents printed (or reproduced) and delivered in connection with the offering of the Securities; (v) the registration of the Securities under the Exchange Act and the listing of the Securities on the New York Stock Exchange; (vi) the printing and delivery of a preliminary blue sky memorandum, any registration or qualification of the Securities for offer and sale under the securities or blue sky laws of the several states and any filings required to be made with FINRA (including the reasonable and documented FINRA-related fees and expenses of counsel for the Underwriters not to exceed $25,000); (vii) the transportation and other expenses incurred by or on behalf of the Company (and not the Underwriters) in connection with presentations to prospective purchasers of the Securities; (viii) the fees and expenses of the Company’s accountants and the fees and expenses of counsel (including U.S. and Cayman Islands counsel and any other local and special counsel) for the Company; and (ix) all other costs and expenses incident to the performance by the Company of its obligations hereunder.</w:t>
      </w:r>
    </w:p>
    <w:p>
      <w:pPr>
        <w:spacing w:after="0" w:line="376" w:lineRule="exact"/>
        <w:rPr>
          <w:sz w:val="20"/>
          <w:szCs w:val="20"/>
          <w:color w:val="auto"/>
        </w:rPr>
      </w:pPr>
    </w:p>
    <w:p>
      <w:pPr>
        <w:ind w:left="4864"/>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-410845</wp:posOffset>
            </wp:positionH>
            <wp:positionV relativeFrom="paragraph">
              <wp:posOffset>6985</wp:posOffset>
            </wp:positionV>
            <wp:extent cx="7132320" cy="1714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4"/>
          </w:cols>
          <w:pgMar w:left="976" w:top="908" w:right="339" w:bottom="1440" w:gutter="0" w:footer="0" w:header="0"/>
        </w:sectPr>
      </w:pPr>
    </w:p>
    <w:bookmarkStart w:id="191" w:name="page192"/>
    <w:bookmarkEnd w:id="191"/>
    <w:p>
      <w:pPr>
        <w:ind w:left="-460" w:firstLine="644"/>
        <w:spacing w:after="0" w:line="296" w:lineRule="auto"/>
        <w:tabs>
          <w:tab w:leader="none" w:pos="403" w:val="left"/>
        </w:tabs>
        <w:numPr>
          <w:ilvl w:val="0"/>
          <w:numId w:val="124"/>
        </w:numPr>
        <w:rPr>
          <w:rFonts w:ascii="Arial" w:cs="Arial" w:eastAsia="Arial" w:hAnsi="Arial"/>
          <w:sz w:val="16"/>
          <w:szCs w:val="16"/>
          <w:color w:val="auto"/>
        </w:rPr>
      </w:pPr>
      <w:r>
        <w:rPr>
          <w:rFonts w:ascii="Arial" w:cs="Arial" w:eastAsia="Arial" w:hAnsi="Arial"/>
          <w:sz w:val="16"/>
          <w:szCs w:val="16"/>
          <w:color w:val="auto"/>
        </w:rPr>
        <w:t>For a period commencing on the Effective Date and ending at least five (5) years from the date of the consummation of the initial Business Combination or until such earlier time at which the Liquidation occurs, the Company will use its best efforts to maintain the registration of the Ordinary Shares under the provisions of the Exchange Act, except after giving effect to a going private transaction after the completion of an initial Business Combination. The Company will not deregister the Ordinary Shares under the Exchange Act (except in connection with a going private transaction after the completion of an initial Business Combination) without the prior written consent of the Representative.</w:t>
      </w:r>
    </w:p>
    <w:p>
      <w:pPr>
        <w:spacing w:after="0" w:line="161" w:lineRule="exact"/>
        <w:rPr>
          <w:rFonts w:ascii="Arial" w:cs="Arial" w:eastAsia="Arial" w:hAnsi="Arial"/>
          <w:sz w:val="16"/>
          <w:szCs w:val="16"/>
          <w:color w:val="auto"/>
        </w:rPr>
      </w:pPr>
    </w:p>
    <w:p>
      <w:pPr>
        <w:ind w:left="-460" w:firstLine="644"/>
        <w:spacing w:after="0" w:line="254" w:lineRule="auto"/>
        <w:tabs>
          <w:tab w:leader="none" w:pos="44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The Company shall, on the date hereof, retain its independent registered public accounting firm to audit the balance sheet of the Company as of the Closing Date (the “Audited Balance Sheet”) reflecting the receipt by the Company of the proceeds of the Offering on the Closing Date. As soon as the Audited Balance Sheet becomes available, the Company shall promptly, but not later than four Business Days after the Closing Date, file the Closing Form 8-K with the Commission, which report shall contain the Company’s Audited Balance Sheet. Additionally, if not disclosed on the Closing Form 8-K, upon the Company’s receipt of the proceeds from the exercise of all or any portion of the option provided for in Section 2(b) hereof, the Company shall promptly, but not later than four Business Days after the receipt of such proceeds, file a Current Report on Form 8-K with the Commission, which Report shall disclose the Company’s sale of the Option Securities and its receipt of the proceeds therefrom.</w:t>
      </w:r>
    </w:p>
    <w:p>
      <w:pPr>
        <w:spacing w:after="0" w:line="191" w:lineRule="exact"/>
        <w:rPr>
          <w:rFonts w:ascii="Arial" w:cs="Arial" w:eastAsia="Arial" w:hAnsi="Arial"/>
          <w:sz w:val="18"/>
          <w:szCs w:val="18"/>
          <w:color w:val="auto"/>
        </w:rPr>
      </w:pPr>
    </w:p>
    <w:p>
      <w:pPr>
        <w:ind w:left="-460" w:right="40" w:firstLine="644"/>
        <w:spacing w:after="0" w:line="275" w:lineRule="auto"/>
        <w:tabs>
          <w:tab w:leader="none" w:pos="40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For a period commencing on the Effective Date and ending at least five (5) years from the date of the consummation of the initial Business Combination or until such earlier time at which the Liquidation occurs or the Ordinary Shares and Warrants cease to be publicly traded, the Company, at its expense, shall cause its regularly engaged independent registered public accounting firm to review (but not audit) the Company’s financial statements for each of the first three fiscal quarters prior to the announcement of quarterly financial information, the filing of the Company’s Form 10-Q quarterly report and the mailing, if any, of quarterly financial information to shareholders.</w:t>
      </w:r>
    </w:p>
    <w:p>
      <w:pPr>
        <w:spacing w:after="0" w:line="176" w:lineRule="exact"/>
        <w:rPr>
          <w:rFonts w:ascii="Arial" w:cs="Arial" w:eastAsia="Arial" w:hAnsi="Arial"/>
          <w:sz w:val="17"/>
          <w:szCs w:val="17"/>
          <w:color w:val="auto"/>
        </w:rPr>
      </w:pPr>
    </w:p>
    <w:p>
      <w:pPr>
        <w:ind w:left="-460" w:right="20" w:firstLine="644"/>
        <w:spacing w:after="0" w:line="275" w:lineRule="auto"/>
        <w:tabs>
          <w:tab w:leader="none" w:pos="493" w:val="left"/>
        </w:tabs>
        <w:numPr>
          <w:ilvl w:val="0"/>
          <w:numId w:val="124"/>
        </w:numPr>
        <w:rPr>
          <w:rFonts w:ascii="Arial" w:cs="Arial" w:eastAsia="Arial" w:hAnsi="Arial"/>
          <w:sz w:val="17"/>
          <w:szCs w:val="17"/>
          <w:color w:val="auto"/>
        </w:rPr>
      </w:pPr>
      <w:r>
        <w:rPr>
          <w:rFonts w:ascii="Arial" w:cs="Arial" w:eastAsia="Arial" w:hAnsi="Arial"/>
          <w:sz w:val="17"/>
          <w:szCs w:val="17"/>
          <w:color w:val="auto"/>
        </w:rPr>
        <w:t>For a period of five (5) years from the Effective Date or until such earlier time that the Liquidation occurs or the Ordinary Shares and Warrants cease to be publicly traded, the Company will furnish to the Representative such copies of financial statements and other periodic and special reports as the Company from time to time furnishes generally to holders of any class of its securities and such additional documents and information with respect to the Company as the Representative may from time to time reasonably request. Any financial statements and reports filed on the Commission’s EDGAR website will be considered furnished for purposes of this Section 5.</w:t>
      </w:r>
    </w:p>
    <w:p>
      <w:pPr>
        <w:spacing w:after="0" w:line="385"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92" w:name="page193"/>
    <w:bookmarkEnd w:id="192"/>
    <w:p>
      <w:pPr>
        <w:ind w:left="-460" w:right="120" w:firstLine="644"/>
        <w:spacing w:after="0" w:line="263" w:lineRule="auto"/>
        <w:tabs>
          <w:tab w:leader="none" w:pos="44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a period commencing on the Effective Date and ending at least five (5) years from the date of the consummation of the initial Business Combination or until such earlier time at which the Liquidation occurs or the Ordinary Shares and Warrants cease to be publicly traded, the Company shall retain a transfer and warrant agent.</w:t>
      </w:r>
    </w:p>
    <w:p>
      <w:pPr>
        <w:spacing w:after="0" w:line="183" w:lineRule="exact"/>
        <w:rPr>
          <w:rFonts w:ascii="Arial" w:cs="Arial" w:eastAsia="Arial" w:hAnsi="Arial"/>
          <w:sz w:val="18"/>
          <w:szCs w:val="18"/>
          <w:color w:val="auto"/>
        </w:rPr>
      </w:pPr>
    </w:p>
    <w:p>
      <w:pPr>
        <w:ind w:left="-460" w:right="160" w:firstLine="644"/>
        <w:spacing w:after="0" w:line="263" w:lineRule="auto"/>
        <w:tabs>
          <w:tab w:leader="none" w:pos="44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In no event will the amounts payable by the Company under the Services Agreement be more than $10,000 per month in the aggregate for office space, secretarial support and administrative services until the earlier of the date of the consummation of the initial Business Combination or the Liquidation.</w:t>
      </w:r>
    </w:p>
    <w:p>
      <w:pPr>
        <w:spacing w:after="0" w:line="183" w:lineRule="exact"/>
        <w:rPr>
          <w:rFonts w:ascii="Arial" w:cs="Arial" w:eastAsia="Arial" w:hAnsi="Arial"/>
          <w:sz w:val="18"/>
          <w:szCs w:val="18"/>
          <w:color w:val="auto"/>
        </w:rPr>
      </w:pPr>
    </w:p>
    <w:p>
      <w:pPr>
        <w:ind w:left="-460" w:right="100" w:firstLine="644"/>
        <w:spacing w:after="0" w:line="272" w:lineRule="auto"/>
        <w:tabs>
          <w:tab w:leader="none" w:pos="443" w:val="left"/>
        </w:tabs>
        <w:numPr>
          <w:ilvl w:val="0"/>
          <w:numId w:val="125"/>
        </w:numPr>
        <w:rPr>
          <w:rFonts w:ascii="Arial" w:cs="Arial" w:eastAsia="Arial" w:hAnsi="Arial"/>
          <w:sz w:val="17"/>
          <w:szCs w:val="17"/>
          <w:color w:val="auto"/>
        </w:rPr>
      </w:pPr>
      <w:r>
        <w:rPr>
          <w:rFonts w:ascii="Arial" w:cs="Arial" w:eastAsia="Arial" w:hAnsi="Arial"/>
          <w:sz w:val="17"/>
          <w:szCs w:val="17"/>
          <w:color w:val="auto"/>
        </w:rPr>
        <w:t xml:space="preserve">Other than payments made pursuant to the terms of the Services Agreement and except as set forth in this subsection or the Registration Statement, the Statutory Prospectus and the Prospectus, the Company shall not pay the Sponsor or any of the Company’s executive officers, directors or any of their respective affiliates any fees or compensation of any kind (including finder’s fees and consulting fees) for services rendered to the Company prior to, or in connection with, the consummation of an initial Business Combination;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such officers, directors and affiliates (i) may receive reimbursement for out-of-pocket expenses incurred by them in connection with activities on the Company’s behalf to the extent that such expenses do not exceed the amount of available proceeds not deposited in the Trust Account and (ii) may be repaid loans and advances as described in the Registration Statement.</w:t>
      </w:r>
    </w:p>
    <w:p>
      <w:pPr>
        <w:spacing w:after="0" w:line="177" w:lineRule="exact"/>
        <w:rPr>
          <w:rFonts w:ascii="Arial" w:cs="Arial" w:eastAsia="Arial" w:hAnsi="Arial"/>
          <w:sz w:val="17"/>
          <w:szCs w:val="17"/>
          <w:color w:val="auto"/>
        </w:rPr>
      </w:pPr>
    </w:p>
    <w:p>
      <w:pPr>
        <w:ind w:left="-460" w:right="20" w:firstLine="644"/>
        <w:spacing w:after="0" w:line="263" w:lineRule="auto"/>
        <w:tabs>
          <w:tab w:leader="none" w:pos="440" w:val="left"/>
        </w:tabs>
        <w:numPr>
          <w:ilvl w:val="0"/>
          <w:numId w:val="125"/>
        </w:numPr>
        <w:rPr>
          <w:rFonts w:ascii="Arial" w:cs="Arial" w:eastAsia="Arial" w:hAnsi="Arial"/>
          <w:sz w:val="18"/>
          <w:szCs w:val="18"/>
          <w:color w:val="auto"/>
        </w:rPr>
      </w:pPr>
      <w:r>
        <w:rPr>
          <w:rFonts w:ascii="Arial" w:cs="Arial" w:eastAsia="Arial" w:hAnsi="Arial"/>
          <w:sz w:val="18"/>
          <w:szCs w:val="18"/>
          <w:color w:val="auto"/>
        </w:rPr>
        <w:t>The Company will apply the net proceeds from the Offering and the sale of the Private Placement Warrants received by it in a manner consistent in all material respects with the applications described under the caption “Use of Proceeds” in the Statutory Prospectus and the Prospectus.</w:t>
      </w:r>
    </w:p>
    <w:p>
      <w:pPr>
        <w:spacing w:after="0" w:line="183" w:lineRule="exact"/>
        <w:rPr>
          <w:rFonts w:ascii="Arial" w:cs="Arial" w:eastAsia="Arial" w:hAnsi="Arial"/>
          <w:sz w:val="18"/>
          <w:szCs w:val="18"/>
          <w:color w:val="auto"/>
        </w:rPr>
      </w:pPr>
    </w:p>
    <w:p>
      <w:pPr>
        <w:ind w:left="-460" w:firstLine="644"/>
        <w:spacing w:after="0" w:line="253" w:lineRule="auto"/>
        <w:tabs>
          <w:tab w:leader="none" w:pos="413" w:val="left"/>
        </w:tabs>
        <w:numPr>
          <w:ilvl w:val="0"/>
          <w:numId w:val="125"/>
        </w:numPr>
        <w:rPr>
          <w:rFonts w:ascii="Arial" w:cs="Arial" w:eastAsia="Arial" w:hAnsi="Arial"/>
          <w:sz w:val="18"/>
          <w:szCs w:val="18"/>
          <w:color w:val="auto"/>
        </w:rPr>
      </w:pPr>
      <w:r>
        <w:rPr>
          <w:rFonts w:ascii="Arial" w:cs="Arial" w:eastAsia="Arial" w:hAnsi="Arial"/>
          <w:sz w:val="18"/>
          <w:szCs w:val="18"/>
          <w:color w:val="auto"/>
        </w:rPr>
        <w:t>For a period of 90 days following the Effective Date, in the event any person or entity (regardless of any FINRA affiliation or association) is engaged to assist the Company in its search for a merger candidate or to provide any other merger and acquisition services, or has provided or will provide any investment banking, financial, advisory and/or consulting services to the Company, the Company agrees that it shall promptly provide to FINRA (via a FINRA submission), the Representative and its counsel a notification prior to entering into the agreement or transaction relating to a potential Business Combination: (i) the identity of the person or entity providing any such services; (ii) complete details of all such services and copies of all agreements governing such services; and (iii) justification as to why the value received by any person or entity for such services is not underwriting compensation for the Offering. The Company also agrees that proper disclosure of such arrangement or potential arrangement will be made in the tender offer materials or proxy statement, as applicable, which the Company may file in connection with the initial Business Combination for purposes of offering redemption of shares held by its shareholders or for soliciting shareholder approval, as applicable.</w:t>
      </w:r>
    </w:p>
    <w:p>
      <w:pPr>
        <w:spacing w:after="0" w:line="194" w:lineRule="exact"/>
        <w:rPr>
          <w:rFonts w:ascii="Arial" w:cs="Arial" w:eastAsia="Arial" w:hAnsi="Arial"/>
          <w:sz w:val="18"/>
          <w:szCs w:val="18"/>
          <w:color w:val="auto"/>
        </w:rPr>
      </w:pPr>
    </w:p>
    <w:p>
      <w:pPr>
        <w:ind w:left="-460" w:right="720" w:firstLine="644"/>
        <w:spacing w:after="0" w:line="342" w:lineRule="auto"/>
        <w:tabs>
          <w:tab w:leader="none" w:pos="420" w:val="left"/>
        </w:tabs>
        <w:numPr>
          <w:ilvl w:val="0"/>
          <w:numId w:val="125"/>
        </w:numPr>
        <w:rPr>
          <w:rFonts w:ascii="Arial" w:cs="Arial" w:eastAsia="Arial" w:hAnsi="Arial"/>
          <w:sz w:val="16"/>
          <w:szCs w:val="16"/>
          <w:color w:val="auto"/>
        </w:rPr>
      </w:pPr>
      <w:r>
        <w:rPr>
          <w:rFonts w:ascii="Arial" w:cs="Arial" w:eastAsia="Arial" w:hAnsi="Arial"/>
          <w:sz w:val="16"/>
          <w:szCs w:val="16"/>
          <w:color w:val="auto"/>
        </w:rPr>
        <w:t>The Company shall advise FINRA, the Representative and its counsel if it is aware that any 5% or greater shareholder of the Company becomes an affiliate or associated person of a Member participating in the distribution of the Company’s Securities.</w:t>
      </w:r>
    </w:p>
    <w:p>
      <w:pPr>
        <w:spacing w:after="0" w:line="33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193" w:name="page194"/>
    <w:bookmarkEnd w:id="193"/>
    <w:p>
      <w:pPr>
        <w:ind w:left="-460" w:right="60" w:firstLine="644"/>
        <w:spacing w:after="0" w:line="273" w:lineRule="auto"/>
        <w:tabs>
          <w:tab w:leader="none" w:pos="400" w:val="left"/>
        </w:tabs>
        <w:numPr>
          <w:ilvl w:val="0"/>
          <w:numId w:val="126"/>
        </w:numPr>
        <w:rPr>
          <w:rFonts w:ascii="Arial" w:cs="Arial" w:eastAsia="Arial" w:hAnsi="Arial"/>
          <w:sz w:val="17"/>
          <w:szCs w:val="17"/>
          <w:color w:val="auto"/>
        </w:rPr>
      </w:pPr>
      <w:r>
        <w:rPr>
          <w:rFonts w:ascii="Arial" w:cs="Arial" w:eastAsia="Arial" w:hAnsi="Arial"/>
          <w:sz w:val="17"/>
          <w:szCs w:val="17"/>
          <w:color w:val="auto"/>
        </w:rPr>
        <w:t>The Company shall cause the proceeds of the Offering and the portion of proceeds from the sale of the Private Placement Warrants to be held in the Trust Account to be invested only in United States government treasury bills with a maturity of 185 days or less or in money market funds meeting certain conditions under Rule 2a-7 under the Investment Company Act as set forth in the Trust Agreement and disclosed in the Statutory Prospectus and the Prospectus. The Company will otherwise conduct its business in a manner so that it will not become subject to the Investment Company Act. Furthermore, once the Company consummates an initial Business Combination, it will not be required to register as an investment company under the Investment Company Act.</w:t>
      </w:r>
    </w:p>
    <w:p>
      <w:pPr>
        <w:spacing w:after="0" w:line="177" w:lineRule="exact"/>
        <w:rPr>
          <w:rFonts w:ascii="Arial" w:cs="Arial" w:eastAsia="Arial" w:hAnsi="Arial"/>
          <w:sz w:val="17"/>
          <w:szCs w:val="17"/>
          <w:color w:val="auto"/>
        </w:rPr>
      </w:pPr>
    </w:p>
    <w:p>
      <w:pPr>
        <w:ind w:left="-460" w:firstLine="644"/>
        <w:spacing w:after="0" w:line="269" w:lineRule="auto"/>
        <w:tabs>
          <w:tab w:leader="none" w:pos="44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 xml:space="preserve">During the period prior to the Company’s initial Business Combination, the Company may instruct the Trustee to release interest from the Trust Account in the amounts necessary (i) to pay income tax obligations and (ii) to Public Shareholders who properly redeem their Public Shares (as defined herein) in connection with a vote to approve an amendment to the Charter that would affect the substance or timing of the Company's obligation to provide for the redemption of the Public Shares in connection with an initial Business Combination or to redeem 100% of the Public Shares if the Company does not consummate an initial Business Combination within eighteen (18) months after the Closing of the Offering. Otherwise, all funds held in the Trust Account (including any interest income earned on the amounts held in the Trust Account (net of taxes payable thereon)) will remain in the Trust Account until the earlier of the consummation of the Company’s initial Business Combination or the Liquidation;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of the Liquidation, up to $100,000 of interest income may be released to the Company if the proceeds of the Offering held outside of the Trust Account are not sufficient to cover the costs and expenses associated with implementing the Company’s plan of dissolution.</w:t>
      </w:r>
    </w:p>
    <w:p>
      <w:pPr>
        <w:spacing w:after="0" w:line="185" w:lineRule="exact"/>
        <w:rPr>
          <w:rFonts w:ascii="Arial" w:cs="Arial" w:eastAsia="Arial" w:hAnsi="Arial"/>
          <w:sz w:val="17"/>
          <w:szCs w:val="17"/>
          <w:color w:val="auto"/>
        </w:rPr>
      </w:pPr>
    </w:p>
    <w:p>
      <w:pPr>
        <w:ind w:left="-460" w:right="120" w:firstLine="644"/>
        <w:spacing w:after="0" w:line="293" w:lineRule="auto"/>
        <w:tabs>
          <w:tab w:leader="none" w:pos="44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Company shall not enter into an initial Business Combination with a target business that is affiliated with the Sponsor or any of the Company’s officers, directors or director nominees, unless the Company, or a committee of its independent directors, obtains an opinion from an independent investment banking firm which is a Member or an accounting firm that the initial Business Combination is fair to the Company from a financial point of view. For purposes of this paragraph (v), the requirements in the immediately preceding sentence shall not be applicable to a target business or company in which the Sponsor or any of the Company’s officers, directors, director nominees, special advisors or their affiliates holds a non-controlling interest in such entity consisting of debt securities or other debt obligations of such entity.</w:t>
      </w:r>
    </w:p>
    <w:p>
      <w:pPr>
        <w:spacing w:after="0" w:line="164" w:lineRule="exact"/>
        <w:rPr>
          <w:rFonts w:ascii="Arial" w:cs="Arial" w:eastAsia="Arial" w:hAnsi="Arial"/>
          <w:sz w:val="16"/>
          <w:szCs w:val="16"/>
          <w:color w:val="auto"/>
        </w:rPr>
      </w:pPr>
    </w:p>
    <w:p>
      <w:pPr>
        <w:jc w:val="both"/>
        <w:ind w:left="-460" w:right="160" w:firstLine="644"/>
        <w:spacing w:after="0" w:line="342" w:lineRule="auto"/>
        <w:tabs>
          <w:tab w:leader="none" w:pos="480" w:val="left"/>
        </w:tabs>
        <w:numPr>
          <w:ilvl w:val="0"/>
          <w:numId w:val="126"/>
        </w:numPr>
        <w:rPr>
          <w:rFonts w:ascii="Arial" w:cs="Arial" w:eastAsia="Arial" w:hAnsi="Arial"/>
          <w:sz w:val="16"/>
          <w:szCs w:val="16"/>
          <w:color w:val="auto"/>
        </w:rPr>
      </w:pPr>
      <w:r>
        <w:rPr>
          <w:rFonts w:ascii="Arial" w:cs="Arial" w:eastAsia="Arial" w:hAnsi="Arial"/>
          <w:sz w:val="16"/>
          <w:szCs w:val="16"/>
          <w:color w:val="auto"/>
        </w:rPr>
        <w:t>The Company will reserve and keep available that maximum number of its authorized but unissued securities that are issuable upon the exercise of any of the Warrants and the Private Placement Warrants outstanding from time to time and the conversion of the Founder Shares.</w:t>
      </w:r>
    </w:p>
    <w:p>
      <w:pPr>
        <w:spacing w:after="0" w:line="123" w:lineRule="exact"/>
        <w:rPr>
          <w:rFonts w:ascii="Arial" w:cs="Arial" w:eastAsia="Arial" w:hAnsi="Arial"/>
          <w:sz w:val="16"/>
          <w:szCs w:val="16"/>
          <w:color w:val="auto"/>
        </w:rPr>
      </w:pPr>
    </w:p>
    <w:p>
      <w:pPr>
        <w:ind w:left="-460" w:right="40" w:firstLine="644"/>
        <w:spacing w:after="0" w:line="286" w:lineRule="auto"/>
        <w:tabs>
          <w:tab w:leader="none" w:pos="443" w:val="left"/>
        </w:tabs>
        <w:numPr>
          <w:ilvl w:val="0"/>
          <w:numId w:val="126"/>
        </w:numPr>
        <w:rPr>
          <w:rFonts w:ascii="Arial" w:cs="Arial" w:eastAsia="Arial" w:hAnsi="Arial"/>
          <w:sz w:val="17"/>
          <w:szCs w:val="17"/>
          <w:color w:val="auto"/>
        </w:rPr>
      </w:pPr>
      <w:r>
        <w:rPr>
          <w:rFonts w:ascii="Arial" w:cs="Arial" w:eastAsia="Arial" w:hAnsi="Arial"/>
          <w:sz w:val="17"/>
          <w:szCs w:val="17"/>
          <w:color w:val="auto"/>
        </w:rPr>
        <w:t>Prior to the consummation of an initial Business Combination or the Liquidation, the Company shall not issue any Ordinary Shares, warrants or any options or other securities convertible into Ordinary Shares, or any preferred shares, in each case, that participate in any manner in the Trust Account or that vote as a class with the Ordinary Shares on an initial Business Combination.</w:t>
      </w:r>
    </w:p>
    <w:p>
      <w:pPr>
        <w:spacing w:after="0" w:line="37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4" w:name="page195"/>
    <w:bookmarkEnd w:id="194"/>
    <w:p>
      <w:pPr>
        <w:ind w:right="40" w:firstLine="644"/>
        <w:spacing w:after="0" w:line="286" w:lineRule="auto"/>
        <w:tabs>
          <w:tab w:leader="none" w:pos="903" w:val="left"/>
        </w:tabs>
        <w:numPr>
          <w:ilvl w:val="0"/>
          <w:numId w:val="127"/>
        </w:numPr>
        <w:rPr>
          <w:rFonts w:ascii="Arial" w:cs="Arial" w:eastAsia="Arial" w:hAnsi="Arial"/>
          <w:sz w:val="17"/>
          <w:szCs w:val="17"/>
          <w:color w:val="auto"/>
        </w:rPr>
      </w:pPr>
      <w:r>
        <w:rPr>
          <w:rFonts w:ascii="Arial" w:cs="Arial" w:eastAsia="Arial" w:hAnsi="Arial"/>
          <w:sz w:val="17"/>
          <w:szCs w:val="17"/>
          <w:color w:val="auto"/>
        </w:rPr>
        <w:t>Prior to the consummation of the initial Business Combination or the Liquidation, the Company shall cause its audit committee to review and approve all payments made to the Sponsor, any of the Company’s directors or officers, any special advisor, or any of the Company’s or their respective affiliates, other than those approved by the Company’s Board of Directors in connection with the Offering.</w:t>
      </w:r>
    </w:p>
    <w:p>
      <w:pPr>
        <w:spacing w:after="0" w:line="165" w:lineRule="exact"/>
        <w:rPr>
          <w:rFonts w:ascii="Arial" w:cs="Arial" w:eastAsia="Arial" w:hAnsi="Arial"/>
          <w:sz w:val="17"/>
          <w:szCs w:val="17"/>
          <w:color w:val="auto"/>
        </w:rPr>
      </w:pPr>
    </w:p>
    <w:p>
      <w:pPr>
        <w:ind w:right="300" w:firstLine="644"/>
        <w:spacing w:after="0" w:line="259" w:lineRule="auto"/>
        <w:tabs>
          <w:tab w:leader="none" w:pos="889" w:val="left"/>
        </w:tabs>
        <w:numPr>
          <w:ilvl w:val="0"/>
          <w:numId w:val="127"/>
        </w:numPr>
        <w:rPr>
          <w:rFonts w:ascii="Arial" w:cs="Arial" w:eastAsia="Arial" w:hAnsi="Arial"/>
          <w:sz w:val="18"/>
          <w:szCs w:val="18"/>
          <w:color w:val="auto"/>
        </w:rPr>
      </w:pPr>
      <w:r>
        <w:rPr>
          <w:rFonts w:ascii="Arial" w:cs="Arial" w:eastAsia="Arial" w:hAnsi="Arial"/>
          <w:sz w:val="18"/>
          <w:szCs w:val="18"/>
          <w:color w:val="auto"/>
        </w:rPr>
        <w:t>The Company agrees that it will use commercially reasonable efforts to prevent the Company from becoming subject to Rule 419 under the Act prior to the consummation of any Business Combination, including, but not limited to, using its best efforts to prevent any of the Company’s outstanding securities from being deemed to be a “penny stock” as defined in Rule 3a-51-1 under the Exchange Act during such period.</w:t>
      </w:r>
    </w:p>
    <w:p>
      <w:pPr>
        <w:spacing w:after="0" w:line="187" w:lineRule="exact"/>
        <w:rPr>
          <w:sz w:val="20"/>
          <w:szCs w:val="20"/>
          <w:color w:val="auto"/>
        </w:rPr>
      </w:pPr>
    </w:p>
    <w:p>
      <w:pPr>
        <w:ind w:firstLine="644"/>
        <w:spacing w:after="0" w:line="272" w:lineRule="auto"/>
        <w:tabs>
          <w:tab w:leader="none" w:pos="969" w:val="left"/>
        </w:tabs>
        <w:numPr>
          <w:ilvl w:val="0"/>
          <w:numId w:val="128"/>
        </w:numPr>
        <w:rPr>
          <w:rFonts w:ascii="Arial" w:cs="Arial" w:eastAsia="Arial" w:hAnsi="Arial"/>
          <w:sz w:val="17"/>
          <w:szCs w:val="17"/>
          <w:color w:val="auto"/>
        </w:rPr>
      </w:pPr>
      <w:r>
        <w:rPr>
          <w:rFonts w:ascii="Arial" w:cs="Arial" w:eastAsia="Arial" w:hAnsi="Arial"/>
          <w:sz w:val="17"/>
          <w:szCs w:val="17"/>
          <w:color w:val="auto"/>
        </w:rPr>
        <w:t>To the extent required by Rule 13a-15(e) under the Exchange Act, the Company will maintain “disclosure controls and procedures” (as defined under Rule 13a-15(e) under the Exchange Act) and, to the extent required by Rule 13a-15(f) under the Exchange Act, a system of internal accounting controls sufficient to provide reasonable assurances that (i) transactions are executed in accordance with management’s general or specific authorization, (ii) transactions are recorded as necessary in order to permit preparation of financial statements in accordance with generally accepted accounting principles and to maintain accountability for assets, (iii) access to assets is permitted only in accordance with management’s general or specific authorization, and (iv) the recorded accountability for assets is compared with existing assets at reasonable intervals and appropriate action is taken with respect to any differences.</w:t>
      </w:r>
    </w:p>
    <w:p>
      <w:pPr>
        <w:spacing w:after="0" w:line="177" w:lineRule="exact"/>
        <w:rPr>
          <w:rFonts w:ascii="Arial" w:cs="Arial" w:eastAsia="Arial" w:hAnsi="Arial"/>
          <w:sz w:val="17"/>
          <w:szCs w:val="17"/>
          <w:color w:val="auto"/>
        </w:rPr>
      </w:pPr>
    </w:p>
    <w:p>
      <w:pPr>
        <w:ind w:right="120" w:firstLine="644"/>
        <w:spacing w:after="0" w:line="254" w:lineRule="auto"/>
        <w:tabs>
          <w:tab w:leader="none" w:pos="989" w:val="left"/>
        </w:tabs>
        <w:numPr>
          <w:ilvl w:val="0"/>
          <w:numId w:val="128"/>
        </w:numPr>
        <w:rPr>
          <w:rFonts w:ascii="Arial" w:cs="Arial" w:eastAsia="Arial" w:hAnsi="Arial"/>
          <w:sz w:val="18"/>
          <w:szCs w:val="18"/>
          <w:color w:val="auto"/>
        </w:rPr>
      </w:pPr>
      <w:r>
        <w:rPr>
          <w:rFonts w:ascii="Arial" w:cs="Arial" w:eastAsia="Arial" w:hAnsi="Arial"/>
          <w:sz w:val="18"/>
          <w:szCs w:val="18"/>
          <w:color w:val="auto"/>
        </w:rPr>
        <w:t>The Company will use commercially reasonable efforts to effect and, for a period commencing on the Effective Date (i) and ending at least five (5) years from the date of the consummation of the initial Business Combination or until such earlier time at which the Liquidation occurs or the Ordinary Shares and Warrants cease to be publicly traded, maintain the listing of the Ordinary Shares and (ii) ending on the date of the consummation of the initial Business Combination or until such earlier time at which the Liquidation occurs and the Ordinary Shares and Warrants cease to be publicly traded, maintain the listing of the Securities and Warrants on the New York Stock Exchange (or another national securities exchange); however if all of the outstanding Securities separate into their component parts, the Company will no longer be required to maintain the listing of the Securities.</w:t>
      </w:r>
    </w:p>
    <w:p>
      <w:pPr>
        <w:spacing w:after="0" w:line="194" w:lineRule="exact"/>
        <w:rPr>
          <w:rFonts w:ascii="Arial" w:cs="Arial" w:eastAsia="Arial" w:hAnsi="Arial"/>
          <w:sz w:val="18"/>
          <w:szCs w:val="18"/>
          <w:color w:val="auto"/>
        </w:rPr>
      </w:pPr>
    </w:p>
    <w:p>
      <w:pPr>
        <w:ind w:right="40" w:firstLine="644"/>
        <w:spacing w:after="0" w:line="286" w:lineRule="auto"/>
        <w:tabs>
          <w:tab w:leader="none" w:pos="963" w:val="left"/>
        </w:tabs>
        <w:numPr>
          <w:ilvl w:val="0"/>
          <w:numId w:val="128"/>
        </w:numPr>
        <w:rPr>
          <w:rFonts w:ascii="Arial" w:cs="Arial" w:eastAsia="Arial" w:hAnsi="Arial"/>
          <w:sz w:val="17"/>
          <w:szCs w:val="17"/>
          <w:color w:val="auto"/>
        </w:rPr>
      </w:pPr>
      <w:r>
        <w:rPr>
          <w:rFonts w:ascii="Arial" w:cs="Arial" w:eastAsia="Arial" w:hAnsi="Arial"/>
          <w:sz w:val="17"/>
          <w:szCs w:val="17"/>
          <w:color w:val="auto"/>
        </w:rPr>
        <w:t>As soon as legally required to do so, the Company and its directors and officers, in their capacities as such, have taken or shall take all actions necessary to comply with any applicable provisions of the Sarbanes-Oxley Act, including Section 402 related to loans and Sections 302 and 906 related to certifications, and to comply with the requirements of the New York Stock Exchange’s Listing Standards.</w:t>
      </w:r>
    </w:p>
    <w:p>
      <w:pPr>
        <w:spacing w:after="0" w:line="165" w:lineRule="exact"/>
        <w:rPr>
          <w:rFonts w:ascii="Arial" w:cs="Arial" w:eastAsia="Arial" w:hAnsi="Arial"/>
          <w:sz w:val="17"/>
          <w:szCs w:val="17"/>
          <w:color w:val="auto"/>
        </w:rPr>
      </w:pPr>
    </w:p>
    <w:p>
      <w:pPr>
        <w:ind w:left="980" w:hanging="336"/>
        <w:spacing w:after="0"/>
        <w:tabs>
          <w:tab w:leader="none" w:pos="980" w:val="left"/>
        </w:tabs>
        <w:numPr>
          <w:ilvl w:val="0"/>
          <w:numId w:val="128"/>
        </w:numPr>
        <w:rPr>
          <w:rFonts w:ascii="Arial" w:cs="Arial" w:eastAsia="Arial" w:hAnsi="Arial"/>
          <w:sz w:val="16"/>
          <w:szCs w:val="16"/>
          <w:color w:val="auto"/>
        </w:rPr>
      </w:pPr>
      <w:r>
        <w:rPr>
          <w:rFonts w:ascii="Arial" w:cs="Arial" w:eastAsia="Arial" w:hAnsi="Arial"/>
          <w:sz w:val="16"/>
          <w:szCs w:val="16"/>
          <w:color w:val="auto"/>
        </w:rPr>
        <w:t>The Company shall not take any action or omit to take any action that would cause the Company to be in breach or violation of the</w:t>
      </w:r>
    </w:p>
    <w:p>
      <w:pPr>
        <w:spacing w:after="0" w:line="46" w:lineRule="exact"/>
        <w:rPr>
          <w:rFonts w:ascii="Arial" w:cs="Arial" w:eastAsia="Arial" w:hAnsi="Arial"/>
          <w:sz w:val="16"/>
          <w:szCs w:val="16"/>
          <w:color w:val="auto"/>
        </w:rPr>
      </w:pPr>
    </w:p>
    <w:p>
      <w:pPr>
        <w:spacing w:after="0"/>
        <w:rPr>
          <w:rFonts w:ascii="Arial" w:cs="Arial" w:eastAsia="Arial" w:hAnsi="Arial"/>
          <w:sz w:val="16"/>
          <w:szCs w:val="16"/>
          <w:color w:val="auto"/>
        </w:rPr>
      </w:pPr>
      <w:r>
        <w:rPr>
          <w:rFonts w:ascii="Arial" w:cs="Arial" w:eastAsia="Arial" w:hAnsi="Arial"/>
          <w:sz w:val="18"/>
          <w:szCs w:val="18"/>
          <w:color w:val="auto"/>
        </w:rPr>
        <w:t>Charter.</w:t>
      </w:r>
    </w:p>
    <w:p>
      <w:pPr>
        <w:spacing w:after="0" w:line="200" w:lineRule="exact"/>
        <w:rPr>
          <w:sz w:val="20"/>
          <w:szCs w:val="20"/>
          <w:color w:val="auto"/>
        </w:rPr>
      </w:pPr>
    </w:p>
    <w:p>
      <w:pPr>
        <w:spacing w:after="0" w:line="220" w:lineRule="exact"/>
        <w:rPr>
          <w:sz w:val="20"/>
          <w:szCs w:val="20"/>
          <w:color w:val="auto"/>
        </w:rPr>
      </w:pPr>
    </w:p>
    <w:p>
      <w:pPr>
        <w:ind w:left="4860"/>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6985</wp:posOffset>
            </wp:positionV>
            <wp:extent cx="7132320" cy="1714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580"/>
          </w:cols>
          <w:pgMar w:left="980" w:top="908" w:right="339" w:bottom="1440" w:gutter="0" w:footer="0" w:header="0"/>
        </w:sectPr>
      </w:pPr>
    </w:p>
    <w:bookmarkStart w:id="195" w:name="page196"/>
    <w:bookmarkEnd w:id="195"/>
    <w:p>
      <w:pPr>
        <w:ind w:left="-460" w:right="140" w:firstLine="644"/>
        <w:spacing w:after="0" w:line="255" w:lineRule="auto"/>
        <w:tabs>
          <w:tab w:leader="none" w:pos="509" w:val="left"/>
        </w:tabs>
        <w:numPr>
          <w:ilvl w:val="0"/>
          <w:numId w:val="129"/>
        </w:numPr>
        <w:rPr>
          <w:rFonts w:ascii="Arial" w:cs="Arial" w:eastAsia="Arial" w:hAnsi="Arial"/>
          <w:sz w:val="18"/>
          <w:szCs w:val="18"/>
          <w:color w:val="auto"/>
        </w:rPr>
      </w:pPr>
      <w:r>
        <w:rPr>
          <w:rFonts w:ascii="Arial" w:cs="Arial" w:eastAsia="Arial" w:hAnsi="Arial"/>
          <w:sz w:val="18"/>
          <w:szCs w:val="18"/>
          <w:color w:val="auto"/>
        </w:rPr>
        <w:t>The Company will seek to have vendors, service providers (other than independent accountants), prospective target businesses or other entities with which it does business enter into agreements waiving any right, title, interest or claim of any kind in or to any monies held in the Trust Account for the benefit of the Public Shareholders. If a prospective target business or vendors, service providers or third party were to refuse to enter into such a waiver, the Company will consider whether competitive alternatives are reasonably available to the Company, and will only enter into an agreement with such target business or engage such third party if the Company determines that doing so would be in the best interests of the Company under the circumstances.</w:t>
      </w:r>
    </w:p>
    <w:p>
      <w:pPr>
        <w:spacing w:after="0" w:line="192" w:lineRule="exact"/>
        <w:rPr>
          <w:rFonts w:ascii="Arial" w:cs="Arial" w:eastAsia="Arial" w:hAnsi="Arial"/>
          <w:sz w:val="18"/>
          <w:szCs w:val="18"/>
          <w:color w:val="auto"/>
        </w:rPr>
      </w:pPr>
    </w:p>
    <w:p>
      <w:pPr>
        <w:ind w:left="-460" w:firstLine="644"/>
        <w:spacing w:after="0" w:line="283" w:lineRule="auto"/>
        <w:tabs>
          <w:tab w:leader="none" w:pos="466" w:val="left"/>
        </w:tabs>
        <w:numPr>
          <w:ilvl w:val="0"/>
          <w:numId w:val="129"/>
        </w:numPr>
        <w:rPr>
          <w:rFonts w:ascii="Arial" w:cs="Arial" w:eastAsia="Arial" w:hAnsi="Arial"/>
          <w:sz w:val="16"/>
          <w:szCs w:val="16"/>
          <w:color w:val="auto"/>
        </w:rPr>
      </w:pPr>
      <w:r>
        <w:rPr>
          <w:rFonts w:ascii="Arial" w:cs="Arial" w:eastAsia="Arial" w:hAnsi="Arial"/>
          <w:sz w:val="16"/>
          <w:szCs w:val="16"/>
          <w:color w:val="auto"/>
        </w:rPr>
        <w:t xml:space="preserve">The Company may consummate the initial Business Combination and conduct redemptions of Ordinary Shares for cash upon consummation of such Business Combination without a shareholder vote pursuant to Rule 13e-4 and Regulation 14E of the Exchange Act, including the filing of tender offer documents with the Commission. Such tender offer documents will contain substantially the same financial and other information about the initial Business Combination and the redemption rights as is required under the Commission’s proxy rules and will provide each shareholder of the Company with the opportunity prior to the consummation of the initial Business Combination to redeem the Ordinary Shares held by such shareholder for an amount of cash equal to (A) the aggregate amount then on deposit in the Trust Account as of two Business Days prior to the consummation of the initial Business Combination representing (x) the proceeds held in the Trust Account from the Offering and certain of the proceeds from the sale of the Private Placement Warrants and (y) any interest income earned on the funds held in the Trust Account not released to the Company to pay income taxes payable, divided by (B) the total number of Ordinary Shares sold as part of the Units in the Offering (the “Public Shares”) then outstanding. If, </w:t>
      </w:r>
      <w:r>
        <w:rPr>
          <w:rFonts w:ascii="Arial" w:cs="Arial" w:eastAsia="Arial" w:hAnsi="Arial"/>
          <w:sz w:val="16"/>
          <w:szCs w:val="16"/>
          <w:u w:val="single" w:color="auto"/>
          <w:color w:val="auto"/>
        </w:rPr>
        <w:t>however</w:t>
      </w:r>
      <w:r>
        <w:rPr>
          <w:rFonts w:ascii="Arial" w:cs="Arial" w:eastAsia="Arial" w:hAnsi="Arial"/>
          <w:sz w:val="16"/>
          <w:szCs w:val="16"/>
          <w:color w:val="auto"/>
        </w:rPr>
        <w:t>, the Company elects not to file such tender offer documents, a shareholder vote is required by law or applicable stock exchange rule in connection with the initial Business Combination, or the Company decides to hold a shareholder vote for business or other legal reasons, the Company will submit such Business Combination to the Company’s shareholders for their approval (“Business Combination Vote”). With respect to the initial Business Combination Vote, if any, the Sponsor has agreed to vote all of its Founder Shares and any applicable shares purchased during or after the Offering and the members of the Company’s management team have agreed to vote all of their Ordinary Shares purchased during or after the Offering, in favor of the Company’s initial Business Combination. If the Company seeks shareholder approval of the initial Business Combination, the Company will offer to each Public Shareholder holding Ordinary Shares the right to have its shares redeemed in conjunction with a proxy solicitation pursuant to the proxy rules of the Commission at a per share redemption price (the “Redemption Price”) equal to (I) the aggregate amount then on deposit in the Trust Account as of two Business Days prior to the consummation of the initial Business Combination representing (1) the proceeds held in the Trust Account from the Offering and certain of the proceeds from the sale of the Private Placement Warrants and (2) any interest income earned on the funds held in the Trust Account not previously released to pay its income taxes payable, divided by (II) the total number of Public Shares then outstanding. If the Company seeks shareholder approval of the initial Business Combination, the Company may proceed with such Business Combination only if a majority of the shares voted are voted to approve such Business Combination. If, after seeking and receiving such shareholder approval, the Company elects to so proceed, it will redeem Public Shares, at the Redemption Price, from those Public Shareholders who affirmatively requested such redemption. Only Public Shareholders holding Ordinary Shares who properly exercise their redemption rights, in accordance with the applicable tender offer or proxy materials related to such Business Combination, shall be entitled to receive distributions from the Trust Account in connection with an initial Business Combination, and the Company shall pay no distributions with respect to any other holders or shares of equity interests in the Company in connection therewith. In the event that the Company does not effect an initial Business Combination by eighteen (18) months from the closing of the Offering (or such dated as extended), the Company will (i) cease all operations except for the purpose of winding up, (ii) as promptly as reasonably possible but not more than ten (10) Business Days thereafter, redeem the Public Shares, at a per-share price, payable in cash, equal to the aggregate amount then on deposit in the Trust Account, including interest (less up to $100,000 of interest to pay dissolution expenses and net of taxes payable) divided by the number of then outstanding Public Shares, which redemption will completely extinguish Public Shareholders’ rights as shareholders (including the right to receive further liquidation distributions, if any) and (iii) as promptly as reasonably possible following such redemption, subject to the approval of the Company’s remaining shareholders and the Company’s board of directors, dissolve and liquidate, subject in each case to the Company’s obligations under Cayman Islands law to provide for claims of creditors and the requirements of other applicable law. Only Public Shareholders holding Ordinary Shares included in the Securities or Units shall be entitled to receive such redemption amounts and the Company shall pay no such redemption amounts or any distributions in liquidation with respect to any other shares of equity interests of the Company. The Company will not propose any amendment to the Charter that would affect the substance or timing of the Company’s obligation to provide for the redemption of the Public Shares in connection with an initial Business Combination or to redeem 100% of the outstanding Public Shares if the Company has not consummated an initial Business Combination within eighteen (18) months from the closing of the Offering, unless the Company offers to redeem the Public Shares in connection with such amendment, as described in the Statutory Prospectus and Prospectus, subject to Article 49 of the Charter.</w:t>
      </w: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6" w:name="page197"/>
    <w:bookmarkEnd w:id="196"/>
    <w:p>
      <w:pPr>
        <w:ind w:left="-460" w:right="160" w:firstLine="644"/>
        <w:spacing w:after="0" w:line="254" w:lineRule="auto"/>
        <w:tabs>
          <w:tab w:leader="none" w:pos="53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In the event that the Company desires or is required by an applicable law or regulation to cause an announcement (“Business Combination Announcement”) to be placed in The Wall Street Journal, The New York Times or any other news or media publication or outlet or to be made via a public filing with the Commission announcing the consummation of the initial Business Combination that indicates that the Underwriters were the underwriters in the Offering, the Company shall supply the Representative with a draft of the Business Combination Announcement and provide the Representative with a reasonable advance opportunity to comment thereon, subject to the agreement of the Underwriters to keep confidential such draft announcement in accordance with the Representative’s standard policies regarding confidential information.</w:t>
      </w:r>
    </w:p>
    <w:p>
      <w:pPr>
        <w:spacing w:after="0" w:line="194" w:lineRule="exact"/>
        <w:rPr>
          <w:rFonts w:ascii="Arial" w:cs="Arial" w:eastAsia="Arial" w:hAnsi="Arial"/>
          <w:sz w:val="18"/>
          <w:szCs w:val="18"/>
          <w:color w:val="auto"/>
        </w:rPr>
      </w:pPr>
    </w:p>
    <w:p>
      <w:pPr>
        <w:ind w:left="-460" w:right="100" w:firstLine="644"/>
        <w:spacing w:after="0" w:line="254" w:lineRule="auto"/>
        <w:tabs>
          <w:tab w:leader="none" w:pos="533" w:val="left"/>
        </w:tabs>
        <w:numPr>
          <w:ilvl w:val="0"/>
          <w:numId w:val="130"/>
        </w:numPr>
        <w:rPr>
          <w:rFonts w:ascii="Arial" w:cs="Arial" w:eastAsia="Arial" w:hAnsi="Arial"/>
          <w:sz w:val="18"/>
          <w:szCs w:val="18"/>
          <w:color w:val="auto"/>
        </w:rPr>
      </w:pPr>
      <w:r>
        <w:rPr>
          <w:rFonts w:ascii="Arial" w:cs="Arial" w:eastAsia="Arial" w:hAnsi="Arial"/>
          <w:sz w:val="18"/>
          <w:szCs w:val="18"/>
          <w:color w:val="auto"/>
        </w:rPr>
        <w:t>Upon the consummation of the initial Business Combination, the Company will cause the Trustee to pay to the Representative, on behalf of the Underwriters, the Deferred Discount. Payment of the Deferred Discount will be made out of the proceeds of the Offering held in the Trust Account. The Underwriters shall have no claim to payment of any interest earned on the portion of the proceeds held in the Trust Account representing the Deferred Discount. If the Company fails to consummate its initial Business Combination within the time period prescribed in the Charter, the Deferred Discount will not be paid to the Representative and will, instead, be included in the Liquidation distribution of the proceeds held in the Trust Account made to the Public Shareholders. In connection with any such Liquidation, the Underwriters will forfeit any rights or claims to the Deferred Discount.</w:t>
      </w:r>
    </w:p>
    <w:p>
      <w:pPr>
        <w:spacing w:after="0" w:line="194" w:lineRule="exact"/>
        <w:rPr>
          <w:rFonts w:ascii="Arial" w:cs="Arial" w:eastAsia="Arial" w:hAnsi="Arial"/>
          <w:sz w:val="18"/>
          <w:szCs w:val="18"/>
          <w:color w:val="auto"/>
        </w:rPr>
      </w:pPr>
    </w:p>
    <w:p>
      <w:pPr>
        <w:ind w:left="-460" w:right="80" w:firstLine="644"/>
        <w:spacing w:after="0" w:line="288" w:lineRule="auto"/>
        <w:tabs>
          <w:tab w:leader="none" w:pos="45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 xml:space="preserve">The Company will endeavor in good faith, in cooperation with the Representative, at or prior to the time the Registration Statement becomes effective, to qualify the Securities for offering and sale under the securities laws of such jurisdictions as the Representative may reasonably designate and will maintain such qualifications in effect so long as required for the distribution of the Securities,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such qualification shall be required in any jurisdiction where, as a result thereof, the Company would be subject to service of general process or to taxation as a foreign corporation doing business in such jurisdiction. Until the earliest of (i) the date on which all Underwriters shall have ceased to engage in market-making activities in respect of the Securities, (ii) the date on which the Securities are listed on the New York Stock Exchange (or any successor thereto), (iii) a going private transaction after the completion of an initial Business Combination, and (iv) the date of the liquidation of the Company, in each jurisdiction where such qualification shall be effected, the Company will, unless the Representative agrees that such action is not at the time necessary or advisable, use all reasonable efforts to file and make such statements or reports at such times as are or may be required to qualify the Securities for offering and sale under the securities laws of such jurisdiction.</w:t>
      </w:r>
    </w:p>
    <w:p>
      <w:pPr>
        <w:spacing w:after="0" w:line="168" w:lineRule="exact"/>
        <w:rPr>
          <w:rFonts w:ascii="Arial" w:cs="Arial" w:eastAsia="Arial" w:hAnsi="Arial"/>
          <w:sz w:val="16"/>
          <w:szCs w:val="16"/>
          <w:color w:val="auto"/>
        </w:rPr>
      </w:pPr>
    </w:p>
    <w:p>
      <w:pPr>
        <w:ind w:left="-460" w:firstLine="644"/>
        <w:spacing w:after="0" w:line="293" w:lineRule="auto"/>
        <w:tabs>
          <w:tab w:leader="none" w:pos="453" w:val="left"/>
        </w:tabs>
        <w:numPr>
          <w:ilvl w:val="0"/>
          <w:numId w:val="130"/>
        </w:numPr>
        <w:rPr>
          <w:rFonts w:ascii="Arial" w:cs="Arial" w:eastAsia="Arial" w:hAnsi="Arial"/>
          <w:sz w:val="16"/>
          <w:szCs w:val="16"/>
          <w:color w:val="auto"/>
        </w:rPr>
      </w:pPr>
      <w:r>
        <w:rPr>
          <w:rFonts w:ascii="Arial" w:cs="Arial" w:eastAsia="Arial" w:hAnsi="Arial"/>
          <w:sz w:val="16"/>
          <w:szCs w:val="16"/>
          <w:color w:val="auto"/>
        </w:rPr>
        <w:t>If at any time following the distribution of any Written Testing-the-Waters Communication, any event occurs as a result of which such Written Testing-the-Waters Communication would include any untrue statement of a material fact or omit to state any material fact necessary to make the statements therein in the light of the circumstances under which they were made at such time, not misleading, the Company will promptly (i) notify the Representative so that use of the Written Testing-the-Waters Communication may cease until it is amended or supplemented; (ii) amend or supplement, at its own expense, such Written Testing-the-Waters Communication to eliminate or correct such statement or omission; and (iii) supply any amendment or supplement to the Representative in such quantities as may be reasonably requested.</w:t>
      </w:r>
    </w:p>
    <w:p>
      <w:pPr>
        <w:spacing w:after="0" w:line="164" w:lineRule="exact"/>
        <w:rPr>
          <w:rFonts w:ascii="Arial" w:cs="Arial" w:eastAsia="Arial" w:hAnsi="Arial"/>
          <w:sz w:val="16"/>
          <w:szCs w:val="16"/>
          <w:color w:val="auto"/>
        </w:rPr>
      </w:pPr>
    </w:p>
    <w:p>
      <w:pPr>
        <w:jc w:val="both"/>
        <w:ind w:left="-460" w:right="60" w:firstLine="644"/>
        <w:spacing w:after="0" w:line="263" w:lineRule="auto"/>
        <w:tabs>
          <w:tab w:leader="none" w:pos="529" w:val="left"/>
        </w:tabs>
        <w:numPr>
          <w:ilvl w:val="0"/>
          <w:numId w:val="130"/>
        </w:numPr>
        <w:rPr>
          <w:rFonts w:ascii="Arial" w:cs="Arial" w:eastAsia="Arial" w:hAnsi="Arial"/>
          <w:sz w:val="18"/>
          <w:szCs w:val="18"/>
          <w:color w:val="auto"/>
        </w:rPr>
      </w:pPr>
      <w:r>
        <w:rPr>
          <w:rFonts w:ascii="Arial" w:cs="Arial" w:eastAsia="Arial" w:hAnsi="Arial"/>
          <w:sz w:val="18"/>
          <w:szCs w:val="18"/>
          <w:color w:val="auto"/>
        </w:rPr>
        <w:t>The Company will promptly notify the Representative if the Company ceases to be an Emerging Growth Company at any time prior to the later of (i) completion of the distribution of the Securities within the meaning of the Act and (ii) completion of the 180-day restricted period referred to in paragraph (g) hereof.</w:t>
      </w:r>
    </w:p>
    <w:p>
      <w:pPr>
        <w:spacing w:after="0" w:line="392"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197" w:name="page198"/>
    <w:bookmarkEnd w:id="197"/>
    <w:p>
      <w:pPr>
        <w:ind w:left="620" w:right="220" w:firstLine="644"/>
        <w:spacing w:after="0" w:line="342" w:lineRule="auto"/>
        <w:tabs>
          <w:tab w:leader="none" w:pos="1530" w:val="left"/>
        </w:tabs>
        <w:numPr>
          <w:ilvl w:val="0"/>
          <w:numId w:val="131"/>
        </w:numPr>
        <w:rPr>
          <w:rFonts w:ascii="Arial" w:cs="Arial" w:eastAsia="Arial" w:hAnsi="Arial"/>
          <w:sz w:val="16"/>
          <w:szCs w:val="16"/>
          <w:color w:val="auto"/>
        </w:rPr>
      </w:pPr>
      <w:r>
        <w:rPr>
          <w:rFonts w:ascii="Arial" w:cs="Arial" w:eastAsia="Arial" w:hAnsi="Arial"/>
          <w:sz w:val="16"/>
          <w:szCs w:val="16"/>
          <w:color w:val="auto"/>
        </w:rPr>
        <w:t>The Company will deliver to the Representative executed copies of the Trust Agreement, the Warrant Agreement, the Founder’s Purchase Agreement, the Warrant Subscription Agreement, the Services Agreement, the Registration Rights Agreement and the Insider Letters.</w:t>
      </w:r>
    </w:p>
    <w:p>
      <w:pPr>
        <w:spacing w:after="0" w:line="124" w:lineRule="exact"/>
        <w:rPr>
          <w:sz w:val="20"/>
          <w:szCs w:val="20"/>
          <w:color w:val="auto"/>
        </w:rPr>
      </w:pPr>
    </w:p>
    <w:p>
      <w:pPr>
        <w:ind w:left="-40" w:firstLine="1304"/>
        <w:spacing w:after="0" w:line="257" w:lineRule="auto"/>
        <w:tabs>
          <w:tab w:leader="none" w:pos="1436" w:val="left"/>
        </w:tabs>
        <w:numPr>
          <w:ilvl w:val="0"/>
          <w:numId w:val="132"/>
        </w:numPr>
        <w:rPr>
          <w:rFonts w:ascii="Arial" w:cs="Arial" w:eastAsia="Arial" w:hAnsi="Arial"/>
          <w:sz w:val="18"/>
          <w:szCs w:val="18"/>
          <w:color w:val="auto"/>
        </w:rPr>
      </w:pPr>
      <w:r>
        <w:rPr>
          <w:rFonts w:ascii="Arial" w:cs="Arial" w:eastAsia="Arial" w:hAnsi="Arial"/>
          <w:sz w:val="18"/>
          <w:szCs w:val="18"/>
          <w:u w:val="single" w:color="auto"/>
          <w:color w:val="auto"/>
        </w:rPr>
        <w:t>Conditions to the Obligations of the Underwriters</w:t>
      </w:r>
      <w:r>
        <w:rPr>
          <w:rFonts w:ascii="Arial" w:cs="Arial" w:eastAsia="Arial" w:hAnsi="Arial"/>
          <w:sz w:val="18"/>
          <w:szCs w:val="18"/>
          <w:color w:val="auto"/>
        </w:rPr>
        <w:t>. The obligations of the Underwriters to purchase the Underwritten Securities and the Option Securities, as the case may be, shall be subject to the accuracy of the representations and warranties on the part of the Company contained herein as of the Execution Time, the Closing Date and any settlement date pursuant to Section 3 hereof, to the accuracy of the statements of the Company made in any certificates pursuant to the provisions hereof, to the performance by the Company of its obligations hereunder and to the following additional conditions:</w:t>
      </w:r>
    </w:p>
    <w:p>
      <w:pPr>
        <w:spacing w:after="0" w:line="188" w:lineRule="exact"/>
        <w:rPr>
          <w:sz w:val="20"/>
          <w:szCs w:val="20"/>
          <w:color w:val="auto"/>
        </w:rPr>
      </w:pPr>
    </w:p>
    <w:p>
      <w:pPr>
        <w:ind w:left="620" w:right="180" w:firstLine="644"/>
        <w:spacing w:after="0" w:line="263" w:lineRule="auto"/>
        <w:tabs>
          <w:tab w:leader="none" w:pos="150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Prospectus, and any supplement thereto, have been filed in the manner and within the time period required by Rule 424(b); and no stop order suspending the effectiveness of the Registration Statement or any notice objecting to its use shall have been issued and no proceedings for that purpose shall have been instituted or threatened.</w:t>
      </w:r>
    </w:p>
    <w:p>
      <w:pPr>
        <w:spacing w:after="0" w:line="183" w:lineRule="exact"/>
        <w:rPr>
          <w:rFonts w:ascii="Arial" w:cs="Arial" w:eastAsia="Arial" w:hAnsi="Arial"/>
          <w:sz w:val="18"/>
          <w:szCs w:val="18"/>
          <w:color w:val="auto"/>
        </w:rPr>
      </w:pPr>
    </w:p>
    <w:p>
      <w:pPr>
        <w:ind w:left="620" w:right="360" w:firstLine="644"/>
        <w:spacing w:after="0" w:line="263" w:lineRule="auto"/>
        <w:tabs>
          <w:tab w:leader="none" w:pos="15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Company shall have requested and caused Kirkland &amp; Ellis LLP, counsel for the Company, to have furnished to the Representative its opinions (including negative assurance statements) dated the Closing Date and addressed to the Representative in form and substance acceptable to the Representative.</w:t>
      </w:r>
    </w:p>
    <w:p>
      <w:pPr>
        <w:spacing w:after="0" w:line="183" w:lineRule="exact"/>
        <w:rPr>
          <w:rFonts w:ascii="Arial" w:cs="Arial" w:eastAsia="Arial" w:hAnsi="Arial"/>
          <w:sz w:val="18"/>
          <w:szCs w:val="18"/>
          <w:color w:val="auto"/>
        </w:rPr>
      </w:pPr>
    </w:p>
    <w:p>
      <w:pPr>
        <w:ind w:left="620" w:firstLine="644"/>
        <w:spacing w:after="0" w:line="342" w:lineRule="auto"/>
        <w:tabs>
          <w:tab w:leader="none" w:pos="1509"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Company shall have requested and caused Maples and Calder, Cayman Islands counsel for the Company, to have furnished to the Representative its opinions dated the Closing Date and addressed to the Representative in form and substance acceptable to the Representative.</w:t>
      </w:r>
    </w:p>
    <w:p>
      <w:pPr>
        <w:spacing w:after="0" w:line="123" w:lineRule="exact"/>
        <w:rPr>
          <w:rFonts w:ascii="Arial" w:cs="Arial" w:eastAsia="Arial" w:hAnsi="Arial"/>
          <w:sz w:val="16"/>
          <w:szCs w:val="16"/>
          <w:color w:val="auto"/>
        </w:rPr>
      </w:pPr>
    </w:p>
    <w:p>
      <w:pPr>
        <w:ind w:left="620" w:firstLine="644"/>
        <w:spacing w:after="0" w:line="257" w:lineRule="auto"/>
        <w:tabs>
          <w:tab w:leader="none" w:pos="152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Representative shall have received from Davis Polk &amp; Wardwell LLP, counsel for the Underwriters, such opinion or opinions and negative assurance letter, dated the Closing Date and addressed to the Representative, with respect to the issuance and sale of the Securities, the Registration Statement, the Statutory Prospectus, the Prospectus (together with any supplement thereto) and other related matters as the Representative may reasonably require, and the Company shall have furnished to such counsel such documents as they request for the purpose of enabling them to pass upon such matters.</w:t>
      </w:r>
    </w:p>
    <w:p>
      <w:pPr>
        <w:spacing w:after="0" w:line="187" w:lineRule="exact"/>
        <w:rPr>
          <w:rFonts w:ascii="Arial" w:cs="Arial" w:eastAsia="Arial" w:hAnsi="Arial"/>
          <w:sz w:val="18"/>
          <w:szCs w:val="18"/>
          <w:color w:val="auto"/>
        </w:rPr>
      </w:pPr>
    </w:p>
    <w:p>
      <w:pPr>
        <w:ind w:left="620" w:right="40" w:firstLine="644"/>
        <w:spacing w:after="0" w:line="259" w:lineRule="auto"/>
        <w:tabs>
          <w:tab w:leader="none" w:pos="1509"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 a certificate of the Company, signed by the Chief Executive Officer or Chief Financial Officer of the Company, dated the Closing Date, to the effect that the signer of such certificate has carefully examined the Registration Statement each Preliminary Prospectus, the Prospectus and any amendment or supplement thereto, as well as each road show used in connection with the Offering, and this Agreement and that:</w:t>
      </w:r>
    </w:p>
    <w:p>
      <w:pPr>
        <w:spacing w:after="0" w:line="186" w:lineRule="exact"/>
        <w:rPr>
          <w:rFonts w:ascii="Arial" w:cs="Arial" w:eastAsia="Arial" w:hAnsi="Arial"/>
          <w:sz w:val="18"/>
          <w:szCs w:val="18"/>
          <w:color w:val="auto"/>
        </w:rPr>
      </w:pPr>
    </w:p>
    <w:p>
      <w:pPr>
        <w:ind w:left="1920" w:right="80" w:firstLine="721"/>
        <w:spacing w:after="0" w:line="263" w:lineRule="auto"/>
        <w:tabs>
          <w:tab w:leader="none" w:pos="2864" w:val="left"/>
        </w:tabs>
        <w:numPr>
          <w:ilvl w:val="1"/>
          <w:numId w:val="133"/>
        </w:numPr>
        <w:rPr>
          <w:rFonts w:ascii="Arial" w:cs="Arial" w:eastAsia="Arial" w:hAnsi="Arial"/>
          <w:sz w:val="18"/>
          <w:szCs w:val="18"/>
          <w:color w:val="auto"/>
        </w:rPr>
      </w:pPr>
      <w:r>
        <w:rPr>
          <w:rFonts w:ascii="Arial" w:cs="Arial" w:eastAsia="Arial" w:hAnsi="Arial"/>
          <w:sz w:val="18"/>
          <w:szCs w:val="18"/>
          <w:color w:val="auto"/>
        </w:rPr>
        <w:t>the representations and warranties of the Company in this Agreement are true and correct on and as of the Closing Date with the same effect as if made on the Closing Date and the Company has complied with all the agreements and satisfied all the conditions on its part to be performed or satisfied at or prior to the Closing Date;</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6985</wp:posOffset>
            </wp:positionV>
            <wp:extent cx="7132320" cy="1714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60" w:top="908" w:right="379" w:bottom="1440" w:gutter="0" w:footer="0" w:header="0"/>
        </w:sectPr>
      </w:pPr>
    </w:p>
    <w:bookmarkStart w:id="198" w:name="page199"/>
    <w:bookmarkEnd w:id="198"/>
    <w:p>
      <w:pPr>
        <w:ind w:left="840" w:firstLine="721"/>
        <w:spacing w:after="0" w:line="342" w:lineRule="auto"/>
        <w:tabs>
          <w:tab w:leader="none" w:pos="183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no stop order suspending the effectiveness of the Registration Statement or any notice objecting to its use has been issued and no proceedings for that purpose have been instituted or, to the Company’s knowledge, threatened; and</w:t>
      </w:r>
    </w:p>
    <w:p>
      <w:pPr>
        <w:spacing w:after="0" w:line="123" w:lineRule="exact"/>
        <w:rPr>
          <w:rFonts w:ascii="Arial" w:cs="Arial" w:eastAsia="Arial" w:hAnsi="Arial"/>
          <w:sz w:val="16"/>
          <w:szCs w:val="16"/>
          <w:color w:val="auto"/>
        </w:rPr>
      </w:pPr>
    </w:p>
    <w:p>
      <w:pPr>
        <w:ind w:left="840" w:right="160" w:firstLine="721"/>
        <w:spacing w:after="0" w:line="263" w:lineRule="auto"/>
        <w:tabs>
          <w:tab w:leader="none" w:pos="1884" w:val="left"/>
        </w:tabs>
        <w:numPr>
          <w:ilvl w:val="1"/>
          <w:numId w:val="134"/>
        </w:numPr>
        <w:rPr>
          <w:rFonts w:ascii="Arial" w:cs="Arial" w:eastAsia="Arial" w:hAnsi="Arial"/>
          <w:sz w:val="18"/>
          <w:szCs w:val="18"/>
          <w:color w:val="auto"/>
        </w:rPr>
      </w:pPr>
      <w:r>
        <w:rPr>
          <w:rFonts w:ascii="Arial" w:cs="Arial" w:eastAsia="Arial" w:hAnsi="Arial"/>
          <w:sz w:val="18"/>
          <w:szCs w:val="18"/>
          <w:color w:val="auto"/>
        </w:rPr>
        <w:t>since the date of the most recent financial statements included in the Statutory Prospectus and the Prospectus (exclusive of any supplement thereto), there has been no Material Adverse Effect, except as set forth in or contemplated in the Statutory Prospectus and the Prospectus (exclusive of any supplement thereto).</w:t>
      </w:r>
    </w:p>
    <w:p>
      <w:pPr>
        <w:spacing w:after="0" w:line="183" w:lineRule="exact"/>
        <w:rPr>
          <w:rFonts w:ascii="Arial" w:cs="Arial" w:eastAsia="Arial" w:hAnsi="Arial"/>
          <w:sz w:val="18"/>
          <w:szCs w:val="18"/>
          <w:color w:val="auto"/>
        </w:rPr>
      </w:pPr>
    </w:p>
    <w:p>
      <w:pPr>
        <w:ind w:left="-460" w:firstLine="644"/>
        <w:spacing w:after="0" w:line="257" w:lineRule="auto"/>
        <w:tabs>
          <w:tab w:leader="none" w:pos="409"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Company shall have furnished to the Representative a certificate signed by the Secretary of the Company, dated the Closing Date, certifying (i) that the Charter is true and complete, has not been modified and is in full force and effect, (ii) that the resolutions relating to the Offering contemplated by this Agreement are in full force and effect and have not been modified, (iii) copies of all correspondence between the Company or its counsel and the Commission, and (iv) as to the incumbency of the officers of the Company. The documents referred to in such certificate shall be attached to such certificate.</w:t>
      </w:r>
    </w:p>
    <w:p>
      <w:pPr>
        <w:spacing w:after="0" w:line="187" w:lineRule="exact"/>
        <w:rPr>
          <w:rFonts w:ascii="Arial" w:cs="Arial" w:eastAsia="Arial" w:hAnsi="Arial"/>
          <w:sz w:val="18"/>
          <w:szCs w:val="18"/>
          <w:color w:val="auto"/>
        </w:rPr>
      </w:pPr>
    </w:p>
    <w:p>
      <w:pPr>
        <w:ind w:left="-460" w:right="40" w:firstLine="644"/>
        <w:spacing w:after="0" w:line="254" w:lineRule="auto"/>
        <w:tabs>
          <w:tab w:leader="none" w:pos="44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 xml:space="preserve">The Company shall have requested and caused Marcum to have furnished to the Representative, at the Execution Time and at the Closing Date, letters, dated respectively as of the Execution Time and as of the Closing Date, in form and substance satisfactory to the Representative, confirming that they are a registered public accounting firm that is independent with respect to the Company within the meaning of the Act and the Exchange Act and the applicable rules and regulations adopted by the Commission thereunder and that they have performed a review of the audited financial statements of the Company for the period from December 18, 2019 (inception) through December 31, 2020,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cutoff date shall not be more than two Business Days prior to such Execution Time or Closing Date, as applicable, and stating in effect that:</w:t>
      </w:r>
    </w:p>
    <w:p>
      <w:pPr>
        <w:spacing w:after="0" w:line="194" w:lineRule="exact"/>
        <w:rPr>
          <w:rFonts w:ascii="Arial" w:cs="Arial" w:eastAsia="Arial" w:hAnsi="Arial"/>
          <w:sz w:val="18"/>
          <w:szCs w:val="18"/>
          <w:color w:val="auto"/>
        </w:rPr>
      </w:pPr>
    </w:p>
    <w:p>
      <w:pPr>
        <w:ind w:left="840" w:right="100" w:firstLine="721"/>
        <w:spacing w:after="0" w:line="311" w:lineRule="auto"/>
        <w:tabs>
          <w:tab w:leader="none" w:pos="1784" w:val="left"/>
        </w:tabs>
        <w:numPr>
          <w:ilvl w:val="1"/>
          <w:numId w:val="135"/>
        </w:numPr>
        <w:rPr>
          <w:rFonts w:ascii="Arial" w:cs="Arial" w:eastAsia="Arial" w:hAnsi="Arial"/>
          <w:sz w:val="16"/>
          <w:szCs w:val="16"/>
          <w:color w:val="auto"/>
        </w:rPr>
      </w:pPr>
      <w:r>
        <w:rPr>
          <w:rFonts w:ascii="Arial" w:cs="Arial" w:eastAsia="Arial" w:hAnsi="Arial"/>
          <w:sz w:val="16"/>
          <w:szCs w:val="16"/>
          <w:color w:val="auto"/>
        </w:rPr>
        <w:t>in their opinion the audited financial statements and financial statement schedules included in the Registration Statement, the Statutory Prospectus and the Prospectus and reported on by them comply as to form in all material respects with the applicable accounting requirements of the Act and the related rules and regulations adopted by the Commission; and</w:t>
      </w:r>
    </w:p>
    <w:p>
      <w:pPr>
        <w:spacing w:after="0" w:line="148" w:lineRule="exact"/>
        <w:rPr>
          <w:rFonts w:ascii="Arial" w:cs="Arial" w:eastAsia="Arial" w:hAnsi="Arial"/>
          <w:sz w:val="16"/>
          <w:szCs w:val="16"/>
          <w:color w:val="auto"/>
        </w:rPr>
      </w:pPr>
    </w:p>
    <w:p>
      <w:pPr>
        <w:ind w:left="840" w:right="180" w:firstLine="721"/>
        <w:spacing w:after="0" w:line="255" w:lineRule="auto"/>
        <w:tabs>
          <w:tab w:leader="none" w:pos="1834" w:val="left"/>
        </w:tabs>
        <w:numPr>
          <w:ilvl w:val="1"/>
          <w:numId w:val="135"/>
        </w:numPr>
        <w:rPr>
          <w:rFonts w:ascii="Arial" w:cs="Arial" w:eastAsia="Arial" w:hAnsi="Arial"/>
          <w:sz w:val="18"/>
          <w:szCs w:val="18"/>
          <w:color w:val="auto"/>
        </w:rPr>
      </w:pPr>
      <w:r>
        <w:rPr>
          <w:rFonts w:ascii="Arial" w:cs="Arial" w:eastAsia="Arial" w:hAnsi="Arial"/>
          <w:sz w:val="18"/>
          <w:szCs w:val="18"/>
          <w:color w:val="auto"/>
        </w:rPr>
        <w:t>they have performed certain other specified procedures as a result of which they determined that certain information of an accounting, financial or statistical nature (which is limited to accounting, financial or statistical information derived from the general accounting records of the Company) set forth in the Registration Statement, the Statutory Prospectus and the Prospectus, including the information set forth under the captions “Dilution” and “Capitalization” in the Statutory Prospectus and the Prospectus, agrees with the accounting records of the Company, excluding any questions of legal interpretation.</w:t>
      </w:r>
    </w:p>
    <w:p>
      <w:pPr>
        <w:spacing w:after="0" w:line="200" w:lineRule="exact"/>
        <w:rPr>
          <w:sz w:val="20"/>
          <w:szCs w:val="20"/>
          <w:color w:val="auto"/>
        </w:rPr>
      </w:pPr>
    </w:p>
    <w:p>
      <w:pPr>
        <w:spacing w:after="0" w:line="201"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8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080"/>
          </w:cols>
          <w:pgMar w:left="1440" w:top="908" w:right="379" w:bottom="1440" w:gutter="0" w:footer="0" w:header="0"/>
        </w:sectPr>
      </w:pPr>
    </w:p>
    <w:bookmarkStart w:id="199" w:name="page200"/>
    <w:bookmarkEnd w:id="199"/>
    <w:p>
      <w:pPr>
        <w:ind w:left="1300"/>
        <w:spacing w:after="0"/>
        <w:rPr>
          <w:sz w:val="20"/>
          <w:szCs w:val="20"/>
          <w:color w:val="auto"/>
        </w:rPr>
      </w:pPr>
      <w:r>
        <w:rPr>
          <w:rFonts w:ascii="Arial" w:cs="Arial" w:eastAsia="Arial" w:hAnsi="Arial"/>
          <w:sz w:val="18"/>
          <w:szCs w:val="18"/>
          <w:color w:val="auto"/>
        </w:rPr>
        <w:t>References to the Prospectus in this paragraph (g) include any supplement thereto at the date of the letter.</w:t>
      </w:r>
    </w:p>
    <w:p>
      <w:pPr>
        <w:spacing w:after="0" w:line="225" w:lineRule="exact"/>
        <w:rPr>
          <w:sz w:val="20"/>
          <w:szCs w:val="20"/>
          <w:color w:val="auto"/>
        </w:rPr>
      </w:pPr>
    </w:p>
    <w:p>
      <w:pPr>
        <w:ind w:left="660" w:right="20" w:firstLine="644"/>
        <w:spacing w:after="0" w:line="253" w:lineRule="auto"/>
        <w:tabs>
          <w:tab w:leader="none" w:pos="156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Subsequent to the Execution Time or, if earlier, the dates as of which information is given in the Registration Statement (exclusive of any amendment thereof), the Statutory Prospectus and the Prospectus (exclusive of any supplement thereto), there shall not have been (i) any change or decrease specified in the letter or letters referred to in paragraph (g) of this Section 6 or (ii) any change, or any development involving a prospective change, in or affecting the condition (financial or otherwise), earnings, business or properties of the Company, whether or not arising from transactions in the ordinary course of business, except as set forth in or contemplated in the Statutory Prospectus and the Prospectus (exclusive of any supplement thereto) the effect of which, in any case referred to in clause (i) or (ii) above, is, in the sole judgment of the Representative, so material and adverse as to make it impractical or inadvisable to proceed with the offering or delivery of the Securities as contemplated by the Registration Statement (exclusive of any amendment thereof), the Statutory Prospectus and the Prospectus (exclusive of any supplement thereto).</w:t>
      </w:r>
    </w:p>
    <w:p>
      <w:pPr>
        <w:spacing w:after="0" w:line="196" w:lineRule="exact"/>
        <w:rPr>
          <w:rFonts w:ascii="Arial" w:cs="Arial" w:eastAsia="Arial" w:hAnsi="Arial"/>
          <w:sz w:val="18"/>
          <w:szCs w:val="18"/>
          <w:color w:val="auto"/>
        </w:rPr>
      </w:pPr>
    </w:p>
    <w:p>
      <w:pPr>
        <w:ind w:left="660" w:right="60" w:firstLine="644"/>
        <w:spacing w:after="0" w:line="277" w:lineRule="auto"/>
        <w:tabs>
          <w:tab w:leader="none" w:pos="152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FINRA shall not have raised any objection with respect to the fairness or reasonableness of the underwriting or other arrangements of the transactions contemplated hereby.</w:t>
      </w:r>
    </w:p>
    <w:p>
      <w:pPr>
        <w:spacing w:after="0" w:line="170" w:lineRule="exact"/>
        <w:rPr>
          <w:rFonts w:ascii="Arial" w:cs="Arial" w:eastAsia="Arial" w:hAnsi="Arial"/>
          <w:sz w:val="18"/>
          <w:szCs w:val="18"/>
          <w:color w:val="auto"/>
        </w:rPr>
      </w:pPr>
    </w:p>
    <w:p>
      <w:pPr>
        <w:ind w:left="660" w:right="20" w:firstLine="644"/>
        <w:spacing w:after="0" w:line="277" w:lineRule="auto"/>
        <w:tabs>
          <w:tab w:leader="none" w:pos="1520" w:val="left"/>
        </w:tabs>
        <w:numPr>
          <w:ilvl w:val="0"/>
          <w:numId w:val="136"/>
        </w:numPr>
        <w:rPr>
          <w:rFonts w:ascii="Arial" w:cs="Arial" w:eastAsia="Arial" w:hAnsi="Arial"/>
          <w:sz w:val="18"/>
          <w:szCs w:val="18"/>
          <w:color w:val="auto"/>
        </w:rPr>
      </w:pPr>
      <w:r>
        <w:rPr>
          <w:rFonts w:ascii="Arial" w:cs="Arial" w:eastAsia="Arial" w:hAnsi="Arial"/>
          <w:sz w:val="18"/>
          <w:szCs w:val="18"/>
          <w:color w:val="auto"/>
        </w:rPr>
        <w:t>The Securities shall be duly listed subject to notice of issuance on the New York Stock Exchange, satisfactory evidence of which shall have been provided to the Representative.</w:t>
      </w:r>
    </w:p>
    <w:p>
      <w:pPr>
        <w:spacing w:after="0" w:line="170" w:lineRule="exact"/>
        <w:rPr>
          <w:rFonts w:ascii="Arial" w:cs="Arial" w:eastAsia="Arial" w:hAnsi="Arial"/>
          <w:sz w:val="18"/>
          <w:szCs w:val="18"/>
          <w:color w:val="auto"/>
        </w:rPr>
      </w:pPr>
    </w:p>
    <w:p>
      <w:pPr>
        <w:ind w:left="660" w:firstLine="644"/>
        <w:spacing w:after="0" w:line="263" w:lineRule="auto"/>
        <w:tabs>
          <w:tab w:leader="none" w:pos="156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On the Effective Date, the Company shall have delivered to the Representative executed copies of the Trust Agreement, the Warrant Agreement, the Founder’s Purchase Agreement, the Registration Rights Agreement, the Services Agreement, the Warrant Subscription Agreement and the Insider Letters.</w:t>
      </w:r>
    </w:p>
    <w:p>
      <w:pPr>
        <w:spacing w:after="0" w:line="183" w:lineRule="exact"/>
        <w:rPr>
          <w:rFonts w:ascii="Arial" w:cs="Arial" w:eastAsia="Arial" w:hAnsi="Arial"/>
          <w:sz w:val="18"/>
          <w:szCs w:val="18"/>
          <w:color w:val="auto"/>
        </w:rPr>
      </w:pPr>
    </w:p>
    <w:p>
      <w:pPr>
        <w:ind w:left="660" w:right="240" w:firstLine="644"/>
        <w:spacing w:after="0" w:line="277" w:lineRule="auto"/>
        <w:tabs>
          <w:tab w:leader="none" w:pos="1513" w:val="left"/>
        </w:tabs>
        <w:numPr>
          <w:ilvl w:val="0"/>
          <w:numId w:val="136"/>
        </w:numPr>
        <w:rPr>
          <w:rFonts w:ascii="Arial" w:cs="Arial" w:eastAsia="Arial" w:hAnsi="Arial"/>
          <w:sz w:val="18"/>
          <w:szCs w:val="18"/>
          <w:color w:val="auto"/>
        </w:rPr>
      </w:pPr>
      <w:r>
        <w:rPr>
          <w:rFonts w:ascii="Arial" w:cs="Arial" w:eastAsia="Arial" w:hAnsi="Arial"/>
          <w:sz w:val="18"/>
          <w:szCs w:val="18"/>
          <w:color w:val="auto"/>
        </w:rPr>
        <w:t>At least one (1) Business Day prior to the Closing Date, the Sponsor shall have caused certain proceeds from the sale of the Private Placement Warrants to be deposited into the Trust Account.</w:t>
      </w:r>
    </w:p>
    <w:p>
      <w:pPr>
        <w:spacing w:after="0" w:line="170" w:lineRule="exact"/>
        <w:rPr>
          <w:rFonts w:ascii="Arial" w:cs="Arial" w:eastAsia="Arial" w:hAnsi="Arial"/>
          <w:sz w:val="18"/>
          <w:szCs w:val="18"/>
          <w:color w:val="auto"/>
        </w:rPr>
      </w:pPr>
    </w:p>
    <w:p>
      <w:pPr>
        <w:jc w:val="both"/>
        <w:ind w:left="660" w:right="40" w:firstLine="644"/>
        <w:spacing w:after="0" w:line="342" w:lineRule="auto"/>
        <w:tabs>
          <w:tab w:leader="none" w:pos="1613" w:val="left"/>
        </w:tabs>
        <w:numPr>
          <w:ilvl w:val="0"/>
          <w:numId w:val="136"/>
        </w:numPr>
        <w:rPr>
          <w:rFonts w:ascii="Arial" w:cs="Arial" w:eastAsia="Arial" w:hAnsi="Arial"/>
          <w:sz w:val="16"/>
          <w:szCs w:val="16"/>
          <w:color w:val="auto"/>
        </w:rPr>
      </w:pPr>
      <w:r>
        <w:rPr>
          <w:rFonts w:ascii="Arial" w:cs="Arial" w:eastAsia="Arial" w:hAnsi="Arial"/>
          <w:sz w:val="16"/>
          <w:szCs w:val="16"/>
          <w:color w:val="auto"/>
        </w:rPr>
        <w:t>No order preventing or suspending the sale of the Units in any jurisdiction designated by the Representative pursuant to Section 5(ii) hereof shall have been issued as of the Closing Date, and no proceedings for that purpose shall have been instituted or shall have been threatened.</w:t>
      </w:r>
    </w:p>
    <w:p>
      <w:pPr>
        <w:spacing w:after="0" w:line="124" w:lineRule="exact"/>
        <w:rPr>
          <w:sz w:val="20"/>
          <w:szCs w:val="20"/>
          <w:color w:val="auto"/>
        </w:rPr>
      </w:pPr>
    </w:p>
    <w:p>
      <w:pPr>
        <w:jc w:val="both"/>
        <w:ind w:right="40" w:firstLine="1296"/>
        <w:spacing w:after="0" w:line="301" w:lineRule="auto"/>
        <w:rPr>
          <w:sz w:val="20"/>
          <w:szCs w:val="20"/>
          <w:color w:val="auto"/>
        </w:rPr>
      </w:pPr>
      <w:r>
        <w:rPr>
          <w:rFonts w:ascii="Arial" w:cs="Arial" w:eastAsia="Arial" w:hAnsi="Arial"/>
          <w:sz w:val="16"/>
          <w:szCs w:val="16"/>
          <w:color w:val="auto"/>
        </w:rPr>
        <w:t>If any of the conditions specified in this Section 6 shall not have been fulfilled when and as provided in this Agreement, or if any of the opinions and certificates mentioned above or elsewhere in this Agreement shall not be reasonably satisfactory in form and substance to the Representative and counsel for the Underwriters, this Agreement and all obligations of the Underwriters hereunder may be canceled at, or at any time prior to, the Closing Date by the Representative. Notice of such cancellation shall be given to the Company in writing or by telephone or facsimile confirmed in writing.</w:t>
      </w:r>
    </w:p>
    <w:p>
      <w:pPr>
        <w:spacing w:after="0" w:line="36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00" w:name="page201"/>
    <w:bookmarkEnd w:id="200"/>
    <w:p>
      <w:pPr>
        <w:ind w:right="80" w:firstLine="1296"/>
        <w:spacing w:after="0" w:line="308" w:lineRule="auto"/>
        <w:rPr>
          <w:sz w:val="20"/>
          <w:szCs w:val="20"/>
          <w:color w:val="auto"/>
        </w:rPr>
      </w:pPr>
      <w:r>
        <w:rPr>
          <w:rFonts w:ascii="Arial" w:cs="Arial" w:eastAsia="Arial" w:hAnsi="Arial"/>
          <w:sz w:val="17"/>
          <w:szCs w:val="17"/>
          <w:color w:val="auto"/>
        </w:rPr>
        <w:t>The documents required to be delivered by this Section 6 shall be delivered at the office of Davis Polk &amp; Wardwell LLP, counsel for the Underwriters, at 450 Lexington Avenue, New York, New York 10017, unless otherwise indicated herein, on the Closing Date.</w:t>
      </w:r>
    </w:p>
    <w:p>
      <w:pPr>
        <w:spacing w:after="0" w:line="146" w:lineRule="exact"/>
        <w:rPr>
          <w:sz w:val="20"/>
          <w:szCs w:val="20"/>
          <w:color w:val="auto"/>
        </w:rPr>
      </w:pPr>
    </w:p>
    <w:p>
      <w:pPr>
        <w:ind w:firstLine="1304"/>
        <w:spacing w:after="0" w:line="255" w:lineRule="auto"/>
        <w:tabs>
          <w:tab w:leader="none" w:pos="1476" w:val="left"/>
        </w:tabs>
        <w:numPr>
          <w:ilvl w:val="0"/>
          <w:numId w:val="137"/>
        </w:numPr>
        <w:rPr>
          <w:rFonts w:ascii="Arial" w:cs="Arial" w:eastAsia="Arial" w:hAnsi="Arial"/>
          <w:sz w:val="18"/>
          <w:szCs w:val="18"/>
          <w:color w:val="auto"/>
        </w:rPr>
      </w:pPr>
      <w:r>
        <w:rPr>
          <w:rFonts w:ascii="Arial" w:cs="Arial" w:eastAsia="Arial" w:hAnsi="Arial"/>
          <w:sz w:val="18"/>
          <w:szCs w:val="18"/>
          <w:u w:val="single" w:color="auto"/>
          <w:color w:val="auto"/>
        </w:rPr>
        <w:t>Reimbursement of Underwriters’ Expenses</w:t>
      </w:r>
      <w:r>
        <w:rPr>
          <w:rFonts w:ascii="Arial" w:cs="Arial" w:eastAsia="Arial" w:hAnsi="Arial"/>
          <w:sz w:val="18"/>
          <w:szCs w:val="18"/>
          <w:color w:val="auto"/>
        </w:rPr>
        <w:t>. If the sale of the Securities provided for herein is not consummated because any condition to the obligations of the Underwriters set forth in Section 6 hereof is not satisfied, because of any termination pursuant to Section 10 hereof or because of any refusal, inability or failure on the part of the Company to perform any agreement herein or comply with any provision hereof other than by reason of a default by any of the Underwriters, the Company will reimburse the Underwriters severally through the Representative on demand for all reasonable out-of-pocket expenses (including reasonable fees and disbursements of Underwriters’ counsel) that shall have been incurred by them in connection with the proposed purchase and sale of the Securities.</w:t>
      </w:r>
    </w:p>
    <w:p>
      <w:pPr>
        <w:spacing w:after="0" w:line="192" w:lineRule="exact"/>
        <w:rPr>
          <w:rFonts w:ascii="Arial" w:cs="Arial" w:eastAsia="Arial" w:hAnsi="Arial"/>
          <w:sz w:val="18"/>
          <w:szCs w:val="18"/>
          <w:color w:val="auto"/>
        </w:rPr>
      </w:pPr>
    </w:p>
    <w:p>
      <w:pPr>
        <w:ind w:firstLine="1304"/>
        <w:spacing w:after="0" w:line="286" w:lineRule="auto"/>
        <w:tabs>
          <w:tab w:leader="none" w:pos="1476" w:val="left"/>
        </w:tabs>
        <w:numPr>
          <w:ilvl w:val="0"/>
          <w:numId w:val="137"/>
        </w:numPr>
        <w:rPr>
          <w:rFonts w:ascii="Arial" w:cs="Arial" w:eastAsia="Arial" w:hAnsi="Arial"/>
          <w:sz w:val="16"/>
          <w:szCs w:val="16"/>
          <w:color w:val="auto"/>
        </w:rPr>
      </w:pPr>
      <w:r>
        <w:rPr>
          <w:rFonts w:ascii="Arial" w:cs="Arial" w:eastAsia="Arial" w:hAnsi="Arial"/>
          <w:sz w:val="16"/>
          <w:szCs w:val="16"/>
          <w:u w:val="single" w:color="auto"/>
          <w:color w:val="auto"/>
        </w:rPr>
        <w:t>Indemnification and Contribution</w:t>
      </w:r>
      <w:r>
        <w:rPr>
          <w:rFonts w:ascii="Arial" w:cs="Arial" w:eastAsia="Arial" w:hAnsi="Arial"/>
          <w:sz w:val="16"/>
          <w:szCs w:val="16"/>
          <w:color w:val="auto"/>
        </w:rPr>
        <w:t xml:space="preserve">. (a) The Company agrees to indemnify and hold harmless each Underwriter, the directors, officers, employees, affiliates and agents of each Underwriter, each person who controls any Underwriter within the meaning of either the Act or the Exchange Act and each affiliate of each Underwriter against any and all losses, claims, damages or liabilities, joint or several, to which they or any of them may become subject under the Act, the Exchange Act or other Federal or state statutory law or regulation, at common law or otherwise, insofar as such losses, claims, damages or liabilities (or actions in respect thereof) arise out of or are based upon any untrue statement or alleged untrue statement of a material fact contained in the Registration Statement for the registration of the Securities as originally filed or in any amendment thereof, or in any Preliminary Prospectus, the Statutory Prospectus, the Prospectus, any “road show” as defined in Section 433(h) of the Act or any Written Testing-the-Waters Communication or in any amendment thereof or supplement thereto, or arise out of or are based upon the omission or alleged omission to state therein a material fact required to be stated therein or necessary to make the statements therein not misleading, and agrees to reimburse each such indemnified party, as incurred, for any legal or other expenses reasonably incurred by them in connection with investigating or defending any such loss, claim, damage, liability or action;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Company will not be liable in any such case to the extent that any such loss, claim, damage or liability arises out of or is based upon any such untrue statement or alleged untrue statement or omission or alleged omission made therein in reliance upon and in conformity with written information furnished to the Company by or on behalf of any Underwriter through the Representative specifically for inclusion therein, it being understood and agreed that the only such information furnished by any Underwriter consists of the information described in the last sentence of Section (b) hereof. This indemnity agreement will be in addition to any liability that the Company may otherwise have.</w:t>
      </w:r>
    </w:p>
    <w:p>
      <w:pPr>
        <w:spacing w:after="0" w:line="376"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01" w:name="page202"/>
    <w:bookmarkEnd w:id="201"/>
    <w:p>
      <w:pPr>
        <w:ind w:left="-460" w:right="80" w:firstLine="644"/>
        <w:spacing w:after="0" w:line="269" w:lineRule="auto"/>
        <w:tabs>
          <w:tab w:leader="none" w:pos="443" w:val="left"/>
        </w:tabs>
        <w:numPr>
          <w:ilvl w:val="0"/>
          <w:numId w:val="138"/>
        </w:numPr>
        <w:rPr>
          <w:rFonts w:ascii="Arial" w:cs="Arial" w:eastAsia="Arial" w:hAnsi="Arial"/>
          <w:sz w:val="17"/>
          <w:szCs w:val="17"/>
          <w:color w:val="auto"/>
        </w:rPr>
      </w:pPr>
      <w:r>
        <w:rPr>
          <w:rFonts w:ascii="Arial" w:cs="Arial" w:eastAsia="Arial" w:hAnsi="Arial"/>
          <w:sz w:val="17"/>
          <w:szCs w:val="17"/>
          <w:color w:val="auto"/>
        </w:rPr>
        <w:t>Each Underwriter severally and not jointly agrees to indemnify and hold harmless the Company, each of its directors, each of its officers who signs the Registration Statement, and each person who controls the Company within the meaning of either the Act or the Exchange Act, to the same extent as the foregoing indemnity from the Company to each Underwriter, but only with reference to written information relating to such Underwriter furnished to the Company by or on behalf of such Underwriter through the Representative specifically for inclusion in the documents referred to in the foregoing indemnity. This indemnity agreement will be in addition to any liability that any Underwriter may otherwise have. The Company acknowledges that the statements set forth (i) in the last paragraph of the cover page regarding delivery of the Securities and (ii) under the heading “Underwriting” (x) the list of Underwriters and their respective roles and participation in the sale of the Securities, (y) the third sentence in the third paragraph and (z) the thirteenth and fourteenth paragraphs, in the Preliminary Prospectus and the Prospectus constitute the only information furnished in writing by or on behalf of the several Underwriters for inclusion in the Preliminary Prospectus, the Statutory Prospectus or the Prospectus.</w:t>
      </w:r>
    </w:p>
    <w:p>
      <w:pPr>
        <w:spacing w:after="0" w:line="185" w:lineRule="exact"/>
        <w:rPr>
          <w:rFonts w:ascii="Arial" w:cs="Arial" w:eastAsia="Arial" w:hAnsi="Arial"/>
          <w:sz w:val="17"/>
          <w:szCs w:val="17"/>
          <w:color w:val="auto"/>
        </w:rPr>
      </w:pPr>
    </w:p>
    <w:p>
      <w:pPr>
        <w:ind w:left="-460" w:firstLine="644"/>
        <w:spacing w:after="0" w:line="284" w:lineRule="auto"/>
        <w:tabs>
          <w:tab w:leader="none" w:pos="433" w:val="left"/>
        </w:tabs>
        <w:numPr>
          <w:ilvl w:val="0"/>
          <w:numId w:val="138"/>
        </w:numPr>
        <w:rPr>
          <w:rFonts w:ascii="Arial" w:cs="Arial" w:eastAsia="Arial" w:hAnsi="Arial"/>
          <w:sz w:val="16"/>
          <w:szCs w:val="16"/>
          <w:color w:val="auto"/>
        </w:rPr>
      </w:pPr>
      <w:r>
        <w:rPr>
          <w:rFonts w:ascii="Arial" w:cs="Arial" w:eastAsia="Arial" w:hAnsi="Arial"/>
          <w:sz w:val="16"/>
          <w:szCs w:val="16"/>
          <w:color w:val="auto"/>
        </w:rPr>
        <w:t xml:space="preserve">Promptly after receipt by an indemnified party under this Section 8 of notice of the commencement of any action, such indemnified party will, if a claim in respect thereof is to be made against the indemnifying party under this Section 8, notify the indemnifying party in writing of the commencement thereof; but the failure so to notify the indemnifying party (i) will not relieve it from liability under paragraph (a) or (b) above unless and to the extent it did not otherwise learn of such action and such failure results in the forfeiture by the indemnifying party of substantial rights and defenses and (ii) will not, in any event, relieve the indemnifying party from any obligations to any indemnified party other than the indemnification obligation provided in paragraph (a) or (b) above. The indemnifying party shall be entitled to appoint one counsel of the indemnifying party’s choice at the indemnifying party’s expense to represent all indemnified parties in any action for which indemnification is sought (in which case the indemnifying party shall not thereafter be responsible for the fees and expenses of any separate counsel retained by the indemnified parties except as set forth below);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such counsel shall be reasonably satisfactory to the indemnified parties. Notwithstanding the indemnifying party’s election to appoint one counsel to represent all indemnified parties in an action, the indemnified parties shall have the right to employ one separate counsel (including one local counsel), and the indemnifying party shall bear the reasonable fees, costs and expenses of such separate counsel if (i) the use of counsel chosen by the indemnifying party to represent the indemnified parties would present such counsel with a conflict of interest, (ii) the actual or potential defendants in, or targets of, any such action include both the indemnified parties and the indemnifying party and the indemnified parties shall have reasonably concluded that there may be legal defenses available to it and/or other indemnified parties that are different from or additional to those available to the indemnifying party, (iii) the indemnifying party shall not have employed counsel satisfactory to the indemnified parties to represent the indemnified parties within a reasonable time after notice of the institution of such action or (iv) the indemnifying party shall authorize the indemnified parties to employ separate counsel at the expense of the indemnifying party. An indemnifying party will not, without the prior written consent of the indemnified parties (which consent shall not be unreasonably withheld, delayed or conditioned), settle or compromise or consent to the entry of any judgment with respect to any pending or threatened claim, action, suit or proceeding in respect of which indemnification or contribution may be sought hereunder (whether or not the indemnified parties are actual or potential parties to such claim or action) unless such settlement, compromise or consent (i) includes an unconditional release of each indemnified party from all liability arising out of such claim, action, suit or proceeding and (ii) does not include an admission of fault.</w:t>
      </w: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20"/>
          </w:cols>
          <w:pgMar w:left="1440" w:top="908" w:right="339" w:bottom="1440" w:gutter="0" w:footer="0" w:header="0"/>
        </w:sectPr>
      </w:pPr>
    </w:p>
    <w:bookmarkStart w:id="202" w:name="page203"/>
    <w:bookmarkEnd w:id="202"/>
    <w:p>
      <w:pPr>
        <w:ind w:left="-460" w:firstLine="644"/>
        <w:spacing w:after="0" w:line="284" w:lineRule="auto"/>
        <w:tabs>
          <w:tab w:leader="none" w:pos="443" w:val="left"/>
        </w:tabs>
        <w:numPr>
          <w:ilvl w:val="0"/>
          <w:numId w:val="139"/>
        </w:numPr>
        <w:rPr>
          <w:rFonts w:ascii="Arial" w:cs="Arial" w:eastAsia="Arial" w:hAnsi="Arial"/>
          <w:sz w:val="16"/>
          <w:szCs w:val="16"/>
          <w:color w:val="auto"/>
        </w:rPr>
      </w:pPr>
      <w:r>
        <w:rPr>
          <w:rFonts w:ascii="Arial" w:cs="Arial" w:eastAsia="Arial" w:hAnsi="Arial"/>
          <w:sz w:val="16"/>
          <w:szCs w:val="16"/>
          <w:color w:val="auto"/>
        </w:rPr>
        <w:t xml:space="preserve">In the event that the indemnity provided in paragraph (a) or (b) of this Section 8 is unavailable to or insufficient to hold harmless an indemnified party for any reason, the Company and the Underwriters severally agree to contribute to the aggregate losses, claims, damages and liabilities (including legal or other expenses reasonably incurred in connection with investigating or defending the same) (collectively “Losses”) to which the Company and one or more of the Underwriters may be subject in such proportion as is appropriate to reflect the relative benefits received by the Company on the one hand and by the Underwriters on the other from the Offering;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no case shall any Underwriter (except as may be provided in any agreement among underwriters relating to the Offering) be responsible for any amount in excess of the underwriting discount or commission received by such Underwriter applicable to the Securities purchased by such Underwriter hereunder. If the allocation provided by the immediately preceding sentence is unavailable for any reason, the Company and the Underwriters severally shall contribute in such proportion as is appropriate to reflect not only such relative benefits but also the relative fault of the Company on the one hand and of the Underwriters on the other in connection with the statements or omissions that resulted in such Losses as well as any other relevant equitable considerations. Benefits received by the Company shall be deemed to be equal to the total net proceeds from the Offering (before deducting expenses) received by it, and benefits received by the Underwriters shall be deemed to be equal to the total underwriting discounts and commissions received, in each case as set forth on the cover page of the Prospectus. Relative fault shall be determined by reference to, among other things, whether any untrue or any alleged untrue statement of a material fact or the omission or alleged omission to state a material fact relates to information provided by the Company on the one hand or the Underwriters on the other, the intent of the parties and their relative knowledge, access to information and opportunity to correct or prevent such untrue statement or omission. The Company and the Underwriters agree that it would not be just and equitable if contribution were determined by pro rata allocation or any other method of allocation that does not take account of the equitable considerations referred to above. Notwithstanding the provisions of this paragraph (d), no person guilty of fraudulent misrepresentation (within the meaning of Section 11(f) of the Act) shall be entitled to contribution from any person who was not guilty of such fraudulent misrepresentation. For purposes of this Section 8, each person who controls an Underwriter within the meaning of either the Act or the Exchange Act and each director, officer, employee, affiliate and agent of an Underwriter shall have the same rights to contribution as such Underwriter, and each person who controls the Company within the meaning of either the Act or the Exchange Act, each officer of the Company who shall have signed the Registration Statement and each director of the Company shall have the same rights to contribution as the Company, subject in each case to the applicable terms and conditions of this paragraph (d).</w:t>
      </w:r>
    </w:p>
    <w:p>
      <w:pPr>
        <w:spacing w:after="0" w:line="384" w:lineRule="exact"/>
        <w:rPr>
          <w:sz w:val="20"/>
          <w:szCs w:val="20"/>
          <w:color w:val="auto"/>
        </w:rPr>
      </w:pPr>
    </w:p>
    <w:p>
      <w:pPr>
        <w:ind w:left="4400"/>
        <w:spacing w:after="0"/>
        <w:rPr>
          <w:sz w:val="20"/>
          <w:szCs w:val="20"/>
          <w:color w:val="auto"/>
        </w:rPr>
      </w:pPr>
      <w:r>
        <w:rPr>
          <w:rFonts w:ascii="Arial" w:cs="Arial" w:eastAsia="Arial" w:hAnsi="Arial"/>
          <w:sz w:val="22"/>
          <w:szCs w:val="22"/>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6985</wp:posOffset>
            </wp:positionV>
            <wp:extent cx="7132320" cy="1714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00"/>
          </w:cols>
          <w:pgMar w:left="1440" w:top="908" w:right="359" w:bottom="1440" w:gutter="0" w:footer="0" w:header="0"/>
        </w:sectPr>
      </w:pPr>
    </w:p>
    <w:bookmarkStart w:id="203" w:name="page204"/>
    <w:bookmarkEnd w:id="203"/>
    <w:p>
      <w:pPr>
        <w:ind w:left="-20" w:firstLine="1304"/>
        <w:spacing w:after="0" w:line="268" w:lineRule="auto"/>
        <w:tabs>
          <w:tab w:leader="none" w:pos="1456"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Default by an Underwriter</w:t>
      </w:r>
      <w:r>
        <w:rPr>
          <w:rFonts w:ascii="Arial" w:cs="Arial" w:eastAsia="Arial" w:hAnsi="Arial"/>
          <w:sz w:val="17"/>
          <w:szCs w:val="17"/>
          <w:color w:val="auto"/>
        </w:rPr>
        <w:t xml:space="preserve">. If any one or more Underwriters shall fail to purchase and pay for any of the Securities agreed to be purchased by such Underwriter or Underwriters hereunder and such failure to purchase shall constitute a default in the performance of its or their obligations under this Agreement, the remaining Underwriters shall be obligated severally to take up and pay for (in the respective proportions that the amount of Securities set forth opposite their names in Schedule I hereto bears to the aggregate amount of Securities set forth opposite the names of all the remaining Underwriters) the Securities that the defaulting Underwriter or Underwriters agreed but failed to purchase;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in the event that the aggregate amount of Securities that the defaulting Underwriter or Underwriters agreed but failed to purchase shall exceed 10% of the underwritten Securities, the remaining Underwriters shall have the right to purchase all, but shall not be under any obligation to purchase any, of the Securities. If within one Business Day after such default relating to more than 10% of the Underwritten Securities the remaining Underwriters do not arrange for the purchase of such Underwritten Securities, then the Company shall be entitled to a further period of one Business Day within which to procure another party or parties reasonably satisfactory to you to purchase said Underwritten Securities. In the event that neither the remaining Underwriters nor the Company purchase or arrange for the purchase of all of the Underwritten Securities to which a default relates as provided in this Section 9, this Agreement will terminate without liability to any nondefaulting Underwriter or the Company. In the event of a default by any Underwriter as set forth in this Section 9, the Closing Date shall be postponed for such period, not exceeding five Business Days, as the Representative shall determine in order that the required changes in the Registration Statement and the Prospectus or in any other documents or arrangements may be effected. Nothing contained in this Agreement shall relieve any defaulting Underwriter of its liability, if any, to the Company and any nondefaulting Underwriter for damages occasioned by its default hereunder.</w:t>
      </w:r>
    </w:p>
    <w:p>
      <w:pPr>
        <w:spacing w:after="0" w:line="179" w:lineRule="exact"/>
        <w:rPr>
          <w:rFonts w:ascii="Arial" w:cs="Arial" w:eastAsia="Arial" w:hAnsi="Arial"/>
          <w:sz w:val="17"/>
          <w:szCs w:val="17"/>
          <w:color w:val="auto"/>
        </w:rPr>
      </w:pPr>
    </w:p>
    <w:p>
      <w:pPr>
        <w:ind w:left="-20" w:firstLine="1304"/>
        <w:spacing w:after="0" w:line="288" w:lineRule="auto"/>
        <w:tabs>
          <w:tab w:leader="none" w:pos="1546"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Termination</w:t>
      </w:r>
      <w:r>
        <w:rPr>
          <w:rFonts w:ascii="Arial" w:cs="Arial" w:eastAsia="Arial" w:hAnsi="Arial"/>
          <w:sz w:val="16"/>
          <w:szCs w:val="16"/>
          <w:color w:val="auto"/>
        </w:rPr>
        <w:t>. This Agreement shall be subject to termination in the absolute discretion of the Representative, by notice given to the Company prior to delivery of and payment for the Securities, if at any time prior to such delivery and payment (i) trading in the Company’s Units, Ordinary Shares or Warrants shall have been suspended by the Commission, the Company shall not have obtained authorization for quotation of the Ordinary Share, Warrants or Units on the New York Stock Exchange or successor trading market or trading in securities generally on the New York Stock Exchange or the Nasdaq Capital Market (or successor trading market) shall have been suspended or limited or minimum prices shall have been established on such exchange or trading market, (ii) a banking moratorium shall have been declared either by Federal or New York State authorities, (iii) there shall have occurred a material disruption in commercial banking or securities settlement or clearance services or (iv) there shall have occurred any outbreak or escalation of hostilities, declaration by the United States of a national emergency or war, or other national or international calamity or crisis the effect of which on financial markets is such as to make it, in the sole judgment of the Representative, impractical or inadvisable to proceed with the offering or delivery of the Securities as contemplated by the Statutory Prospectus or the Prospectus (exclusive of any supplement thereto).</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204" w:name="page205"/>
    <w:bookmarkEnd w:id="204"/>
    <w:p>
      <w:pPr>
        <w:ind w:left="-20" w:firstLine="1304"/>
        <w:spacing w:after="0" w:line="257" w:lineRule="auto"/>
        <w:tabs>
          <w:tab w:leader="none" w:pos="1539"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Representations and Indemnities to Survive</w:t>
      </w:r>
      <w:r>
        <w:rPr>
          <w:rFonts w:ascii="Arial" w:cs="Arial" w:eastAsia="Arial" w:hAnsi="Arial"/>
          <w:sz w:val="18"/>
          <w:szCs w:val="18"/>
          <w:color w:val="auto"/>
        </w:rPr>
        <w:t>. The respective agreements, representations, warranties, indemnities and other statements of the Company or its officers and of the Underwriters set forth in or made pursuant to this Agreement will remain in full force and effect, regardless of any investigation made by or on behalf of any Underwriter or the Company or any of the officers, directors, employees, agents, affiliates or controlling persons referred to in Section 8 hereof, and will survive delivery of and payment for the Securities. The provisions of Sections 7 and 8 hereof shall survive the termination or cancellation of this Agreement.</w:t>
      </w:r>
    </w:p>
    <w:p>
      <w:pPr>
        <w:spacing w:after="0" w:line="187" w:lineRule="exact"/>
        <w:rPr>
          <w:rFonts w:ascii="Arial" w:cs="Arial" w:eastAsia="Arial" w:hAnsi="Arial"/>
          <w:sz w:val="18"/>
          <w:szCs w:val="18"/>
          <w:color w:val="auto"/>
        </w:rPr>
      </w:pPr>
    </w:p>
    <w:p>
      <w:pPr>
        <w:ind w:left="-20" w:firstLine="1304"/>
        <w:spacing w:after="0" w:line="257" w:lineRule="auto"/>
        <w:tabs>
          <w:tab w:leader="none" w:pos="154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Notices</w:t>
      </w:r>
      <w:r>
        <w:rPr>
          <w:rFonts w:ascii="Arial" w:cs="Arial" w:eastAsia="Arial" w:hAnsi="Arial"/>
          <w:sz w:val="18"/>
          <w:szCs w:val="18"/>
          <w:color w:val="auto"/>
        </w:rPr>
        <w:t>. All communications hereunder will be in writing and effective only on receipt, and, if sent to the Representative, will be mailed, delivered or telefaxed to: Citigroup Global Markets Inc., at 388 Greenwich Street, New York, New York 10013, fax no.: (646) 291-1469, Attention: General Counsel; or, if sent to the Company, will be mailed or delivered to 1601 Bryan Street, Suite 4141, Dallas, Texas 75201, Attention: Chief Executive Officer, and confirmed to the Company’s counsel at Kirkland &amp; Ellis LLP, 601 Lexington Avenue, New York, New York 10022, Attention: Christian O. Nagler and Peter S. Seligson.</w:t>
      </w:r>
    </w:p>
    <w:p>
      <w:pPr>
        <w:spacing w:after="0" w:line="187" w:lineRule="exact"/>
        <w:rPr>
          <w:rFonts w:ascii="Arial" w:cs="Arial" w:eastAsia="Arial" w:hAnsi="Arial"/>
          <w:sz w:val="18"/>
          <w:szCs w:val="18"/>
          <w:color w:val="auto"/>
        </w:rPr>
      </w:pPr>
    </w:p>
    <w:p>
      <w:pPr>
        <w:ind w:left="-20" w:right="40" w:firstLine="1304"/>
        <w:spacing w:after="0" w:line="263" w:lineRule="auto"/>
        <w:tabs>
          <w:tab w:leader="none" w:pos="1546"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Successors</w:t>
      </w:r>
      <w:r>
        <w:rPr>
          <w:rFonts w:ascii="Arial" w:cs="Arial" w:eastAsia="Arial" w:hAnsi="Arial"/>
          <w:sz w:val="18"/>
          <w:szCs w:val="18"/>
          <w:color w:val="auto"/>
        </w:rPr>
        <w:t>. This Agreement will inure to the benefit of and be binding upon the parties hereto and their respective successors and the officers, directors, employees, agents and controlling persons referred to in Section 8 hereof, and no other person will have any right or obligation hereunder.</w:t>
      </w:r>
    </w:p>
    <w:p>
      <w:pPr>
        <w:spacing w:after="0" w:line="183" w:lineRule="exact"/>
        <w:rPr>
          <w:rFonts w:ascii="Arial" w:cs="Arial" w:eastAsia="Arial" w:hAnsi="Arial"/>
          <w:sz w:val="18"/>
          <w:szCs w:val="18"/>
          <w:color w:val="auto"/>
        </w:rPr>
      </w:pPr>
    </w:p>
    <w:p>
      <w:pPr>
        <w:ind w:left="1560" w:hanging="276"/>
        <w:spacing w:after="0"/>
        <w:tabs>
          <w:tab w:leader="none" w:pos="1560" w:val="left"/>
        </w:tabs>
        <w:numPr>
          <w:ilvl w:val="0"/>
          <w:numId w:val="141"/>
        </w:numPr>
        <w:rPr>
          <w:rFonts w:ascii="Arial" w:cs="Arial" w:eastAsia="Arial" w:hAnsi="Arial"/>
          <w:sz w:val="18"/>
          <w:szCs w:val="18"/>
          <w:color w:val="auto"/>
        </w:rPr>
      </w:pPr>
      <w:r>
        <w:rPr>
          <w:rFonts w:ascii="Arial" w:cs="Arial" w:eastAsia="Arial" w:hAnsi="Arial"/>
          <w:sz w:val="18"/>
          <w:szCs w:val="18"/>
          <w:u w:val="single" w:color="auto"/>
          <w:color w:val="auto"/>
        </w:rPr>
        <w:t>Recognition of the U.S. Special Resolution Regimes.</w:t>
      </w:r>
    </w:p>
    <w:p>
      <w:pPr>
        <w:spacing w:after="0" w:line="225" w:lineRule="exact"/>
        <w:rPr>
          <w:sz w:val="20"/>
          <w:szCs w:val="20"/>
          <w:color w:val="auto"/>
        </w:rPr>
      </w:pPr>
    </w:p>
    <w:p>
      <w:pPr>
        <w:ind w:left="640" w:right="160" w:firstLine="644"/>
        <w:spacing w:after="0" w:line="259" w:lineRule="auto"/>
        <w:tabs>
          <w:tab w:leader="none" w:pos="153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becomes subject to a proceeding under a U.S. Special Resolution Regime, the transfer from such Underwriter of this Agreement, and any interest and obligation in or under this Agreement, will be effective to the same extent as the transfer would be effective under the U.S. Special Resolution Regime if this Agreement, and any such interest and obligation, were governed by the laws of the United States or a state of the United States.</w:t>
      </w:r>
    </w:p>
    <w:p>
      <w:pPr>
        <w:spacing w:after="0" w:line="186" w:lineRule="exact"/>
        <w:rPr>
          <w:rFonts w:ascii="Arial" w:cs="Arial" w:eastAsia="Arial" w:hAnsi="Arial"/>
          <w:sz w:val="18"/>
          <w:szCs w:val="18"/>
          <w:color w:val="auto"/>
        </w:rPr>
      </w:pPr>
    </w:p>
    <w:p>
      <w:pPr>
        <w:ind w:left="640" w:right="340" w:firstLine="644"/>
        <w:spacing w:after="0" w:line="259" w:lineRule="auto"/>
        <w:tabs>
          <w:tab w:leader="none" w:pos="1543" w:val="left"/>
        </w:tabs>
        <w:numPr>
          <w:ilvl w:val="0"/>
          <w:numId w:val="142"/>
        </w:numPr>
        <w:rPr>
          <w:rFonts w:ascii="Arial" w:cs="Arial" w:eastAsia="Arial" w:hAnsi="Arial"/>
          <w:sz w:val="18"/>
          <w:szCs w:val="18"/>
          <w:color w:val="auto"/>
        </w:rPr>
      </w:pPr>
      <w:r>
        <w:rPr>
          <w:rFonts w:ascii="Arial" w:cs="Arial" w:eastAsia="Arial" w:hAnsi="Arial"/>
          <w:sz w:val="18"/>
          <w:szCs w:val="18"/>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 if this Agreement were governed by the laws of the United States or a state of the United States.</w:t>
      </w:r>
    </w:p>
    <w:p>
      <w:pPr>
        <w:spacing w:after="0" w:line="187" w:lineRule="exact"/>
        <w:rPr>
          <w:sz w:val="20"/>
          <w:szCs w:val="20"/>
          <w:color w:val="auto"/>
        </w:rPr>
      </w:pPr>
    </w:p>
    <w:p>
      <w:pPr>
        <w:ind w:left="640" w:right="20"/>
        <w:spacing w:after="0" w:line="272" w:lineRule="auto"/>
        <w:rPr>
          <w:sz w:val="20"/>
          <w:szCs w:val="20"/>
          <w:color w:val="auto"/>
        </w:rPr>
      </w:pPr>
      <w:r>
        <w:rPr>
          <w:rFonts w:ascii="Arial" w:cs="Arial" w:eastAsia="Arial" w:hAnsi="Arial"/>
          <w:sz w:val="17"/>
          <w:szCs w:val="17"/>
          <w:color w:val="auto"/>
        </w:rPr>
        <w:t>As used in this Section 14, “BHC Act Affiliate” has the meaning assigned to the term “affiliate” in, and shall be interpreted in accordance with, 12 U.S.C. § 1841(k); “Covered Entity”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 “Default Right” has the meaning assigned to that term in, and shall be interpreted in accordance with, 12 C.F.R. §§ 252.81, 47.2 or 382.1, as applicable; and “U.S.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6985</wp:posOffset>
            </wp:positionV>
            <wp:extent cx="7132320" cy="1714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40" w:top="908" w:right="359" w:bottom="1440" w:gutter="0" w:footer="0" w:header="0"/>
        </w:sectPr>
      </w:pPr>
    </w:p>
    <w:bookmarkStart w:id="205" w:name="page206"/>
    <w:bookmarkEnd w:id="205"/>
    <w:p>
      <w:pPr>
        <w:ind w:firstLine="1304"/>
        <w:spacing w:after="0" w:line="254" w:lineRule="auto"/>
        <w:tabs>
          <w:tab w:leader="none" w:pos="1566"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No Fiduciary Duty</w:t>
      </w:r>
      <w:r>
        <w:rPr>
          <w:rFonts w:ascii="Arial" w:cs="Arial" w:eastAsia="Arial" w:hAnsi="Arial"/>
          <w:sz w:val="18"/>
          <w:szCs w:val="18"/>
          <w:color w:val="auto"/>
        </w:rPr>
        <w:t>. The Company hereby acknowledges that (a) the purchase and sale of the Securities pursuant to this Agreement is an arm’s-length commercial transaction between the Company, on the one hand, and the Underwriters and any affiliate through which it may be acting, on the other, (b) the Underwriters are acting as principal and not as an agent or fiduciary of the Company and (c) the Company’s engagement of the Underwriters in connection with the Offering and the process leading up to the Offering is as independent contractors and not in any other capacity. Furthermore, the Company agrees that it is solely responsible for making its own judgments in connection with the Offering (irrespective of whether any of the Underwriters has advised or is currently advising the Company on related or other matters). The Company agrees that it will not claim that the Underwriters have rendered advisory services of any nature or respect, or owe an agency, fiduciary or similar duty to the Company, in connection with such transaction or the process leading thereto.</w:t>
      </w:r>
    </w:p>
    <w:p>
      <w:pPr>
        <w:spacing w:after="0" w:line="191" w:lineRule="exact"/>
        <w:rPr>
          <w:rFonts w:ascii="Arial" w:cs="Arial" w:eastAsia="Arial" w:hAnsi="Arial"/>
          <w:sz w:val="18"/>
          <w:szCs w:val="18"/>
          <w:color w:val="auto"/>
        </w:rPr>
      </w:pPr>
    </w:p>
    <w:p>
      <w:pPr>
        <w:ind w:right="80" w:firstLine="1304"/>
        <w:spacing w:after="0" w:line="277" w:lineRule="auto"/>
        <w:tabs>
          <w:tab w:leader="none" w:pos="1566"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Integration</w:t>
      </w:r>
      <w:r>
        <w:rPr>
          <w:rFonts w:ascii="Arial" w:cs="Arial" w:eastAsia="Arial" w:hAnsi="Arial"/>
          <w:sz w:val="18"/>
          <w:szCs w:val="18"/>
          <w:color w:val="auto"/>
        </w:rPr>
        <w:t>. This Agreement supersedes all prior agreements and understandings (whether written or oral) between the Company and the Underwriters, or any of them, with respect to the subject matter hereof.</w:t>
      </w:r>
    </w:p>
    <w:p>
      <w:pPr>
        <w:spacing w:after="0" w:line="170" w:lineRule="exact"/>
        <w:rPr>
          <w:rFonts w:ascii="Arial" w:cs="Arial" w:eastAsia="Arial" w:hAnsi="Arial"/>
          <w:sz w:val="18"/>
          <w:szCs w:val="18"/>
          <w:color w:val="auto"/>
        </w:rPr>
      </w:pPr>
    </w:p>
    <w:p>
      <w:pPr>
        <w:ind w:right="40" w:firstLine="1304"/>
        <w:spacing w:after="0" w:line="277" w:lineRule="auto"/>
        <w:tabs>
          <w:tab w:leader="none" w:pos="1566"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Applicable Law</w:t>
      </w:r>
      <w:r>
        <w:rPr>
          <w:rFonts w:ascii="Arial" w:cs="Arial" w:eastAsia="Arial" w:hAnsi="Arial"/>
          <w:sz w:val="18"/>
          <w:szCs w:val="18"/>
          <w:color w:val="auto"/>
        </w:rPr>
        <w:t>. This Agreement will be governed by and construed in accordance with the laws of the State of New York applicable to contracts made and to be performed within the State of New York.</w:t>
      </w:r>
    </w:p>
    <w:p>
      <w:pPr>
        <w:spacing w:after="0" w:line="166" w:lineRule="exact"/>
        <w:rPr>
          <w:rFonts w:ascii="Arial" w:cs="Arial" w:eastAsia="Arial" w:hAnsi="Arial"/>
          <w:sz w:val="18"/>
          <w:szCs w:val="18"/>
          <w:color w:val="auto"/>
        </w:rPr>
      </w:pPr>
    </w:p>
    <w:p>
      <w:pPr>
        <w:ind w:right="20" w:firstLine="1304"/>
        <w:spacing w:after="0" w:line="266" w:lineRule="auto"/>
        <w:tabs>
          <w:tab w:leader="none" w:pos="1566" w:val="left"/>
        </w:tabs>
        <w:numPr>
          <w:ilvl w:val="0"/>
          <w:numId w:val="143"/>
        </w:numPr>
        <w:rPr>
          <w:rFonts w:ascii="Arial" w:cs="Arial" w:eastAsia="Arial" w:hAnsi="Arial"/>
          <w:sz w:val="18"/>
          <w:szCs w:val="18"/>
          <w:color w:val="auto"/>
        </w:rPr>
      </w:pPr>
      <w:r>
        <w:rPr>
          <w:rFonts w:ascii="Arial" w:cs="Arial" w:eastAsia="Arial" w:hAnsi="Arial"/>
          <w:sz w:val="18"/>
          <w:szCs w:val="18"/>
          <w:b w:val="1"/>
          <w:bCs w:val="1"/>
          <w:u w:val="single" w:color="auto"/>
          <w:color w:val="auto"/>
        </w:rPr>
        <w:t>WAIVER OF JURY TRIAL</w:t>
      </w:r>
      <w:r>
        <w:rPr>
          <w:rFonts w:ascii="Arial" w:cs="Arial" w:eastAsia="Arial" w:hAnsi="Arial"/>
          <w:sz w:val="18"/>
          <w:szCs w:val="18"/>
          <w:b w:val="1"/>
          <w:bCs w:val="1"/>
          <w:color w:val="auto"/>
        </w:rPr>
        <w:t>. THE COMPANY HEREBY IRREVOCABLY WAIVES, TO THE FULLEST EXTENT PERMITTED BY APPLICABLE LAW, ANY AND ALL RIGHT TO TRIAL BY JURY IN ANY LEGAL PROCEEDING ARISING OUT OF OR RELATING TO THIS AGREEMENT OR THE TRANSACTIONS CONTEMPLATED HEREBY.</w:t>
      </w:r>
    </w:p>
    <w:p>
      <w:pPr>
        <w:spacing w:after="0" w:line="179" w:lineRule="exact"/>
        <w:rPr>
          <w:rFonts w:ascii="Arial" w:cs="Arial" w:eastAsia="Arial" w:hAnsi="Arial"/>
          <w:sz w:val="18"/>
          <w:szCs w:val="18"/>
          <w:color w:val="auto"/>
        </w:rPr>
      </w:pPr>
    </w:p>
    <w:p>
      <w:pPr>
        <w:ind w:right="80" w:firstLine="1304"/>
        <w:spacing w:after="0" w:line="277" w:lineRule="auto"/>
        <w:tabs>
          <w:tab w:leader="none" w:pos="1566"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Counterparts</w:t>
      </w:r>
      <w:r>
        <w:rPr>
          <w:rFonts w:ascii="Arial" w:cs="Arial" w:eastAsia="Arial" w:hAnsi="Arial"/>
          <w:sz w:val="18"/>
          <w:szCs w:val="18"/>
          <w:color w:val="auto"/>
        </w:rPr>
        <w:t>. This Agreement may be signed in one or more counterparts, each of which shall constitute an original and all of which together shall constitute one and the same agreement.</w:t>
      </w:r>
    </w:p>
    <w:p>
      <w:pPr>
        <w:spacing w:after="0" w:line="170" w:lineRule="exact"/>
        <w:rPr>
          <w:rFonts w:ascii="Arial" w:cs="Arial" w:eastAsia="Arial" w:hAnsi="Arial"/>
          <w:sz w:val="18"/>
          <w:szCs w:val="18"/>
          <w:color w:val="auto"/>
        </w:rPr>
      </w:pPr>
    </w:p>
    <w:p>
      <w:pPr>
        <w:ind w:left="1580" w:hanging="276"/>
        <w:spacing w:after="0"/>
        <w:tabs>
          <w:tab w:leader="none" w:pos="158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Headings</w:t>
      </w:r>
      <w:r>
        <w:rPr>
          <w:rFonts w:ascii="Arial" w:cs="Arial" w:eastAsia="Arial" w:hAnsi="Arial"/>
          <w:sz w:val="18"/>
          <w:szCs w:val="18"/>
          <w:color w:val="auto"/>
        </w:rPr>
        <w:t>. The section headings used herein are for convenience only and shall not affect the construction hereof.</w:t>
      </w:r>
    </w:p>
    <w:p>
      <w:pPr>
        <w:spacing w:after="0" w:line="225" w:lineRule="exact"/>
        <w:rPr>
          <w:rFonts w:ascii="Arial" w:cs="Arial" w:eastAsia="Arial" w:hAnsi="Arial"/>
          <w:sz w:val="18"/>
          <w:szCs w:val="18"/>
          <w:color w:val="auto"/>
        </w:rPr>
      </w:pPr>
    </w:p>
    <w:p>
      <w:pPr>
        <w:ind w:left="1580" w:hanging="276"/>
        <w:spacing w:after="0"/>
        <w:tabs>
          <w:tab w:leader="none" w:pos="1580" w:val="left"/>
        </w:tabs>
        <w:numPr>
          <w:ilvl w:val="0"/>
          <w:numId w:val="143"/>
        </w:numPr>
        <w:rPr>
          <w:rFonts w:ascii="Arial" w:cs="Arial" w:eastAsia="Arial" w:hAnsi="Arial"/>
          <w:sz w:val="18"/>
          <w:szCs w:val="18"/>
          <w:color w:val="auto"/>
        </w:rPr>
      </w:pPr>
      <w:r>
        <w:rPr>
          <w:rFonts w:ascii="Arial" w:cs="Arial" w:eastAsia="Arial" w:hAnsi="Arial"/>
          <w:sz w:val="18"/>
          <w:szCs w:val="18"/>
          <w:u w:val="single" w:color="auto"/>
          <w:color w:val="auto"/>
        </w:rPr>
        <w:t>Definitions</w:t>
      </w:r>
      <w:r>
        <w:rPr>
          <w:rFonts w:ascii="Arial" w:cs="Arial" w:eastAsia="Arial" w:hAnsi="Arial"/>
          <w:sz w:val="18"/>
          <w:szCs w:val="18"/>
          <w:color w:val="auto"/>
        </w:rPr>
        <w:t>. The terms that follow, when used in this Agreement, shall have the meanings indicated.</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“Act” shall mean the Securities Act of 1933, as amended, and the rules and regulations of the Commission promulgated thereunder.</w:t>
      </w:r>
    </w:p>
    <w:p>
      <w:pPr>
        <w:spacing w:after="0" w:line="237" w:lineRule="exact"/>
        <w:rPr>
          <w:sz w:val="20"/>
          <w:szCs w:val="20"/>
          <w:color w:val="auto"/>
        </w:rPr>
      </w:pPr>
    </w:p>
    <w:p>
      <w:pPr>
        <w:ind w:right="360" w:firstLine="1296"/>
        <w:spacing w:after="0" w:line="277" w:lineRule="auto"/>
        <w:rPr>
          <w:sz w:val="20"/>
          <w:szCs w:val="20"/>
          <w:color w:val="auto"/>
        </w:rPr>
      </w:pPr>
      <w:r>
        <w:rPr>
          <w:rFonts w:ascii="Arial" w:cs="Arial" w:eastAsia="Arial" w:hAnsi="Arial"/>
          <w:sz w:val="18"/>
          <w:szCs w:val="18"/>
          <w:color w:val="auto"/>
        </w:rPr>
        <w:t>“Business Day” shall mean any day other than a Saturday, a Sunday or a legal holiday or a day on which banking institutions or trust companies are authorized or obligated by law to close in New York City.</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06" w:name="page207"/>
    <w:bookmarkEnd w:id="206"/>
    <w:p>
      <w:pPr>
        <w:ind w:left="1300"/>
        <w:spacing w:after="0"/>
        <w:rPr>
          <w:sz w:val="20"/>
          <w:szCs w:val="20"/>
          <w:color w:val="auto"/>
        </w:rPr>
      </w:pPr>
      <w:r>
        <w:rPr>
          <w:rFonts w:ascii="Arial" w:cs="Arial" w:eastAsia="Arial" w:hAnsi="Arial"/>
          <w:sz w:val="18"/>
          <w:szCs w:val="18"/>
          <w:color w:val="auto"/>
        </w:rPr>
        <w:t>“Commission” shall mean the U.S. Securities and Exchange Commission.</w:t>
      </w:r>
    </w:p>
    <w:p>
      <w:pPr>
        <w:spacing w:after="0" w:line="225" w:lineRule="exact"/>
        <w:rPr>
          <w:sz w:val="20"/>
          <w:szCs w:val="20"/>
          <w:color w:val="auto"/>
        </w:rPr>
      </w:pPr>
    </w:p>
    <w:p>
      <w:pPr>
        <w:ind w:right="260" w:firstLine="1296"/>
        <w:spacing w:after="0" w:line="277" w:lineRule="auto"/>
        <w:rPr>
          <w:sz w:val="20"/>
          <w:szCs w:val="20"/>
          <w:color w:val="auto"/>
        </w:rPr>
      </w:pPr>
      <w:r>
        <w:rPr>
          <w:rFonts w:ascii="Arial" w:cs="Arial" w:eastAsia="Arial" w:hAnsi="Arial"/>
          <w:sz w:val="18"/>
          <w:szCs w:val="18"/>
          <w:color w:val="auto"/>
        </w:rPr>
        <w:t>“Effective Date” shall mean each date and time that the Registration Statement, any post-effective amendment or amendments thereto and any Rule 462(b) Registration Statement became or becomes effective.</w:t>
      </w:r>
    </w:p>
    <w:p>
      <w:pPr>
        <w:spacing w:after="0" w:line="170" w:lineRule="exact"/>
        <w:rPr>
          <w:sz w:val="20"/>
          <w:szCs w:val="20"/>
          <w:color w:val="auto"/>
        </w:rPr>
      </w:pPr>
    </w:p>
    <w:p>
      <w:pPr>
        <w:ind w:right="720" w:firstLine="1296"/>
        <w:spacing w:after="0" w:line="277" w:lineRule="auto"/>
        <w:rPr>
          <w:sz w:val="20"/>
          <w:szCs w:val="20"/>
          <w:color w:val="auto"/>
        </w:rPr>
      </w:pPr>
      <w:r>
        <w:rPr>
          <w:rFonts w:ascii="Arial" w:cs="Arial" w:eastAsia="Arial" w:hAnsi="Arial"/>
          <w:sz w:val="18"/>
          <w:szCs w:val="18"/>
          <w:color w:val="auto"/>
        </w:rPr>
        <w:t>“Exchange Act” shall mean the Securities Exchange Act of 1934, as amended, and the rules and regulations of the Commission promulgated thereunder.</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“Execution Time” shall mean the date and time that this Agreement is executed and delivered by the parties hereto.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“Free Writing Prospectus” shall mean a free writing prospectus, as defined in Rule 405.</w:t>
      </w:r>
    </w:p>
    <w:p>
      <w:pPr>
        <w:spacing w:after="0" w:line="225" w:lineRule="exact"/>
        <w:rPr>
          <w:sz w:val="20"/>
          <w:szCs w:val="20"/>
          <w:color w:val="auto"/>
        </w:rPr>
      </w:pPr>
    </w:p>
    <w:p>
      <w:pPr>
        <w:ind w:firstLine="1296"/>
        <w:spacing w:after="0" w:line="342" w:lineRule="auto"/>
        <w:rPr>
          <w:sz w:val="20"/>
          <w:szCs w:val="20"/>
          <w:color w:val="auto"/>
        </w:rPr>
      </w:pPr>
      <w:r>
        <w:rPr>
          <w:rFonts w:ascii="Arial" w:cs="Arial" w:eastAsia="Arial" w:hAnsi="Arial"/>
          <w:sz w:val="16"/>
          <w:szCs w:val="16"/>
          <w:color w:val="auto"/>
        </w:rPr>
        <w:t>“Liquidation” shall mean the distributions of the Trust Account to the Public Shareholders in connection with the redemption of Ordinary Shares held by the Public Shareholders pursuant to the terms of the Charter if the Company fails to consummate an initial Business Combination.</w:t>
      </w:r>
    </w:p>
    <w:p>
      <w:pPr>
        <w:spacing w:after="0" w:line="124" w:lineRule="exact"/>
        <w:rPr>
          <w:sz w:val="20"/>
          <w:szCs w:val="20"/>
          <w:color w:val="auto"/>
        </w:rPr>
      </w:pPr>
    </w:p>
    <w:p>
      <w:pPr>
        <w:ind w:right="380" w:firstLine="1296"/>
        <w:spacing w:after="0" w:line="277" w:lineRule="auto"/>
        <w:rPr>
          <w:sz w:val="20"/>
          <w:szCs w:val="20"/>
          <w:color w:val="auto"/>
        </w:rPr>
      </w:pPr>
      <w:r>
        <w:rPr>
          <w:rFonts w:ascii="Arial" w:cs="Arial" w:eastAsia="Arial" w:hAnsi="Arial"/>
          <w:sz w:val="18"/>
          <w:szCs w:val="18"/>
          <w:color w:val="auto"/>
        </w:rPr>
        <w:t>“Preliminary Prospectus” shall mean any preliminary prospectus referred to in paragraph 1(a) above and any preliminary prospectus included in the Registration Statement at the Effective Date that omits Rule 430A Information.</w:t>
      </w:r>
    </w:p>
    <w:p>
      <w:pPr>
        <w:spacing w:after="0" w:line="170"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“Prospectus” shall mean the prospectus relating to the Securities that is first filed pursuant to Rule 424(b) after the Execution Time.</w:t>
      </w:r>
    </w:p>
    <w:p>
      <w:pPr>
        <w:spacing w:after="0" w:line="237" w:lineRule="exact"/>
        <w:rPr>
          <w:sz w:val="20"/>
          <w:szCs w:val="20"/>
          <w:color w:val="auto"/>
        </w:rPr>
      </w:pPr>
    </w:p>
    <w:p>
      <w:pPr>
        <w:ind w:firstLine="1296"/>
        <w:spacing w:after="0" w:line="257" w:lineRule="auto"/>
        <w:rPr>
          <w:sz w:val="20"/>
          <w:szCs w:val="20"/>
          <w:color w:val="auto"/>
        </w:rPr>
      </w:pPr>
      <w:r>
        <w:rPr>
          <w:rFonts w:ascii="Arial" w:cs="Arial" w:eastAsia="Arial" w:hAnsi="Arial"/>
          <w:sz w:val="18"/>
          <w:szCs w:val="18"/>
          <w:color w:val="auto"/>
        </w:rPr>
        <w:t>“Registration Statement” shall mean the registration statement referred to in paragraph 1(a) above, including exhibits and financial statements and any prospectus and prospectus supplement relating to the Securities that is filed with the Commission pursuant to Rule 424(b) and deemed part of such registration statement pursuant to Rule 430A, as amended at the Execution Time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188" w:lineRule="exact"/>
        <w:rPr>
          <w:sz w:val="20"/>
          <w:szCs w:val="20"/>
          <w:color w:val="auto"/>
        </w:rPr>
      </w:pPr>
    </w:p>
    <w:p>
      <w:pPr>
        <w:ind w:left="1300"/>
        <w:spacing w:after="0"/>
        <w:rPr>
          <w:sz w:val="20"/>
          <w:szCs w:val="20"/>
          <w:color w:val="auto"/>
        </w:rPr>
      </w:pPr>
      <w:r>
        <w:rPr>
          <w:rFonts w:ascii="Arial" w:cs="Arial" w:eastAsia="Arial" w:hAnsi="Arial"/>
          <w:sz w:val="17"/>
          <w:szCs w:val="17"/>
          <w:color w:val="auto"/>
        </w:rPr>
        <w:t>“Rule 158”, “Rule 172”, “Rule 405”, “Rule 419”, “Rule 424”, “Rule 430A”, “Rule 433” and “Rule 462” refer to such rules under the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Act.</w:t>
      </w:r>
    </w:p>
    <w:p>
      <w:pPr>
        <w:spacing w:after="0" w:line="211" w:lineRule="exact"/>
        <w:rPr>
          <w:sz w:val="20"/>
          <w:szCs w:val="20"/>
          <w:color w:val="auto"/>
        </w:rPr>
      </w:pPr>
    </w:p>
    <w:p>
      <w:pPr>
        <w:ind w:right="80" w:firstLine="1296"/>
        <w:spacing w:after="0" w:line="277" w:lineRule="auto"/>
        <w:rPr>
          <w:sz w:val="20"/>
          <w:szCs w:val="20"/>
          <w:color w:val="auto"/>
        </w:rPr>
      </w:pPr>
      <w:r>
        <w:rPr>
          <w:rFonts w:ascii="Arial" w:cs="Arial" w:eastAsia="Arial" w:hAnsi="Arial"/>
          <w:sz w:val="18"/>
          <w:szCs w:val="18"/>
          <w:color w:val="auto"/>
        </w:rPr>
        <w:t>“Rule 430A Information” shall mean information with respect to the Securities and the offering thereof permitted to be omitted from the Registration Statement when it becomes effective pursuant to Rule 430A.</w:t>
      </w:r>
    </w:p>
    <w:p>
      <w:pPr>
        <w:spacing w:after="0" w:line="170" w:lineRule="exact"/>
        <w:rPr>
          <w:sz w:val="20"/>
          <w:szCs w:val="20"/>
          <w:color w:val="auto"/>
        </w:rPr>
      </w:pPr>
    </w:p>
    <w:p>
      <w:pPr>
        <w:ind w:right="400" w:firstLine="1296"/>
        <w:spacing w:after="0" w:line="277" w:lineRule="auto"/>
        <w:rPr>
          <w:sz w:val="20"/>
          <w:szCs w:val="20"/>
          <w:color w:val="auto"/>
        </w:rPr>
      </w:pPr>
      <w:r>
        <w:rPr>
          <w:rFonts w:ascii="Arial" w:cs="Arial" w:eastAsia="Arial" w:hAnsi="Arial"/>
          <w:sz w:val="18"/>
          <w:szCs w:val="18"/>
          <w:color w:val="auto"/>
        </w:rPr>
        <w:t>“Rule 462(b) Registration Statement” shall mean a registration statement and any amendments thereto filed pursuant to Rule 462(b) relating to the offering covered by the registration statement referred to in Section 1(a) hereof.</w:t>
      </w:r>
    </w:p>
    <w:p>
      <w:pPr>
        <w:spacing w:after="0" w:line="170" w:lineRule="exact"/>
        <w:rPr>
          <w:sz w:val="20"/>
          <w:szCs w:val="20"/>
          <w:color w:val="auto"/>
        </w:rPr>
      </w:pPr>
    </w:p>
    <w:p>
      <w:pPr>
        <w:ind w:right="420" w:firstLine="1296"/>
        <w:spacing w:after="0" w:line="277" w:lineRule="auto"/>
        <w:rPr>
          <w:sz w:val="20"/>
          <w:szCs w:val="20"/>
          <w:color w:val="auto"/>
        </w:rPr>
      </w:pPr>
      <w:r>
        <w:rPr>
          <w:rFonts w:ascii="Arial" w:cs="Arial" w:eastAsia="Arial" w:hAnsi="Arial"/>
          <w:sz w:val="18"/>
          <w:szCs w:val="18"/>
          <w:color w:val="auto"/>
        </w:rPr>
        <w:t>“Statutory Prospectus” shall mean (i) the Preliminary Prospectus dated May [●], 2020, relating to the Securities and (ii) the Time of Delivery Information, if any, set forth on Schedule II hereto.</w:t>
      </w:r>
    </w:p>
    <w:p>
      <w:pPr>
        <w:spacing w:after="0" w:line="170" w:lineRule="exact"/>
        <w:rPr>
          <w:sz w:val="20"/>
          <w:szCs w:val="20"/>
          <w:color w:val="auto"/>
        </w:rPr>
      </w:pPr>
    </w:p>
    <w:p>
      <w:pPr>
        <w:ind w:right="240" w:firstLine="1296"/>
        <w:spacing w:after="0" w:line="308" w:lineRule="auto"/>
        <w:rPr>
          <w:sz w:val="20"/>
          <w:szCs w:val="20"/>
          <w:color w:val="auto"/>
        </w:rPr>
      </w:pPr>
      <w:r>
        <w:rPr>
          <w:rFonts w:ascii="Arial" w:cs="Arial" w:eastAsia="Arial" w:hAnsi="Arial"/>
          <w:sz w:val="17"/>
          <w:szCs w:val="17"/>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pacing w:after="0" w:line="355"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07" w:name="page208"/>
    <w:bookmarkEnd w:id="207"/>
    <w:p>
      <w:pPr>
        <w:ind w:left="6760"/>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ind w:left="6760"/>
        <w:spacing w:after="0"/>
        <w:rPr>
          <w:sz w:val="20"/>
          <w:szCs w:val="20"/>
          <w:color w:val="auto"/>
        </w:rPr>
      </w:pPr>
      <w:r>
        <w:rPr>
          <w:rFonts w:ascii="Arial" w:cs="Arial" w:eastAsia="Arial" w:hAnsi="Arial"/>
          <w:sz w:val="16"/>
          <w:szCs w:val="16"/>
          <w:color w:val="auto"/>
        </w:rPr>
        <w:t>Sustainable Opportunities Acquisition Corp.</w:t>
      </w:r>
    </w:p>
    <w:p>
      <w:pPr>
        <w:spacing w:after="0" w:line="248"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4573905</wp:posOffset>
            </wp:positionH>
            <wp:positionV relativeFrom="paragraph">
              <wp:posOffset>14605</wp:posOffset>
            </wp:positionV>
            <wp:extent cx="2562860" cy="1714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9">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72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Citigroup Global Markets Inc.</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296545</wp:posOffset>
            </wp:positionH>
            <wp:positionV relativeFrom="paragraph">
              <wp:posOffset>14605</wp:posOffset>
            </wp:positionV>
            <wp:extent cx="2562860" cy="1714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90">
                      <a:extLst>
                        <a:ext uri="{28A0092B-C50C-407E-A947-70E740481C1C}"/>
                      </a:extLst>
                    </a:blip>
                    <a:srcRect/>
                    <a:stretch>
                      <a:fillRect/>
                    </a:stretch>
                  </pic:blipFill>
                  <pic:spPr bwMode="auto">
                    <a:xfrm>
                      <a:off x="0" y="0"/>
                      <a:ext cx="2562860" cy="17145"/>
                    </a:xfrm>
                    <a:prstGeom prst="rect">
                      <a:avLst/>
                    </a:prstGeom>
                    <a:noFill/>
                  </pic:spPr>
                </pic:pic>
              </a:graphicData>
            </a:graphic>
          </wp:anchor>
        </w:drawing>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434340</wp:posOffset>
            </wp:positionV>
            <wp:extent cx="7132320" cy="1714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908" w:right="1440" w:bottom="1440" w:gutter="0" w:footer="0" w:header="0"/>
        </w:sectPr>
      </w:pPr>
    </w:p>
    <w:bookmarkStart w:id="208" w:name="page209"/>
    <w:bookmarkEnd w:id="208"/>
    <w:tbl>
      <w:tblPr>
        <w:tblLayout w:type="fixed"/>
        <w:tblInd w:w="0" w:type="dxa"/>
        <w:tblCellMar>
          <w:top w:w="0" w:type="dxa"/>
          <w:left w:w="0" w:type="dxa"/>
          <w:bottom w:w="0" w:type="dxa"/>
          <w:right w:w="0" w:type="dxa"/>
        </w:tblCellMar>
      </w:tblPr>
      <w:tr>
        <w:trPr>
          <w:trHeight w:val="207"/>
        </w:trPr>
        <w:tc>
          <w:tcPr>
            <w:tcW w:w="5100" w:type="dxa"/>
            <w:vAlign w:val="bottom"/>
          </w:tcPr>
          <w:p>
            <w:pPr>
              <w:spacing w:after="0"/>
              <w:rPr>
                <w:sz w:val="17"/>
                <w:szCs w:val="17"/>
                <w:color w:val="auto"/>
              </w:rPr>
            </w:pPr>
          </w:p>
        </w:tc>
        <w:tc>
          <w:tcPr>
            <w:tcW w:w="6140" w:type="dxa"/>
            <w:vAlign w:val="bottom"/>
            <w:gridSpan w:val="5"/>
          </w:tcPr>
          <w:p>
            <w:pPr>
              <w:spacing w:after="0"/>
              <w:rPr>
                <w:sz w:val="20"/>
                <w:szCs w:val="20"/>
                <w:color w:val="auto"/>
              </w:rPr>
            </w:pPr>
            <w:r>
              <w:rPr>
                <w:rFonts w:ascii="Arial" w:cs="Arial" w:eastAsia="Arial" w:hAnsi="Arial"/>
                <w:sz w:val="18"/>
                <w:szCs w:val="18"/>
                <w:color w:val="auto"/>
              </w:rPr>
              <w:t>SCHEDULE I</w:t>
            </w:r>
          </w:p>
        </w:tc>
      </w:tr>
      <w:tr>
        <w:trPr>
          <w:trHeight w:val="438"/>
        </w:trPr>
        <w:tc>
          <w:tcPr>
            <w:tcW w:w="5100" w:type="dxa"/>
            <w:vAlign w:val="bottom"/>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37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Number of</w:t>
            </w:r>
          </w:p>
        </w:tc>
      </w:tr>
      <w:tr>
        <w:trPr>
          <w:trHeight w:val="216"/>
        </w:trPr>
        <w:tc>
          <w:tcPr>
            <w:tcW w:w="5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94"/>
              </w:rPr>
              <w:t>Underwritten</w:t>
            </w:r>
          </w:p>
        </w:tc>
      </w:tr>
      <w:tr>
        <w:trPr>
          <w:trHeight w:val="216"/>
        </w:trPr>
        <w:tc>
          <w:tcPr>
            <w:tcW w:w="5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8"/>
              </w:rPr>
              <w:t>Securities to</w:t>
            </w:r>
          </w:p>
        </w:tc>
      </w:tr>
      <w:tr>
        <w:trPr>
          <w:trHeight w:val="237"/>
        </w:trPr>
        <w:tc>
          <w:tcPr>
            <w:tcW w:w="5100" w:type="dxa"/>
            <w:vAlign w:val="bottom"/>
          </w:tcPr>
          <w:p>
            <w:pPr>
              <w:spacing w:after="0"/>
              <w:rPr>
                <w:sz w:val="20"/>
                <w:szCs w:val="20"/>
                <w:color w:val="auto"/>
              </w:rPr>
            </w:pPr>
            <w:r>
              <w:rPr>
                <w:rFonts w:ascii="Arial" w:cs="Arial" w:eastAsia="Arial" w:hAnsi="Arial"/>
                <w:sz w:val="18"/>
                <w:szCs w:val="18"/>
                <w:color w:val="auto"/>
              </w:rPr>
              <w:t>Underwriters</w:t>
            </w:r>
          </w:p>
        </w:tc>
        <w:tc>
          <w:tcPr>
            <w:tcW w:w="1040" w:type="dxa"/>
            <w:vAlign w:val="bottom"/>
          </w:tcPr>
          <w:p>
            <w:pPr>
              <w:spacing w:after="0"/>
              <w:rPr>
                <w:sz w:val="20"/>
                <w:szCs w:val="20"/>
                <w:color w:val="auto"/>
              </w:rPr>
            </w:pPr>
          </w:p>
        </w:tc>
        <w:tc>
          <w:tcPr>
            <w:tcW w:w="3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gridSpan w:val="2"/>
          </w:tcPr>
          <w:p>
            <w:pPr>
              <w:jc w:val="center"/>
              <w:ind w:right="100"/>
              <w:spacing w:after="0"/>
              <w:rPr>
                <w:sz w:val="20"/>
                <w:szCs w:val="20"/>
                <w:color w:val="auto"/>
              </w:rPr>
            </w:pPr>
            <w:r>
              <w:rPr>
                <w:rFonts w:ascii="Arial" w:cs="Arial" w:eastAsia="Arial" w:hAnsi="Arial"/>
                <w:sz w:val="18"/>
                <w:szCs w:val="18"/>
                <w:color w:val="auto"/>
                <w:w w:val="86"/>
              </w:rPr>
              <w:t>be Purchased</w:t>
            </w:r>
          </w:p>
        </w:tc>
      </w:tr>
      <w:tr>
        <w:trPr>
          <w:trHeight w:val="216"/>
        </w:trPr>
        <w:tc>
          <w:tcPr>
            <w:tcW w:w="5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Citigroup Global Markets Inc.</w:t>
            </w:r>
          </w:p>
        </w:tc>
        <w:tc>
          <w:tcPr>
            <w:tcW w:w="1040" w:type="dxa"/>
            <w:vAlign w:val="bottom"/>
            <w:tcBorders>
              <w:top w:val="single" w:sz="8" w:color="auto"/>
            </w:tcBorders>
            <w:shd w:val="clear" w:color="auto" w:fill="CCEEFF"/>
          </w:tcPr>
          <w:p>
            <w:pPr>
              <w:spacing w:after="0"/>
              <w:rPr>
                <w:sz w:val="18"/>
                <w:szCs w:val="18"/>
                <w:color w:val="auto"/>
              </w:rPr>
            </w:pPr>
          </w:p>
        </w:tc>
        <w:tc>
          <w:tcPr>
            <w:tcW w:w="37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top w:val="single" w:sz="8" w:color="CCEEFF"/>
            </w:tcBorders>
            <w:shd w:val="clear" w:color="auto" w:fill="CCEEFF"/>
          </w:tcPr>
          <w:p>
            <w:pPr>
              <w:spacing w:after="0"/>
              <w:rPr>
                <w:sz w:val="18"/>
                <w:szCs w:val="18"/>
                <w:color w:val="auto"/>
              </w:rPr>
            </w:pPr>
          </w:p>
        </w:tc>
      </w:tr>
      <w:tr>
        <w:trPr>
          <w:trHeight w:val="216"/>
        </w:trPr>
        <w:tc>
          <w:tcPr>
            <w:tcW w:w="5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3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1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3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100" w:type="dxa"/>
            <w:vAlign w:val="bottom"/>
            <w:shd w:val="clear" w:color="auto" w:fill="CCEEFF"/>
          </w:tcPr>
          <w:p>
            <w:pPr>
              <w:spacing w:after="0"/>
              <w:rPr>
                <w:sz w:val="20"/>
                <w:szCs w:val="20"/>
                <w:color w:val="auto"/>
              </w:rPr>
            </w:pPr>
            <w:r>
              <w:rPr>
                <w:rFonts w:ascii="Arial" w:cs="Arial" w:eastAsia="Arial" w:hAnsi="Arial"/>
                <w:sz w:val="18"/>
                <w:szCs w:val="18"/>
                <w:color w:val="auto"/>
              </w:rPr>
              <w:t>Total</w:t>
            </w:r>
          </w:p>
        </w:tc>
        <w:tc>
          <w:tcPr>
            <w:tcW w:w="6140" w:type="dxa"/>
            <w:vAlign w:val="bottom"/>
            <w:gridSpan w:val="5"/>
            <w:shd w:val="clear" w:color="auto" w:fill="CCEEFF"/>
          </w:tcPr>
          <w:p>
            <w:pPr>
              <w:jc w:val="right"/>
              <w:ind w:right="100"/>
              <w:spacing w:after="0"/>
              <w:rPr>
                <w:sz w:val="20"/>
                <w:szCs w:val="20"/>
                <w:color w:val="auto"/>
              </w:rPr>
            </w:pPr>
            <w:r>
              <w:rPr>
                <w:rFonts w:ascii="Arial" w:cs="Arial" w:eastAsia="Arial" w:hAnsi="Arial"/>
                <w:sz w:val="18"/>
                <w:szCs w:val="18"/>
                <w:color w:val="auto"/>
              </w:rPr>
              <w:t>30,000,000</w:t>
            </w:r>
          </w:p>
        </w:tc>
      </w:tr>
      <w:tr>
        <w:trPr>
          <w:trHeight w:val="682"/>
        </w:trPr>
        <w:tc>
          <w:tcPr>
            <w:tcW w:w="510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37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891" w:right="339" w:bottom="1440" w:gutter="0" w:footer="0" w:header="0"/>
        </w:sectPr>
      </w:pPr>
    </w:p>
    <w:bookmarkStart w:id="209" w:name="page210"/>
    <w:bookmarkEnd w:id="209"/>
    <w:p>
      <w:pPr>
        <w:jc w:val="center"/>
        <w:ind w:right="-479"/>
        <w:spacing w:after="0"/>
        <w:rPr>
          <w:sz w:val="20"/>
          <w:szCs w:val="20"/>
          <w:color w:val="auto"/>
        </w:rPr>
      </w:pPr>
      <w:r>
        <w:rPr>
          <w:rFonts w:ascii="Arial" w:cs="Arial" w:eastAsia="Arial" w:hAnsi="Arial"/>
          <w:sz w:val="18"/>
          <w:szCs w:val="18"/>
          <w:u w:val="single" w:color="auto"/>
          <w:color w:val="auto"/>
        </w:rPr>
        <w:t>SCHEDULE II</w:t>
      </w:r>
    </w:p>
    <w:p>
      <w:pPr>
        <w:spacing w:after="0" w:line="225" w:lineRule="exact"/>
        <w:rPr>
          <w:sz w:val="20"/>
          <w:szCs w:val="20"/>
          <w:color w:val="auto"/>
        </w:rPr>
      </w:pPr>
    </w:p>
    <w:p>
      <w:pPr>
        <w:jc w:val="center"/>
        <w:ind w:right="-479"/>
        <w:spacing w:after="0"/>
        <w:rPr>
          <w:sz w:val="20"/>
          <w:szCs w:val="20"/>
          <w:color w:val="auto"/>
        </w:rPr>
      </w:pPr>
      <w:r>
        <w:rPr>
          <w:rFonts w:ascii="Arial" w:cs="Arial" w:eastAsia="Arial" w:hAnsi="Arial"/>
          <w:sz w:val="18"/>
          <w:szCs w:val="18"/>
          <w:color w:val="auto"/>
        </w:rPr>
        <w:t>TIME OF DELIVERY INFORMATION</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Sustainable Opportunities Acquisition Corp. priced 30,000,000 units at $10.00 per unit plus an additional 4,500,000 units if the underwriters exercise their over-allotment option in full.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780"/>
          </w:cols>
          <w:pgMar w:left="320" w:top="908" w:right="799" w:bottom="1440" w:gutter="0" w:footer="0" w:header="0"/>
        </w:sectPr>
      </w:pPr>
    </w:p>
    <w:bookmarkStart w:id="210" w:name="page211"/>
    <w:bookmarkEnd w:id="210"/>
    <w:p>
      <w:pPr>
        <w:jc w:val="center"/>
        <w:ind w:right="-159"/>
        <w:spacing w:after="0"/>
        <w:rPr>
          <w:sz w:val="20"/>
          <w:szCs w:val="20"/>
          <w:color w:val="auto"/>
        </w:rPr>
      </w:pPr>
      <w:r>
        <w:rPr>
          <w:rFonts w:ascii="Arial" w:cs="Arial" w:eastAsia="Arial" w:hAnsi="Arial"/>
          <w:sz w:val="18"/>
          <w:szCs w:val="18"/>
          <w:u w:val="single" w:color="auto"/>
          <w:color w:val="auto"/>
        </w:rPr>
        <w:t>SCHEDULE III</w:t>
      </w:r>
    </w:p>
    <w:p>
      <w:pPr>
        <w:spacing w:after="0" w:line="2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SCHEDULE OF WRITTEN TESTING-THE-WATERS COMMUNICATIONS</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Reference is made to the materials used in the testing the waters presentation made to potential investors by the Company, to the extent such materials are deemed to be a “written communication” within the meaning of Rule 405 under the Securities 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391795</wp:posOffset>
            </wp:positionV>
            <wp:extent cx="7132320" cy="1714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80"/>
          </w:cols>
          <w:pgMar w:left="320" w:top="908" w:right="499" w:bottom="1440" w:gutter="0" w:footer="0" w:header="0"/>
        </w:sectPr>
      </w:pPr>
    </w:p>
    <w:bookmarkStart w:id="211" w:name="page212"/>
    <w:bookmarkEnd w:id="211"/>
    <w:p>
      <w:pPr>
        <w:jc w:val="right"/>
        <w:spacing w:after="0"/>
        <w:rPr>
          <w:sz w:val="20"/>
          <w:szCs w:val="20"/>
          <w:color w:val="auto"/>
        </w:rPr>
      </w:pPr>
      <w:r>
        <w:rPr>
          <w:rFonts w:ascii="Arial" w:cs="Arial" w:eastAsia="Arial" w:hAnsi="Arial"/>
          <w:sz w:val="18"/>
          <w:szCs w:val="18"/>
          <w:b w:val="1"/>
          <w:bCs w:val="1"/>
          <w:color w:val="auto"/>
        </w:rPr>
        <w:t>Exhibit 4.4</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WARRANT AGREEMENT</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between</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SUSTAINABLE OPPORTUNITIES ACQUISITION CORP.</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and</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CONTINENTAL STOCK TRANSFER &amp; TRUST COMPANY</w:t>
      </w:r>
    </w:p>
    <w:p>
      <w:pPr>
        <w:spacing w:after="0" w:line="225" w:lineRule="exact"/>
        <w:rPr>
          <w:sz w:val="20"/>
          <w:szCs w:val="20"/>
          <w:color w:val="auto"/>
        </w:rPr>
      </w:pPr>
    </w:p>
    <w:p>
      <w:pPr>
        <w:jc w:val="both"/>
        <w:ind w:right="240" w:firstLine="648"/>
        <w:spacing w:after="0" w:line="263" w:lineRule="auto"/>
        <w:rPr>
          <w:sz w:val="20"/>
          <w:szCs w:val="20"/>
          <w:color w:val="auto"/>
        </w:rPr>
      </w:pPr>
      <w:r>
        <w:rPr>
          <w:rFonts w:ascii="Arial" w:cs="Arial" w:eastAsia="Arial" w:hAnsi="Arial"/>
          <w:sz w:val="18"/>
          <w:szCs w:val="18"/>
          <w:color w:val="auto"/>
        </w:rPr>
        <w:t>THIS WARRANT AGREEMENT (this “</w:t>
      </w:r>
      <w:r>
        <w:rPr>
          <w:rFonts w:ascii="Arial" w:cs="Arial" w:eastAsia="Arial" w:hAnsi="Arial"/>
          <w:sz w:val="18"/>
          <w:szCs w:val="18"/>
          <w:b w:val="1"/>
          <w:bCs w:val="1"/>
          <w:i w:val="1"/>
          <w:iCs w:val="1"/>
          <w:color w:val="auto"/>
        </w:rPr>
        <w:t>Agreement</w:t>
      </w:r>
      <w:r>
        <w:rPr>
          <w:rFonts w:ascii="Arial" w:cs="Arial" w:eastAsia="Arial" w:hAnsi="Arial"/>
          <w:sz w:val="18"/>
          <w:szCs w:val="18"/>
          <w:color w:val="auto"/>
        </w:rPr>
        <w:t>”), dated as of [●], 2020, is by and between Sustainable Opportunities Acquisition Corp., a Cayman Islands exempted company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Continental Stock Transfer &amp; Trust Company, a New York corporation,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also referred to herein as the “</w:t>
      </w:r>
      <w:r>
        <w:rPr>
          <w:rFonts w:ascii="Arial" w:cs="Arial" w:eastAsia="Arial" w:hAnsi="Arial"/>
          <w:sz w:val="18"/>
          <w:szCs w:val="18"/>
          <w:b w:val="1"/>
          <w:bCs w:val="1"/>
          <w:i w:val="1"/>
          <w:iCs w:val="1"/>
          <w:color w:val="auto"/>
        </w:rPr>
        <w:t>Transfer Agent</w:t>
      </w:r>
      <w:r>
        <w:rPr>
          <w:rFonts w:ascii="Arial" w:cs="Arial" w:eastAsia="Arial" w:hAnsi="Arial"/>
          <w:sz w:val="18"/>
          <w:szCs w:val="18"/>
          <w:color w:val="auto"/>
        </w:rPr>
        <w:t>”).</w:t>
      </w:r>
    </w:p>
    <w:p>
      <w:pPr>
        <w:spacing w:after="0" w:line="184" w:lineRule="exact"/>
        <w:rPr>
          <w:sz w:val="20"/>
          <w:szCs w:val="20"/>
          <w:color w:val="auto"/>
        </w:rPr>
      </w:pPr>
    </w:p>
    <w:p>
      <w:pPr>
        <w:ind w:right="60" w:firstLine="648"/>
        <w:spacing w:after="0" w:line="259" w:lineRule="auto"/>
        <w:rPr>
          <w:sz w:val="20"/>
          <w:szCs w:val="20"/>
          <w:color w:val="auto"/>
        </w:rPr>
      </w:pPr>
      <w:r>
        <w:rPr>
          <w:rFonts w:ascii="Arial" w:cs="Arial" w:eastAsia="Arial" w:hAnsi="Arial"/>
          <w:sz w:val="18"/>
          <w:szCs w:val="18"/>
          <w:color w:val="auto"/>
        </w:rPr>
        <w:t>WHEREAS, on [●], 2020, the Company entered into that certain Private Placement Warrants Purchase Agreement with Sustainable Opportunities Holdings LLC, a Delaware limited liability company (the “</w:t>
      </w:r>
      <w:r>
        <w:rPr>
          <w:rFonts w:ascii="Arial" w:cs="Arial" w:eastAsia="Arial" w:hAnsi="Arial"/>
          <w:sz w:val="18"/>
          <w:szCs w:val="18"/>
          <w:b w:val="1"/>
          <w:bCs w:val="1"/>
          <w:i w:val="1"/>
          <w:iCs w:val="1"/>
          <w:color w:val="auto"/>
        </w:rPr>
        <w:t>Sponsor</w:t>
      </w:r>
      <w:r>
        <w:rPr>
          <w:rFonts w:ascii="Arial" w:cs="Arial" w:eastAsia="Arial" w:hAnsi="Arial"/>
          <w:sz w:val="18"/>
          <w:szCs w:val="18"/>
          <w:color w:val="auto"/>
        </w:rPr>
        <w:t xml:space="preserve">”), pursuant to which the Sponsor will purchase an aggregate of 9,500,000 warrants simultaneously with the closing of the Offering bearing the legend set forth in </w:t>
      </w:r>
      <w:r>
        <w:rPr>
          <w:rFonts w:ascii="Arial" w:cs="Arial" w:eastAsia="Arial" w:hAnsi="Arial"/>
          <w:sz w:val="18"/>
          <w:szCs w:val="18"/>
          <w:u w:val="single" w:color="auto"/>
          <w:color w:val="auto"/>
        </w:rPr>
        <w:t>Exhibit B</w:t>
      </w:r>
      <w:r>
        <w:rPr>
          <w:rFonts w:ascii="Arial" w:cs="Arial" w:eastAsia="Arial" w:hAnsi="Arial"/>
          <w:sz w:val="18"/>
          <w:szCs w:val="18"/>
          <w:color w:val="auto"/>
        </w:rPr>
        <w:t xml:space="preserve"> hereto (the “</w:t>
      </w:r>
      <w:r>
        <w:rPr>
          <w:rFonts w:ascii="Arial" w:cs="Arial" w:eastAsia="Arial" w:hAnsi="Arial"/>
          <w:sz w:val="18"/>
          <w:szCs w:val="18"/>
          <w:b w:val="1"/>
          <w:bCs w:val="1"/>
          <w:i w:val="1"/>
          <w:iCs w:val="1"/>
          <w:color w:val="auto"/>
        </w:rPr>
        <w:t>Private Placement Warrants</w:t>
      </w:r>
      <w:r>
        <w:rPr>
          <w:rFonts w:ascii="Arial" w:cs="Arial" w:eastAsia="Arial" w:hAnsi="Arial"/>
          <w:sz w:val="18"/>
          <w:szCs w:val="18"/>
          <w:color w:val="auto"/>
        </w:rPr>
        <w:t>”) at a purchase price of $1.00 per Private Placement Warrant; and</w:t>
      </w:r>
    </w:p>
    <w:p>
      <w:pPr>
        <w:spacing w:after="0" w:line="187" w:lineRule="exact"/>
        <w:rPr>
          <w:sz w:val="20"/>
          <w:szCs w:val="20"/>
          <w:color w:val="auto"/>
        </w:rPr>
      </w:pPr>
    </w:p>
    <w:p>
      <w:pPr>
        <w:ind w:right="20" w:firstLine="648"/>
        <w:spacing w:after="0" w:line="259" w:lineRule="auto"/>
        <w:rPr>
          <w:sz w:val="20"/>
          <w:szCs w:val="20"/>
          <w:color w:val="auto"/>
        </w:rPr>
      </w:pPr>
      <w:r>
        <w:rPr>
          <w:rFonts w:ascii="Arial" w:cs="Arial" w:eastAsia="Arial" w:hAnsi="Arial"/>
          <w:sz w:val="18"/>
          <w:szCs w:val="18"/>
          <w:color w:val="auto"/>
        </w:rPr>
        <w:t>WHEREAS, in order to finance the Company’s transaction costs in connection with an intended initial Business Combination, the Sponsor or an affiliate of the Sponsor or the Company’s officers and directors may loan to the Company funds as the Company may require, of which up to $1,500,000 of such loans may be convertible into up to an additional 1,500,000 warrants, which will be identical to the Private Placement Warrants, at a price of $1.00 per warrant; and</w:t>
      </w:r>
    </w:p>
    <w:p>
      <w:pPr>
        <w:spacing w:after="0" w:line="187" w:lineRule="exact"/>
        <w:rPr>
          <w:sz w:val="20"/>
          <w:szCs w:val="20"/>
          <w:color w:val="auto"/>
        </w:rPr>
      </w:pPr>
    </w:p>
    <w:p>
      <w:pPr>
        <w:ind w:right="200" w:firstLine="648"/>
        <w:spacing w:after="0" w:line="255" w:lineRule="auto"/>
        <w:rPr>
          <w:sz w:val="20"/>
          <w:szCs w:val="20"/>
          <w:color w:val="auto"/>
        </w:rPr>
      </w:pPr>
      <w:r>
        <w:rPr>
          <w:rFonts w:ascii="Arial" w:cs="Arial" w:eastAsia="Arial" w:hAnsi="Arial"/>
          <w:sz w:val="18"/>
          <w:szCs w:val="18"/>
          <w:color w:val="auto"/>
        </w:rPr>
        <w:t>WHEREAS, the Company is engaged in an initial public offering (the “</w:t>
      </w:r>
      <w:r>
        <w:rPr>
          <w:rFonts w:ascii="Arial" w:cs="Arial" w:eastAsia="Arial" w:hAnsi="Arial"/>
          <w:sz w:val="18"/>
          <w:szCs w:val="18"/>
          <w:b w:val="1"/>
          <w:bCs w:val="1"/>
          <w:i w:val="1"/>
          <w:iCs w:val="1"/>
          <w:color w:val="auto"/>
        </w:rPr>
        <w:t>Offering</w:t>
      </w:r>
      <w:r>
        <w:rPr>
          <w:rFonts w:ascii="Arial" w:cs="Arial" w:eastAsia="Arial" w:hAnsi="Arial"/>
          <w:sz w:val="18"/>
          <w:szCs w:val="18"/>
          <w:color w:val="auto"/>
        </w:rPr>
        <w:t>”) of units of the Company’s equity securities, each such unit comprised of one Ordinary Share (as defined below) and one-half of one redeemable Public Warrant (as defined below) (the “</w:t>
      </w:r>
      <w:r>
        <w:rPr>
          <w:rFonts w:ascii="Arial" w:cs="Arial" w:eastAsia="Arial" w:hAnsi="Arial"/>
          <w:sz w:val="18"/>
          <w:szCs w:val="18"/>
          <w:b w:val="1"/>
          <w:bCs w:val="1"/>
          <w:i w:val="1"/>
          <w:iCs w:val="1"/>
          <w:color w:val="auto"/>
        </w:rPr>
        <w:t>Units</w:t>
      </w:r>
      <w:r>
        <w:rPr>
          <w:rFonts w:ascii="Arial" w:cs="Arial" w:eastAsia="Arial" w:hAnsi="Arial"/>
          <w:sz w:val="18"/>
          <w:szCs w:val="18"/>
          <w:color w:val="auto"/>
        </w:rPr>
        <w:t>”) and, in connection therewith, has determined to issue and deliver up to 15,000,000 warrants (or up to 17,250,000 warrants to the extent the Option is exercised in full) to public investors in the Offering (the “</w:t>
      </w:r>
      <w:r>
        <w:rPr>
          <w:rFonts w:ascii="Arial" w:cs="Arial" w:eastAsia="Arial" w:hAnsi="Arial"/>
          <w:sz w:val="18"/>
          <w:szCs w:val="18"/>
          <w:b w:val="1"/>
          <w:bCs w:val="1"/>
          <w:i w:val="1"/>
          <w:iCs w:val="1"/>
          <w:color w:val="auto"/>
        </w:rPr>
        <w:t>Public Warrants</w:t>
      </w:r>
      <w:r>
        <w:rPr>
          <w:rFonts w:ascii="Arial" w:cs="Arial" w:eastAsia="Arial" w:hAnsi="Arial"/>
          <w:sz w:val="18"/>
          <w:szCs w:val="18"/>
          <w:color w:val="auto"/>
        </w:rPr>
        <w:t>” and, together with the Private Placement Warrants, the “</w:t>
      </w:r>
      <w:r>
        <w:rPr>
          <w:rFonts w:ascii="Arial" w:cs="Arial" w:eastAsia="Arial" w:hAnsi="Arial"/>
          <w:sz w:val="18"/>
          <w:szCs w:val="18"/>
          <w:b w:val="1"/>
          <w:bCs w:val="1"/>
          <w:i w:val="1"/>
          <w:iCs w:val="1"/>
          <w:color w:val="auto"/>
        </w:rPr>
        <w:t>Warrants</w:t>
      </w:r>
      <w:r>
        <w:rPr>
          <w:rFonts w:ascii="Arial" w:cs="Arial" w:eastAsia="Arial" w:hAnsi="Arial"/>
          <w:sz w:val="18"/>
          <w:szCs w:val="18"/>
          <w:color w:val="auto"/>
        </w:rPr>
        <w:t>”). Each whole Warrant entitles the holder thereof to purchase one Class A ordinary share of the Company, par value $0.0001 per share (the “</w:t>
      </w:r>
      <w:r>
        <w:rPr>
          <w:rFonts w:ascii="Arial" w:cs="Arial" w:eastAsia="Arial" w:hAnsi="Arial"/>
          <w:sz w:val="18"/>
          <w:szCs w:val="18"/>
          <w:b w:val="1"/>
          <w:bCs w:val="1"/>
          <w:i w:val="1"/>
          <w:iCs w:val="1"/>
          <w:color w:val="auto"/>
        </w:rPr>
        <w:t>Ordinary Shares</w:t>
      </w:r>
      <w:r>
        <w:rPr>
          <w:rFonts w:ascii="Arial" w:cs="Arial" w:eastAsia="Arial" w:hAnsi="Arial"/>
          <w:sz w:val="18"/>
          <w:szCs w:val="18"/>
          <w:color w:val="auto"/>
        </w:rPr>
        <w:t>”), for $11.50 per share, subject to adjustment as described herein; and</w:t>
      </w:r>
    </w:p>
    <w:p>
      <w:pPr>
        <w:spacing w:after="0" w:line="192"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WHEREAS, the Company has filed with the Securities and Exchange Commission (the “</w:t>
      </w:r>
      <w:r>
        <w:rPr>
          <w:rFonts w:ascii="Arial" w:cs="Arial" w:eastAsia="Arial" w:hAnsi="Arial"/>
          <w:sz w:val="18"/>
          <w:szCs w:val="18"/>
          <w:b w:val="1"/>
          <w:bCs w:val="1"/>
          <w:i w:val="1"/>
          <w:iCs w:val="1"/>
          <w:color w:val="auto"/>
        </w:rPr>
        <w:t>Commission</w:t>
      </w:r>
      <w:r>
        <w:rPr>
          <w:rFonts w:ascii="Arial" w:cs="Arial" w:eastAsia="Arial" w:hAnsi="Arial"/>
          <w:sz w:val="18"/>
          <w:szCs w:val="18"/>
          <w:color w:val="auto"/>
        </w:rPr>
        <w:t>”) a registration statement on Form S-1, File No. 333-237245 (the “</w:t>
      </w:r>
      <w:r>
        <w:rPr>
          <w:rFonts w:ascii="Arial" w:cs="Arial" w:eastAsia="Arial" w:hAnsi="Arial"/>
          <w:sz w:val="18"/>
          <w:szCs w:val="18"/>
          <w:b w:val="1"/>
          <w:bCs w:val="1"/>
          <w:i w:val="1"/>
          <w:iCs w:val="1"/>
          <w:color w:val="auto"/>
        </w:rPr>
        <w:t>Registration Statement</w:t>
      </w:r>
      <w:r>
        <w:rPr>
          <w:rFonts w:ascii="Arial" w:cs="Arial" w:eastAsia="Arial" w:hAnsi="Arial"/>
          <w:sz w:val="18"/>
          <w:szCs w:val="18"/>
          <w:color w:val="auto"/>
        </w:rPr>
        <w:t>”), and prospectus (the “</w:t>
      </w:r>
      <w:r>
        <w:rPr>
          <w:rFonts w:ascii="Arial" w:cs="Arial" w:eastAsia="Arial" w:hAnsi="Arial"/>
          <w:sz w:val="18"/>
          <w:szCs w:val="18"/>
          <w:b w:val="1"/>
          <w:bCs w:val="1"/>
          <w:i w:val="1"/>
          <w:iCs w:val="1"/>
          <w:color w:val="auto"/>
        </w:rPr>
        <w:t>Prospectus</w:t>
      </w:r>
      <w:r>
        <w:rPr>
          <w:rFonts w:ascii="Arial" w:cs="Arial" w:eastAsia="Arial" w:hAnsi="Arial"/>
          <w:sz w:val="18"/>
          <w:szCs w:val="18"/>
          <w:color w:val="auto"/>
        </w:rPr>
        <w:t>”) for the registration, under the Securities Act of 1933, as amended (the “</w:t>
      </w:r>
      <w:r>
        <w:rPr>
          <w:rFonts w:ascii="Arial" w:cs="Arial" w:eastAsia="Arial" w:hAnsi="Arial"/>
          <w:sz w:val="18"/>
          <w:szCs w:val="18"/>
          <w:b w:val="1"/>
          <w:bCs w:val="1"/>
          <w:i w:val="1"/>
          <w:iCs w:val="1"/>
          <w:color w:val="auto"/>
        </w:rPr>
        <w:t>Securities Act</w:t>
      </w:r>
      <w:r>
        <w:rPr>
          <w:rFonts w:ascii="Arial" w:cs="Arial" w:eastAsia="Arial" w:hAnsi="Arial"/>
          <w:sz w:val="18"/>
          <w:szCs w:val="18"/>
          <w:color w:val="auto"/>
        </w:rPr>
        <w:t>”), of the Units and the Public Warrants and the Ordinary Shares included in the Units; and</w:t>
      </w:r>
    </w:p>
    <w:p>
      <w:pPr>
        <w:spacing w:after="0" w:line="184"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color w:val="auto"/>
        </w:rPr>
        <w:t>WHEREAS, the Company desires the Warrant Agent to act on behalf of the Company, and the Warrant Agent is willing to so act, in connection with the issuance, registration, transfer, exchange, redemption and exercise of the Warrants;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408940</wp:posOffset>
            </wp:positionV>
            <wp:extent cx="7132320" cy="1714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2" w:name="page213"/>
    <w:bookmarkEnd w:id="212"/>
    <w:p>
      <w:pPr>
        <w:ind w:firstLine="648"/>
        <w:spacing w:after="0" w:line="308" w:lineRule="auto"/>
        <w:rPr>
          <w:sz w:val="20"/>
          <w:szCs w:val="20"/>
          <w:color w:val="auto"/>
        </w:rPr>
      </w:pPr>
      <w:r>
        <w:rPr>
          <w:rFonts w:ascii="Arial" w:cs="Arial" w:eastAsia="Arial" w:hAnsi="Arial"/>
          <w:sz w:val="17"/>
          <w:szCs w:val="17"/>
          <w:color w:val="auto"/>
        </w:rPr>
        <w:t>WHEREAS, the Company desires to provide for the form and provisions of the Warrants, the terms upon which they shall be issued and exercised, and the respective rights, limitation of rights and immunities of the Company, the Warrant Agent and the holders of the Warrants; and</w:t>
      </w:r>
    </w:p>
    <w:p>
      <w:pPr>
        <w:spacing w:after="0" w:line="146" w:lineRule="exact"/>
        <w:rPr>
          <w:sz w:val="20"/>
          <w:szCs w:val="20"/>
          <w:color w:val="auto"/>
        </w:rPr>
      </w:pPr>
    </w:p>
    <w:p>
      <w:pPr>
        <w:ind w:right="420" w:firstLine="648"/>
        <w:spacing w:after="0" w:line="263" w:lineRule="auto"/>
        <w:rPr>
          <w:sz w:val="20"/>
          <w:szCs w:val="20"/>
          <w:color w:val="auto"/>
        </w:rPr>
      </w:pPr>
      <w:r>
        <w:rPr>
          <w:rFonts w:ascii="Arial" w:cs="Arial" w:eastAsia="Arial" w:hAnsi="Arial"/>
          <w:sz w:val="18"/>
          <w:szCs w:val="18"/>
          <w:color w:val="auto"/>
        </w:rPr>
        <w:t>WHEREAS, all acts and things have been done and performed which are necessary to make the Warrants, when executed on behalf of the Company and countersigned by or on behalf of the Warrant Agent, as provided herein, the valid, binding and legal obligations of the Company, and to authorize the execution and delivery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NOW, THEREFORE, in consideration of the mutual agreements herein contained, the parties hereto agree as follows:</w:t>
      </w:r>
    </w:p>
    <w:p>
      <w:pPr>
        <w:spacing w:after="0" w:line="225" w:lineRule="exact"/>
        <w:rPr>
          <w:sz w:val="20"/>
          <w:szCs w:val="20"/>
          <w:color w:val="auto"/>
        </w:rPr>
      </w:pPr>
    </w:p>
    <w:p>
      <w:pPr>
        <w:ind w:firstLine="8"/>
        <w:spacing w:after="0" w:line="342" w:lineRule="auto"/>
        <w:tabs>
          <w:tab w:leader="none" w:pos="193" w:val="left"/>
        </w:tabs>
        <w:numPr>
          <w:ilvl w:val="0"/>
          <w:numId w:val="144"/>
        </w:numPr>
        <w:rPr>
          <w:rFonts w:ascii="Arial" w:cs="Arial" w:eastAsia="Arial" w:hAnsi="Arial"/>
          <w:sz w:val="16"/>
          <w:szCs w:val="16"/>
          <w:color w:val="auto"/>
        </w:rPr>
      </w:pPr>
      <w:r>
        <w:rPr>
          <w:rFonts w:ascii="Arial" w:cs="Arial" w:eastAsia="Arial" w:hAnsi="Arial"/>
          <w:sz w:val="16"/>
          <w:szCs w:val="16"/>
          <w:u w:val="single" w:color="auto"/>
          <w:color w:val="auto"/>
        </w:rPr>
        <w:t>Appointment of Warrant Agent</w:t>
      </w:r>
      <w:r>
        <w:rPr>
          <w:rFonts w:ascii="Arial" w:cs="Arial" w:eastAsia="Arial" w:hAnsi="Arial"/>
          <w:sz w:val="16"/>
          <w:szCs w:val="16"/>
          <w:color w:val="auto"/>
        </w:rPr>
        <w:t>. The Company hereby appoints the Warrant Agent to act as agent for the Company for the Warrants, and the Warrant Agent hereby accepts such appointment and agrees to perform the same in accordance with the terms and conditions set forth in this Agreement.</w:t>
      </w:r>
    </w:p>
    <w:p>
      <w:pPr>
        <w:spacing w:after="0" w:line="123" w:lineRule="exact"/>
        <w:rPr>
          <w:rFonts w:ascii="Arial" w:cs="Arial" w:eastAsia="Arial" w:hAnsi="Arial"/>
          <w:sz w:val="16"/>
          <w:szCs w:val="16"/>
          <w:color w:val="auto"/>
        </w:rPr>
      </w:pPr>
    </w:p>
    <w:p>
      <w:pPr>
        <w:ind w:left="180" w:hanging="172"/>
        <w:spacing w:after="0"/>
        <w:tabs>
          <w:tab w:leader="none" w:pos="180" w:val="left"/>
        </w:tabs>
        <w:numPr>
          <w:ilvl w:val="0"/>
          <w:numId w:val="144"/>
        </w:numPr>
        <w:rPr>
          <w:rFonts w:ascii="Arial" w:cs="Arial" w:eastAsia="Arial" w:hAnsi="Arial"/>
          <w:sz w:val="18"/>
          <w:szCs w:val="18"/>
          <w:color w:val="auto"/>
        </w:rPr>
      </w:pPr>
      <w:r>
        <w:rPr>
          <w:rFonts w:ascii="Arial" w:cs="Arial" w:eastAsia="Arial" w:hAnsi="Arial"/>
          <w:sz w:val="18"/>
          <w:szCs w:val="18"/>
          <w:u w:val="single" w:color="auto"/>
          <w:color w:val="auto"/>
        </w:rPr>
        <w:t>Warrants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2.1 </w:t>
      </w:r>
      <w:r>
        <w:rPr>
          <w:rFonts w:ascii="Arial" w:cs="Arial" w:eastAsia="Arial" w:hAnsi="Arial"/>
          <w:sz w:val="18"/>
          <w:szCs w:val="18"/>
          <w:u w:val="single" w:color="auto"/>
          <w:color w:val="auto"/>
        </w:rPr>
        <w:t>Form of Warrant</w:t>
      </w:r>
      <w:r>
        <w:rPr>
          <w:rFonts w:ascii="Arial" w:cs="Arial" w:eastAsia="Arial" w:hAnsi="Arial"/>
          <w:sz w:val="18"/>
          <w:szCs w:val="18"/>
          <w:color w:val="auto"/>
        </w:rPr>
        <w:t>. Each Warrant shall be issued in registered form only.</w:t>
      </w:r>
    </w:p>
    <w:p>
      <w:pPr>
        <w:spacing w:after="0" w:line="225" w:lineRule="exact"/>
        <w:rPr>
          <w:sz w:val="20"/>
          <w:szCs w:val="20"/>
          <w:color w:val="auto"/>
        </w:rPr>
      </w:pPr>
    </w:p>
    <w:p>
      <w:pPr>
        <w:ind w:right="80" w:firstLine="648"/>
        <w:spacing w:after="0" w:line="277" w:lineRule="auto"/>
        <w:rPr>
          <w:sz w:val="20"/>
          <w:szCs w:val="20"/>
          <w:color w:val="auto"/>
        </w:rPr>
      </w:pPr>
      <w:r>
        <w:rPr>
          <w:rFonts w:ascii="Arial" w:cs="Arial" w:eastAsia="Arial" w:hAnsi="Arial"/>
          <w:sz w:val="18"/>
          <w:szCs w:val="18"/>
          <w:color w:val="auto"/>
        </w:rPr>
        <w:t xml:space="preserve">2.2 </w:t>
      </w:r>
      <w:r>
        <w:rPr>
          <w:rFonts w:ascii="Arial" w:cs="Arial" w:eastAsia="Arial" w:hAnsi="Arial"/>
          <w:sz w:val="18"/>
          <w:szCs w:val="18"/>
          <w:u w:val="single" w:color="auto"/>
          <w:color w:val="auto"/>
        </w:rPr>
        <w:t>Effect of Countersignature</w:t>
      </w:r>
      <w:r>
        <w:rPr>
          <w:rFonts w:ascii="Arial" w:cs="Arial" w:eastAsia="Arial" w:hAnsi="Arial"/>
          <w:sz w:val="18"/>
          <w:szCs w:val="18"/>
          <w:color w:val="auto"/>
        </w:rPr>
        <w:t>. If a physical certificate is issued, unless and until countersigned by the Warrant Agent pursuant to this Agreement, a Warrant shall be invalid and of no effect and may not be exercised by the holder thereof.</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2.3 </w:t>
      </w:r>
      <w:r>
        <w:rPr>
          <w:rFonts w:ascii="Arial" w:cs="Arial" w:eastAsia="Arial" w:hAnsi="Arial"/>
          <w:sz w:val="18"/>
          <w:szCs w:val="18"/>
          <w:u w:val="single" w:color="auto"/>
          <w:color w:val="auto"/>
        </w:rPr>
        <w:t>Registration</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55" w:lineRule="auto"/>
        <w:rPr>
          <w:sz w:val="20"/>
          <w:szCs w:val="20"/>
          <w:color w:val="auto"/>
        </w:rPr>
      </w:pPr>
      <w:r>
        <w:rPr>
          <w:rFonts w:ascii="Arial" w:cs="Arial" w:eastAsia="Arial" w:hAnsi="Arial"/>
          <w:sz w:val="18"/>
          <w:szCs w:val="18"/>
          <w:color w:val="auto"/>
        </w:rPr>
        <w:t xml:space="preserve">2.3.1 </w:t>
      </w:r>
      <w:r>
        <w:rPr>
          <w:rFonts w:ascii="Arial" w:cs="Arial" w:eastAsia="Arial" w:hAnsi="Arial"/>
          <w:sz w:val="18"/>
          <w:szCs w:val="18"/>
          <w:u w:val="single" w:color="auto"/>
          <w:color w:val="auto"/>
        </w:rPr>
        <w:t>Warrant Register</w:t>
      </w:r>
      <w:r>
        <w:rPr>
          <w:rFonts w:ascii="Arial" w:cs="Arial" w:eastAsia="Arial" w:hAnsi="Arial"/>
          <w:sz w:val="18"/>
          <w:szCs w:val="18"/>
          <w:color w:val="auto"/>
        </w:rPr>
        <w:t>. The Warrant Agent shall maintain books (the “</w:t>
      </w:r>
      <w:r>
        <w:rPr>
          <w:rFonts w:ascii="Arial" w:cs="Arial" w:eastAsia="Arial" w:hAnsi="Arial"/>
          <w:sz w:val="18"/>
          <w:szCs w:val="18"/>
          <w:b w:val="1"/>
          <w:bCs w:val="1"/>
          <w:i w:val="1"/>
          <w:iCs w:val="1"/>
          <w:color w:val="auto"/>
        </w:rPr>
        <w:t>Warrant Register</w:t>
      </w:r>
      <w:r>
        <w:rPr>
          <w:rFonts w:ascii="Arial" w:cs="Arial" w:eastAsia="Arial" w:hAnsi="Arial"/>
          <w:sz w:val="18"/>
          <w:szCs w:val="18"/>
          <w:color w:val="auto"/>
        </w:rPr>
        <w:t>”) for the registration of original issuance and the registration of transfer of the Warrants. Upon the initial issuance of the Warrants, the Warrant Agent shall issue and register the Warrants in the names of the respective holders thereof in such denominations and otherwise in accordance with instructions delivered to the Warrant Agent by the Company. Ownership of beneficial interests in the Public Warrants shall be shown on, and the transfer of such ownership shall be effected through, records maintained by institutions that have accounts with the Depository Trust Company (the “</w:t>
      </w:r>
      <w:r>
        <w:rPr>
          <w:rFonts w:ascii="Arial" w:cs="Arial" w:eastAsia="Arial" w:hAnsi="Arial"/>
          <w:sz w:val="18"/>
          <w:szCs w:val="18"/>
          <w:b w:val="1"/>
          <w:bCs w:val="1"/>
          <w:i w:val="1"/>
          <w:iCs w:val="1"/>
          <w:color w:val="auto"/>
        </w:rPr>
        <w:t>Depositary</w:t>
      </w:r>
      <w:r>
        <w:rPr>
          <w:rFonts w:ascii="Arial" w:cs="Arial" w:eastAsia="Arial" w:hAnsi="Arial"/>
          <w:sz w:val="18"/>
          <w:szCs w:val="18"/>
          <w:color w:val="auto"/>
        </w:rPr>
        <w:t>”) (such institution, with respect to a Warrant in its account, a “</w:t>
      </w:r>
      <w:r>
        <w:rPr>
          <w:rFonts w:ascii="Arial" w:cs="Arial" w:eastAsia="Arial" w:hAnsi="Arial"/>
          <w:sz w:val="18"/>
          <w:szCs w:val="18"/>
          <w:b w:val="1"/>
          <w:bCs w:val="1"/>
          <w:i w:val="1"/>
          <w:iCs w:val="1"/>
          <w:color w:val="auto"/>
        </w:rPr>
        <w:t>Participant</w:t>
      </w:r>
      <w:r>
        <w:rPr>
          <w:rFonts w:ascii="Arial" w:cs="Arial" w:eastAsia="Arial" w:hAnsi="Arial"/>
          <w:sz w:val="18"/>
          <w:szCs w:val="18"/>
          <w:color w:val="auto"/>
        </w:rPr>
        <w:t>”).</w:t>
      </w:r>
    </w:p>
    <w:p>
      <w:pPr>
        <w:spacing w:after="0" w:line="192" w:lineRule="exact"/>
        <w:rPr>
          <w:sz w:val="20"/>
          <w:szCs w:val="20"/>
          <w:color w:val="auto"/>
        </w:rPr>
      </w:pPr>
    </w:p>
    <w:p>
      <w:pPr>
        <w:ind w:right="220" w:firstLine="648"/>
        <w:spacing w:after="0" w:line="257" w:lineRule="auto"/>
        <w:rPr>
          <w:sz w:val="20"/>
          <w:szCs w:val="20"/>
          <w:color w:val="auto"/>
        </w:rPr>
      </w:pPr>
      <w:r>
        <w:rPr>
          <w:rFonts w:ascii="Arial" w:cs="Arial" w:eastAsia="Arial" w:hAnsi="Arial"/>
          <w:sz w:val="18"/>
          <w:szCs w:val="18"/>
          <w:color w:val="auto"/>
        </w:rPr>
        <w:t xml:space="preserve">If the Depositary subsequently ceases to make its book-entry settlement system available for the Public Warrants, the Company may instruct the Warrant Agent regarding making other arrangements for book-entry settlement. In its sole discretion, the Company may instruct the Warrant Agent to deliver to the Depositary (i) written instructions to deliver to the Warrant Agent for cancellation each book-entry Public Warrant and (ii) definitive certificates in physical form evidencing such Warrants which shall be in the form annexed hereto as </w:t>
      </w: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with appropriate insertions, modifications and omissions, as provided above.</w:t>
      </w:r>
    </w:p>
    <w:p>
      <w:pPr>
        <w:spacing w:after="0" w:line="188" w:lineRule="exact"/>
        <w:rPr>
          <w:sz w:val="20"/>
          <w:szCs w:val="20"/>
          <w:color w:val="auto"/>
        </w:rPr>
      </w:pPr>
    </w:p>
    <w:p>
      <w:pPr>
        <w:ind w:right="160" w:firstLine="648"/>
        <w:spacing w:after="0" w:line="259" w:lineRule="auto"/>
        <w:rPr>
          <w:sz w:val="20"/>
          <w:szCs w:val="20"/>
          <w:color w:val="auto"/>
        </w:rPr>
      </w:pPr>
      <w:r>
        <w:rPr>
          <w:rFonts w:ascii="Arial" w:cs="Arial" w:eastAsia="Arial" w:hAnsi="Arial"/>
          <w:sz w:val="18"/>
          <w:szCs w:val="18"/>
          <w:color w:val="auto"/>
        </w:rPr>
        <w:t>Physical certificates, if issued, shall be signed by, or bear the facsimile signature of, the Chief Executive Officer, Chief Financial Officer or other principal officer of the Company. In the event the person whose facsimile signature has been placed upon any Warrant shall have ceased to serve in the capacity in which such person signed the Warrant before such Warrant is issued, it may be issued with the same effect as if he or she had not ceased to be such at the date of issuance.</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3" w:name="page214"/>
    <w:bookmarkEnd w:id="213"/>
    <w:p>
      <w:pPr>
        <w:ind w:firstLine="1296"/>
        <w:spacing w:after="0" w:line="257" w:lineRule="auto"/>
        <w:rPr>
          <w:sz w:val="20"/>
          <w:szCs w:val="20"/>
          <w:color w:val="auto"/>
        </w:rPr>
      </w:pPr>
      <w:r>
        <w:rPr>
          <w:rFonts w:ascii="Arial" w:cs="Arial" w:eastAsia="Arial" w:hAnsi="Arial"/>
          <w:sz w:val="18"/>
          <w:szCs w:val="18"/>
          <w:color w:val="auto"/>
        </w:rPr>
        <w:t xml:space="preserve">2.3.2 </w:t>
      </w:r>
      <w:r>
        <w:rPr>
          <w:rFonts w:ascii="Arial" w:cs="Arial" w:eastAsia="Arial" w:hAnsi="Arial"/>
          <w:sz w:val="18"/>
          <w:szCs w:val="18"/>
          <w:u w:val="single" w:color="auto"/>
          <w:color w:val="auto"/>
        </w:rPr>
        <w:t>Registered Holder</w:t>
      </w:r>
      <w:r>
        <w:rPr>
          <w:rFonts w:ascii="Arial" w:cs="Arial" w:eastAsia="Arial" w:hAnsi="Arial"/>
          <w:sz w:val="18"/>
          <w:szCs w:val="18"/>
          <w:color w:val="auto"/>
        </w:rPr>
        <w:t>. Prior to due presentment for registration of transfer of any Warrant, the Company and the Warrant Agent may deem and treat the person in whose name such Warrant is registered in the Warrant Register (the “</w:t>
      </w:r>
      <w:r>
        <w:rPr>
          <w:rFonts w:ascii="Arial" w:cs="Arial" w:eastAsia="Arial" w:hAnsi="Arial"/>
          <w:sz w:val="18"/>
          <w:szCs w:val="18"/>
          <w:b w:val="1"/>
          <w:bCs w:val="1"/>
          <w:i w:val="1"/>
          <w:iCs w:val="1"/>
          <w:color w:val="auto"/>
        </w:rPr>
        <w:t>Registered Holder</w:t>
      </w:r>
      <w:r>
        <w:rPr>
          <w:rFonts w:ascii="Arial" w:cs="Arial" w:eastAsia="Arial" w:hAnsi="Arial"/>
          <w:sz w:val="18"/>
          <w:szCs w:val="18"/>
          <w:color w:val="auto"/>
        </w:rPr>
        <w:t>”) as the absolute owner of such Warrant and of each Warrant represented thereby (notwithstanding any notation of ownership or other writing on any physical certificate made by anyone other than the Company or the Warrant Agent), for the purpose of any exercise thereof, and for all other purposes, and neither the Company nor the Warrant Agent shall be affected by any notice to the contrary.</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Detachability of Warrants</w:t>
      </w:r>
      <w:r>
        <w:rPr>
          <w:rFonts w:ascii="Arial" w:cs="Arial" w:eastAsia="Arial" w:hAnsi="Arial"/>
          <w:sz w:val="17"/>
          <w:szCs w:val="17"/>
          <w:color w:val="auto"/>
        </w:rPr>
        <w:t>. The Ordinary Shares and Public Warrants comprising the Units shall begin separate trading on the 52nd day</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following the date of the Prospectus or, if such 52nd day is not on a day, other than a Saturday, Sunday or federal holiday, on which banks in New York</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City are generally open for normal business (a “</w:t>
      </w:r>
      <w:r>
        <w:rPr>
          <w:rFonts w:ascii="Arial" w:cs="Arial" w:eastAsia="Arial" w:hAnsi="Arial"/>
          <w:sz w:val="16"/>
          <w:szCs w:val="16"/>
          <w:b w:val="1"/>
          <w:bCs w:val="1"/>
          <w:i w:val="1"/>
          <w:iCs w:val="1"/>
          <w:color w:val="auto"/>
        </w:rPr>
        <w:t>Business Day</w:t>
      </w:r>
      <w:r>
        <w:rPr>
          <w:rFonts w:ascii="Arial" w:cs="Arial" w:eastAsia="Arial" w:hAnsi="Arial"/>
          <w:sz w:val="16"/>
          <w:szCs w:val="16"/>
          <w:color w:val="auto"/>
        </w:rPr>
        <w:t>”), then on the immediately succeeding Business Day following such date, or earlier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Detachment Date</w:t>
      </w:r>
      <w:r>
        <w:rPr>
          <w:rFonts w:ascii="Arial" w:cs="Arial" w:eastAsia="Arial" w:hAnsi="Arial"/>
          <w:sz w:val="16"/>
          <w:szCs w:val="16"/>
          <w:color w:val="auto"/>
        </w:rPr>
        <w:t>”) with the consent of Citigroup Global Markets Inc., as the representative of the several underwriters, but in no event shall the Ordinary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Shares and the Public Warrants comprising the Units be separately traded until (A) the Company has filed a Current Report on Form 8-K with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Commission containing an audited balance sheet reflecting the receipt by the Company of the gross proceeds of the Offering, including the proceeds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received by the Company from the exercise by the underwriters of their right to purchase additional Units in the Offering (the “</w:t>
      </w:r>
      <w:r>
        <w:rPr>
          <w:rFonts w:ascii="Arial" w:cs="Arial" w:eastAsia="Arial" w:hAnsi="Arial"/>
          <w:sz w:val="17"/>
          <w:szCs w:val="17"/>
          <w:b w:val="1"/>
          <w:bCs w:val="1"/>
          <w:i w:val="1"/>
          <w:iCs w:val="1"/>
          <w:color w:val="auto"/>
        </w:rPr>
        <w:t>Option</w:t>
      </w:r>
      <w:r>
        <w:rPr>
          <w:rFonts w:ascii="Arial" w:cs="Arial" w:eastAsia="Arial" w:hAnsi="Arial"/>
          <w:sz w:val="17"/>
          <w:szCs w:val="17"/>
          <w:color w:val="auto"/>
        </w:rPr>
        <w:t>”) if the Option is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exercised prior to the filing of the Current Report on Form 8-K, and (B) the Company issues a press release and files with the Commission a Current</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Report on Form 8-K announcing when such separate trading shall begin.</w:t>
      </w:r>
    </w:p>
    <w:p>
      <w:pPr>
        <w:spacing w:after="0" w:line="211"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2.5 </w:t>
      </w:r>
      <w:r>
        <w:rPr>
          <w:rFonts w:ascii="Arial" w:cs="Arial" w:eastAsia="Arial" w:hAnsi="Arial"/>
          <w:sz w:val="18"/>
          <w:szCs w:val="18"/>
          <w:u w:val="single" w:color="auto"/>
          <w:color w:val="auto"/>
        </w:rPr>
        <w:t>No Fractional Warrants Other Than as Part of Units</w:t>
      </w:r>
      <w:r>
        <w:rPr>
          <w:rFonts w:ascii="Arial" w:cs="Arial" w:eastAsia="Arial" w:hAnsi="Arial"/>
          <w:sz w:val="18"/>
          <w:szCs w:val="18"/>
          <w:color w:val="auto"/>
        </w:rPr>
        <w:t>. The Company shall not issue fractional Warrants other than as part of Units, each of which is comprised of one Ordinary Share and one-half of one Public Warrant. If, upon the detachment of Public Warrants from Units or otherwise, a holder of Warrants would be entitled to receive a fractional Warrant, the Company shall round down to the nearest whole number the number of Warrants to be issued to such holder.</w:t>
      </w:r>
    </w:p>
    <w:p>
      <w:pPr>
        <w:spacing w:after="0" w:line="18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2.6 </w:t>
      </w:r>
      <w:r>
        <w:rPr>
          <w:rFonts w:ascii="Arial" w:cs="Arial" w:eastAsia="Arial" w:hAnsi="Arial"/>
          <w:sz w:val="18"/>
          <w:szCs w:val="18"/>
          <w:u w:val="single" w:color="auto"/>
          <w:color w:val="auto"/>
        </w:rPr>
        <w:t>Private Placement Warrants</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 xml:space="preserve">2.6.1 </w:t>
      </w:r>
      <w:r>
        <w:rPr>
          <w:rFonts w:ascii="Arial" w:cs="Arial" w:eastAsia="Arial" w:hAnsi="Arial"/>
          <w:sz w:val="16"/>
          <w:szCs w:val="16"/>
          <w:u w:val="single" w:color="auto"/>
          <w:color w:val="auto"/>
        </w:rPr>
        <w:t>Private Placement Warrants</w:t>
      </w:r>
      <w:r>
        <w:rPr>
          <w:rFonts w:ascii="Arial" w:cs="Arial" w:eastAsia="Arial" w:hAnsi="Arial"/>
          <w:sz w:val="16"/>
          <w:szCs w:val="16"/>
          <w:color w:val="auto"/>
        </w:rPr>
        <w:t xml:space="preserve">. The Private Placement Warrants shall be identical to the Public Warrants, except that so long as they are held by the Sponsor or any of its Permitted Transferees (as defined below) the Private Placement Warrants (i) may be exercised for cash or on a cashless basis, pursuant to </w:t>
      </w:r>
      <w:r>
        <w:rPr>
          <w:rFonts w:ascii="Arial" w:cs="Arial" w:eastAsia="Arial" w:hAnsi="Arial"/>
          <w:sz w:val="16"/>
          <w:szCs w:val="16"/>
          <w:u w:val="single" w:color="auto"/>
          <w:color w:val="auto"/>
        </w:rPr>
        <w:t>subsection 3.3.1(c)</w:t>
      </w:r>
      <w:r>
        <w:rPr>
          <w:rFonts w:ascii="Arial" w:cs="Arial" w:eastAsia="Arial" w:hAnsi="Arial"/>
          <w:sz w:val="16"/>
          <w:szCs w:val="16"/>
          <w:color w:val="auto"/>
        </w:rPr>
        <w:t xml:space="preserve"> hereof, (ii) may not be transferred, assigned or sold until the date that is thirty days after the completion by the Company of an initial Business Combination (as defined below), and (iii) shall not be redeemable by the Company;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in the case of</w:t>
      </w:r>
    </w:p>
    <w:p>
      <w:pPr>
        <w:spacing w:after="0" w:line="1" w:lineRule="exact"/>
        <w:rPr>
          <w:sz w:val="20"/>
          <w:szCs w:val="20"/>
          <w:color w:val="auto"/>
        </w:rPr>
      </w:pPr>
    </w:p>
    <w:p>
      <w:pPr>
        <w:ind w:right="60" w:firstLine="8"/>
        <w:spacing w:after="0" w:line="260" w:lineRule="auto"/>
        <w:tabs>
          <w:tab w:leader="none" w:pos="265"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above, the Private Placement Warrants and any Ordinary Shares held by the Sponsor or any of its Permitted Transferees and issued upon exercise of the Private Placement Warrants may be transferred by the holders thereof:</w:t>
      </w:r>
    </w:p>
    <w:p>
      <w:pPr>
        <w:spacing w:after="0" w:line="185" w:lineRule="exact"/>
        <w:rPr>
          <w:rFonts w:ascii="Arial" w:cs="Arial" w:eastAsia="Arial" w:hAnsi="Arial"/>
          <w:sz w:val="18"/>
          <w:szCs w:val="18"/>
          <w:color w:val="auto"/>
        </w:rPr>
      </w:pPr>
    </w:p>
    <w:p>
      <w:pPr>
        <w:ind w:left="660" w:right="180" w:firstLine="644"/>
        <w:spacing w:after="0" w:line="277" w:lineRule="auto"/>
        <w:tabs>
          <w:tab w:leader="none" w:pos="1553" w:val="left"/>
        </w:tabs>
        <w:numPr>
          <w:ilvl w:val="1"/>
          <w:numId w:val="145"/>
        </w:numPr>
        <w:rPr>
          <w:rFonts w:ascii="Arial" w:cs="Arial" w:eastAsia="Arial" w:hAnsi="Arial"/>
          <w:sz w:val="18"/>
          <w:szCs w:val="18"/>
          <w:color w:val="auto"/>
        </w:rPr>
      </w:pPr>
      <w:r>
        <w:rPr>
          <w:rFonts w:ascii="Arial" w:cs="Arial" w:eastAsia="Arial" w:hAnsi="Arial"/>
          <w:sz w:val="18"/>
          <w:szCs w:val="18"/>
          <w:color w:val="auto"/>
        </w:rPr>
        <w:t>to the Company’s officers or directors, any affiliates or family members of any of the Company’s officers or directors, any members of the Sponsor or their affiliates, or any affiliates of the Sponsor,</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4" w:name="page215"/>
    <w:bookmarkEnd w:id="214"/>
    <w:p>
      <w:pPr>
        <w:ind w:left="660" w:right="540" w:firstLine="644"/>
        <w:spacing w:after="0" w:line="277" w:lineRule="auto"/>
        <w:tabs>
          <w:tab w:leader="none" w:pos="156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case of an individual, by gift to a member of the individual’s immediate family or to a trust, the beneficiary of which is a member of one of the individual’s immediate family, an affiliate of such person or to a charitable organization,</w:t>
      </w:r>
    </w:p>
    <w:p>
      <w:pPr>
        <w:spacing w:after="0" w:line="170" w:lineRule="exact"/>
        <w:rPr>
          <w:rFonts w:ascii="Arial" w:cs="Arial" w:eastAsia="Arial" w:hAnsi="Arial"/>
          <w:sz w:val="18"/>
          <w:szCs w:val="18"/>
          <w:color w:val="auto"/>
        </w:rPr>
      </w:pPr>
    </w:p>
    <w:p>
      <w:pPr>
        <w:ind w:left="1540" w:hanging="236"/>
        <w:spacing w:after="0"/>
        <w:tabs>
          <w:tab w:leader="none" w:pos="154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case of an individual, by virtue of the laws of descent and distribution upon death of the individual,</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case of an individual, pursuant to a qualified domestic relations order,</w:t>
      </w:r>
    </w:p>
    <w:p>
      <w:pPr>
        <w:spacing w:after="0" w:line="225" w:lineRule="exact"/>
        <w:rPr>
          <w:rFonts w:ascii="Arial" w:cs="Arial" w:eastAsia="Arial" w:hAnsi="Arial"/>
          <w:sz w:val="18"/>
          <w:szCs w:val="18"/>
          <w:color w:val="auto"/>
        </w:rPr>
      </w:pPr>
    </w:p>
    <w:p>
      <w:pPr>
        <w:ind w:left="660" w:right="220" w:firstLine="644"/>
        <w:spacing w:after="0" w:line="342" w:lineRule="auto"/>
        <w:tabs>
          <w:tab w:leader="none" w:pos="1553" w:val="left"/>
        </w:tabs>
        <w:numPr>
          <w:ilvl w:val="0"/>
          <w:numId w:val="146"/>
        </w:numPr>
        <w:rPr>
          <w:rFonts w:ascii="Arial" w:cs="Arial" w:eastAsia="Arial" w:hAnsi="Arial"/>
          <w:sz w:val="16"/>
          <w:szCs w:val="16"/>
          <w:color w:val="auto"/>
        </w:rPr>
      </w:pPr>
      <w:r>
        <w:rPr>
          <w:rFonts w:ascii="Arial" w:cs="Arial" w:eastAsia="Arial" w:hAnsi="Arial"/>
          <w:sz w:val="16"/>
          <w:szCs w:val="16"/>
          <w:color w:val="auto"/>
        </w:rPr>
        <w:t>by private sales or transfers made in connection with any forward purchase agreement or similar arrangement or in connection with the consummation of a Business Combination at prices no greater than the price at which the Warrants were originally purchased,</w:t>
      </w:r>
    </w:p>
    <w:p>
      <w:pPr>
        <w:spacing w:after="0" w:line="123" w:lineRule="exact"/>
        <w:rPr>
          <w:rFonts w:ascii="Arial" w:cs="Arial" w:eastAsia="Arial" w:hAnsi="Arial"/>
          <w:sz w:val="16"/>
          <w:szCs w:val="16"/>
          <w:color w:val="auto"/>
        </w:rPr>
      </w:pPr>
    </w:p>
    <w:p>
      <w:pPr>
        <w:ind w:left="1520" w:hanging="216"/>
        <w:spacing w:after="0"/>
        <w:tabs>
          <w:tab w:leader="none" w:pos="152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by virtue of the holder’s organizational documents upon liquidation or dissolution of the holder,</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to the Company for no value for cancellation in connection with the completion of a Business Combination,</w:t>
      </w:r>
    </w:p>
    <w:p>
      <w:pPr>
        <w:spacing w:after="0" w:line="225" w:lineRule="exact"/>
        <w:rPr>
          <w:rFonts w:ascii="Arial" w:cs="Arial" w:eastAsia="Arial" w:hAnsi="Arial"/>
          <w:sz w:val="18"/>
          <w:szCs w:val="18"/>
          <w:color w:val="auto"/>
        </w:rPr>
      </w:pPr>
    </w:p>
    <w:p>
      <w:pPr>
        <w:ind w:left="1560" w:hanging="256"/>
        <w:spacing w:after="0"/>
        <w:tabs>
          <w:tab w:leader="none" w:pos="1560"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event of the Company’s liquidation prior to completion of a Business Combination, or</w:t>
      </w:r>
    </w:p>
    <w:p>
      <w:pPr>
        <w:spacing w:after="0" w:line="225" w:lineRule="exact"/>
        <w:rPr>
          <w:rFonts w:ascii="Arial" w:cs="Arial" w:eastAsia="Arial" w:hAnsi="Arial"/>
          <w:sz w:val="18"/>
          <w:szCs w:val="18"/>
          <w:color w:val="auto"/>
        </w:rPr>
      </w:pPr>
    </w:p>
    <w:p>
      <w:pPr>
        <w:ind w:left="660" w:right="200" w:firstLine="644"/>
        <w:spacing w:after="0" w:line="263" w:lineRule="auto"/>
        <w:tabs>
          <w:tab w:leader="none" w:pos="1523" w:val="left"/>
        </w:tabs>
        <w:numPr>
          <w:ilvl w:val="0"/>
          <w:numId w:val="146"/>
        </w:numPr>
        <w:rPr>
          <w:rFonts w:ascii="Arial" w:cs="Arial" w:eastAsia="Arial" w:hAnsi="Arial"/>
          <w:sz w:val="18"/>
          <w:szCs w:val="18"/>
          <w:color w:val="auto"/>
        </w:rPr>
      </w:pPr>
      <w:r>
        <w:rPr>
          <w:rFonts w:ascii="Arial" w:cs="Arial" w:eastAsia="Arial" w:hAnsi="Arial"/>
          <w:sz w:val="18"/>
          <w:szCs w:val="18"/>
          <w:color w:val="auto"/>
        </w:rPr>
        <w:t>in the event of the Company’s liquidation, merger, share exchange or other similar transaction which results in all of the Company’s shareholders having the right to exchange their Ordinary Shares for cash, securities or other property subsequent to the completion of the Company’s initial Business Combination;</w:t>
      </w:r>
    </w:p>
    <w:p>
      <w:pPr>
        <w:spacing w:after="0" w:line="184" w:lineRule="exact"/>
        <w:rPr>
          <w:sz w:val="20"/>
          <w:szCs w:val="20"/>
          <w:color w:val="auto"/>
        </w:rPr>
      </w:pPr>
    </w:p>
    <w:p>
      <w:pPr>
        <w:jc w:val="both"/>
        <w:ind w:right="200" w:firstLine="648"/>
        <w:spacing w:after="0" w:line="263" w:lineRule="auto"/>
        <w:rPr>
          <w:sz w:val="20"/>
          <w:szCs w:val="20"/>
          <w:color w:val="auto"/>
        </w:rPr>
      </w:pP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each case (except for clause (g), (h) or (i) or with the prior written consent of the Company) prior to such registration for transfer, the Warrant Agent shall be presented with written documentation pursuant to which each permitted transferee (the “</w:t>
      </w:r>
      <w:r>
        <w:rPr>
          <w:rFonts w:ascii="Arial" w:cs="Arial" w:eastAsia="Arial" w:hAnsi="Arial"/>
          <w:sz w:val="18"/>
          <w:szCs w:val="18"/>
          <w:b w:val="1"/>
          <w:bCs w:val="1"/>
          <w:i w:val="1"/>
          <w:iCs w:val="1"/>
          <w:color w:val="auto"/>
        </w:rPr>
        <w:t>Permitted Transferees</w:t>
      </w:r>
      <w:r>
        <w:rPr>
          <w:rFonts w:ascii="Arial" w:cs="Arial" w:eastAsia="Arial" w:hAnsi="Arial"/>
          <w:sz w:val="18"/>
          <w:szCs w:val="18"/>
          <w:color w:val="auto"/>
        </w:rPr>
        <w:t>”) agrees to be bound by these transfer restrictions.</w:t>
      </w:r>
    </w:p>
    <w:p>
      <w:pPr>
        <w:spacing w:after="0" w:line="184" w:lineRule="exact"/>
        <w:rPr>
          <w:sz w:val="20"/>
          <w:szCs w:val="20"/>
          <w:color w:val="auto"/>
        </w:rPr>
      </w:pPr>
    </w:p>
    <w:p>
      <w:pPr>
        <w:ind w:left="180" w:hanging="172"/>
        <w:spacing w:after="0"/>
        <w:tabs>
          <w:tab w:leader="none" w:pos="180" w:val="left"/>
        </w:tabs>
        <w:numPr>
          <w:ilvl w:val="0"/>
          <w:numId w:val="147"/>
        </w:numPr>
        <w:rPr>
          <w:rFonts w:ascii="Arial" w:cs="Arial" w:eastAsia="Arial" w:hAnsi="Arial"/>
          <w:sz w:val="18"/>
          <w:szCs w:val="18"/>
          <w:color w:val="auto"/>
        </w:rPr>
      </w:pPr>
      <w:r>
        <w:rPr>
          <w:rFonts w:ascii="Arial" w:cs="Arial" w:eastAsia="Arial" w:hAnsi="Arial"/>
          <w:sz w:val="18"/>
          <w:szCs w:val="18"/>
          <w:u w:val="single" w:color="auto"/>
          <w:color w:val="auto"/>
        </w:rPr>
        <w:t>Terms and Exercise of Warrants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54" w:lineRule="auto"/>
        <w:rPr>
          <w:sz w:val="20"/>
          <w:szCs w:val="20"/>
          <w:color w:val="auto"/>
        </w:rPr>
      </w:pPr>
      <w:r>
        <w:rPr>
          <w:rFonts w:ascii="Arial" w:cs="Arial" w:eastAsia="Arial" w:hAnsi="Arial"/>
          <w:sz w:val="18"/>
          <w:szCs w:val="18"/>
          <w:color w:val="auto"/>
        </w:rPr>
        <w:t xml:space="preserve">3.1 </w:t>
      </w:r>
      <w:r>
        <w:rPr>
          <w:rFonts w:ascii="Arial" w:cs="Arial" w:eastAsia="Arial" w:hAnsi="Arial"/>
          <w:sz w:val="18"/>
          <w:szCs w:val="18"/>
          <w:u w:val="single" w:color="auto"/>
          <w:color w:val="auto"/>
        </w:rPr>
        <w:t>Warrant Price</w:t>
      </w:r>
      <w:r>
        <w:rPr>
          <w:rFonts w:ascii="Arial" w:cs="Arial" w:eastAsia="Arial" w:hAnsi="Arial"/>
          <w:sz w:val="18"/>
          <w:szCs w:val="18"/>
          <w:color w:val="auto"/>
        </w:rPr>
        <w:t xml:space="preserve">. Each Warrant shall, when countersigned by the Warrant Agent, entitle the Registered Holder thereof, subject to the provisions of such Warrant and of this Agreement, to purchase from the Company the number of Ordinary Shares stated therein, at the price of $11.50 per share, subject to the adjustments provided in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and in the last sentence of this </w:t>
      </w:r>
      <w:r>
        <w:rPr>
          <w:rFonts w:ascii="Arial" w:cs="Arial" w:eastAsia="Arial" w:hAnsi="Arial"/>
          <w:sz w:val="18"/>
          <w:szCs w:val="18"/>
          <w:u w:val="single" w:color="auto"/>
          <w:color w:val="auto"/>
        </w:rPr>
        <w:t>Section 3.1</w:t>
      </w:r>
      <w:r>
        <w:rPr>
          <w:rFonts w:ascii="Arial" w:cs="Arial" w:eastAsia="Arial" w:hAnsi="Arial"/>
          <w:sz w:val="18"/>
          <w:szCs w:val="18"/>
          <w:color w:val="auto"/>
        </w:rPr>
        <w:t>. The term “</w:t>
      </w:r>
      <w:r>
        <w:rPr>
          <w:rFonts w:ascii="Arial" w:cs="Arial" w:eastAsia="Arial" w:hAnsi="Arial"/>
          <w:sz w:val="18"/>
          <w:szCs w:val="18"/>
          <w:b w:val="1"/>
          <w:bCs w:val="1"/>
          <w:i w:val="1"/>
          <w:iCs w:val="1"/>
          <w:color w:val="auto"/>
        </w:rPr>
        <w:t>Warrant Price</w:t>
      </w:r>
      <w:r>
        <w:rPr>
          <w:rFonts w:ascii="Arial" w:cs="Arial" w:eastAsia="Arial" w:hAnsi="Arial"/>
          <w:sz w:val="18"/>
          <w:szCs w:val="18"/>
          <w:color w:val="auto"/>
        </w:rPr>
        <w:t xml:space="preserve">” as used in this Agreement shall mean the price per share at which Ordinary Shares may be purchased at the time a Warrant is exercised. The Company in its sole discretion may lower the Warrant Price at any time prior to the Expiration Date (as defined below) for a period of not less than fifteen Business Days (unless otherwise required by the Commission, any national securities exchange on which the Warrants are listed or applicable law);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that the Company shall provide at least five days’ prior written notice of such reduction to Registered Holders of the Warrants; and </w:t>
      </w:r>
      <w:r>
        <w:rPr>
          <w:rFonts w:ascii="Arial" w:cs="Arial" w:eastAsia="Arial" w:hAnsi="Arial"/>
          <w:sz w:val="18"/>
          <w:szCs w:val="18"/>
          <w:u w:val="single" w:color="auto"/>
          <w:color w:val="auto"/>
        </w:rPr>
        <w:t>provided further</w:t>
      </w:r>
      <w:r>
        <w:rPr>
          <w:rFonts w:ascii="Arial" w:cs="Arial" w:eastAsia="Arial" w:hAnsi="Arial"/>
          <w:sz w:val="18"/>
          <w:szCs w:val="18"/>
          <w:color w:val="auto"/>
        </w:rPr>
        <w:t>, that any such reduction shall be identical among all of the Warrants.</w:t>
      </w:r>
    </w:p>
    <w:p>
      <w:pPr>
        <w:spacing w:after="0" w:line="40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5" w:name="page216"/>
    <w:bookmarkEnd w:id="215"/>
    <w:p>
      <w:pPr>
        <w:ind w:firstLine="648"/>
        <w:spacing w:after="0" w:line="285" w:lineRule="auto"/>
        <w:rPr>
          <w:sz w:val="20"/>
          <w:szCs w:val="20"/>
          <w:color w:val="auto"/>
        </w:rPr>
      </w:pPr>
      <w:r>
        <w:rPr>
          <w:rFonts w:ascii="Arial" w:cs="Arial" w:eastAsia="Arial" w:hAnsi="Arial"/>
          <w:sz w:val="16"/>
          <w:szCs w:val="16"/>
          <w:color w:val="auto"/>
        </w:rPr>
        <w:t xml:space="preserve">3.2 </w:t>
      </w:r>
      <w:r>
        <w:rPr>
          <w:rFonts w:ascii="Arial" w:cs="Arial" w:eastAsia="Arial" w:hAnsi="Arial"/>
          <w:sz w:val="16"/>
          <w:szCs w:val="16"/>
          <w:u w:val="single" w:color="auto"/>
          <w:color w:val="auto"/>
        </w:rPr>
        <w:t>Duration of Warrants</w:t>
      </w:r>
      <w:r>
        <w:rPr>
          <w:rFonts w:ascii="Arial" w:cs="Arial" w:eastAsia="Arial" w:hAnsi="Arial"/>
          <w:sz w:val="16"/>
          <w:szCs w:val="16"/>
          <w:color w:val="auto"/>
        </w:rPr>
        <w:t>. A Warrant may be exercised only during the period (the “</w:t>
      </w:r>
      <w:r>
        <w:rPr>
          <w:rFonts w:ascii="Arial" w:cs="Arial" w:eastAsia="Arial" w:hAnsi="Arial"/>
          <w:sz w:val="16"/>
          <w:szCs w:val="16"/>
          <w:b w:val="1"/>
          <w:bCs w:val="1"/>
          <w:i w:val="1"/>
          <w:iCs w:val="1"/>
          <w:color w:val="auto"/>
        </w:rPr>
        <w:t>Exercise Period</w:t>
      </w:r>
      <w:r>
        <w:rPr>
          <w:rFonts w:ascii="Arial" w:cs="Arial" w:eastAsia="Arial" w:hAnsi="Arial"/>
          <w:sz w:val="16"/>
          <w:szCs w:val="16"/>
          <w:color w:val="auto"/>
        </w:rPr>
        <w:t>”) commencing on the later of (i) the date that is thirty days after the first date on which the Company completes a merger, share exchange, asset acquisition, share purchase, reorganization or similar business combination involving the Company and one or more businesses (a “</w:t>
      </w:r>
      <w:r>
        <w:rPr>
          <w:rFonts w:ascii="Arial" w:cs="Arial" w:eastAsia="Arial" w:hAnsi="Arial"/>
          <w:sz w:val="16"/>
          <w:szCs w:val="16"/>
          <w:b w:val="1"/>
          <w:bCs w:val="1"/>
          <w:i w:val="1"/>
          <w:iCs w:val="1"/>
          <w:color w:val="auto"/>
        </w:rPr>
        <w:t>Business Combination</w:t>
      </w:r>
      <w:r>
        <w:rPr>
          <w:rFonts w:ascii="Arial" w:cs="Arial" w:eastAsia="Arial" w:hAnsi="Arial"/>
          <w:sz w:val="16"/>
          <w:szCs w:val="16"/>
          <w:color w:val="auto"/>
        </w:rPr>
        <w:t>”) or (ii) the date that is twelve months from the date of the closing of the Offering, and terminating at 5:00 p.m. New York City time on the earlier to occur of (x) the date that is five years after the date on which the Company completes its Business Combination, (y) the liquidation of the Company if the Company fails to complete a Business Combination and</w:t>
      </w:r>
    </w:p>
    <w:p>
      <w:pPr>
        <w:spacing w:after="0" w:line="2" w:lineRule="exact"/>
        <w:rPr>
          <w:sz w:val="20"/>
          <w:szCs w:val="20"/>
          <w:color w:val="auto"/>
        </w:rPr>
      </w:pPr>
    </w:p>
    <w:p>
      <w:pPr>
        <w:ind w:right="100" w:firstLine="8"/>
        <w:spacing w:after="0" w:line="268" w:lineRule="auto"/>
        <w:tabs>
          <w:tab w:leader="none" w:pos="245" w:val="left"/>
        </w:tabs>
        <w:numPr>
          <w:ilvl w:val="0"/>
          <w:numId w:val="148"/>
        </w:numPr>
        <w:rPr>
          <w:rFonts w:ascii="Arial" w:cs="Arial" w:eastAsia="Arial" w:hAnsi="Arial"/>
          <w:sz w:val="17"/>
          <w:szCs w:val="17"/>
          <w:color w:val="auto"/>
        </w:rPr>
      </w:pPr>
      <w:r>
        <w:rPr>
          <w:rFonts w:ascii="Arial" w:cs="Arial" w:eastAsia="Arial" w:hAnsi="Arial"/>
          <w:sz w:val="17"/>
          <w:szCs w:val="17"/>
          <w:color w:val="auto"/>
        </w:rPr>
        <w:t xml:space="preserve">other than with respect to the Private Placement Warrants, on the Redemption Date (as defined below) as provided in </w:t>
      </w:r>
      <w:r>
        <w:rPr>
          <w:rFonts w:ascii="Arial" w:cs="Arial" w:eastAsia="Arial" w:hAnsi="Arial"/>
          <w:sz w:val="17"/>
          <w:szCs w:val="17"/>
          <w:u w:val="single" w:color="auto"/>
          <w:color w:val="auto"/>
        </w:rPr>
        <w:t>Section 6.3</w:t>
      </w:r>
      <w:r>
        <w:rPr>
          <w:rFonts w:ascii="Arial" w:cs="Arial" w:eastAsia="Arial" w:hAnsi="Arial"/>
          <w:sz w:val="17"/>
          <w:szCs w:val="17"/>
          <w:color w:val="auto"/>
        </w:rPr>
        <w:t xml:space="preserve"> hereof (such date, the “</w:t>
      </w:r>
      <w:r>
        <w:rPr>
          <w:rFonts w:ascii="Arial" w:cs="Arial" w:eastAsia="Arial" w:hAnsi="Arial"/>
          <w:sz w:val="17"/>
          <w:szCs w:val="17"/>
          <w:b w:val="1"/>
          <w:bCs w:val="1"/>
          <w:i w:val="1"/>
          <w:iCs w:val="1"/>
          <w:color w:val="auto"/>
        </w:rPr>
        <w:t>Expiration Date</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xml:space="preserve">, that the exercise of any Warrant shall be subject to the satisfaction of any applicable conditions, as set forth in </w:t>
      </w:r>
      <w:r>
        <w:rPr>
          <w:rFonts w:ascii="Arial" w:cs="Arial" w:eastAsia="Arial" w:hAnsi="Arial"/>
          <w:sz w:val="17"/>
          <w:szCs w:val="17"/>
          <w:u w:val="single" w:color="auto"/>
          <w:color w:val="auto"/>
        </w:rPr>
        <w:t>subsection 3.3.2</w:t>
      </w:r>
      <w:r>
        <w:rPr>
          <w:rFonts w:ascii="Arial" w:cs="Arial" w:eastAsia="Arial" w:hAnsi="Arial"/>
          <w:sz w:val="17"/>
          <w:szCs w:val="17"/>
          <w:color w:val="auto"/>
        </w:rPr>
        <w:t xml:space="preserve"> below with respect to an effective registration statement. Except with respect to the right to receive the Redemption Price (as defined below) (other than with respect to a Private Placement Warrant) in the event of a redemption (as set forth in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each outstanding Warrant (other than a Private Placement Warrant in the event of a redemption) not exercised on or before the Expiration Date shall become void, and all rights thereunder and all rights in respect thereof under this Agreement shall cease at 5:00 p.m. New York City time on the Expiration Date. The Company in its sole discretion may extend the duration of the Warrants by delaying the Expiration Date;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Company shall provide at least twenty days’ prior written notice of any such extension to Registered Holders of the Warrants; and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further</w:t>
      </w:r>
      <w:r>
        <w:rPr>
          <w:rFonts w:ascii="Arial" w:cs="Arial" w:eastAsia="Arial" w:hAnsi="Arial"/>
          <w:sz w:val="17"/>
          <w:szCs w:val="17"/>
          <w:color w:val="auto"/>
        </w:rPr>
        <w:t>, that any such extension shall be identical in duration among all the Warrants.</w:t>
      </w:r>
    </w:p>
    <w:p>
      <w:pPr>
        <w:spacing w:after="0" w:line="1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3.3 </w:t>
      </w:r>
      <w:r>
        <w:rPr>
          <w:rFonts w:ascii="Arial" w:cs="Arial" w:eastAsia="Arial" w:hAnsi="Arial"/>
          <w:sz w:val="18"/>
          <w:szCs w:val="18"/>
          <w:u w:val="single" w:color="auto"/>
          <w:color w:val="auto"/>
        </w:rPr>
        <w:t>Exercise of Warrants</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296" w:lineRule="auto"/>
        <w:rPr>
          <w:sz w:val="20"/>
          <w:szCs w:val="20"/>
          <w:color w:val="auto"/>
        </w:rPr>
      </w:pPr>
      <w:r>
        <w:rPr>
          <w:rFonts w:ascii="Arial" w:cs="Arial" w:eastAsia="Arial" w:hAnsi="Arial"/>
          <w:sz w:val="16"/>
          <w:szCs w:val="16"/>
          <w:color w:val="auto"/>
        </w:rPr>
        <w:t xml:space="preserve">3.3.1 </w:t>
      </w:r>
      <w:r>
        <w:rPr>
          <w:rFonts w:ascii="Arial" w:cs="Arial" w:eastAsia="Arial" w:hAnsi="Arial"/>
          <w:sz w:val="16"/>
          <w:szCs w:val="16"/>
          <w:u w:val="single" w:color="auto"/>
          <w:color w:val="auto"/>
        </w:rPr>
        <w:t>Payment</w:t>
      </w:r>
      <w:r>
        <w:rPr>
          <w:rFonts w:ascii="Arial" w:cs="Arial" w:eastAsia="Arial" w:hAnsi="Arial"/>
          <w:sz w:val="16"/>
          <w:szCs w:val="16"/>
          <w:color w:val="auto"/>
        </w:rPr>
        <w:t>. Subject to the provisions of the Warrant and this Agreement, a Warrant, when countersigned by the Warrant Agent, may be exercised by the Registered Holder thereof by surrendering it, at the office of the Warrant Agent, or at the office of its successor as Warrant Agent, designated by the Warrant Agent in the United States of America, with the subscription form, as set forth in the Warrant, duly executed, and by paying in full the Warrant Price for each full Ordinary Share as to which the Warrant is exercised and any and all applicable taxes due in connection with the exercise of the Warrant, the exchange of the Warrant for the Ordinary Shares and the issuance of such Ordinary Shares, as follows:</w:t>
      </w:r>
    </w:p>
    <w:p>
      <w:pPr>
        <w:spacing w:after="0" w:line="161" w:lineRule="exact"/>
        <w:rPr>
          <w:sz w:val="20"/>
          <w:szCs w:val="20"/>
          <w:color w:val="auto"/>
        </w:rPr>
      </w:pPr>
    </w:p>
    <w:p>
      <w:pPr>
        <w:ind w:left="660" w:right="760" w:firstLine="644"/>
        <w:spacing w:after="0" w:line="277" w:lineRule="auto"/>
        <w:tabs>
          <w:tab w:leader="none" w:pos="1553" w:val="left"/>
        </w:tabs>
        <w:numPr>
          <w:ilvl w:val="0"/>
          <w:numId w:val="149"/>
        </w:numPr>
        <w:rPr>
          <w:rFonts w:ascii="Arial" w:cs="Arial" w:eastAsia="Arial" w:hAnsi="Arial"/>
          <w:sz w:val="18"/>
          <w:szCs w:val="18"/>
          <w:color w:val="auto"/>
        </w:rPr>
      </w:pPr>
      <w:r>
        <w:rPr>
          <w:rFonts w:ascii="Arial" w:cs="Arial" w:eastAsia="Arial" w:hAnsi="Arial"/>
          <w:sz w:val="18"/>
          <w:szCs w:val="18"/>
          <w:color w:val="auto"/>
        </w:rPr>
        <w:t>in lawful money of the United States, in good certified check or good bank draft payable to the Warrant Agent or by wire of immediately available funds;</w:t>
      </w:r>
    </w:p>
    <w:p>
      <w:pPr>
        <w:spacing w:after="0" w:line="170" w:lineRule="exact"/>
        <w:rPr>
          <w:rFonts w:ascii="Arial" w:cs="Arial" w:eastAsia="Arial" w:hAnsi="Arial"/>
          <w:sz w:val="18"/>
          <w:szCs w:val="18"/>
          <w:color w:val="auto"/>
        </w:rPr>
      </w:pPr>
    </w:p>
    <w:p>
      <w:pPr>
        <w:ind w:left="660" w:right="60" w:firstLine="644"/>
        <w:spacing w:after="0" w:line="272" w:lineRule="auto"/>
        <w:tabs>
          <w:tab w:leader="none" w:pos="1563" w:val="left"/>
        </w:tabs>
        <w:numPr>
          <w:ilvl w:val="0"/>
          <w:numId w:val="149"/>
        </w:numPr>
        <w:rPr>
          <w:rFonts w:ascii="Arial" w:cs="Arial" w:eastAsia="Arial" w:hAnsi="Arial"/>
          <w:sz w:val="17"/>
          <w:szCs w:val="17"/>
          <w:color w:val="auto"/>
        </w:rPr>
      </w:pPr>
      <w:r>
        <w:rPr>
          <w:rFonts w:ascii="Arial" w:cs="Arial" w:eastAsia="Arial" w:hAnsi="Arial"/>
          <w:sz w:val="17"/>
          <w:szCs w:val="17"/>
          <w:color w:val="auto"/>
        </w:rPr>
        <w:t xml:space="preserve">in the event of a redemption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in which the Company’s board of directors (the “</w:t>
      </w:r>
      <w:r>
        <w:rPr>
          <w:rFonts w:ascii="Arial" w:cs="Arial" w:eastAsia="Arial" w:hAnsi="Arial"/>
          <w:sz w:val="17"/>
          <w:szCs w:val="17"/>
          <w:b w:val="1"/>
          <w:bCs w:val="1"/>
          <w:i w:val="1"/>
          <w:iCs w:val="1"/>
          <w:color w:val="auto"/>
        </w:rPr>
        <w:t>Board</w:t>
      </w:r>
      <w:r>
        <w:rPr>
          <w:rFonts w:ascii="Arial" w:cs="Arial" w:eastAsia="Arial" w:hAnsi="Arial"/>
          <w:sz w:val="17"/>
          <w:szCs w:val="17"/>
          <w:color w:val="auto"/>
        </w:rPr>
        <w:t xml:space="preserve">”) has elected to require all holders of the Warrants to exercise such Warrants on a “cashless basis,” by surrendering the Warrants for that number of Ordinary Shares per Warrant equal to the lesser of (A) the quotient obtained by dividing (x) the product of the number of Ordinary Shares underlying such Warrant, multiplied by the excess of the “Fair Market Value” (as defined in this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over the Warrant Price by (y) the Fair Market Value and (B) 0.365. Solely for purposes of this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Section 6.4</w:t>
      </w:r>
      <w:r>
        <w:rPr>
          <w:rFonts w:ascii="Arial" w:cs="Arial" w:eastAsia="Arial" w:hAnsi="Arial"/>
          <w:sz w:val="17"/>
          <w:szCs w:val="17"/>
          <w:color w:val="auto"/>
        </w:rPr>
        <w:t>, the “</w:t>
      </w:r>
      <w:r>
        <w:rPr>
          <w:rFonts w:ascii="Arial" w:cs="Arial" w:eastAsia="Arial" w:hAnsi="Arial"/>
          <w:sz w:val="17"/>
          <w:szCs w:val="17"/>
          <w:b w:val="1"/>
          <w:bCs w:val="1"/>
          <w:i w:val="1"/>
          <w:iCs w:val="1"/>
          <w:color w:val="auto"/>
        </w:rPr>
        <w:t>Fair Market Value</w:t>
      </w:r>
      <w:r>
        <w:rPr>
          <w:rFonts w:ascii="Arial" w:cs="Arial" w:eastAsia="Arial" w:hAnsi="Arial"/>
          <w:sz w:val="17"/>
          <w:szCs w:val="17"/>
          <w:color w:val="auto"/>
        </w:rPr>
        <w:t xml:space="preserve">” shall mean the average reported closing price of the Ordinary Shares for the ten trading days ending on the third trading day prior to the date on which the notice of redemption is sent to the holders of the Warrants, pursuant to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w:t>
      </w:r>
    </w:p>
    <w:p>
      <w:pPr>
        <w:spacing w:after="0" w:line="386"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16" w:name="page217"/>
    <w:bookmarkEnd w:id="216"/>
    <w:p>
      <w:pPr>
        <w:ind w:left="660" w:right="180" w:firstLine="644"/>
        <w:spacing w:after="0" w:line="255" w:lineRule="auto"/>
        <w:tabs>
          <w:tab w:leader="none" w:pos="1553"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with respect to any Private Placement Warrant, so long as such Private Placement Warrant is held by the Sponsor or a Permitted Transferee, by surrendering the Warrants for that number of Ordinary Shares equal to the quotient obtained by dividing (x) the product of the number of Ordinary Shares underlying the Warrants, multiplied by the excess of the “Fair Market Value” (as defined in this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over the Warrant Price by (y) the Fair Market Value. Solely for purposes of this </w:t>
      </w:r>
      <w:r>
        <w:rPr>
          <w:rFonts w:ascii="Arial" w:cs="Arial" w:eastAsia="Arial" w:hAnsi="Arial"/>
          <w:sz w:val="18"/>
          <w:szCs w:val="18"/>
          <w:u w:val="single" w:color="auto"/>
          <w:color w:val="auto"/>
        </w:rPr>
        <w:t>subsection 3.3.1(c)</w:t>
      </w:r>
      <w:r>
        <w:rPr>
          <w:rFonts w:ascii="Arial" w:cs="Arial" w:eastAsia="Arial" w:hAnsi="Arial"/>
          <w:sz w:val="18"/>
          <w:szCs w:val="18"/>
          <w:color w:val="auto"/>
        </w:rPr>
        <w:t>, the “</w:t>
      </w:r>
      <w:r>
        <w:rPr>
          <w:rFonts w:ascii="Arial" w:cs="Arial" w:eastAsia="Arial" w:hAnsi="Arial"/>
          <w:sz w:val="18"/>
          <w:szCs w:val="18"/>
          <w:b w:val="1"/>
          <w:bCs w:val="1"/>
          <w:i w:val="1"/>
          <w:iCs w:val="1"/>
          <w:color w:val="auto"/>
        </w:rPr>
        <w:t>Fair Market Value</w:t>
      </w:r>
      <w:r>
        <w:rPr>
          <w:rFonts w:ascii="Arial" w:cs="Arial" w:eastAsia="Arial" w:hAnsi="Arial"/>
          <w:sz w:val="18"/>
          <w:szCs w:val="18"/>
          <w:color w:val="auto"/>
        </w:rPr>
        <w:t>” shall mean the average reported closing price of the Ordinary Shares for the ten trading days ending on the third trading day prior to the date on which notice of exercise of the Warrant is sent to the Warrant Agent; or</w:t>
      </w:r>
    </w:p>
    <w:p>
      <w:pPr>
        <w:spacing w:after="0" w:line="192" w:lineRule="exact"/>
        <w:rPr>
          <w:rFonts w:ascii="Arial" w:cs="Arial" w:eastAsia="Arial" w:hAnsi="Arial"/>
          <w:sz w:val="18"/>
          <w:szCs w:val="18"/>
          <w:color w:val="auto"/>
        </w:rPr>
      </w:pPr>
    </w:p>
    <w:p>
      <w:pPr>
        <w:ind w:left="1560" w:hanging="256"/>
        <w:spacing w:after="0"/>
        <w:tabs>
          <w:tab w:leader="none" w:pos="1560" w:val="left"/>
        </w:tabs>
        <w:numPr>
          <w:ilvl w:val="0"/>
          <w:numId w:val="150"/>
        </w:numPr>
        <w:rPr>
          <w:rFonts w:ascii="Arial" w:cs="Arial" w:eastAsia="Arial" w:hAnsi="Arial"/>
          <w:sz w:val="18"/>
          <w:szCs w:val="18"/>
          <w:color w:val="auto"/>
        </w:rPr>
      </w:pPr>
      <w:r>
        <w:rPr>
          <w:rFonts w:ascii="Arial" w:cs="Arial" w:eastAsia="Arial" w:hAnsi="Arial"/>
          <w:sz w:val="18"/>
          <w:szCs w:val="18"/>
          <w:color w:val="auto"/>
        </w:rPr>
        <w:t xml:space="preserve">as provided in </w:t>
      </w:r>
      <w:r>
        <w:rPr>
          <w:rFonts w:ascii="Arial" w:cs="Arial" w:eastAsia="Arial" w:hAnsi="Arial"/>
          <w:sz w:val="18"/>
          <w:szCs w:val="18"/>
          <w:u w:val="single" w:color="auto"/>
          <w:color w:val="auto"/>
        </w:rPr>
        <w:t>Section 7.4</w:t>
      </w:r>
      <w:r>
        <w:rPr>
          <w:rFonts w:ascii="Arial" w:cs="Arial" w:eastAsia="Arial" w:hAnsi="Arial"/>
          <w:sz w:val="18"/>
          <w:szCs w:val="18"/>
          <w:color w:val="auto"/>
        </w:rPr>
        <w:t xml:space="preserve"> hereof.</w:t>
      </w:r>
    </w:p>
    <w:p>
      <w:pPr>
        <w:spacing w:after="0" w:line="225" w:lineRule="exact"/>
        <w:rPr>
          <w:sz w:val="20"/>
          <w:szCs w:val="20"/>
          <w:color w:val="auto"/>
        </w:rPr>
      </w:pPr>
    </w:p>
    <w:p>
      <w:pPr>
        <w:ind w:firstLine="1296"/>
        <w:spacing w:after="0" w:line="268" w:lineRule="auto"/>
        <w:rPr>
          <w:sz w:val="20"/>
          <w:szCs w:val="20"/>
          <w:color w:val="auto"/>
        </w:rPr>
      </w:pPr>
      <w:r>
        <w:rPr>
          <w:rFonts w:ascii="Arial" w:cs="Arial" w:eastAsia="Arial" w:hAnsi="Arial"/>
          <w:sz w:val="17"/>
          <w:szCs w:val="17"/>
          <w:color w:val="auto"/>
        </w:rPr>
        <w:t xml:space="preserve">3.3.2 </w:t>
      </w:r>
      <w:r>
        <w:rPr>
          <w:rFonts w:ascii="Arial" w:cs="Arial" w:eastAsia="Arial" w:hAnsi="Arial"/>
          <w:sz w:val="17"/>
          <w:szCs w:val="17"/>
          <w:u w:val="single" w:color="auto"/>
          <w:color w:val="auto"/>
        </w:rPr>
        <w:t>Issuance of Ordinary Shares on Exercise</w:t>
      </w:r>
      <w:r>
        <w:rPr>
          <w:rFonts w:ascii="Arial" w:cs="Arial" w:eastAsia="Arial" w:hAnsi="Arial"/>
          <w:sz w:val="17"/>
          <w:szCs w:val="17"/>
          <w:color w:val="auto"/>
        </w:rPr>
        <w:t xml:space="preserve">. As soon as practicable after the exercise of any Warrant and the clearance of the funds in payment of the Warrant Price (if payment is pursuant to </w:t>
      </w:r>
      <w:r>
        <w:rPr>
          <w:rFonts w:ascii="Arial" w:cs="Arial" w:eastAsia="Arial" w:hAnsi="Arial"/>
          <w:sz w:val="17"/>
          <w:szCs w:val="17"/>
          <w:u w:val="single" w:color="auto"/>
          <w:color w:val="auto"/>
        </w:rPr>
        <w:t>subsection 3.3.1(a)</w:t>
      </w:r>
      <w:r>
        <w:rPr>
          <w:rFonts w:ascii="Arial" w:cs="Arial" w:eastAsia="Arial" w:hAnsi="Arial"/>
          <w:sz w:val="17"/>
          <w:szCs w:val="17"/>
          <w:color w:val="auto"/>
        </w:rPr>
        <w:t xml:space="preserve">), the Company shall issue to the Registered Holder of such Warrant a book-entry position or certificate, as applicable, for the number of full Ordinary Shares to which he, she or it is entitled, registered in such name or names as may be directed by him, her or it, and if such Warrant shall not have been exercised in full, a new book-entry position or countersigned Warrant, as applicable, for the number of Ordinary Shares as to which such Warrant shall not have been exercised. Notwithstanding the foregoing, the Company shall not be obligated to deliver any Ordinary Shares pursuant to the exercise of a Warrant and shall have no obligation to settle such Warrant exercise unless a registration statement under the Securities Act with respect to the Ordinary Shares underlying the Public Warrants is then effective and a prospectus relating thereto is current, subject to the Company’s satisfying its obligations under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or a valid exemption from registration is available. No Warrant shall be exercisable and the Company shall not be obligated to issue Ordinary Shares upon exercise of a Warrant unless the Ordinary Share issuable upon such Warrant exercise has been registered, qualified or deemed to be exempt from registration or qualification under the securities laws of the state of residence of the Registered Holder of the Warrants. The Company may require holders of Public Warrants to settle the Warrant on a “cashless basis” pursuant to </w:t>
      </w:r>
      <w:r>
        <w:rPr>
          <w:rFonts w:ascii="Arial" w:cs="Arial" w:eastAsia="Arial" w:hAnsi="Arial"/>
          <w:sz w:val="17"/>
          <w:szCs w:val="17"/>
          <w:u w:val="single" w:color="auto"/>
          <w:color w:val="auto"/>
        </w:rPr>
        <w:t>subsection 3.3.1(b)</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Section 7.4</w:t>
      </w:r>
      <w:r>
        <w:rPr>
          <w:rFonts w:ascii="Arial" w:cs="Arial" w:eastAsia="Arial" w:hAnsi="Arial"/>
          <w:sz w:val="17"/>
          <w:szCs w:val="17"/>
          <w:color w:val="auto"/>
        </w:rPr>
        <w:t>. If, by reason of any exercise of Warrants on a “cashless basis,” the holder of any Warrant would be entitled, upon the exercise of such Warrant, to receive a fractional interest in an Ordinary Share, the Company shall round down to the nearest whole number the number of Ordinary Shares to be issued to such holder.</w:t>
      </w:r>
    </w:p>
    <w:p>
      <w:pPr>
        <w:spacing w:after="0" w:line="184" w:lineRule="exact"/>
        <w:rPr>
          <w:sz w:val="20"/>
          <w:szCs w:val="20"/>
          <w:color w:val="auto"/>
        </w:rPr>
      </w:pPr>
    </w:p>
    <w:p>
      <w:pPr>
        <w:ind w:firstLine="1296"/>
        <w:spacing w:after="0" w:line="277" w:lineRule="auto"/>
        <w:rPr>
          <w:sz w:val="20"/>
          <w:szCs w:val="20"/>
          <w:color w:val="auto"/>
        </w:rPr>
      </w:pPr>
      <w:r>
        <w:rPr>
          <w:rFonts w:ascii="Arial" w:cs="Arial" w:eastAsia="Arial" w:hAnsi="Arial"/>
          <w:sz w:val="18"/>
          <w:szCs w:val="18"/>
          <w:color w:val="auto"/>
        </w:rPr>
        <w:t xml:space="preserve">3.3.3 </w:t>
      </w:r>
      <w:r>
        <w:rPr>
          <w:rFonts w:ascii="Arial" w:cs="Arial" w:eastAsia="Arial" w:hAnsi="Arial"/>
          <w:sz w:val="18"/>
          <w:szCs w:val="18"/>
          <w:u w:val="single" w:color="auto"/>
          <w:color w:val="auto"/>
        </w:rPr>
        <w:t>Valid Issuance</w:t>
      </w:r>
      <w:r>
        <w:rPr>
          <w:rFonts w:ascii="Arial" w:cs="Arial" w:eastAsia="Arial" w:hAnsi="Arial"/>
          <w:sz w:val="18"/>
          <w:szCs w:val="18"/>
          <w:color w:val="auto"/>
        </w:rPr>
        <w:t>. All Ordinary Shares issued upon the proper exercise of a Warrant in conformity with this Agreement shall be validly issued, fully paid and non-assessable.</w:t>
      </w:r>
    </w:p>
    <w:p>
      <w:pPr>
        <w:spacing w:after="0" w:line="37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7" w:name="page218"/>
    <w:bookmarkEnd w:id="217"/>
    <w:p>
      <w:pPr>
        <w:ind w:right="160" w:firstLine="1296"/>
        <w:spacing w:after="0" w:line="273" w:lineRule="auto"/>
        <w:rPr>
          <w:sz w:val="20"/>
          <w:szCs w:val="20"/>
          <w:color w:val="auto"/>
        </w:rPr>
      </w:pPr>
      <w:r>
        <w:rPr>
          <w:rFonts w:ascii="Arial" w:cs="Arial" w:eastAsia="Arial" w:hAnsi="Arial"/>
          <w:sz w:val="17"/>
          <w:szCs w:val="17"/>
          <w:color w:val="auto"/>
        </w:rPr>
        <w:t xml:space="preserve">3.3.4 </w:t>
      </w:r>
      <w:r>
        <w:rPr>
          <w:rFonts w:ascii="Arial" w:cs="Arial" w:eastAsia="Arial" w:hAnsi="Arial"/>
          <w:sz w:val="17"/>
          <w:szCs w:val="17"/>
          <w:u w:val="single" w:color="auto"/>
          <w:color w:val="auto"/>
        </w:rPr>
        <w:t>Date of Issuance</w:t>
      </w:r>
      <w:r>
        <w:rPr>
          <w:rFonts w:ascii="Arial" w:cs="Arial" w:eastAsia="Arial" w:hAnsi="Arial"/>
          <w:sz w:val="17"/>
          <w:szCs w:val="17"/>
          <w:color w:val="auto"/>
        </w:rPr>
        <w:t>. Each person in whose name any book-entry position or certificate, as applicable, for Ordinary Shares is issued shall for all purposes be deemed to have become the holder of record of such Ordinary Shares on the date on which the Warrant, or book-entry position representing such Warrant, was surrendered and payment of the Warrant Price was made, irrespective of the date of delivery of such certificate in the case of a certificated Warrant, except that, if the date of such surrender and payment is a date when the share transfer books of the Company or book-entry system of the Warrant Agent are closed, such person shall be deemed to have become the holder of such Ordinary Shares at the close of business on the next succeeding date on which the share transfer books or book-entry system are open.</w:t>
      </w:r>
    </w:p>
    <w:p>
      <w:pPr>
        <w:spacing w:after="0" w:line="178" w:lineRule="exact"/>
        <w:rPr>
          <w:sz w:val="20"/>
          <w:szCs w:val="20"/>
          <w:color w:val="auto"/>
        </w:rPr>
      </w:pPr>
    </w:p>
    <w:p>
      <w:pPr>
        <w:ind w:firstLine="1296"/>
        <w:spacing w:after="0" w:line="284" w:lineRule="auto"/>
        <w:rPr>
          <w:sz w:val="20"/>
          <w:szCs w:val="20"/>
          <w:color w:val="auto"/>
        </w:rPr>
      </w:pPr>
      <w:r>
        <w:rPr>
          <w:rFonts w:ascii="Arial" w:cs="Arial" w:eastAsia="Arial" w:hAnsi="Arial"/>
          <w:sz w:val="16"/>
          <w:szCs w:val="16"/>
          <w:color w:val="auto"/>
        </w:rPr>
        <w:t xml:space="preserve">3.3.5 </w:t>
      </w:r>
      <w:r>
        <w:rPr>
          <w:rFonts w:ascii="Arial" w:cs="Arial" w:eastAsia="Arial" w:hAnsi="Arial"/>
          <w:sz w:val="16"/>
          <w:szCs w:val="16"/>
          <w:u w:val="single" w:color="auto"/>
          <w:color w:val="auto"/>
        </w:rPr>
        <w:t>Maximum Percentage</w:t>
      </w:r>
      <w:r>
        <w:rPr>
          <w:rFonts w:ascii="Arial" w:cs="Arial" w:eastAsia="Arial" w:hAnsi="Arial"/>
          <w:sz w:val="16"/>
          <w:szCs w:val="16"/>
          <w:color w:val="auto"/>
        </w:rPr>
        <w:t xml:space="preserve">. A holder of a Warrant may notify the Company in writing in the event it elects to be subject to the provisions contained in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however, no holder of a Warrant shall be subject to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xml:space="preserve"> unless he, she or it makes such election. If the election is made by a holder, the Warrant Agent shall not effect the exercise of the holder’s Warrant, and such holder shall not have the right to exercise such Warrant, to the extent that after giving effect to such exercise, such person (together with such person’s affiliates), to the Warrant Agent’s actual knowledge, would beneficially own in excess of 4.9% or 9.8% (as specified by the holder) (the “</w:t>
      </w:r>
      <w:r>
        <w:rPr>
          <w:rFonts w:ascii="Arial" w:cs="Arial" w:eastAsia="Arial" w:hAnsi="Arial"/>
          <w:sz w:val="16"/>
          <w:szCs w:val="16"/>
          <w:b w:val="1"/>
          <w:bCs w:val="1"/>
          <w:i w:val="1"/>
          <w:iCs w:val="1"/>
          <w:color w:val="auto"/>
        </w:rPr>
        <w:t>Maximum Percentage</w:t>
      </w:r>
      <w:r>
        <w:rPr>
          <w:rFonts w:ascii="Arial" w:cs="Arial" w:eastAsia="Arial" w:hAnsi="Arial"/>
          <w:sz w:val="16"/>
          <w:szCs w:val="16"/>
          <w:color w:val="auto"/>
        </w:rPr>
        <w:t xml:space="preserve">”) of the Ordinary Shares issued and outstanding immediately after giving effect to such exercise. For purposes of the foregoing sentence, the aggregate number of Ordinary Shares beneficially owned by such person and its affiliates shall include the number of Ordinary Shares issuable upon exercise of the Warrant with respect to which the determination of such sentence is being made, but shall exclude Ordinary Shares that would be issuable upon (x) exercise of the remaining, unexercised portion of the Warrant beneficially owned by such person and its affiliates and (y) exercise or conversion of the unexercised or unconverted portion of any other securities of the Company beneficially owned by such person and its affiliates (including, without limitation, any convertible notes or convertible preference shares or warrants) subject to a limitation on conversion or exercise analogous to the limitation contained herein. Except as set forth in the preceding sentence, for purposes of this </w:t>
      </w:r>
      <w:r>
        <w:rPr>
          <w:rFonts w:ascii="Arial" w:cs="Arial" w:eastAsia="Arial" w:hAnsi="Arial"/>
          <w:sz w:val="16"/>
          <w:szCs w:val="16"/>
          <w:u w:val="single" w:color="auto"/>
          <w:color w:val="auto"/>
        </w:rPr>
        <w:t>subsection 3.3.5</w:t>
      </w:r>
      <w:r>
        <w:rPr>
          <w:rFonts w:ascii="Arial" w:cs="Arial" w:eastAsia="Arial" w:hAnsi="Arial"/>
          <w:sz w:val="16"/>
          <w:szCs w:val="16"/>
          <w:color w:val="auto"/>
        </w:rPr>
        <w:t>, beneficial ownership shall be calculated in accordance with Section 13(d) of the Securities Exchange Act of 1934, as amended (the “</w:t>
      </w:r>
      <w:r>
        <w:rPr>
          <w:rFonts w:ascii="Arial" w:cs="Arial" w:eastAsia="Arial" w:hAnsi="Arial"/>
          <w:sz w:val="16"/>
          <w:szCs w:val="16"/>
          <w:b w:val="1"/>
          <w:bCs w:val="1"/>
          <w:i w:val="1"/>
          <w:iCs w:val="1"/>
          <w:color w:val="auto"/>
        </w:rPr>
        <w:t>Exchange Act</w:t>
      </w:r>
      <w:r>
        <w:rPr>
          <w:rFonts w:ascii="Arial" w:cs="Arial" w:eastAsia="Arial" w:hAnsi="Arial"/>
          <w:sz w:val="16"/>
          <w:szCs w:val="16"/>
          <w:color w:val="auto"/>
        </w:rPr>
        <w:t xml:space="preserve">”). For purposes of the Warrant, in determining the number of outstanding Ordinary Shares, the holder may rely on the number of outstanding Ordinary Shares as reflected in (1) the Company’s most recent Annual Report on Form 10-K, Quarterly Report on Form 10-Q, Current Report on Form 8-K or other public filing with the Commission as the case may be, (2) a more recent public announcement by the Company or (3) any other notice by the Company or the Transfer Agent setting forth the number of Ordinary Shares outstanding. For any reason at any time, upon the written request of the holder of the Warrant, the Company shall, within two Business Days, confirm orally and in writing to such holder the number of Ordinary Shares then outstanding. In any case, the number of outstanding Ordinary Shares shall be determined after giving effect to the conversion or exercise of equity securities of the Company by the holder and its affiliates since the date as of which such number of outstanding Ordinary Shares was reported. By written notice to the Company, the holder of a Warrant may from time to time increase or decrease the Maximum Percentage applicable to such holder to any other percentage specified in such notice;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any such increase shall not be effective until the sixty-first day after such notice is delivered to the Company.</w:t>
      </w: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30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8" w:name="page219"/>
    <w:bookmarkEnd w:id="218"/>
    <w:p>
      <w:pPr>
        <w:ind w:left="180" w:hanging="172"/>
        <w:spacing w:after="0"/>
        <w:tabs>
          <w:tab w:leader="none" w:pos="180" w:val="left"/>
        </w:tabs>
        <w:numPr>
          <w:ilvl w:val="0"/>
          <w:numId w:val="151"/>
        </w:numPr>
        <w:rPr>
          <w:rFonts w:ascii="Arial" w:cs="Arial" w:eastAsia="Arial" w:hAnsi="Arial"/>
          <w:sz w:val="18"/>
          <w:szCs w:val="18"/>
          <w:color w:val="auto"/>
        </w:rPr>
      </w:pPr>
      <w:r>
        <w:rPr>
          <w:rFonts w:ascii="Arial" w:cs="Arial" w:eastAsia="Arial" w:hAnsi="Arial"/>
          <w:sz w:val="18"/>
          <w:szCs w:val="18"/>
          <w:u w:val="single" w:color="auto"/>
          <w:color w:val="auto"/>
        </w:rPr>
        <w:t>Adjustments</w:t>
      </w:r>
      <w:r>
        <w:rPr>
          <w:rFonts w:ascii="Arial" w:cs="Arial" w:eastAsia="Arial" w:hAnsi="Arial"/>
          <w:sz w:val="18"/>
          <w:szCs w:val="18"/>
          <w:color w:val="auto"/>
        </w:rPr>
        <w: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4.1 </w:t>
      </w:r>
      <w:r>
        <w:rPr>
          <w:rFonts w:ascii="Arial" w:cs="Arial" w:eastAsia="Arial" w:hAnsi="Arial"/>
          <w:sz w:val="18"/>
          <w:szCs w:val="18"/>
          <w:u w:val="single" w:color="auto"/>
          <w:color w:val="auto"/>
        </w:rPr>
        <w:t>Share Dividends</w:t>
      </w:r>
      <w:r>
        <w:rPr>
          <w:rFonts w:ascii="Arial" w:cs="Arial" w:eastAsia="Arial" w:hAnsi="Arial"/>
          <w:sz w:val="18"/>
          <w:szCs w:val="18"/>
          <w:color w:val="auto"/>
        </w:rPr>
        <w:t>.</w:t>
      </w:r>
    </w:p>
    <w:p>
      <w:pPr>
        <w:spacing w:after="0" w:line="225" w:lineRule="exact"/>
        <w:rPr>
          <w:sz w:val="20"/>
          <w:szCs w:val="20"/>
          <w:color w:val="auto"/>
        </w:rPr>
      </w:pPr>
    </w:p>
    <w:p>
      <w:pPr>
        <w:ind w:right="20" w:firstLine="1296"/>
        <w:spacing w:after="0" w:line="269" w:lineRule="auto"/>
        <w:rPr>
          <w:sz w:val="20"/>
          <w:szCs w:val="20"/>
          <w:color w:val="auto"/>
        </w:rPr>
      </w:pPr>
      <w:r>
        <w:rPr>
          <w:rFonts w:ascii="Arial" w:cs="Arial" w:eastAsia="Arial" w:hAnsi="Arial"/>
          <w:sz w:val="17"/>
          <w:szCs w:val="17"/>
          <w:color w:val="auto"/>
        </w:rPr>
        <w:t xml:space="preserve">4.1.1 </w:t>
      </w:r>
      <w:r>
        <w:rPr>
          <w:rFonts w:ascii="Arial" w:cs="Arial" w:eastAsia="Arial" w:hAnsi="Arial"/>
          <w:sz w:val="17"/>
          <w:szCs w:val="17"/>
          <w:u w:val="single" w:color="auto"/>
          <w:color w:val="auto"/>
        </w:rPr>
        <w:t>Split-Ups</w:t>
      </w:r>
      <w:r>
        <w:rPr>
          <w:rFonts w:ascii="Arial" w:cs="Arial" w:eastAsia="Arial" w:hAnsi="Arial"/>
          <w:sz w:val="17"/>
          <w:szCs w:val="17"/>
          <w:color w:val="auto"/>
        </w:rPr>
        <w:t xml:space="preserve">. If after the date hereof, and subject to the provisions of </w:t>
      </w:r>
      <w:r>
        <w:rPr>
          <w:rFonts w:ascii="Arial" w:cs="Arial" w:eastAsia="Arial" w:hAnsi="Arial"/>
          <w:sz w:val="17"/>
          <w:szCs w:val="17"/>
          <w:u w:val="single" w:color="auto"/>
          <w:color w:val="auto"/>
        </w:rPr>
        <w:t>Section 4.6</w:t>
      </w:r>
      <w:r>
        <w:rPr>
          <w:rFonts w:ascii="Arial" w:cs="Arial" w:eastAsia="Arial" w:hAnsi="Arial"/>
          <w:sz w:val="17"/>
          <w:szCs w:val="17"/>
          <w:color w:val="auto"/>
        </w:rPr>
        <w:t xml:space="preserve"> below, the number of outstanding Ordinary Shares is increased by a share dividend payable in Ordinary Shares, or by a split-up of Ordinary Shares or other similar event, then, on the effective date of such share dividend, split-up or similar event, the number of Ordinary Shares issuable on exercise of each Warrant shall be increased in proportion to such increase in the outstanding Ordinary Shares. A rights offering to holders of the Ordinary Shares entitling holders to purchase Ordinary Shares at a price less than the “Fair Market Value” (as defined below) shall be deemed a share dividend of a number of Ordinary Shares equal to the product of (i) the number of Ordinary Shares actually sold in such rights offering (or issuable under any other equity securities sold in such rights offering that are convertible into or exercisable for Ordinary Shares) and (ii) one minus the quotient of (x) the price per Ordinary Share paid in such rights offering and (y) the Fair Market Value. For purposes of this </w:t>
      </w:r>
      <w:r>
        <w:rPr>
          <w:rFonts w:ascii="Arial" w:cs="Arial" w:eastAsia="Arial" w:hAnsi="Arial"/>
          <w:sz w:val="17"/>
          <w:szCs w:val="17"/>
          <w:u w:val="single" w:color="auto"/>
          <w:color w:val="auto"/>
        </w:rPr>
        <w:t>subsection 4.1.1</w:t>
      </w:r>
      <w:r>
        <w:rPr>
          <w:rFonts w:ascii="Arial" w:cs="Arial" w:eastAsia="Arial" w:hAnsi="Arial"/>
          <w:sz w:val="17"/>
          <w:szCs w:val="17"/>
          <w:color w:val="auto"/>
        </w:rPr>
        <w:t>, (a) if the rights offering is for securities convertible into or exercisable for Ordinary Shares, in determining the price payable for Ordinary Shares, there shall be taken into account any consideration received for such rights, as well as any additional amount payable upon exercise or conversion, and (b) “Fair Market Value” means the volume weighted average price of the Ordinary Shares as reported during the ten-trading day period ending on the trading day prior to the first date on which the Ordinary Shares trade on the applicable exchange or in the applicable market, regular way, without the right to receive such rights.</w:t>
      </w:r>
    </w:p>
    <w:p>
      <w:pPr>
        <w:spacing w:after="0" w:line="179" w:lineRule="exact"/>
        <w:rPr>
          <w:sz w:val="20"/>
          <w:szCs w:val="20"/>
          <w:color w:val="auto"/>
        </w:rPr>
      </w:pPr>
    </w:p>
    <w:p>
      <w:pPr>
        <w:ind w:firstLine="1296"/>
        <w:spacing w:after="0" w:line="284" w:lineRule="auto"/>
        <w:rPr>
          <w:sz w:val="20"/>
          <w:szCs w:val="20"/>
          <w:color w:val="auto"/>
        </w:rPr>
      </w:pPr>
      <w:r>
        <w:rPr>
          <w:rFonts w:ascii="Arial" w:cs="Arial" w:eastAsia="Arial" w:hAnsi="Arial"/>
          <w:sz w:val="16"/>
          <w:szCs w:val="16"/>
          <w:color w:val="auto"/>
        </w:rPr>
        <w:t xml:space="preserve">4.1.2 </w:t>
      </w:r>
      <w:r>
        <w:rPr>
          <w:rFonts w:ascii="Arial" w:cs="Arial" w:eastAsia="Arial" w:hAnsi="Arial"/>
          <w:sz w:val="16"/>
          <w:szCs w:val="16"/>
          <w:u w:val="single" w:color="auto"/>
          <w:color w:val="auto"/>
        </w:rPr>
        <w:t>Extraordinary Dividends</w:t>
      </w:r>
      <w:r>
        <w:rPr>
          <w:rFonts w:ascii="Arial" w:cs="Arial" w:eastAsia="Arial" w:hAnsi="Arial"/>
          <w:sz w:val="16"/>
          <w:szCs w:val="16"/>
          <w:color w:val="auto"/>
        </w:rPr>
        <w:t xml:space="preserve">. If the Company, at any time while the Warrants are outstanding and unexpired, shall pay a dividend or make a distribution to all or substantially all of the holders of the Ordinary Shares on account of such Ordinary Shares (or other shares of the Company’s share capital into which the Warrants are convertible), in cash, securities or other assets, other than (a) as described in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above, (b) Ordinary Cash Dividends (as defined below), (c) to satisfy the redemption rights of the holders of the Ordinary Shares in connection with a proposed initial Business Combination, (d) to satisfy the redemption rights of the holders of the Ordinary Shares in connection with a shareholder vote to amend the Company’s amended and restated memorandum and articles of association, or (e) in connection with the redemption of the Ordinary Shares upon the failure of the Company to complete its initial Business Combination and any subsequent distribution of its assets upon its liquidation (any such non-excluded event being referred to herein as an “</w:t>
      </w:r>
      <w:r>
        <w:rPr>
          <w:rFonts w:ascii="Arial" w:cs="Arial" w:eastAsia="Arial" w:hAnsi="Arial"/>
          <w:sz w:val="16"/>
          <w:szCs w:val="16"/>
          <w:b w:val="1"/>
          <w:bCs w:val="1"/>
          <w:i w:val="1"/>
          <w:iCs w:val="1"/>
          <w:color w:val="auto"/>
        </w:rPr>
        <w:t>Extraordinary Dividend</w:t>
      </w:r>
      <w:r>
        <w:rPr>
          <w:rFonts w:ascii="Arial" w:cs="Arial" w:eastAsia="Arial" w:hAnsi="Arial"/>
          <w:sz w:val="16"/>
          <w:szCs w:val="16"/>
          <w:color w:val="auto"/>
        </w:rPr>
        <w:t xml:space="preserve">”), then the Warrant Price shall be decreased, effective immediately after the effective date of such Extraordinary Dividend, by the amount of cash and/or the fair market value (as determined by the Board, in good faith) of any securities or other assets paid on each Ordinary Share in respect of such Extraordinary Dividend. For purposes of this </w:t>
      </w:r>
      <w:r>
        <w:rPr>
          <w:rFonts w:ascii="Arial" w:cs="Arial" w:eastAsia="Arial" w:hAnsi="Arial"/>
          <w:sz w:val="16"/>
          <w:szCs w:val="16"/>
          <w:u w:val="single" w:color="auto"/>
          <w:color w:val="auto"/>
        </w:rPr>
        <w:t>subsection 4.1.2</w:t>
      </w:r>
      <w:r>
        <w:rPr>
          <w:rFonts w:ascii="Arial" w:cs="Arial" w:eastAsia="Arial" w:hAnsi="Arial"/>
          <w:sz w:val="16"/>
          <w:szCs w:val="16"/>
          <w:color w:val="auto"/>
        </w:rPr>
        <w:t>, “</w:t>
      </w:r>
      <w:r>
        <w:rPr>
          <w:rFonts w:ascii="Arial" w:cs="Arial" w:eastAsia="Arial" w:hAnsi="Arial"/>
          <w:sz w:val="16"/>
          <w:szCs w:val="16"/>
          <w:b w:val="1"/>
          <w:bCs w:val="1"/>
          <w:i w:val="1"/>
          <w:iCs w:val="1"/>
          <w:color w:val="auto"/>
        </w:rPr>
        <w:t>Ordinary Cash Dividends</w:t>
      </w:r>
      <w:r>
        <w:rPr>
          <w:rFonts w:ascii="Arial" w:cs="Arial" w:eastAsia="Arial" w:hAnsi="Arial"/>
          <w:sz w:val="16"/>
          <w:szCs w:val="16"/>
          <w:color w:val="auto"/>
        </w:rPr>
        <w:t xml:space="preserve">” means any cash dividend or cash distribution which, when combined on a per share basis, with the per share amounts of all other cash dividends and cash distributions paid on the Ordinary Shares during the 365-day period ending on the date of declaration of such dividend or distribution does not exceed $0.50 (as adjusted to appropriately reflect any of the events referred to in other subsections of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and excluding cash dividends or cash distributions that resulted in an adjustment to the Warrant Price or to the number of Ordinary Shares issuable on exercise of each Warrant). Solely for purposes of illustration, if the Company, at a time while the Warrants are outstanding and unexpired, pays a cash dividend of $0.35 per share and previously paid an aggregate of $0.40 of cash dividends and cash distributions on the Ordinary Shares during the 365-day period ending on the date of declaration of such $0.35 per share dividend, then the Warrant Price shall be decreased, effectively immediately after the effective date of such $0.35 per share dividend, by $0.25 (the absolute value of the difference between $0.75 per share (the aggregate amount of all cash dividends and cash distributions paid or made in such 365-day period, including such $0.35 dividend) and $0.50 per share (the greater of (x) $0.50 per share and (y) the aggregate amount of all cash dividends and cash distributions paid or made in such 365-day period prior to such $0.35 dividend)).</w:t>
      </w:r>
    </w:p>
    <w:p>
      <w:pPr>
        <w:spacing w:after="0" w:line="39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19" w:name="page220"/>
    <w:bookmarkEnd w:id="219"/>
    <w:p>
      <w:pPr>
        <w:jc w:val="both"/>
        <w:ind w:right="40" w:firstLine="648"/>
        <w:spacing w:after="0" w:line="259" w:lineRule="auto"/>
        <w:rPr>
          <w:sz w:val="20"/>
          <w:szCs w:val="20"/>
          <w:color w:val="auto"/>
        </w:rPr>
      </w:pPr>
      <w:r>
        <w:rPr>
          <w:rFonts w:ascii="Arial" w:cs="Arial" w:eastAsia="Arial" w:hAnsi="Arial"/>
          <w:sz w:val="18"/>
          <w:szCs w:val="18"/>
          <w:color w:val="auto"/>
        </w:rPr>
        <w:t xml:space="preserve">4.2 </w:t>
      </w:r>
      <w:r>
        <w:rPr>
          <w:rFonts w:ascii="Arial" w:cs="Arial" w:eastAsia="Arial" w:hAnsi="Arial"/>
          <w:sz w:val="18"/>
          <w:szCs w:val="18"/>
          <w:u w:val="single" w:color="auto"/>
          <w:color w:val="auto"/>
        </w:rPr>
        <w:t>Aggregation of Shares</w:t>
      </w:r>
      <w:r>
        <w:rPr>
          <w:rFonts w:ascii="Arial" w:cs="Arial" w:eastAsia="Arial" w:hAnsi="Arial"/>
          <w:sz w:val="18"/>
          <w:szCs w:val="18"/>
          <w:color w:val="auto"/>
        </w:rPr>
        <w:t xml:space="preserve">. If after the date hereof, and subject to the provisions of </w:t>
      </w:r>
      <w:r>
        <w:rPr>
          <w:rFonts w:ascii="Arial" w:cs="Arial" w:eastAsia="Arial" w:hAnsi="Arial"/>
          <w:sz w:val="18"/>
          <w:szCs w:val="18"/>
          <w:u w:val="single" w:color="auto"/>
          <w:color w:val="auto"/>
        </w:rPr>
        <w:t>Section 4.6</w:t>
      </w:r>
      <w:r>
        <w:rPr>
          <w:rFonts w:ascii="Arial" w:cs="Arial" w:eastAsia="Arial" w:hAnsi="Arial"/>
          <w:sz w:val="18"/>
          <w:szCs w:val="18"/>
          <w:color w:val="auto"/>
        </w:rPr>
        <w:t xml:space="preserve"> hereof, the number of outstanding Ordinary Shares is decreased by a consolidation, combination, reverse share split or reclassification of Ordinary Shares or other similar event, then, on the effective date of such consolidation, combination, reverse share split, reclassification or similar event, the number of Ordinary Shares issuable on exercise of each Warrant shall be decreased in proportion to such decrease in outstanding Ordinary Shares.</w:t>
      </w:r>
    </w:p>
    <w:p>
      <w:pPr>
        <w:spacing w:after="0" w:line="187" w:lineRule="exact"/>
        <w:rPr>
          <w:sz w:val="20"/>
          <w:szCs w:val="20"/>
          <w:color w:val="auto"/>
        </w:rPr>
      </w:pPr>
    </w:p>
    <w:p>
      <w:pPr>
        <w:ind w:right="100" w:firstLine="648"/>
        <w:spacing w:after="0" w:line="301" w:lineRule="auto"/>
        <w:rPr>
          <w:sz w:val="20"/>
          <w:szCs w:val="20"/>
          <w:color w:val="auto"/>
        </w:rPr>
      </w:pPr>
      <w:r>
        <w:rPr>
          <w:rFonts w:ascii="Arial" w:cs="Arial" w:eastAsia="Arial" w:hAnsi="Arial"/>
          <w:sz w:val="16"/>
          <w:szCs w:val="16"/>
          <w:color w:val="auto"/>
        </w:rPr>
        <w:t xml:space="preserve">4.3 </w:t>
      </w:r>
      <w:r>
        <w:rPr>
          <w:rFonts w:ascii="Arial" w:cs="Arial" w:eastAsia="Arial" w:hAnsi="Arial"/>
          <w:sz w:val="16"/>
          <w:szCs w:val="16"/>
          <w:u w:val="single" w:color="auto"/>
          <w:color w:val="auto"/>
        </w:rPr>
        <w:t>Adjustments in Exercise Price</w:t>
      </w:r>
      <w:r>
        <w:rPr>
          <w:rFonts w:ascii="Arial" w:cs="Arial" w:eastAsia="Arial" w:hAnsi="Arial"/>
          <w:sz w:val="16"/>
          <w:szCs w:val="16"/>
          <w:color w:val="auto"/>
        </w:rPr>
        <w:t xml:space="preserve">. Whenever the number of Ordinary Shares purchasable upon the exercise of the Warrants is adjusted, as provided in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above, the Warrant Price shall be adjusted (to the nearest cent) by multiplying such Warrant Price immediately prior to such adjustment by a fraction, (x) the numerator of which shall be the number of Ordinary Shares purchasable upon the exercise of the Warrants immediately prior to such adjustment and (y) the denominator of which shall be the number of Ordinary Shares so purchasable immediately thereafter.</w:t>
      </w:r>
    </w:p>
    <w:p>
      <w:pPr>
        <w:spacing w:after="0" w:line="157" w:lineRule="exact"/>
        <w:rPr>
          <w:sz w:val="20"/>
          <w:szCs w:val="20"/>
          <w:color w:val="auto"/>
        </w:rPr>
      </w:pPr>
    </w:p>
    <w:p>
      <w:pPr>
        <w:ind w:firstLine="648"/>
        <w:spacing w:after="0" w:line="268" w:lineRule="auto"/>
        <w:rPr>
          <w:sz w:val="20"/>
          <w:szCs w:val="20"/>
          <w:color w:val="auto"/>
        </w:rPr>
      </w:pPr>
      <w:r>
        <w:rPr>
          <w:rFonts w:ascii="Arial" w:cs="Arial" w:eastAsia="Arial" w:hAnsi="Arial"/>
          <w:sz w:val="17"/>
          <w:szCs w:val="17"/>
          <w:color w:val="auto"/>
        </w:rPr>
        <w:t>If (x) the Company issues additional Ordinary Shares or securities convertible into or exercisable or exchangeable for Ordinary Shares for capital raising purposes in connection with the closing of an initial Business Combination at an issue price or effective issue price of less than $9.20 per Ordinary Share (with such issue price or effective issue price to be determined in good faith by the Company and, (i) in the case of any such issuance to the Sponsor or its affiliates, without taking into account any Class B ordinary shares of the Company, par value $0.0001 per share (the “Class B ordinary shares”) held by the Sponsor or its affiliates, as applicable, prior to such issuance, and (ii) without taking into account the transfer of the Class B ordinary shares or Private Placement Warrants (including if such transfer is effectuated as a surrender to the Company and subsequent reissuance by the Company) by the Sponsor in connection with such issuance) (the “Newly Issued Price”), (y) the aggregate gross proceeds from such issuances represent more than 60% of the total equity proceeds, and interest thereon, available for the funding of an initial Business Combination on the date of the consummation of such initial Business Combination (net of redemptions), and (z) the volume weighted average trading price of the Ordinary Shares during the 20 trading day period starting on the trading day prior to the day on which the Company consummates an initial Business Combination (such price, the “Market Value”) is below $9.20 per share, the Warrant Price shall be adjusted (to the nearest cent) to be equal to 115% of the higher of the Market Value and the Newly Issued Price, and the $18.00 per share redemption trigger price shall be adjusted (to the nearest cent) to be equal to 180% of the higher of the Market Value and the Newly Issued Price.</w:t>
      </w:r>
    </w:p>
    <w:p>
      <w:pPr>
        <w:spacing w:after="0" w:line="395"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908" w:right="399" w:bottom="1440" w:gutter="0" w:footer="0" w:header="0"/>
        </w:sectPr>
      </w:pPr>
    </w:p>
    <w:bookmarkStart w:id="220" w:name="page221"/>
    <w:bookmarkEnd w:id="220"/>
    <w:p>
      <w:pPr>
        <w:ind w:left="660"/>
        <w:spacing w:after="0"/>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Replacement of Securities upon Reorganization, etc.</w:t>
      </w:r>
      <w:r>
        <w:rPr>
          <w:rFonts w:ascii="Arial" w:cs="Arial" w:eastAsia="Arial" w:hAnsi="Arial"/>
          <w:sz w:val="16"/>
          <w:szCs w:val="16"/>
          <w:color w:val="auto"/>
        </w:rPr>
        <w:t xml:space="preserve"> In case of any reclassification or reorganization of the outstanding Ordinary Shares (other</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than a change under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4.1.2</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hereof or that solely affects the par value of such Ordinary Shares), or in the case of any merger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or consolidation of the Company with or into another corporation (other than a consolidation or merger in which the Company is the continuing corporation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and that does not result in any reclassification or reorganization of the outstanding Ordinary Shares), or in the case of any sale or conveyance to another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corporation or entity of the assets or other property of the Company as an entirety or substantially as an entirety in connection with which the Company is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dissolved, the holders of the Warrants shall thereafter have the right to purchase and receive, upon the basis and upon the terms and conditions specified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the Warrants and in lieu of the Ordinary Shares of the Company immediately theretofore purchasable and receivable upon the exercise of the rights</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represented thereby, the kind and amount of shares of stock or other securities or property (including cash) receivable upon such reclassification,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reorganization, merger or consolidation, or upon a dissolution following any such sale or transfer, that the holder of the Warrants would have received if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holder had exercised his, her or its Warrant(s) immediately prior to such event (the “</w:t>
      </w:r>
      <w:r>
        <w:rPr>
          <w:rFonts w:ascii="Arial" w:cs="Arial" w:eastAsia="Arial" w:hAnsi="Arial"/>
          <w:sz w:val="16"/>
          <w:szCs w:val="16"/>
          <w:b w:val="1"/>
          <w:bCs w:val="1"/>
          <w:i w:val="1"/>
          <w:iCs w:val="1"/>
          <w:color w:val="auto"/>
        </w:rPr>
        <w:t>Alternative Issuance</w:t>
      </w:r>
      <w:r>
        <w:rPr>
          <w:rFonts w:ascii="Arial" w:cs="Arial" w:eastAsia="Arial" w:hAnsi="Arial"/>
          <w:sz w:val="16"/>
          <w:szCs w:val="16"/>
          <w:color w:val="auto"/>
        </w:rPr>
        <w:t xml:space="preserve">” );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(i) if the holders</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of the Ordinary Shares were entitled to exercise a right of election as to the kind or amount of securities, cash or other assets receivable upon such</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consolidation or merger, then the kind and amount of securities, cash or other assets constituting the Alternative Issuance for which each Warrant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become exercisable shall be deemed to be the weighted average of the kind and amount received per share by the holders of the Ordinary Shares in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consolidation or merger that affirmatively make such election and (ii) if a tender, exchange or redemption offer shall have been made to and accepted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holders of the Ordinary Shares (other than a tender, exchange or redemption offer made by the Company in connection with redemption rights held by</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shareholders of the Company as provided for in the Company’s amended and restated memorandum and articles of association or as a result of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redemption of Ordinary Shares by the Company if a proposed initial Business Combination is presented to the shareholders of the Company for approval)</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under circumstances in which, upon completion of such tender or exchange offer, the maker thereof, together with members of any group (within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meaning of Rule 13d-5(b)(1) under the Exchange Act (or any successor rule)) of which such maker is a part, and together with any affiliate or associate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maker (within the meaning of Rule 12b-2 under the Exchange Act (or any successor rule)) and any members of any such group of which any such</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affiliate or associate is a part, own beneficially (within the meaning of Rule 13d-3 under the Exchange Act (or any successor rule)) more than 50% of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outstanding Ordinary Shares, the holder of a Warrant shall be entitled to receive as the Alternative Issuance, the highest amount of cash, securities or other</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property to which such holder would actually have been entitled as a shareholder if such Warrant holder had exercised the Warrant prior to the expiration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such tender or exchange offer, accepted such offer and all of the Ordinary Shares held by such holder had been purchased pursuant to such tender or</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exchange offer, subject to adjustments (from and after the consummation of such tender or exchange offer) as nearly equivalent as possible to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adjustments provided for in this </w:t>
      </w:r>
      <w:r>
        <w:rPr>
          <w:rFonts w:ascii="Arial" w:cs="Arial" w:eastAsia="Arial" w:hAnsi="Arial"/>
          <w:sz w:val="16"/>
          <w:szCs w:val="16"/>
          <w:u w:val="single" w:color="auto"/>
          <w:color w:val="auto"/>
        </w:rPr>
        <w:t>Section 4</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further</w:t>
      </w:r>
      <w:r>
        <w:rPr>
          <w:rFonts w:ascii="Arial" w:cs="Arial" w:eastAsia="Arial" w:hAnsi="Arial"/>
          <w:sz w:val="16"/>
          <w:szCs w:val="16"/>
          <w:color w:val="auto"/>
        </w:rPr>
        <w:t>, that if less than 70% of the consideration receivable by the holders of the Ordinary Shares in</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the applicable event is payable in the form of common equity in the successor entity that is listed for trading on a national securities exchange or is quoted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in an established over-the-counter market, or is to be so listed for trading or quoted immediately following such event, and if the Registered Holder</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properly exercises the Warrant within thirty days following the public disclosure of the consummation of such applicable event by the Company pursuant to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 Current Report on Form 8-K filed with the Commission, the Warrant Price shall be reduced by an amount (in dollars) equal to the difference of (i)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Warrant Price in effect prior to such reduction minus (ii) (A) the Per Share Consideration (as defined below) (but in no event less than zero) minus (B)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Black-Scholes Warrant Value (as defined below). The “</w:t>
      </w:r>
      <w:r>
        <w:rPr>
          <w:rFonts w:ascii="Arial" w:cs="Arial" w:eastAsia="Arial" w:hAnsi="Arial"/>
          <w:sz w:val="17"/>
          <w:szCs w:val="17"/>
          <w:b w:val="1"/>
          <w:bCs w:val="1"/>
          <w:i w:val="1"/>
          <w:iCs w:val="1"/>
          <w:color w:val="auto"/>
        </w:rPr>
        <w:t>Black-Scholes Warrant Value</w:t>
      </w:r>
      <w:r>
        <w:rPr>
          <w:rFonts w:ascii="Arial" w:cs="Arial" w:eastAsia="Arial" w:hAnsi="Arial"/>
          <w:sz w:val="17"/>
          <w:szCs w:val="17"/>
          <w:color w:val="auto"/>
        </w:rPr>
        <w:t>” means the value of a Warrant immediately prior to the</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consummation of the applicable event based on the Black-Scholes Warrant Model for a Capped American Call on Bloomberg Financial Markets</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i w:val="1"/>
          <w:iCs w:val="1"/>
          <w:color w:val="auto"/>
        </w:rPr>
        <w:t>Bloomberg</w:t>
      </w:r>
      <w:r>
        <w:rPr>
          <w:rFonts w:ascii="Arial" w:cs="Arial" w:eastAsia="Arial" w:hAnsi="Arial"/>
          <w:sz w:val="16"/>
          <w:szCs w:val="16"/>
          <w:color w:val="auto"/>
        </w:rPr>
        <w:t xml:space="preserve">”). For purposes of calculating such amount, (1) </w:t>
      </w:r>
      <w:r>
        <w:rPr>
          <w:rFonts w:ascii="Arial" w:cs="Arial" w:eastAsia="Arial" w:hAnsi="Arial"/>
          <w:sz w:val="16"/>
          <w:szCs w:val="16"/>
          <w:u w:val="single" w:color="auto"/>
          <w:color w:val="auto"/>
        </w:rPr>
        <w:t>Section 6</w:t>
      </w:r>
      <w:r>
        <w:rPr>
          <w:rFonts w:ascii="Arial" w:cs="Arial" w:eastAsia="Arial" w:hAnsi="Arial"/>
          <w:sz w:val="16"/>
          <w:szCs w:val="16"/>
          <w:color w:val="auto"/>
        </w:rPr>
        <w:t xml:space="preserve"> of this Agreement shall be taken into account, (2) the price of each Ordinary Share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shall be the volume weighted average price of the Ordinary Shares as reported during the ten-trading day period ending on the trading day prior to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effective date of the applicable event, (3) the assumed volatility shall be the ninety-day volatility obtained from the HVT function on Bloomberg</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determined as of the trading day immediately prior to the day of the announcement of the applicable event, and (4) the assumed risk-free interest rate shall</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correspond to the U.S. Treasury rate for a period equal to the remaining term of the Warrant. “</w:t>
      </w:r>
      <w:r>
        <w:rPr>
          <w:rFonts w:ascii="Arial" w:cs="Arial" w:eastAsia="Arial" w:hAnsi="Arial"/>
          <w:sz w:val="16"/>
          <w:szCs w:val="16"/>
          <w:b w:val="1"/>
          <w:bCs w:val="1"/>
          <w:i w:val="1"/>
          <w:iCs w:val="1"/>
          <w:color w:val="auto"/>
        </w:rPr>
        <w:t>Per Share Consideration</w:t>
      </w:r>
      <w:r>
        <w:rPr>
          <w:rFonts w:ascii="Arial" w:cs="Arial" w:eastAsia="Arial" w:hAnsi="Arial"/>
          <w:sz w:val="16"/>
          <w:szCs w:val="16"/>
          <w:color w:val="auto"/>
        </w:rPr>
        <w:t>” means (i) if the consideration paid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to holders of the Ordinary Shares consists exclusively of cash, the amount of such cash per Ordinary Share, and (ii) in all other cases, the volume weighted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average price of the Ordinary Shares as reported during the ten-trading day period ending on the trading day prior to the effective date of the applicable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event. If any reclassification or reorganization also results in a change in Ordinary Shares covered by </w:t>
      </w:r>
      <w:r>
        <w:rPr>
          <w:rFonts w:ascii="Arial" w:cs="Arial" w:eastAsia="Arial" w:hAnsi="Arial"/>
          <w:sz w:val="16"/>
          <w:szCs w:val="16"/>
          <w:u w:val="single" w:color="auto"/>
          <w:color w:val="auto"/>
        </w:rPr>
        <w:t>subsection 4.1.1</w:t>
      </w:r>
      <w:r>
        <w:rPr>
          <w:rFonts w:ascii="Arial" w:cs="Arial" w:eastAsia="Arial" w:hAnsi="Arial"/>
          <w:sz w:val="16"/>
          <w:szCs w:val="16"/>
          <w:color w:val="auto"/>
        </w:rPr>
        <w:t>, then such adjustment shall be made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pursuant to </w:t>
      </w:r>
      <w:r>
        <w:rPr>
          <w:rFonts w:ascii="Arial" w:cs="Arial" w:eastAsia="Arial" w:hAnsi="Arial"/>
          <w:sz w:val="16"/>
          <w:szCs w:val="16"/>
          <w:u w:val="single" w:color="auto"/>
          <w:color w:val="auto"/>
        </w:rPr>
        <w:t>subsection 4.1.1</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Sections 4.2</w:t>
      </w:r>
      <w:r>
        <w:rPr>
          <w:rFonts w:ascii="Arial" w:cs="Arial" w:eastAsia="Arial" w:hAnsi="Arial"/>
          <w:sz w:val="16"/>
          <w:szCs w:val="16"/>
          <w:color w:val="auto"/>
        </w:rPr>
        <w:t xml:space="preserve">, </w:t>
      </w:r>
      <w:r>
        <w:rPr>
          <w:rFonts w:ascii="Arial" w:cs="Arial" w:eastAsia="Arial" w:hAnsi="Arial"/>
          <w:sz w:val="16"/>
          <w:szCs w:val="16"/>
          <w:u w:val="single" w:color="auto"/>
          <w:color w:val="auto"/>
        </w:rPr>
        <w:t>4.3</w:t>
      </w:r>
      <w:r>
        <w:rPr>
          <w:rFonts w:ascii="Arial" w:cs="Arial" w:eastAsia="Arial" w:hAnsi="Arial"/>
          <w:sz w:val="16"/>
          <w:szCs w:val="16"/>
          <w:color w:val="auto"/>
        </w:rPr>
        <w:t xml:space="preserve"> and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The provisions of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shall similarly apply to successive reclassifications,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reorganizations, mergers or consolidations, sales or other transfers. In no event shall the Warrant Price be reduced to less than the par value per share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issuable upon exercise of the Warrant.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1" w:name="page222"/>
    <w:bookmarkEnd w:id="221"/>
    <w:p>
      <w:pPr>
        <w:ind w:firstLine="648"/>
        <w:spacing w:after="0" w:line="254" w:lineRule="auto"/>
        <w:rPr>
          <w:sz w:val="20"/>
          <w:szCs w:val="20"/>
          <w:color w:val="auto"/>
        </w:rPr>
      </w:pPr>
      <w:r>
        <w:rPr>
          <w:rFonts w:ascii="Arial" w:cs="Arial" w:eastAsia="Arial" w:hAnsi="Arial"/>
          <w:sz w:val="18"/>
          <w:szCs w:val="18"/>
          <w:color w:val="auto"/>
        </w:rPr>
        <w:t xml:space="preserve">4.5 </w:t>
      </w:r>
      <w:r>
        <w:rPr>
          <w:rFonts w:ascii="Arial" w:cs="Arial" w:eastAsia="Arial" w:hAnsi="Arial"/>
          <w:sz w:val="18"/>
          <w:szCs w:val="18"/>
          <w:u w:val="single" w:color="auto"/>
          <w:color w:val="auto"/>
        </w:rPr>
        <w:t>Notices of Changes in Warrant</w:t>
      </w:r>
      <w:r>
        <w:rPr>
          <w:rFonts w:ascii="Arial" w:cs="Arial" w:eastAsia="Arial" w:hAnsi="Arial"/>
          <w:sz w:val="18"/>
          <w:szCs w:val="18"/>
          <w:color w:val="auto"/>
        </w:rPr>
        <w:t xml:space="preserve">. Upon every adjustment of the Warrant Price or the number of Ordinary Shares issuable upon exercise of a Warrant, the Company shall give written notice thereof to the Warrant Agent, which notice shall state the Warrant Price resulting from such adjustment and the increase or decrease, if any, in the number of Ordinary Shares purchasable at such price upon the exercise of a Warrant, setting forth in reasonable detail the method of calculation and the facts upon which such calculation is based. Upon the occurrence of any event specified in </w:t>
      </w:r>
      <w:r>
        <w:rPr>
          <w:rFonts w:ascii="Arial" w:cs="Arial" w:eastAsia="Arial" w:hAnsi="Arial"/>
          <w:sz w:val="18"/>
          <w:szCs w:val="18"/>
          <w:u w:val="single" w:color="auto"/>
          <w:color w:val="auto"/>
        </w:rPr>
        <w:t>Section 4.1</w:t>
      </w:r>
      <w:r>
        <w:rPr>
          <w:rFonts w:ascii="Arial" w:cs="Arial" w:eastAsia="Arial" w:hAnsi="Arial"/>
          <w:sz w:val="18"/>
          <w:szCs w:val="18"/>
          <w:color w:val="auto"/>
        </w:rPr>
        <w:t xml:space="preserve">, </w:t>
      </w:r>
      <w:r>
        <w:rPr>
          <w:rFonts w:ascii="Arial" w:cs="Arial" w:eastAsia="Arial" w:hAnsi="Arial"/>
          <w:sz w:val="18"/>
          <w:szCs w:val="18"/>
          <w:u w:val="single" w:color="auto"/>
          <w:color w:val="auto"/>
        </w:rPr>
        <w:t>4.2</w:t>
      </w:r>
      <w:r>
        <w:rPr>
          <w:rFonts w:ascii="Arial" w:cs="Arial" w:eastAsia="Arial" w:hAnsi="Arial"/>
          <w:sz w:val="18"/>
          <w:szCs w:val="18"/>
          <w:color w:val="auto"/>
        </w:rPr>
        <w:t xml:space="preserve">, </w:t>
      </w:r>
      <w:r>
        <w:rPr>
          <w:rFonts w:ascii="Arial" w:cs="Arial" w:eastAsia="Arial" w:hAnsi="Arial"/>
          <w:sz w:val="18"/>
          <w:szCs w:val="18"/>
          <w:u w:val="single" w:color="auto"/>
          <w:color w:val="auto"/>
        </w:rPr>
        <w:t>4.3</w:t>
      </w:r>
      <w:r>
        <w:rPr>
          <w:rFonts w:ascii="Arial" w:cs="Arial" w:eastAsia="Arial" w:hAnsi="Arial"/>
          <w:sz w:val="18"/>
          <w:szCs w:val="18"/>
          <w:color w:val="auto"/>
        </w:rPr>
        <w:t xml:space="preserve"> or </w:t>
      </w:r>
      <w:r>
        <w:rPr>
          <w:rFonts w:ascii="Arial" w:cs="Arial" w:eastAsia="Arial" w:hAnsi="Arial"/>
          <w:sz w:val="18"/>
          <w:szCs w:val="18"/>
          <w:u w:val="single" w:color="auto"/>
          <w:color w:val="auto"/>
        </w:rPr>
        <w:t>4.4</w:t>
      </w:r>
      <w:r>
        <w:rPr>
          <w:rFonts w:ascii="Arial" w:cs="Arial" w:eastAsia="Arial" w:hAnsi="Arial"/>
          <w:sz w:val="18"/>
          <w:szCs w:val="18"/>
          <w:color w:val="auto"/>
        </w:rPr>
        <w:t>, the Company shall give written notice of the occurrence of such event to each holder of a Warrant, at the last address set forth for such holder in the Warrant Register, of the record date or the effective date of the event. Failure to give such notice, or any defect therein, shall not affect the legality or validity of such event.</w:t>
      </w:r>
    </w:p>
    <w:p>
      <w:pPr>
        <w:spacing w:after="0" w:line="195" w:lineRule="exact"/>
        <w:rPr>
          <w:sz w:val="20"/>
          <w:szCs w:val="20"/>
          <w:color w:val="auto"/>
        </w:rPr>
      </w:pPr>
    </w:p>
    <w:p>
      <w:pPr>
        <w:ind w:right="320" w:firstLine="648"/>
        <w:spacing w:after="0" w:line="259" w:lineRule="auto"/>
        <w:rPr>
          <w:sz w:val="20"/>
          <w:szCs w:val="20"/>
          <w:color w:val="auto"/>
        </w:rPr>
      </w:pPr>
      <w:r>
        <w:rPr>
          <w:rFonts w:ascii="Arial" w:cs="Arial" w:eastAsia="Arial" w:hAnsi="Arial"/>
          <w:sz w:val="18"/>
          <w:szCs w:val="18"/>
          <w:color w:val="auto"/>
        </w:rPr>
        <w:t xml:space="preserve">4.6 </w:t>
      </w:r>
      <w:r>
        <w:rPr>
          <w:rFonts w:ascii="Arial" w:cs="Arial" w:eastAsia="Arial" w:hAnsi="Arial"/>
          <w:sz w:val="18"/>
          <w:szCs w:val="18"/>
          <w:u w:val="single" w:color="auto"/>
          <w:color w:val="auto"/>
        </w:rPr>
        <w:t>No Fractional Shares</w:t>
      </w:r>
      <w:r>
        <w:rPr>
          <w:rFonts w:ascii="Arial" w:cs="Arial" w:eastAsia="Arial" w:hAnsi="Arial"/>
          <w:sz w:val="18"/>
          <w:szCs w:val="18"/>
          <w:color w:val="auto"/>
        </w:rPr>
        <w:t xml:space="preserve">. Notwithstanding any provision contained in this Agreement to the contrary, the Company shall not issue fractional Ordinary Shares upon the exercise of Warrants. If, by reason of any adjustment made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the holder of any Warrant would be entitled, upon the exercise of such Warrant, to receive a fractional interest in a share, the Company shall, upon such exercise, round down to the nearest whole number the number of Ordinary Shares to be issued to such holder.</w:t>
      </w:r>
    </w:p>
    <w:p>
      <w:pPr>
        <w:spacing w:after="0" w:line="187"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4.7 </w:t>
      </w:r>
      <w:r>
        <w:rPr>
          <w:rFonts w:ascii="Arial" w:cs="Arial" w:eastAsia="Arial" w:hAnsi="Arial"/>
          <w:sz w:val="18"/>
          <w:szCs w:val="18"/>
          <w:u w:val="single" w:color="auto"/>
          <w:color w:val="auto"/>
        </w:rPr>
        <w:t>Form of Warrant</w:t>
      </w:r>
      <w:r>
        <w:rPr>
          <w:rFonts w:ascii="Arial" w:cs="Arial" w:eastAsia="Arial" w:hAnsi="Arial"/>
          <w:sz w:val="18"/>
          <w:szCs w:val="18"/>
          <w:color w:val="auto"/>
        </w:rPr>
        <w:t xml:space="preserve">. The form of Warrant need not be changed because of any adjustment pursuant to this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and Warrants issued after such adjustment may state the same Warrant Price and the same number of Ordinary Shares as is stated in the Warrants initially issued pursuant to this Agreement;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the Company may at any time in its sole discretion make any change in the form of Warrant that the Company may deem appropriate and that does not affect the substance thereof, and any Warrant thereafter issued or countersigned, whether in exchange or substitution for an outstanding Warrant or otherwise, may be in the form as so changed.</w:t>
      </w:r>
    </w:p>
    <w:p>
      <w:pPr>
        <w:spacing w:after="0" w:line="188"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16"/>
          <w:szCs w:val="16"/>
          <w:color w:val="auto"/>
        </w:rPr>
        <w:t xml:space="preserve">4.8 </w:t>
      </w:r>
      <w:r>
        <w:rPr>
          <w:rFonts w:ascii="Arial" w:cs="Arial" w:eastAsia="Arial" w:hAnsi="Arial"/>
          <w:sz w:val="16"/>
          <w:szCs w:val="16"/>
          <w:u w:val="single" w:color="auto"/>
          <w:color w:val="auto"/>
        </w:rPr>
        <w:t>No Adjustment</w:t>
      </w:r>
      <w:r>
        <w:rPr>
          <w:rFonts w:ascii="Arial" w:cs="Arial" w:eastAsia="Arial" w:hAnsi="Arial"/>
          <w:sz w:val="16"/>
          <w:szCs w:val="16"/>
          <w:color w:val="auto"/>
        </w:rPr>
        <w:t>. For the avoidance of doubt, no adjustment shall be made to the terms of the Warrants solely as a result of an adjustment to the conversion ratio of the Company’s Class B ordinary shares into Ordinary Shares or the conversion of Class B ordinary shares into Ordinary Shares, in each case, pursuant to the Company’s amended and restated memorandum and articles of association, as amended from time to time.</w:t>
      </w:r>
    </w:p>
    <w:p>
      <w:pPr>
        <w:spacing w:after="0" w:line="149" w:lineRule="exact"/>
        <w:rPr>
          <w:sz w:val="20"/>
          <w:szCs w:val="20"/>
          <w:color w:val="auto"/>
        </w:rPr>
      </w:pPr>
    </w:p>
    <w:p>
      <w:pPr>
        <w:ind w:left="180" w:hanging="172"/>
        <w:spacing w:after="0"/>
        <w:tabs>
          <w:tab w:leader="none" w:pos="180" w:val="left"/>
        </w:tabs>
        <w:numPr>
          <w:ilvl w:val="0"/>
          <w:numId w:val="152"/>
        </w:numPr>
        <w:rPr>
          <w:rFonts w:ascii="Arial" w:cs="Arial" w:eastAsia="Arial" w:hAnsi="Arial"/>
          <w:sz w:val="18"/>
          <w:szCs w:val="18"/>
          <w:color w:val="auto"/>
        </w:rPr>
      </w:pPr>
      <w:r>
        <w:rPr>
          <w:rFonts w:ascii="Arial" w:cs="Arial" w:eastAsia="Arial" w:hAnsi="Arial"/>
          <w:sz w:val="18"/>
          <w:szCs w:val="18"/>
          <w:u w:val="single" w:color="auto"/>
          <w:color w:val="auto"/>
        </w:rPr>
        <w:t>Transfer and Exchange of Warrants</w:t>
      </w:r>
      <w:r>
        <w:rPr>
          <w:rFonts w:ascii="Arial" w:cs="Arial" w:eastAsia="Arial" w:hAnsi="Arial"/>
          <w:sz w:val="18"/>
          <w:szCs w:val="18"/>
          <w:color w:val="auto"/>
        </w:rPr>
        <w:t>.</w:t>
      </w:r>
    </w:p>
    <w:p>
      <w:pPr>
        <w:spacing w:after="0" w:line="225" w:lineRule="exact"/>
        <w:rPr>
          <w:sz w:val="20"/>
          <w:szCs w:val="20"/>
          <w:color w:val="auto"/>
        </w:rPr>
      </w:pPr>
    </w:p>
    <w:p>
      <w:pPr>
        <w:ind w:right="160" w:firstLine="648"/>
        <w:spacing w:after="0" w:line="301"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Registration of Transfer</w:t>
      </w:r>
      <w:r>
        <w:rPr>
          <w:rFonts w:ascii="Arial" w:cs="Arial" w:eastAsia="Arial" w:hAnsi="Arial"/>
          <w:sz w:val="16"/>
          <w:szCs w:val="16"/>
          <w:color w:val="auto"/>
        </w:rPr>
        <w:t>. The Warrant Agent shall register the transfer, from time to time, of any outstanding Warrant upon the Warrant Register, upon surrender of such Warrant for transfer properly endorsed with signatures properly guaranteed and accompanied by appropriate instructions for transfer. Upon any such transfer, a new Warrant representing an equal aggregate number of Warrants shall be issued and the old Warrant shall be cancelled by the Warrant Agent. The Warrants so cancelled shall be delivered by the Warrant Agent to the Company from time to time upon request.</w:t>
      </w:r>
    </w:p>
    <w:p>
      <w:pPr>
        <w:spacing w:after="0" w:line="366"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2" w:name="page223"/>
    <w:bookmarkEnd w:id="222"/>
    <w:p>
      <w:pPr>
        <w:ind w:right="20" w:firstLine="648"/>
        <w:spacing w:after="0" w:line="255" w:lineRule="auto"/>
        <w:rPr>
          <w:sz w:val="20"/>
          <w:szCs w:val="20"/>
          <w:color w:val="auto"/>
        </w:rPr>
      </w:pPr>
      <w:r>
        <w:rPr>
          <w:rFonts w:ascii="Arial" w:cs="Arial" w:eastAsia="Arial" w:hAnsi="Arial"/>
          <w:sz w:val="18"/>
          <w:szCs w:val="18"/>
          <w:color w:val="auto"/>
        </w:rPr>
        <w:t xml:space="preserve">5.2 </w:t>
      </w:r>
      <w:r>
        <w:rPr>
          <w:rFonts w:ascii="Arial" w:cs="Arial" w:eastAsia="Arial" w:hAnsi="Arial"/>
          <w:sz w:val="18"/>
          <w:szCs w:val="18"/>
          <w:u w:val="single" w:color="auto"/>
          <w:color w:val="auto"/>
        </w:rPr>
        <w:t>Procedure for Surrender of Warrants</w:t>
      </w:r>
      <w:r>
        <w:rPr>
          <w:rFonts w:ascii="Arial" w:cs="Arial" w:eastAsia="Arial" w:hAnsi="Arial"/>
          <w:sz w:val="18"/>
          <w:szCs w:val="18"/>
          <w:color w:val="auto"/>
        </w:rPr>
        <w:t xml:space="preserve">. Warrants may be surrendered to the Warrant Agent, together with a written request for exchange or transfer, and thereupon the Warrant Agent shall issue in exchange therefor one or more new Warrants as requested by the Registered Holder of the Warrants so surrendered, representing an equal aggregate number of Warrants; </w:t>
      </w:r>
      <w:r>
        <w:rPr>
          <w:rFonts w:ascii="Arial" w:cs="Arial" w:eastAsia="Arial" w:hAnsi="Arial"/>
          <w:sz w:val="18"/>
          <w:szCs w:val="18"/>
          <w:u w:val="single" w:color="auto"/>
          <w:color w:val="auto"/>
        </w:rPr>
        <w:t>provided</w:t>
      </w:r>
      <w:r>
        <w:rPr>
          <w:rFonts w:ascii="Arial" w:cs="Arial" w:eastAsia="Arial" w:hAnsi="Arial"/>
          <w:sz w:val="18"/>
          <w:szCs w:val="18"/>
          <w:color w:val="auto"/>
        </w:rPr>
        <w:t xml:space="preserve">, </w:t>
      </w:r>
      <w:r>
        <w:rPr>
          <w:rFonts w:ascii="Arial" w:cs="Arial" w:eastAsia="Arial" w:hAnsi="Arial"/>
          <w:sz w:val="18"/>
          <w:szCs w:val="18"/>
          <w:u w:val="single" w:color="auto"/>
          <w:color w:val="auto"/>
        </w:rPr>
        <w:t>however</w:t>
      </w:r>
      <w:r>
        <w:rPr>
          <w:rFonts w:ascii="Arial" w:cs="Arial" w:eastAsia="Arial" w:hAnsi="Arial"/>
          <w:sz w:val="18"/>
          <w:szCs w:val="18"/>
          <w:color w:val="auto"/>
        </w:rPr>
        <w:t>, that in the event that a Warrant surrendered for transfer bears a restrictive legend (as in the case of the Private Placement Warrants), the Warrant Agent shall not cancel such Warrant and issue new Warrants in exchange thereof until the Warrant Agent has received an opinion of counsel for the Company stating that such transfer may be made and indicating whether the new Warrants must also bear a restrictive legend.</w:t>
      </w:r>
    </w:p>
    <w:p>
      <w:pPr>
        <w:spacing w:after="0" w:line="192" w:lineRule="exact"/>
        <w:rPr>
          <w:sz w:val="20"/>
          <w:szCs w:val="20"/>
          <w:color w:val="auto"/>
        </w:rPr>
      </w:pPr>
    </w:p>
    <w:p>
      <w:pPr>
        <w:ind w:right="620" w:firstLine="648"/>
        <w:spacing w:after="0" w:line="277" w:lineRule="auto"/>
        <w:rPr>
          <w:sz w:val="20"/>
          <w:szCs w:val="20"/>
          <w:color w:val="auto"/>
        </w:rPr>
      </w:pPr>
      <w:r>
        <w:rPr>
          <w:rFonts w:ascii="Arial" w:cs="Arial" w:eastAsia="Arial" w:hAnsi="Arial"/>
          <w:sz w:val="18"/>
          <w:szCs w:val="18"/>
          <w:color w:val="auto"/>
        </w:rPr>
        <w:t xml:space="preserve">5.3 </w:t>
      </w:r>
      <w:r>
        <w:rPr>
          <w:rFonts w:ascii="Arial" w:cs="Arial" w:eastAsia="Arial" w:hAnsi="Arial"/>
          <w:sz w:val="18"/>
          <w:szCs w:val="18"/>
          <w:u w:val="single" w:color="auto"/>
          <w:color w:val="auto"/>
        </w:rPr>
        <w:t>Fractional Warrants</w:t>
      </w:r>
      <w:r>
        <w:rPr>
          <w:rFonts w:ascii="Arial" w:cs="Arial" w:eastAsia="Arial" w:hAnsi="Arial"/>
          <w:sz w:val="18"/>
          <w:szCs w:val="18"/>
          <w:color w:val="auto"/>
        </w:rPr>
        <w:t>. The Warrant Agent shall not be required to effect any registration of transfer or exchange which shall result in the issuance of a warrant certificate or book-entry position for a fraction of a warrant, except as part of the Units.</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5.4 </w:t>
      </w:r>
      <w:r>
        <w:rPr>
          <w:rFonts w:ascii="Arial" w:cs="Arial" w:eastAsia="Arial" w:hAnsi="Arial"/>
          <w:sz w:val="18"/>
          <w:szCs w:val="18"/>
          <w:u w:val="single" w:color="auto"/>
          <w:color w:val="auto"/>
        </w:rPr>
        <w:t>Service Charges</w:t>
      </w:r>
      <w:r>
        <w:rPr>
          <w:rFonts w:ascii="Arial" w:cs="Arial" w:eastAsia="Arial" w:hAnsi="Arial"/>
          <w:sz w:val="18"/>
          <w:szCs w:val="18"/>
          <w:color w:val="auto"/>
        </w:rPr>
        <w:t>. No service charge shall be made for any exchange or registration of transfer of Warrants.</w:t>
      </w:r>
    </w:p>
    <w:p>
      <w:pPr>
        <w:spacing w:after="0" w:line="225" w:lineRule="exact"/>
        <w:rPr>
          <w:sz w:val="20"/>
          <w:szCs w:val="20"/>
          <w:color w:val="auto"/>
        </w:rPr>
      </w:pPr>
    </w:p>
    <w:p>
      <w:pPr>
        <w:ind w:right="140" w:firstLine="648"/>
        <w:spacing w:after="0" w:line="286"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Warrant Execution and Countersignature</w:t>
      </w:r>
      <w:r>
        <w:rPr>
          <w:rFonts w:ascii="Arial" w:cs="Arial" w:eastAsia="Arial" w:hAnsi="Arial"/>
          <w:sz w:val="17"/>
          <w:szCs w:val="17"/>
          <w:color w:val="auto"/>
        </w:rPr>
        <w:t xml:space="preserve">. The Warrant Agent is hereby authorized to countersign and to deliver, in accordance with the terms of this Agreement, the Warrants required to be issued pursuant to the provisions of this </w:t>
      </w:r>
      <w:r>
        <w:rPr>
          <w:rFonts w:ascii="Arial" w:cs="Arial" w:eastAsia="Arial" w:hAnsi="Arial"/>
          <w:sz w:val="17"/>
          <w:szCs w:val="17"/>
          <w:u w:val="single" w:color="auto"/>
          <w:color w:val="auto"/>
        </w:rPr>
        <w:t>Section 5</w:t>
      </w:r>
      <w:r>
        <w:rPr>
          <w:rFonts w:ascii="Arial" w:cs="Arial" w:eastAsia="Arial" w:hAnsi="Arial"/>
          <w:sz w:val="17"/>
          <w:szCs w:val="17"/>
          <w:color w:val="auto"/>
        </w:rPr>
        <w:t>, and the Company, whenever required by the Warrant Agent, shall supply the Warrant Agent with Warrants duly executed on behalf of the Company for such purpose.</w:t>
      </w:r>
    </w:p>
    <w:p>
      <w:pPr>
        <w:spacing w:after="0" w:line="165" w:lineRule="exact"/>
        <w:rPr>
          <w:sz w:val="20"/>
          <w:szCs w:val="20"/>
          <w:color w:val="auto"/>
        </w:rPr>
      </w:pPr>
    </w:p>
    <w:p>
      <w:pPr>
        <w:jc w:val="both"/>
        <w:ind w:right="40" w:firstLine="648"/>
        <w:spacing w:after="0" w:line="279" w:lineRule="auto"/>
        <w:rPr>
          <w:sz w:val="20"/>
          <w:szCs w:val="20"/>
          <w:color w:val="auto"/>
        </w:rPr>
      </w:pPr>
      <w:r>
        <w:rPr>
          <w:rFonts w:ascii="Arial" w:cs="Arial" w:eastAsia="Arial" w:hAnsi="Arial"/>
          <w:sz w:val="17"/>
          <w:szCs w:val="17"/>
          <w:color w:val="auto"/>
        </w:rPr>
        <w:t xml:space="preserve">5.6 </w:t>
      </w:r>
      <w:r>
        <w:rPr>
          <w:rFonts w:ascii="Arial" w:cs="Arial" w:eastAsia="Arial" w:hAnsi="Arial"/>
          <w:sz w:val="17"/>
          <w:szCs w:val="17"/>
          <w:u w:val="single" w:color="auto"/>
          <w:color w:val="auto"/>
        </w:rPr>
        <w:t>Transfer of Warrants</w:t>
      </w:r>
      <w:r>
        <w:rPr>
          <w:rFonts w:ascii="Arial" w:cs="Arial" w:eastAsia="Arial" w:hAnsi="Arial"/>
          <w:sz w:val="17"/>
          <w:szCs w:val="17"/>
          <w:color w:val="auto"/>
        </w:rPr>
        <w:t xml:space="preserve">. Prior to the Detachment Date, the Public Warrants may be transferred or exchanged only together with the Unit in which such Warrant is included, and only for the purpose of effecting, or in conjunction with, a transfer or exchange of such Unit. Furthermore, each transfer of a Unit on the register relating to such Units shall operate also to transfer the Warrants included in such Unit. Notwithstanding the foregoing, the provisions of this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shall have no effect on any transfer of Warrants on and after the Detachment Date.</w:t>
      </w:r>
    </w:p>
    <w:p>
      <w:pPr>
        <w:spacing w:after="0" w:line="171" w:lineRule="exact"/>
        <w:rPr>
          <w:sz w:val="20"/>
          <w:szCs w:val="20"/>
          <w:color w:val="auto"/>
        </w:rPr>
      </w:pPr>
    </w:p>
    <w:p>
      <w:pPr>
        <w:ind w:left="180" w:hanging="172"/>
        <w:spacing w:after="0"/>
        <w:tabs>
          <w:tab w:leader="none" w:pos="180" w:val="left"/>
        </w:tabs>
        <w:numPr>
          <w:ilvl w:val="0"/>
          <w:numId w:val="153"/>
        </w:numPr>
        <w:rPr>
          <w:rFonts w:ascii="Arial" w:cs="Arial" w:eastAsia="Arial" w:hAnsi="Arial"/>
          <w:sz w:val="18"/>
          <w:szCs w:val="18"/>
          <w:color w:val="auto"/>
        </w:rPr>
      </w:pPr>
      <w:r>
        <w:rPr>
          <w:rFonts w:ascii="Arial" w:cs="Arial" w:eastAsia="Arial" w:hAnsi="Arial"/>
          <w:sz w:val="18"/>
          <w:szCs w:val="18"/>
          <w:u w:val="single" w:color="auto"/>
          <w:color w:val="auto"/>
        </w:rPr>
        <w:t>Redemption</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1" w:lineRule="auto"/>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Redemption of Warrants.</w:t>
      </w:r>
      <w:r>
        <w:rPr>
          <w:rFonts w:ascii="Arial" w:cs="Arial" w:eastAsia="Arial" w:hAnsi="Arial"/>
          <w:sz w:val="17"/>
          <w:szCs w:val="17"/>
          <w:color w:val="auto"/>
        </w:rPr>
        <w:t xml:space="preserve"> Subject to Section 6.5 hereof, not less than all of the outstanding Warrants may be redeemed, at the option of the Company, at any time while they are exercisable and prior to their expiration, at the office of the Warrant Agent, upon notice to the Registered Holders of the Warrants, as described in Section 6.3 below, at a Redemption Price of $0.01 per Warrant; provided that the reported closing price of the Ordinary Shares reported has been at least $18.00 per share (subject to adjustment in compliance with Section 4 hereof), on each of twenty trading days within the thirty-trading day period ending on the third Business Day prior to the date on which notice of the redemption is given; and provided, further, that there is an effective registration statement covering the Ordinary Shares issuable upon exercise of the Warrants, and a current prospectus relating thereto, available throughout the 30-day Redemption Period (as defined in Section 6.3 below) or the Company has elected to require the exercise of the Warrants on a “cashless basis” pursuant to subsection 3.3.1.</w:t>
      </w:r>
    </w:p>
    <w:p>
      <w:pPr>
        <w:spacing w:after="0" w:line="3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3" w:name="page224"/>
    <w:bookmarkEnd w:id="223"/>
    <w:p>
      <w:pPr>
        <w:ind w:left="660"/>
        <w:spacing w:after="0"/>
        <w:rPr>
          <w:sz w:val="20"/>
          <w:szCs w:val="20"/>
          <w:color w:val="auto"/>
        </w:rPr>
      </w:pPr>
      <w:r>
        <w:rPr>
          <w:rFonts w:ascii="Arial" w:cs="Arial" w:eastAsia="Arial" w:hAnsi="Arial"/>
          <w:sz w:val="18"/>
          <w:szCs w:val="18"/>
          <w:color w:val="auto"/>
        </w:rPr>
        <w:t xml:space="preserve">6.2 </w:t>
      </w:r>
      <w:r>
        <w:rPr>
          <w:rFonts w:ascii="Arial" w:cs="Arial" w:eastAsia="Arial" w:hAnsi="Arial"/>
          <w:sz w:val="18"/>
          <w:szCs w:val="18"/>
          <w:u w:val="single" w:color="auto"/>
          <w:color w:val="auto"/>
        </w:rPr>
        <w:t>Reserved.</w:t>
      </w:r>
    </w:p>
    <w:p>
      <w:pPr>
        <w:spacing w:after="0" w:line="225" w:lineRule="exact"/>
        <w:rPr>
          <w:sz w:val="20"/>
          <w:szCs w:val="20"/>
          <w:color w:val="auto"/>
        </w:rPr>
      </w:pPr>
    </w:p>
    <w:p>
      <w:pPr>
        <w:ind w:right="320" w:firstLine="648"/>
        <w:spacing w:after="0" w:line="273" w:lineRule="auto"/>
        <w:rPr>
          <w:sz w:val="20"/>
          <w:szCs w:val="20"/>
          <w:color w:val="auto"/>
        </w:rPr>
      </w:pPr>
      <w:r>
        <w:rPr>
          <w:rFonts w:ascii="Arial" w:cs="Arial" w:eastAsia="Arial" w:hAnsi="Arial"/>
          <w:sz w:val="17"/>
          <w:szCs w:val="17"/>
          <w:color w:val="auto"/>
        </w:rPr>
        <w:t xml:space="preserve">6.3 </w:t>
      </w:r>
      <w:r>
        <w:rPr>
          <w:rFonts w:ascii="Arial" w:cs="Arial" w:eastAsia="Arial" w:hAnsi="Arial"/>
          <w:sz w:val="17"/>
          <w:szCs w:val="17"/>
          <w:u w:val="single" w:color="auto"/>
          <w:color w:val="auto"/>
        </w:rPr>
        <w:t>Date Fixed for, and Notice of, Redemption</w:t>
      </w:r>
      <w:r>
        <w:rPr>
          <w:rFonts w:ascii="Arial" w:cs="Arial" w:eastAsia="Arial" w:hAnsi="Arial"/>
          <w:sz w:val="17"/>
          <w:szCs w:val="17"/>
          <w:color w:val="auto"/>
        </w:rPr>
        <w:t xml:space="preserve">. In the event that the Company elects to redeem all of the Warrants pursuant to </w:t>
      </w:r>
      <w:r>
        <w:rPr>
          <w:rFonts w:ascii="Arial" w:cs="Arial" w:eastAsia="Arial" w:hAnsi="Arial"/>
          <w:sz w:val="17"/>
          <w:szCs w:val="17"/>
          <w:u w:val="single" w:color="auto"/>
          <w:color w:val="auto"/>
        </w:rPr>
        <w:t>Section 6.1</w:t>
      </w:r>
      <w:r>
        <w:rPr>
          <w:rFonts w:ascii="Arial" w:cs="Arial" w:eastAsia="Arial" w:hAnsi="Arial"/>
          <w:sz w:val="17"/>
          <w:szCs w:val="17"/>
          <w:color w:val="auto"/>
        </w:rPr>
        <w:t>, the Company shall fix a date for the redemption (the “</w:t>
      </w:r>
      <w:r>
        <w:rPr>
          <w:rFonts w:ascii="Arial" w:cs="Arial" w:eastAsia="Arial" w:hAnsi="Arial"/>
          <w:sz w:val="17"/>
          <w:szCs w:val="17"/>
          <w:b w:val="1"/>
          <w:bCs w:val="1"/>
          <w:i w:val="1"/>
          <w:iCs w:val="1"/>
          <w:color w:val="auto"/>
        </w:rPr>
        <w:t>Redemption Date</w:t>
      </w:r>
      <w:r>
        <w:rPr>
          <w:rFonts w:ascii="Arial" w:cs="Arial" w:eastAsia="Arial" w:hAnsi="Arial"/>
          <w:sz w:val="17"/>
          <w:szCs w:val="17"/>
          <w:color w:val="auto"/>
        </w:rPr>
        <w:t>”). Notice of redemption shall be mailed by first class mail, postage prepaid, by the Company not less than thirty days prior to the Redemption Date (the “</w:t>
      </w:r>
      <w:r>
        <w:rPr>
          <w:rFonts w:ascii="Arial" w:cs="Arial" w:eastAsia="Arial" w:hAnsi="Arial"/>
          <w:sz w:val="17"/>
          <w:szCs w:val="17"/>
          <w:b w:val="1"/>
          <w:bCs w:val="1"/>
          <w:i w:val="1"/>
          <w:iCs w:val="1"/>
          <w:color w:val="auto"/>
        </w:rPr>
        <w:t>30-day Redemption Period</w:t>
      </w:r>
      <w:r>
        <w:rPr>
          <w:rFonts w:ascii="Arial" w:cs="Arial" w:eastAsia="Arial" w:hAnsi="Arial"/>
          <w:sz w:val="17"/>
          <w:szCs w:val="17"/>
          <w:color w:val="auto"/>
        </w:rPr>
        <w:t>”) to the Registered Holders of the Warrants to be redeemed at their last addresses as they shall appear on the registration books. Any notice mailed in the manner herein provided shall be conclusively presumed to have been duly given whether or not the Registered Holder received such notice. “Redemption Price” shall mean the price per Warrant at which any Warrants are redeemed pursuant to Section 6.1.</w:t>
      </w:r>
    </w:p>
    <w:p>
      <w:pPr>
        <w:spacing w:after="0" w:line="178" w:lineRule="exact"/>
        <w:rPr>
          <w:sz w:val="20"/>
          <w:szCs w:val="20"/>
          <w:color w:val="auto"/>
        </w:rPr>
      </w:pPr>
    </w:p>
    <w:p>
      <w:pPr>
        <w:ind w:firstLine="648"/>
        <w:spacing w:after="0" w:line="293" w:lineRule="auto"/>
        <w:rPr>
          <w:sz w:val="20"/>
          <w:szCs w:val="20"/>
          <w:color w:val="auto"/>
        </w:rPr>
      </w:pPr>
      <w:r>
        <w:rPr>
          <w:rFonts w:ascii="Arial" w:cs="Arial" w:eastAsia="Arial" w:hAnsi="Arial"/>
          <w:sz w:val="16"/>
          <w:szCs w:val="16"/>
          <w:color w:val="auto"/>
        </w:rPr>
        <w:t xml:space="preserve">6.4 </w:t>
      </w:r>
      <w:r>
        <w:rPr>
          <w:rFonts w:ascii="Arial" w:cs="Arial" w:eastAsia="Arial" w:hAnsi="Arial"/>
          <w:sz w:val="16"/>
          <w:szCs w:val="16"/>
          <w:u w:val="single" w:color="auto"/>
          <w:color w:val="auto"/>
        </w:rPr>
        <w:t>Exercise After Notice of Redemption</w:t>
      </w:r>
      <w:r>
        <w:rPr>
          <w:rFonts w:ascii="Arial" w:cs="Arial" w:eastAsia="Arial" w:hAnsi="Arial"/>
          <w:sz w:val="16"/>
          <w:szCs w:val="16"/>
          <w:color w:val="auto"/>
        </w:rPr>
        <w:t xml:space="preserve">. The Warrants may be exercised for cash (or on a “cashless basis” in accordance with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of this Agreement) at any time after notice of redemption shall have been given by the Company pursuant to </w:t>
      </w:r>
      <w:r>
        <w:rPr>
          <w:rFonts w:ascii="Arial" w:cs="Arial" w:eastAsia="Arial" w:hAnsi="Arial"/>
          <w:sz w:val="16"/>
          <w:szCs w:val="16"/>
          <w:u w:val="single" w:color="auto"/>
          <w:color w:val="auto"/>
        </w:rPr>
        <w:t>Section 6.3</w:t>
      </w:r>
      <w:r>
        <w:rPr>
          <w:rFonts w:ascii="Arial" w:cs="Arial" w:eastAsia="Arial" w:hAnsi="Arial"/>
          <w:sz w:val="16"/>
          <w:szCs w:val="16"/>
          <w:color w:val="auto"/>
        </w:rPr>
        <w:t xml:space="preserve"> hereof and prior to the Redemption Date. In the event that the Company determines to require all holders of Warrants to exercise their Warrants on a “cashless basis” pursuant to </w:t>
      </w:r>
      <w:r>
        <w:rPr>
          <w:rFonts w:ascii="Arial" w:cs="Arial" w:eastAsia="Arial" w:hAnsi="Arial"/>
          <w:sz w:val="16"/>
          <w:szCs w:val="16"/>
          <w:u w:val="single" w:color="auto"/>
          <w:color w:val="auto"/>
        </w:rPr>
        <w:t>subsection 3.3.1</w:t>
      </w:r>
      <w:r>
        <w:rPr>
          <w:rFonts w:ascii="Arial" w:cs="Arial" w:eastAsia="Arial" w:hAnsi="Arial"/>
          <w:sz w:val="16"/>
          <w:szCs w:val="16"/>
          <w:color w:val="auto"/>
        </w:rPr>
        <w:t xml:space="preserve">, the notice of redemption shall contain the information necessary to calculate the number of Ordinary Shares to be received upon exercise of the Warrants, including the “Fair Market Value” (as such term is defined in </w:t>
      </w:r>
      <w:r>
        <w:rPr>
          <w:rFonts w:ascii="Arial" w:cs="Arial" w:eastAsia="Arial" w:hAnsi="Arial"/>
          <w:sz w:val="16"/>
          <w:szCs w:val="16"/>
          <w:u w:val="single" w:color="auto"/>
          <w:color w:val="auto"/>
        </w:rPr>
        <w:t>subsection 3.3.1(b)</w:t>
      </w:r>
      <w:r>
        <w:rPr>
          <w:rFonts w:ascii="Arial" w:cs="Arial" w:eastAsia="Arial" w:hAnsi="Arial"/>
          <w:sz w:val="16"/>
          <w:szCs w:val="16"/>
          <w:color w:val="auto"/>
        </w:rPr>
        <w:t xml:space="preserve"> hereof) in such case. On and after the Redemption Date, the record holder of the Warrants shall have no further rights except to receive, upon surrender of the Warrants, the Redemption Price.</w:t>
      </w:r>
    </w:p>
    <w:p>
      <w:pPr>
        <w:spacing w:after="0" w:line="164" w:lineRule="exact"/>
        <w:rPr>
          <w:sz w:val="20"/>
          <w:szCs w:val="20"/>
          <w:color w:val="auto"/>
        </w:rPr>
      </w:pPr>
    </w:p>
    <w:p>
      <w:pPr>
        <w:ind w:right="20" w:firstLine="648"/>
        <w:spacing w:after="0" w:line="272" w:lineRule="auto"/>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Exclusion of Private Placement Warrants</w:t>
      </w:r>
      <w:r>
        <w:rPr>
          <w:rFonts w:ascii="Arial" w:cs="Arial" w:eastAsia="Arial" w:hAnsi="Arial"/>
          <w:sz w:val="17"/>
          <w:szCs w:val="17"/>
          <w:color w:val="auto"/>
        </w:rPr>
        <w:t xml:space="preserve">. Notwithstanding anything contained herein, the redemption rights provided in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hereof shall not apply to the Private Placement Warrants if at the time of the redemption such Private Placement Warrants continue to be held by the Sponsor or its Permitted Transferees. However, once such Private Placement Warrants are transferred (other than to Permitted Transferees in accordance with </w:t>
      </w:r>
      <w:r>
        <w:rPr>
          <w:rFonts w:ascii="Arial" w:cs="Arial" w:eastAsia="Arial" w:hAnsi="Arial"/>
          <w:sz w:val="17"/>
          <w:szCs w:val="17"/>
          <w:u w:val="single" w:color="auto"/>
          <w:color w:val="auto"/>
        </w:rPr>
        <w:t>Section 2.6</w:t>
      </w:r>
      <w:r>
        <w:rPr>
          <w:rFonts w:ascii="Arial" w:cs="Arial" w:eastAsia="Arial" w:hAnsi="Arial"/>
          <w:sz w:val="17"/>
          <w:szCs w:val="17"/>
          <w:color w:val="auto"/>
        </w:rPr>
        <w:t xml:space="preserve"> hereof), the Company may redeem the Private Placement Warrants pursuant to this </w:t>
      </w:r>
      <w:r>
        <w:rPr>
          <w:rFonts w:ascii="Arial" w:cs="Arial" w:eastAsia="Arial" w:hAnsi="Arial"/>
          <w:sz w:val="17"/>
          <w:szCs w:val="17"/>
          <w:u w:val="single" w:color="auto"/>
          <w:color w:val="auto"/>
        </w:rPr>
        <w:t>Section 6</w:t>
      </w:r>
      <w:r>
        <w:rPr>
          <w:rFonts w:ascii="Arial" w:cs="Arial" w:eastAsia="Arial" w:hAnsi="Arial"/>
          <w:sz w:val="17"/>
          <w:szCs w:val="17"/>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the criteria for redemption are met, including the opportunity of the holder of such Private Placement Warrants to exercise the Private Placement Warrants prior to redemption pursuant to </w:t>
      </w:r>
      <w:r>
        <w:rPr>
          <w:rFonts w:ascii="Arial" w:cs="Arial" w:eastAsia="Arial" w:hAnsi="Arial"/>
          <w:sz w:val="17"/>
          <w:szCs w:val="17"/>
          <w:u w:val="single" w:color="auto"/>
          <w:color w:val="auto"/>
        </w:rPr>
        <w:t>Section 6.4</w:t>
      </w:r>
      <w:r>
        <w:rPr>
          <w:rFonts w:ascii="Arial" w:cs="Arial" w:eastAsia="Arial" w:hAnsi="Arial"/>
          <w:sz w:val="17"/>
          <w:szCs w:val="17"/>
          <w:color w:val="auto"/>
        </w:rPr>
        <w:t>. Private Placement Warrants that are transferred to persons other than Permitted Transferees shall upon such transfer cease to be Private Placement Warrants and shall become Public Warrants under this Agreement.</w:t>
      </w:r>
    </w:p>
    <w:p>
      <w:pPr>
        <w:spacing w:after="0" w:line="177" w:lineRule="exact"/>
        <w:rPr>
          <w:sz w:val="20"/>
          <w:szCs w:val="20"/>
          <w:color w:val="auto"/>
        </w:rPr>
      </w:pPr>
    </w:p>
    <w:p>
      <w:pPr>
        <w:ind w:left="180" w:hanging="172"/>
        <w:spacing w:after="0"/>
        <w:tabs>
          <w:tab w:leader="none" w:pos="180" w:val="left"/>
        </w:tabs>
        <w:numPr>
          <w:ilvl w:val="0"/>
          <w:numId w:val="154"/>
        </w:numPr>
        <w:rPr>
          <w:rFonts w:ascii="Arial" w:cs="Arial" w:eastAsia="Arial" w:hAnsi="Arial"/>
          <w:sz w:val="18"/>
          <w:szCs w:val="18"/>
          <w:color w:val="auto"/>
        </w:rPr>
      </w:pPr>
      <w:r>
        <w:rPr>
          <w:rFonts w:ascii="Arial" w:cs="Arial" w:eastAsia="Arial" w:hAnsi="Arial"/>
          <w:sz w:val="18"/>
          <w:szCs w:val="18"/>
          <w:u w:val="single" w:color="auto"/>
          <w:color w:val="auto"/>
        </w:rPr>
        <w:t>Other Provisions Relating to Rights of Holders of Warrants</w:t>
      </w:r>
      <w:r>
        <w:rPr>
          <w:rFonts w:ascii="Arial" w:cs="Arial" w:eastAsia="Arial" w:hAnsi="Arial"/>
          <w:sz w:val="18"/>
          <w:szCs w:val="18"/>
          <w:color w:val="auto"/>
        </w:rPr>
        <w:t>.</w:t>
      </w:r>
    </w:p>
    <w:p>
      <w:pPr>
        <w:spacing w:after="0" w:line="225" w:lineRule="exact"/>
        <w:rPr>
          <w:sz w:val="20"/>
          <w:szCs w:val="20"/>
          <w:color w:val="auto"/>
        </w:rPr>
      </w:pPr>
    </w:p>
    <w:p>
      <w:pPr>
        <w:ind w:right="120" w:firstLine="648"/>
        <w:spacing w:after="0" w:line="28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No Rights as Shareholder</w:t>
      </w:r>
      <w:r>
        <w:rPr>
          <w:rFonts w:ascii="Arial" w:cs="Arial" w:eastAsia="Arial" w:hAnsi="Arial"/>
          <w:sz w:val="17"/>
          <w:szCs w:val="17"/>
          <w:color w:val="auto"/>
        </w:rPr>
        <w:t>. A Warrant does not entitle the Registered Holder thereof to any of the rights of a shareholder of the Company, including, without limitation, the right to receive dividends, or other distributions, exercise any preemptive rights to vote or to consent or to receive notice as shareholders in respect of the meetings of shareholders or the election of directors of the Company or any other matter.</w:t>
      </w:r>
    </w:p>
    <w:p>
      <w:pPr>
        <w:spacing w:after="0" w:line="165" w:lineRule="exact"/>
        <w:rPr>
          <w:sz w:val="20"/>
          <w:szCs w:val="20"/>
          <w:color w:val="auto"/>
        </w:rPr>
      </w:pPr>
    </w:p>
    <w:p>
      <w:pPr>
        <w:ind w:right="40" w:firstLine="648"/>
        <w:spacing w:after="0" w:line="257" w:lineRule="auto"/>
        <w:rPr>
          <w:sz w:val="20"/>
          <w:szCs w:val="20"/>
          <w:color w:val="auto"/>
        </w:rPr>
      </w:pPr>
      <w:r>
        <w:rPr>
          <w:rFonts w:ascii="Arial" w:cs="Arial" w:eastAsia="Arial" w:hAnsi="Arial"/>
          <w:sz w:val="18"/>
          <w:szCs w:val="18"/>
          <w:color w:val="auto"/>
        </w:rPr>
        <w:t xml:space="preserve">7.2 </w:t>
      </w:r>
      <w:r>
        <w:rPr>
          <w:rFonts w:ascii="Arial" w:cs="Arial" w:eastAsia="Arial" w:hAnsi="Arial"/>
          <w:sz w:val="18"/>
          <w:szCs w:val="18"/>
          <w:u w:val="single" w:color="auto"/>
          <w:color w:val="auto"/>
        </w:rPr>
        <w:t>Lost, Stolen, Mutilated or Destroyed Warrants</w:t>
      </w:r>
      <w:r>
        <w:rPr>
          <w:rFonts w:ascii="Arial" w:cs="Arial" w:eastAsia="Arial" w:hAnsi="Arial"/>
          <w:sz w:val="18"/>
          <w:szCs w:val="18"/>
          <w:color w:val="auto"/>
        </w:rPr>
        <w:t>. If any Warrant is lost, stolen, mutilated or destroyed, the Company and the Warrant Agent may on such terms as to indemnity or otherwise as they may in their discretion impose (which shall, in the case of a mutilated Warrant, include the surrender thereof) issue a new Warrant of like denomination, tenor and date as the Warrant so lost, stolen, mutilated or destroyed. Any such new Warrant shall constitute a substitute contractual obligation of the Company, whether or not the allegedly lost, stolen, mutilated or destroyed Warrant shall be at any time enforceable by anyone.</w:t>
      </w:r>
    </w:p>
    <w:p>
      <w:pPr>
        <w:spacing w:after="0" w:line="397"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4" w:name="page225"/>
    <w:bookmarkEnd w:id="224"/>
    <w:p>
      <w:pPr>
        <w:ind w:right="180" w:firstLine="648"/>
        <w:spacing w:after="0" w:line="308"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Reservation of Ordinary Shares</w:t>
      </w:r>
      <w:r>
        <w:rPr>
          <w:rFonts w:ascii="Arial" w:cs="Arial" w:eastAsia="Arial" w:hAnsi="Arial"/>
          <w:sz w:val="17"/>
          <w:szCs w:val="17"/>
          <w:color w:val="auto"/>
        </w:rPr>
        <w:t>. The Company shall at all times reserve and keep available a number of its authorized but unissued Ordinary Shares that shall be sufficient to permit the exercise in full of all outstanding Warrants issued pursuant to this Agreement.</w:t>
      </w:r>
    </w:p>
    <w:p>
      <w:pPr>
        <w:spacing w:after="0" w:line="14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7.4 </w:t>
      </w:r>
      <w:r>
        <w:rPr>
          <w:rFonts w:ascii="Arial" w:cs="Arial" w:eastAsia="Arial" w:hAnsi="Arial"/>
          <w:sz w:val="18"/>
          <w:szCs w:val="18"/>
          <w:u w:val="single" w:color="auto"/>
          <w:color w:val="auto"/>
        </w:rPr>
        <w:t>Registration of Ordinary Shares; Cashless Exercise at Company’s Option</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84" w:lineRule="auto"/>
        <w:rPr>
          <w:sz w:val="20"/>
          <w:szCs w:val="20"/>
          <w:color w:val="auto"/>
        </w:rPr>
      </w:pPr>
      <w:r>
        <w:rPr>
          <w:rFonts w:ascii="Arial" w:cs="Arial" w:eastAsia="Arial" w:hAnsi="Arial"/>
          <w:sz w:val="16"/>
          <w:szCs w:val="16"/>
          <w:color w:val="auto"/>
        </w:rPr>
        <w:t xml:space="preserve">7.4.1 </w:t>
      </w:r>
      <w:r>
        <w:rPr>
          <w:rFonts w:ascii="Arial" w:cs="Arial" w:eastAsia="Arial" w:hAnsi="Arial"/>
          <w:sz w:val="16"/>
          <w:szCs w:val="16"/>
          <w:u w:val="single" w:color="auto"/>
          <w:color w:val="auto"/>
        </w:rPr>
        <w:t>Registration of Ordinary Shares</w:t>
      </w:r>
      <w:r>
        <w:rPr>
          <w:rFonts w:ascii="Arial" w:cs="Arial" w:eastAsia="Arial" w:hAnsi="Arial"/>
          <w:sz w:val="16"/>
          <w:szCs w:val="16"/>
          <w:color w:val="auto"/>
        </w:rPr>
        <w:t xml:space="preserve">. The Company agrees that as soon as practicable, but in no event later than twenty Business Days after the closing of its initial Business Combination, it shall use commercially reasonable efforts to file with the Commission a registration statement for the registration, under the Securities Act, of the Ordinary Shares issuable upon exercise of the Warrants. The Company shall use commercially reasonable efforts to cause the same to become effective and to maintain the effectiveness of such registration statement, and a current prospectus relating thereto, until the expiration of the Warrants in accordance with the provisions of this Agreement. If any such registration statement has not been declared effective by the sixtieth (60th) day following the closing of the Business Combination, holders of the Warrants shall have the right, during the period beginning on the sixty-first (61st) day after the closing of the Business Combination and ending upon such registration statement being declared effective by the Commission, and during any other period when the Company shall fail to have maintained an effective registration statement covering the Ordinary Shares issuable upon exercise of the Warrants, to exercise such Warrants on a “cashless basis,” by exchanging the Warrants (in accordance with Section 3(a)(9) of the Securities Act (or any successor rule) or another exemption) for that number of Ordinary Shares per Warrant equal to the lesser of (A) the quotient obtained by dividing (x) the product of the number of Ordinary Shares underlying such Warrant, multiplied by the excess of the “Fair Market Value” (as defined below) over the Warrant Price by (y) the Fair Market Value and (B) 0.365. Solely for purposes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w:t>
      </w:r>
      <w:r>
        <w:rPr>
          <w:rFonts w:ascii="Arial" w:cs="Arial" w:eastAsia="Arial" w:hAnsi="Arial"/>
          <w:sz w:val="16"/>
          <w:szCs w:val="16"/>
          <w:b w:val="1"/>
          <w:bCs w:val="1"/>
          <w:i w:val="1"/>
          <w:iCs w:val="1"/>
          <w:color w:val="auto"/>
        </w:rPr>
        <w:t>Fair Market Value</w:t>
      </w:r>
      <w:r>
        <w:rPr>
          <w:rFonts w:ascii="Arial" w:cs="Arial" w:eastAsia="Arial" w:hAnsi="Arial"/>
          <w:sz w:val="16"/>
          <w:szCs w:val="16"/>
          <w:color w:val="auto"/>
        </w:rPr>
        <w:t xml:space="preserve">” shall mean the volume weighted average price of the Ordinary Shares as reported during the ten-trading day period ending on the trading day prior to the date that notice of exercise is received by the Warrant Agent from the holder of such Warrants or its securities broker or intermediary. The date that notice of cashless exercise is received by the Warrant Agent shall be conclusively determined by the Warrant Agent. In connection with the “cashless exercise” of a Public Warrant, the Company shall, upon request, provide the Warrant Agent with an opinion of counsel for the Company (which shall be an outside law firm with securities law experience) stating that (i) the exercise of the Warrants on a cashless basis in accordance with this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is not required to be registered under the Securities Act and (ii) the Ordinary Shares issued upon such exercise shall be freely tradable under U.S. federal securities laws by anyone who is not an affiliate (as such term is defined in Rule 144 under the Securities Act (or any successor rule)) of the Company and, accordingly, shall not be required to bear a restrictive legend. Except as provided in </w:t>
      </w:r>
      <w:r>
        <w:rPr>
          <w:rFonts w:ascii="Arial" w:cs="Arial" w:eastAsia="Arial" w:hAnsi="Arial"/>
          <w:sz w:val="16"/>
          <w:szCs w:val="16"/>
          <w:u w:val="single" w:color="auto"/>
          <w:color w:val="auto"/>
        </w:rPr>
        <w:t>subsection 7.4.2</w:t>
      </w:r>
      <w:r>
        <w:rPr>
          <w:rFonts w:ascii="Arial" w:cs="Arial" w:eastAsia="Arial" w:hAnsi="Arial"/>
          <w:sz w:val="16"/>
          <w:szCs w:val="16"/>
          <w:color w:val="auto"/>
        </w:rPr>
        <w:t xml:space="preserve">, for the avoidance of any doubt, unless and until all of the Warrants have been exercised or have expired, the Company shall continue to be obligated to comply with its registration obligations under the first three sentences of this </w:t>
      </w:r>
      <w:r>
        <w:rPr>
          <w:rFonts w:ascii="Arial" w:cs="Arial" w:eastAsia="Arial" w:hAnsi="Arial"/>
          <w:sz w:val="16"/>
          <w:szCs w:val="16"/>
          <w:u w:val="single" w:color="auto"/>
          <w:color w:val="auto"/>
        </w:rPr>
        <w:t>subsection 7.4.1</w:t>
      </w:r>
      <w:r>
        <w:rPr>
          <w:rFonts w:ascii="Arial" w:cs="Arial" w:eastAsia="Arial" w:hAnsi="Arial"/>
          <w:sz w:val="16"/>
          <w:szCs w:val="16"/>
          <w:color w:val="auto"/>
        </w:rPr>
        <w:t>.</w:t>
      </w:r>
    </w:p>
    <w:p>
      <w:pPr>
        <w:spacing w:after="0" w:line="396" w:lineRule="exact"/>
        <w:rPr>
          <w:sz w:val="20"/>
          <w:szCs w:val="20"/>
          <w:color w:val="auto"/>
        </w:rPr>
      </w:pPr>
    </w:p>
    <w:p>
      <w:pPr>
        <w:ind w:right="140" w:firstLine="1296"/>
        <w:spacing w:after="0" w:line="290" w:lineRule="auto"/>
        <w:rPr>
          <w:sz w:val="20"/>
          <w:szCs w:val="20"/>
          <w:color w:val="auto"/>
        </w:rPr>
      </w:pPr>
      <w:r>
        <w:rPr>
          <w:rFonts w:ascii="Arial" w:cs="Arial" w:eastAsia="Arial" w:hAnsi="Arial"/>
          <w:sz w:val="16"/>
          <w:szCs w:val="16"/>
          <w:color w:val="auto"/>
        </w:rPr>
        <w:t xml:space="preserve">7.4.2 </w:t>
      </w:r>
      <w:r>
        <w:rPr>
          <w:rFonts w:ascii="Arial" w:cs="Arial" w:eastAsia="Arial" w:hAnsi="Arial"/>
          <w:sz w:val="16"/>
          <w:szCs w:val="16"/>
          <w:u w:val="single" w:color="auto"/>
          <w:color w:val="auto"/>
        </w:rPr>
        <w:t>Cashless Exercise at Company’s Option</w:t>
      </w:r>
      <w:r>
        <w:rPr>
          <w:rFonts w:ascii="Arial" w:cs="Arial" w:eastAsia="Arial" w:hAnsi="Arial"/>
          <w:sz w:val="16"/>
          <w:szCs w:val="16"/>
          <w:color w:val="auto"/>
        </w:rPr>
        <w:t xml:space="preserve">. If the Ordinary Shares are at the time of any exercise of a Warrant not listed on a national securities exchange such that they satisfy the definition of a “covered security” under Section 18(b)(1) of the Securities Act (or any successor rule), the Company may, at its option, require holders of Public Warrants who exercise Public Warrants to exercise such Public Warrants on a “cashless basis” in accordance with Section 3(a)(9) of the Securities Act (or any successor rule) as described in </w:t>
      </w:r>
      <w:r>
        <w:rPr>
          <w:rFonts w:ascii="Arial" w:cs="Arial" w:eastAsia="Arial" w:hAnsi="Arial"/>
          <w:sz w:val="16"/>
          <w:szCs w:val="16"/>
          <w:u w:val="single" w:color="auto"/>
          <w:color w:val="auto"/>
        </w:rPr>
        <w:t>subsection 7.4.1</w:t>
      </w:r>
      <w:r>
        <w:rPr>
          <w:rFonts w:ascii="Arial" w:cs="Arial" w:eastAsia="Arial" w:hAnsi="Arial"/>
          <w:sz w:val="16"/>
          <w:szCs w:val="16"/>
          <w:color w:val="auto"/>
        </w:rPr>
        <w:t xml:space="preserve"> and, in the event the Company so elects, the Company shall not be required to file or maintain in effect a registration statement for the registration, under the Securities Act, of the Ordinary Shares issuable upon exercise of the Warrants, notwithstanding anything in this Agreement to the contrary, and in the event the Company does not so elect, the Company will use reasonable best efforts to register or qualify for sale the Ordinary Shares issuable upon exercise of the Public Warrants under the blue sky laws of the state of residence of the exercising Public Warrant holder to the extent an exemption is not available.</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5" w:name="page226"/>
    <w:bookmarkEnd w:id="225"/>
    <w:p>
      <w:pPr>
        <w:ind w:left="180" w:hanging="172"/>
        <w:spacing w:after="0"/>
        <w:tabs>
          <w:tab w:leader="none" w:pos="180" w:val="left"/>
        </w:tabs>
        <w:numPr>
          <w:ilvl w:val="0"/>
          <w:numId w:val="155"/>
        </w:numPr>
        <w:rPr>
          <w:rFonts w:ascii="Arial" w:cs="Arial" w:eastAsia="Arial" w:hAnsi="Arial"/>
          <w:sz w:val="18"/>
          <w:szCs w:val="18"/>
          <w:color w:val="auto"/>
        </w:rPr>
      </w:pPr>
      <w:r>
        <w:rPr>
          <w:rFonts w:ascii="Arial" w:cs="Arial" w:eastAsia="Arial" w:hAnsi="Arial"/>
          <w:sz w:val="18"/>
          <w:szCs w:val="18"/>
          <w:u w:val="single" w:color="auto"/>
          <w:color w:val="auto"/>
        </w:rPr>
        <w:t>Concerning the Warrant Agent and Other Matters</w:t>
      </w:r>
      <w:r>
        <w:rPr>
          <w:rFonts w:ascii="Arial" w:cs="Arial" w:eastAsia="Arial" w:hAnsi="Arial"/>
          <w:sz w:val="18"/>
          <w:szCs w:val="18"/>
          <w:color w:val="auto"/>
        </w:rPr>
        <w:t>.</w:t>
      </w:r>
    </w:p>
    <w:p>
      <w:pPr>
        <w:spacing w:after="0" w:line="225" w:lineRule="exact"/>
        <w:rPr>
          <w:sz w:val="20"/>
          <w:szCs w:val="20"/>
          <w:color w:val="auto"/>
        </w:rPr>
      </w:pPr>
    </w:p>
    <w:p>
      <w:pPr>
        <w:jc w:val="both"/>
        <w:ind w:right="180" w:firstLine="648"/>
        <w:spacing w:after="0" w:line="263" w:lineRule="auto"/>
        <w:rPr>
          <w:sz w:val="20"/>
          <w:szCs w:val="20"/>
          <w:color w:val="auto"/>
        </w:rPr>
      </w:pPr>
      <w:r>
        <w:rPr>
          <w:rFonts w:ascii="Arial" w:cs="Arial" w:eastAsia="Arial" w:hAnsi="Arial"/>
          <w:sz w:val="18"/>
          <w:szCs w:val="18"/>
          <w:color w:val="auto"/>
        </w:rPr>
        <w:t xml:space="preserve">8.1 </w:t>
      </w:r>
      <w:r>
        <w:rPr>
          <w:rFonts w:ascii="Arial" w:cs="Arial" w:eastAsia="Arial" w:hAnsi="Arial"/>
          <w:sz w:val="18"/>
          <w:szCs w:val="18"/>
          <w:u w:val="single" w:color="auto"/>
          <w:color w:val="auto"/>
        </w:rPr>
        <w:t>Payment of Taxes</w:t>
      </w:r>
      <w:r>
        <w:rPr>
          <w:rFonts w:ascii="Arial" w:cs="Arial" w:eastAsia="Arial" w:hAnsi="Arial"/>
          <w:sz w:val="18"/>
          <w:szCs w:val="18"/>
          <w:color w:val="auto"/>
        </w:rPr>
        <w:t>. The Company shall from time to time promptly pay all taxes and charges that may be imposed upon the Company or the Warrant Agent in respect of the issuance or delivery of Ordinary Shares upon the exercise of the Warrants, but the Company shall not be obligated to pay any transfer taxes in respect of the Warrants or such shares.</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8.2 </w:t>
      </w:r>
      <w:r>
        <w:rPr>
          <w:rFonts w:ascii="Arial" w:cs="Arial" w:eastAsia="Arial" w:hAnsi="Arial"/>
          <w:sz w:val="18"/>
          <w:szCs w:val="18"/>
          <w:u w:val="single" w:color="auto"/>
          <w:color w:val="auto"/>
        </w:rPr>
        <w:t>Resignation, Consolidation or Merger of Warrant Agent</w:t>
      </w:r>
      <w:r>
        <w:rPr>
          <w:rFonts w:ascii="Arial" w:cs="Arial" w:eastAsia="Arial" w:hAnsi="Arial"/>
          <w:sz w:val="18"/>
          <w:szCs w:val="18"/>
          <w:color w:val="auto"/>
        </w:rPr>
        <w:t>.</w:t>
      </w:r>
    </w:p>
    <w:p>
      <w:pPr>
        <w:spacing w:after="0" w:line="225" w:lineRule="exact"/>
        <w:rPr>
          <w:sz w:val="20"/>
          <w:szCs w:val="20"/>
          <w:color w:val="auto"/>
        </w:rPr>
      </w:pPr>
    </w:p>
    <w:p>
      <w:pPr>
        <w:ind w:firstLine="1296"/>
        <w:spacing w:after="0" w:line="286" w:lineRule="auto"/>
        <w:rPr>
          <w:sz w:val="20"/>
          <w:szCs w:val="20"/>
          <w:color w:val="auto"/>
        </w:rPr>
      </w:pPr>
      <w:r>
        <w:rPr>
          <w:rFonts w:ascii="Arial" w:cs="Arial" w:eastAsia="Arial" w:hAnsi="Arial"/>
          <w:sz w:val="16"/>
          <w:szCs w:val="16"/>
          <w:color w:val="auto"/>
        </w:rPr>
        <w:t xml:space="preserve">8.2.1 </w:t>
      </w:r>
      <w:r>
        <w:rPr>
          <w:rFonts w:ascii="Arial" w:cs="Arial" w:eastAsia="Arial" w:hAnsi="Arial"/>
          <w:sz w:val="16"/>
          <w:szCs w:val="16"/>
          <w:u w:val="single" w:color="auto"/>
          <w:color w:val="auto"/>
        </w:rPr>
        <w:t>Appointment of Successor Warrant Agent</w:t>
      </w:r>
      <w:r>
        <w:rPr>
          <w:rFonts w:ascii="Arial" w:cs="Arial" w:eastAsia="Arial" w:hAnsi="Arial"/>
          <w:sz w:val="16"/>
          <w:szCs w:val="16"/>
          <w:color w:val="auto"/>
        </w:rPr>
        <w:t>. The Warrant Agent, or any successor to it hereafter appointed, may resign its duties and be discharged from all further duties and liabilities hereunder after giving sixty (60) days’ notice in writing to the Company. If the office of the Warrant Agent becomes vacant by resignation or incapacity to act or otherwise, the Company shall appoint in writing a successor Warrant Agent in place of the Warrant Agent. If the Company shall fail to make such appointment within a period of thirty days after it has been notified in writing of such resignation or incapacity by the Warrant Agent or by the holder of a Warrant (who shall, with such notice, submit his, her or its Warrant for inspection by the Company), then the holder of any Warrant may apply to the Supreme Court of the State of New York for the County of New York for the appointment of a successor Warrant Agent at the Company’s cost. Any successor Warrant Agent, whether appointed by the Company or by such court, shall be a corporation organized and existing under the laws of the State of New York, in good standing and having its principal office in the Borough of Manhattan, City and State of New York, and authorized under such laws to exercise corporate trust powers and subject to supervision or examination by federal or state authority. After appointment, any successor Warrant Agent shall be vested with all the authority, powers, rights, immunities, duties and obligations of its predecessor Warrant Agent with like effect as if originally named as Warrant Agent hereunder, without any further act or deed; but if for any reason it becomes necessary or appropriate, the predecessor Warrant Agent shall execute and deliver, at the expense of the Company, an instrument transferring to such successor Warrant Agent all the authority, powers and rights of such predecessor Warrant Agent hereunder; and upon request of any successor Warrant Agent the Company shall make, execute, acknowledge and deliver any and all instruments in writing for more fully and effectually vesting in and confirming to such successor Warrant Agent all such authority, powers, rights, immunities, duties and obligations.</w:t>
      </w:r>
    </w:p>
    <w:p>
      <w:pPr>
        <w:spacing w:after="0" w:line="167" w:lineRule="exact"/>
        <w:rPr>
          <w:sz w:val="20"/>
          <w:szCs w:val="20"/>
          <w:color w:val="auto"/>
        </w:rPr>
      </w:pPr>
    </w:p>
    <w:p>
      <w:pPr>
        <w:ind w:right="420" w:firstLine="1296"/>
        <w:spacing w:after="0" w:line="342" w:lineRule="auto"/>
        <w:rPr>
          <w:sz w:val="20"/>
          <w:szCs w:val="20"/>
          <w:color w:val="auto"/>
        </w:rPr>
      </w:pPr>
      <w:r>
        <w:rPr>
          <w:rFonts w:ascii="Arial" w:cs="Arial" w:eastAsia="Arial" w:hAnsi="Arial"/>
          <w:sz w:val="16"/>
          <w:szCs w:val="16"/>
          <w:color w:val="auto"/>
        </w:rPr>
        <w:t xml:space="preserve">8.2.2 </w:t>
      </w:r>
      <w:r>
        <w:rPr>
          <w:rFonts w:ascii="Arial" w:cs="Arial" w:eastAsia="Arial" w:hAnsi="Arial"/>
          <w:sz w:val="16"/>
          <w:szCs w:val="16"/>
          <w:u w:val="single" w:color="auto"/>
          <w:color w:val="auto"/>
        </w:rPr>
        <w:t>Notice of Successor Warrant Agent</w:t>
      </w:r>
      <w:r>
        <w:rPr>
          <w:rFonts w:ascii="Arial" w:cs="Arial" w:eastAsia="Arial" w:hAnsi="Arial"/>
          <w:sz w:val="16"/>
          <w:szCs w:val="16"/>
          <w:color w:val="auto"/>
        </w:rPr>
        <w:t>. In the event a successor Warrant Agent shall be appointed, the Company shall give notice thereof to the predecessor Warrant Agent and the Transfer Agent for the Ordinary Shares not later than the effective date of any such appointment.</w:t>
      </w:r>
    </w:p>
    <w:p>
      <w:pPr>
        <w:spacing w:after="0" w:line="124" w:lineRule="exact"/>
        <w:rPr>
          <w:sz w:val="20"/>
          <w:szCs w:val="20"/>
          <w:color w:val="auto"/>
        </w:rPr>
      </w:pPr>
    </w:p>
    <w:p>
      <w:pPr>
        <w:ind w:right="60" w:firstLine="1296"/>
        <w:spacing w:after="0" w:line="263" w:lineRule="auto"/>
        <w:rPr>
          <w:sz w:val="20"/>
          <w:szCs w:val="20"/>
          <w:color w:val="auto"/>
        </w:rPr>
      </w:pPr>
      <w:r>
        <w:rPr>
          <w:rFonts w:ascii="Arial" w:cs="Arial" w:eastAsia="Arial" w:hAnsi="Arial"/>
          <w:sz w:val="18"/>
          <w:szCs w:val="18"/>
          <w:color w:val="auto"/>
        </w:rPr>
        <w:t xml:space="preserve">8.2.3 </w:t>
      </w:r>
      <w:r>
        <w:rPr>
          <w:rFonts w:ascii="Arial" w:cs="Arial" w:eastAsia="Arial" w:hAnsi="Arial"/>
          <w:sz w:val="18"/>
          <w:szCs w:val="18"/>
          <w:u w:val="single" w:color="auto"/>
          <w:color w:val="auto"/>
        </w:rPr>
        <w:t>Merger or Consolidation of Warrant Agent</w:t>
      </w:r>
      <w:r>
        <w:rPr>
          <w:rFonts w:ascii="Arial" w:cs="Arial" w:eastAsia="Arial" w:hAnsi="Arial"/>
          <w:sz w:val="18"/>
          <w:szCs w:val="18"/>
          <w:color w:val="auto"/>
        </w:rPr>
        <w:t>. Any corporation into which the Warrant Agent may be merged or with which it may be consolidated or any corporation resulting from any merger or consolidation to which the Warrant Agent shall be a party shall be the successor Warrant Agent under this Agreement without any further act.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8.3 </w:t>
      </w:r>
      <w:r>
        <w:rPr>
          <w:rFonts w:ascii="Arial" w:cs="Arial" w:eastAsia="Arial" w:hAnsi="Arial"/>
          <w:sz w:val="18"/>
          <w:szCs w:val="18"/>
          <w:u w:val="single" w:color="auto"/>
          <w:color w:val="auto"/>
        </w:rPr>
        <w:t>Fees and Expenses of Warrant Agent</w:t>
      </w:r>
      <w:r>
        <w:rPr>
          <w:rFonts w:ascii="Arial" w:cs="Arial" w:eastAsia="Arial" w:hAnsi="Arial"/>
          <w:sz w:val="18"/>
          <w:szCs w:val="18"/>
          <w:color w:val="auto"/>
        </w:rPr>
        <w:t>.</w:t>
      </w:r>
    </w:p>
    <w:p>
      <w:pPr>
        <w:spacing w:after="0" w:line="225" w:lineRule="exact"/>
        <w:rPr>
          <w:sz w:val="20"/>
          <w:szCs w:val="20"/>
          <w:color w:val="auto"/>
        </w:rPr>
      </w:pPr>
    </w:p>
    <w:p>
      <w:pPr>
        <w:jc w:val="both"/>
        <w:ind w:right="380" w:firstLine="1296"/>
        <w:spacing w:after="0" w:line="263" w:lineRule="auto"/>
        <w:rPr>
          <w:sz w:val="20"/>
          <w:szCs w:val="20"/>
          <w:color w:val="auto"/>
        </w:rPr>
      </w:pPr>
      <w:r>
        <w:rPr>
          <w:rFonts w:ascii="Arial" w:cs="Arial" w:eastAsia="Arial" w:hAnsi="Arial"/>
          <w:sz w:val="18"/>
          <w:szCs w:val="18"/>
          <w:color w:val="auto"/>
        </w:rPr>
        <w:t xml:space="preserve">8.3.1 </w:t>
      </w:r>
      <w:r>
        <w:rPr>
          <w:rFonts w:ascii="Arial" w:cs="Arial" w:eastAsia="Arial" w:hAnsi="Arial"/>
          <w:sz w:val="18"/>
          <w:szCs w:val="18"/>
          <w:u w:val="single" w:color="auto"/>
          <w:color w:val="auto"/>
        </w:rPr>
        <w:t>Remuneration</w:t>
      </w:r>
      <w:r>
        <w:rPr>
          <w:rFonts w:ascii="Arial" w:cs="Arial" w:eastAsia="Arial" w:hAnsi="Arial"/>
          <w:sz w:val="18"/>
          <w:szCs w:val="18"/>
          <w:color w:val="auto"/>
        </w:rPr>
        <w:t>. The Company agrees to pay the Warrant Agent reasonable remuneration for its services as such Warrant Agent hereunder and shall, pursuant to its obligations under this Agreement, reimburse the Warrant Agent upon demand for all expenditures that the Warrant Agent may reasonably incur in the execution of its duties hereunder.</w:t>
      </w:r>
    </w:p>
    <w:p>
      <w:pPr>
        <w:spacing w:after="0" w:line="392"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8" w:right="379" w:bottom="1440" w:gutter="0" w:footer="0" w:header="0"/>
        </w:sectPr>
      </w:pPr>
    </w:p>
    <w:bookmarkStart w:id="226" w:name="page227"/>
    <w:bookmarkEnd w:id="226"/>
    <w:p>
      <w:pPr>
        <w:jc w:val="both"/>
        <w:ind w:right="580" w:firstLine="1296"/>
        <w:spacing w:after="0" w:line="263" w:lineRule="auto"/>
        <w:rPr>
          <w:sz w:val="20"/>
          <w:szCs w:val="20"/>
          <w:color w:val="auto"/>
        </w:rPr>
      </w:pPr>
      <w:r>
        <w:rPr>
          <w:rFonts w:ascii="Arial" w:cs="Arial" w:eastAsia="Arial" w:hAnsi="Arial"/>
          <w:sz w:val="18"/>
          <w:szCs w:val="18"/>
          <w:color w:val="auto"/>
        </w:rPr>
        <w:t xml:space="preserve">8.3.2 </w:t>
      </w:r>
      <w:r>
        <w:rPr>
          <w:rFonts w:ascii="Arial" w:cs="Arial" w:eastAsia="Arial" w:hAnsi="Arial"/>
          <w:sz w:val="18"/>
          <w:szCs w:val="18"/>
          <w:u w:val="single" w:color="auto"/>
          <w:color w:val="auto"/>
        </w:rPr>
        <w:t>Further Assurances</w:t>
      </w:r>
      <w:r>
        <w:rPr>
          <w:rFonts w:ascii="Arial" w:cs="Arial" w:eastAsia="Arial" w:hAnsi="Arial"/>
          <w:sz w:val="18"/>
          <w:szCs w:val="18"/>
          <w:color w:val="auto"/>
        </w:rPr>
        <w:t>. The Company agrees to perform, execute, acknowledge and deliver or cause to be performed, executed, acknowledged and delivered all such further and other acts, instruments and assurances as may reasonably be required by the Warrant Agent for the carrying out or performing of the provisions of this Agreement.</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8"/>
          <w:szCs w:val="18"/>
          <w:color w:val="auto"/>
        </w:rPr>
        <w:t xml:space="preserve">8.4 </w:t>
      </w:r>
      <w:r>
        <w:rPr>
          <w:rFonts w:ascii="Arial" w:cs="Arial" w:eastAsia="Arial" w:hAnsi="Arial"/>
          <w:sz w:val="18"/>
          <w:szCs w:val="18"/>
          <w:u w:val="single" w:color="auto"/>
          <w:color w:val="auto"/>
        </w:rPr>
        <w:t>Liability of Warrant Agent</w:t>
      </w:r>
      <w:r>
        <w:rPr>
          <w:rFonts w:ascii="Arial" w:cs="Arial" w:eastAsia="Arial" w:hAnsi="Arial"/>
          <w:sz w:val="18"/>
          <w:szCs w:val="18"/>
          <w:color w:val="auto"/>
        </w:rPr>
        <w:t>.</w:t>
      </w:r>
    </w:p>
    <w:p>
      <w:pPr>
        <w:spacing w:after="0" w:line="225" w:lineRule="exact"/>
        <w:rPr>
          <w:sz w:val="20"/>
          <w:szCs w:val="20"/>
          <w:color w:val="auto"/>
        </w:rPr>
      </w:pPr>
    </w:p>
    <w:p>
      <w:pPr>
        <w:jc w:val="both"/>
        <w:ind w:firstLine="1296"/>
        <w:spacing w:after="0" w:line="296" w:lineRule="auto"/>
        <w:rPr>
          <w:sz w:val="20"/>
          <w:szCs w:val="20"/>
          <w:color w:val="auto"/>
        </w:rPr>
      </w:pPr>
      <w:r>
        <w:rPr>
          <w:rFonts w:ascii="Arial" w:cs="Arial" w:eastAsia="Arial" w:hAnsi="Arial"/>
          <w:sz w:val="16"/>
          <w:szCs w:val="16"/>
          <w:color w:val="auto"/>
        </w:rPr>
        <w:t xml:space="preserve">8.4.1 </w:t>
      </w:r>
      <w:r>
        <w:rPr>
          <w:rFonts w:ascii="Arial" w:cs="Arial" w:eastAsia="Arial" w:hAnsi="Arial"/>
          <w:sz w:val="16"/>
          <w:szCs w:val="16"/>
          <w:u w:val="single" w:color="auto"/>
          <w:color w:val="auto"/>
        </w:rPr>
        <w:t>Reliance on Company Statement</w:t>
      </w:r>
      <w:r>
        <w:rPr>
          <w:rFonts w:ascii="Arial" w:cs="Arial" w:eastAsia="Arial" w:hAnsi="Arial"/>
          <w:sz w:val="16"/>
          <w:szCs w:val="16"/>
          <w:color w:val="auto"/>
        </w:rPr>
        <w:t>. Whenever in the performance of its duties under this Agreement, the Warrant Agent shall deem it necessary or desirable that any fact or matter be proved or established by the Company prior to taking or suffering any action hereunder, such fact or matter (unless other evidence in respect thereof be herein specifically prescribed) may be deemed to be conclusively proved and established by a statement signed by the Chief Executive Officer, Chief Financial Officer or Secretary of the Company and delivered to the Warrant Agent. The Warrant Agent may rely upon such statement for any action taken or suffered in good faith by it pursuant to the provisions of this Agreement.</w:t>
      </w:r>
    </w:p>
    <w:p>
      <w:pPr>
        <w:spacing w:after="0" w:line="161" w:lineRule="exact"/>
        <w:rPr>
          <w:sz w:val="20"/>
          <w:szCs w:val="20"/>
          <w:color w:val="auto"/>
        </w:rPr>
      </w:pPr>
    </w:p>
    <w:p>
      <w:pPr>
        <w:jc w:val="both"/>
        <w:ind w:right="340" w:firstLine="1296"/>
        <w:spacing w:after="0" w:line="259" w:lineRule="auto"/>
        <w:rPr>
          <w:sz w:val="20"/>
          <w:szCs w:val="20"/>
          <w:color w:val="auto"/>
        </w:rPr>
      </w:pPr>
      <w:r>
        <w:rPr>
          <w:rFonts w:ascii="Arial" w:cs="Arial" w:eastAsia="Arial" w:hAnsi="Arial"/>
          <w:sz w:val="18"/>
          <w:szCs w:val="18"/>
          <w:color w:val="auto"/>
        </w:rPr>
        <w:t xml:space="preserve">8.4.2 </w:t>
      </w:r>
      <w:r>
        <w:rPr>
          <w:rFonts w:ascii="Arial" w:cs="Arial" w:eastAsia="Arial" w:hAnsi="Arial"/>
          <w:sz w:val="18"/>
          <w:szCs w:val="18"/>
          <w:u w:val="single" w:color="auto"/>
          <w:color w:val="auto"/>
        </w:rPr>
        <w:t>Indemnity</w:t>
      </w:r>
      <w:r>
        <w:rPr>
          <w:rFonts w:ascii="Arial" w:cs="Arial" w:eastAsia="Arial" w:hAnsi="Arial"/>
          <w:sz w:val="18"/>
          <w:szCs w:val="18"/>
          <w:color w:val="auto"/>
        </w:rPr>
        <w:t>. The Warrant Agent shall be liable hereunder only for its own gross negligence, willful misconduct or bad faith. The Company agrees to indemnify the Warrant Agent and save it harmless against any and all liabilities, including judgments, costs and reasonable counsel fees, for anything done or omitted by the Warrant Agent in the execution of this Agreement, except as a result of the Warrant Agent’s gross negligence, willful misconduct or bad faith.</w:t>
      </w:r>
    </w:p>
    <w:p>
      <w:pPr>
        <w:spacing w:after="0" w:line="187" w:lineRule="exact"/>
        <w:rPr>
          <w:sz w:val="20"/>
          <w:szCs w:val="20"/>
          <w:color w:val="auto"/>
        </w:rPr>
      </w:pPr>
    </w:p>
    <w:p>
      <w:pPr>
        <w:ind w:right="80" w:firstLine="1296"/>
        <w:spacing w:after="0" w:line="254" w:lineRule="auto"/>
        <w:rPr>
          <w:sz w:val="20"/>
          <w:szCs w:val="20"/>
          <w:color w:val="auto"/>
        </w:rPr>
      </w:pPr>
      <w:r>
        <w:rPr>
          <w:rFonts w:ascii="Arial" w:cs="Arial" w:eastAsia="Arial" w:hAnsi="Arial"/>
          <w:sz w:val="18"/>
          <w:szCs w:val="18"/>
          <w:color w:val="auto"/>
        </w:rPr>
        <w:t xml:space="preserve">8.4.3 </w:t>
      </w:r>
      <w:r>
        <w:rPr>
          <w:rFonts w:ascii="Arial" w:cs="Arial" w:eastAsia="Arial" w:hAnsi="Arial"/>
          <w:sz w:val="18"/>
          <w:szCs w:val="18"/>
          <w:u w:val="single" w:color="auto"/>
          <w:color w:val="auto"/>
        </w:rPr>
        <w:t>Exclusions</w:t>
      </w:r>
      <w:r>
        <w:rPr>
          <w:rFonts w:ascii="Arial" w:cs="Arial" w:eastAsia="Arial" w:hAnsi="Arial"/>
          <w:sz w:val="18"/>
          <w:szCs w:val="18"/>
          <w:color w:val="auto"/>
        </w:rPr>
        <w:t xml:space="preserve">. The Warrant Agent shall have no responsibility with respect to the validity of this Agreement or with respect to the validity or execution of any Warrant (except its countersignature thereof). The Warrant Agent shall not be responsible for any breach by the Company of any covenant or condition contained in this Agreement or in any Warrant. The Warrant Agent shall not be responsible to make any adjustments required under the provisions of </w:t>
      </w:r>
      <w:r>
        <w:rPr>
          <w:rFonts w:ascii="Arial" w:cs="Arial" w:eastAsia="Arial" w:hAnsi="Arial"/>
          <w:sz w:val="18"/>
          <w:szCs w:val="18"/>
          <w:u w:val="single" w:color="auto"/>
          <w:color w:val="auto"/>
        </w:rPr>
        <w:t>Section 4</w:t>
      </w:r>
      <w:r>
        <w:rPr>
          <w:rFonts w:ascii="Arial" w:cs="Arial" w:eastAsia="Arial" w:hAnsi="Arial"/>
          <w:sz w:val="18"/>
          <w:szCs w:val="18"/>
          <w:color w:val="auto"/>
        </w:rPr>
        <w:t xml:space="preserve"> hereof or responsible for the manner, method or amount of any such adjustment or the ascertaining of the existence of facts that would require any such adjustment, nor shall it by any act hereunder be deemed to make any representation or warranty as to the authorization or reservation of any Ordinary Shares to be issued pursuant to this Agreement or any Warrant or as to whether any Ordinary Shares shall, when issued, be valid and fully paid and non-assessable.</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27" w:name="page228"/>
    <w:bookmarkEnd w:id="227"/>
    <w:p>
      <w:pPr>
        <w:jc w:val="both"/>
        <w:ind w:right="60" w:firstLine="648"/>
        <w:spacing w:after="0" w:line="311" w:lineRule="auto"/>
        <w:rPr>
          <w:sz w:val="20"/>
          <w:szCs w:val="20"/>
          <w:color w:val="auto"/>
        </w:rPr>
      </w:pPr>
      <w:r>
        <w:rPr>
          <w:rFonts w:ascii="Arial" w:cs="Arial" w:eastAsia="Arial" w:hAnsi="Arial"/>
          <w:sz w:val="16"/>
          <w:szCs w:val="16"/>
          <w:color w:val="auto"/>
        </w:rPr>
        <w:t xml:space="preserve">8.5 </w:t>
      </w:r>
      <w:r>
        <w:rPr>
          <w:rFonts w:ascii="Arial" w:cs="Arial" w:eastAsia="Arial" w:hAnsi="Arial"/>
          <w:sz w:val="16"/>
          <w:szCs w:val="16"/>
          <w:u w:val="single" w:color="auto"/>
          <w:color w:val="auto"/>
        </w:rPr>
        <w:t>Acceptance of Agency</w:t>
      </w:r>
      <w:r>
        <w:rPr>
          <w:rFonts w:ascii="Arial" w:cs="Arial" w:eastAsia="Arial" w:hAnsi="Arial"/>
          <w:sz w:val="16"/>
          <w:szCs w:val="16"/>
          <w:color w:val="auto"/>
        </w:rPr>
        <w:t>. The Warrant Agent hereby accepts the agency established by this Agreement and agrees to perform the same upon the terms and conditions herein set forth and among other things, shall account promptly to the Company with respect to Warrants exercised and concurrently account for, and pay to the Company, all monies received by the Warrant Agent for the purchase of Ordinary Shares through the exercise of the Warrants.</w:t>
      </w:r>
    </w:p>
    <w:p>
      <w:pPr>
        <w:spacing w:after="0" w:line="149" w:lineRule="exact"/>
        <w:rPr>
          <w:sz w:val="20"/>
          <w:szCs w:val="20"/>
          <w:color w:val="auto"/>
        </w:rPr>
      </w:pPr>
    </w:p>
    <w:p>
      <w:pPr>
        <w:ind w:firstLine="648"/>
        <w:spacing w:after="0" w:line="257" w:lineRule="auto"/>
        <w:rPr>
          <w:sz w:val="20"/>
          <w:szCs w:val="20"/>
          <w:color w:val="auto"/>
        </w:rPr>
      </w:pPr>
      <w:r>
        <w:rPr>
          <w:rFonts w:ascii="Arial" w:cs="Arial" w:eastAsia="Arial" w:hAnsi="Arial"/>
          <w:sz w:val="18"/>
          <w:szCs w:val="18"/>
          <w:color w:val="auto"/>
        </w:rPr>
        <w:t xml:space="preserve">8.6 </w:t>
      </w:r>
      <w:r>
        <w:rPr>
          <w:rFonts w:ascii="Arial" w:cs="Arial" w:eastAsia="Arial" w:hAnsi="Arial"/>
          <w:sz w:val="18"/>
          <w:szCs w:val="18"/>
          <w:u w:val="single" w:color="auto"/>
          <w:color w:val="auto"/>
        </w:rPr>
        <w:t>Waiver</w:t>
      </w:r>
      <w:r>
        <w:rPr>
          <w:rFonts w:ascii="Arial" w:cs="Arial" w:eastAsia="Arial" w:hAnsi="Arial"/>
          <w:sz w:val="18"/>
          <w:szCs w:val="18"/>
          <w:color w:val="auto"/>
        </w:rPr>
        <w:t>. The Warrant Agent has no right of set-off or any other right, title, interest or claim of any kind (“</w:t>
      </w:r>
      <w:r>
        <w:rPr>
          <w:rFonts w:ascii="Arial" w:cs="Arial" w:eastAsia="Arial" w:hAnsi="Arial"/>
          <w:sz w:val="18"/>
          <w:szCs w:val="18"/>
          <w:b w:val="1"/>
          <w:bCs w:val="1"/>
          <w:i w:val="1"/>
          <w:iCs w:val="1"/>
          <w:color w:val="auto"/>
        </w:rPr>
        <w:t>Claim</w:t>
      </w:r>
      <w:r>
        <w:rPr>
          <w:rFonts w:ascii="Arial" w:cs="Arial" w:eastAsia="Arial" w:hAnsi="Arial"/>
          <w:sz w:val="18"/>
          <w:szCs w:val="18"/>
          <w:color w:val="auto"/>
        </w:rPr>
        <w:t>”) in, or to any distribution of, the Trust Account (as defined in that certain Investment Management Trust Agreement, dated as of the date hereof, by and between the Company and the Warrant Agent as trustee thereunder) and hereby agrees not to seek recourse, reimbursement, payment or satisfaction for any Claim against the Trust Account for any reason whatsoever. The Warrant Agent hereby waives any and all Claims against the Trust Account and any and all rights to seek access to the Trust Account.</w:t>
      </w:r>
    </w:p>
    <w:p>
      <w:pPr>
        <w:spacing w:after="0" w:line="188" w:lineRule="exact"/>
        <w:rPr>
          <w:sz w:val="20"/>
          <w:szCs w:val="20"/>
          <w:color w:val="auto"/>
        </w:rPr>
      </w:pPr>
    </w:p>
    <w:p>
      <w:pPr>
        <w:ind w:left="180" w:hanging="172"/>
        <w:spacing w:after="0"/>
        <w:tabs>
          <w:tab w:leader="none" w:pos="180" w:val="left"/>
        </w:tabs>
        <w:numPr>
          <w:ilvl w:val="0"/>
          <w:numId w:val="156"/>
        </w:numPr>
        <w:rPr>
          <w:rFonts w:ascii="Arial" w:cs="Arial" w:eastAsia="Arial" w:hAnsi="Arial"/>
          <w:sz w:val="18"/>
          <w:szCs w:val="18"/>
          <w:color w:val="auto"/>
        </w:rPr>
      </w:pPr>
      <w:r>
        <w:rPr>
          <w:rFonts w:ascii="Arial" w:cs="Arial" w:eastAsia="Arial" w:hAnsi="Arial"/>
          <w:sz w:val="18"/>
          <w:szCs w:val="18"/>
          <w:u w:val="single" w:color="auto"/>
          <w:color w:val="auto"/>
        </w:rPr>
        <w:t>Miscellaneous Provisions</w:t>
      </w:r>
      <w:r>
        <w:rPr>
          <w:rFonts w:ascii="Arial" w:cs="Arial" w:eastAsia="Arial" w:hAnsi="Arial"/>
          <w:sz w:val="18"/>
          <w:szCs w:val="18"/>
          <w:color w:val="auto"/>
        </w:rPr>
        <w:t>.</w:t>
      </w:r>
    </w:p>
    <w:p>
      <w:pPr>
        <w:spacing w:after="0" w:line="225"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 xml:space="preserve">9.1 </w:t>
      </w:r>
      <w:r>
        <w:rPr>
          <w:rFonts w:ascii="Arial" w:cs="Arial" w:eastAsia="Arial" w:hAnsi="Arial"/>
          <w:sz w:val="18"/>
          <w:szCs w:val="18"/>
          <w:u w:val="single" w:color="auto"/>
          <w:color w:val="auto"/>
        </w:rPr>
        <w:t>Successors</w:t>
      </w:r>
      <w:r>
        <w:rPr>
          <w:rFonts w:ascii="Arial" w:cs="Arial" w:eastAsia="Arial" w:hAnsi="Arial"/>
          <w:sz w:val="18"/>
          <w:szCs w:val="18"/>
          <w:color w:val="auto"/>
        </w:rPr>
        <w:t>. All the covenants and provisions of this Agreement by or for the benefit of the Company or the Warrant Agent shall bind and inure to the benefit of their respective successors and assigns.</w:t>
      </w:r>
    </w:p>
    <w:p>
      <w:pPr>
        <w:spacing w:after="0" w:line="170" w:lineRule="exact"/>
        <w:rPr>
          <w:sz w:val="20"/>
          <w:szCs w:val="20"/>
          <w:color w:val="auto"/>
        </w:rPr>
      </w:pPr>
    </w:p>
    <w:p>
      <w:pPr>
        <w:ind w:right="100" w:firstLine="648"/>
        <w:spacing w:after="0" w:line="259" w:lineRule="auto"/>
        <w:rPr>
          <w:sz w:val="20"/>
          <w:szCs w:val="20"/>
          <w:color w:val="auto"/>
        </w:rPr>
      </w:pPr>
      <w:r>
        <w:rPr>
          <w:rFonts w:ascii="Arial" w:cs="Arial" w:eastAsia="Arial" w:hAnsi="Arial"/>
          <w:sz w:val="18"/>
          <w:szCs w:val="18"/>
          <w:color w:val="auto"/>
        </w:rPr>
        <w:t xml:space="preserve">9.2 </w:t>
      </w:r>
      <w:r>
        <w:rPr>
          <w:rFonts w:ascii="Arial" w:cs="Arial" w:eastAsia="Arial" w:hAnsi="Arial"/>
          <w:sz w:val="18"/>
          <w:szCs w:val="18"/>
          <w:u w:val="single" w:color="auto"/>
          <w:color w:val="auto"/>
        </w:rPr>
        <w:t>Notices</w:t>
      </w:r>
      <w:r>
        <w:rPr>
          <w:rFonts w:ascii="Arial" w:cs="Arial" w:eastAsia="Arial" w:hAnsi="Arial"/>
          <w:sz w:val="18"/>
          <w:szCs w:val="18"/>
          <w:color w:val="auto"/>
        </w:rPr>
        <w:t>. Any notice, statement or demand authorized by this Agreement to be given or made by the Warrant Agent or by the holder of any Warrant to or on the Company shall be sufficiently given when so delivered if by hand or overnight delivery or if sent by certified mail or private courier service within five days after deposit of such notice, postage prepaid, addressed (until another address is filed in writing by the Company with the Warrant Agent), as follows: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Sustainable Opportunities Acquisition Corp.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1601 Bryan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Suite 4141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Dallas, Texas 75201</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Scott Leonard</w:t>
      </w:r>
    </w:p>
    <w:p>
      <w:pPr>
        <w:spacing w:after="0" w:line="211" w:lineRule="exact"/>
        <w:rPr>
          <w:sz w:val="20"/>
          <w:szCs w:val="20"/>
          <w:color w:val="auto"/>
        </w:rPr>
      </w:pPr>
    </w:p>
    <w:p>
      <w:pPr>
        <w:ind w:right="120" w:firstLine="648"/>
        <w:spacing w:after="0" w:line="259" w:lineRule="auto"/>
        <w:rPr>
          <w:sz w:val="20"/>
          <w:szCs w:val="20"/>
          <w:color w:val="auto"/>
        </w:rPr>
      </w:pPr>
      <w:r>
        <w:rPr>
          <w:rFonts w:ascii="Arial" w:cs="Arial" w:eastAsia="Arial" w:hAnsi="Arial"/>
          <w:sz w:val="18"/>
          <w:szCs w:val="18"/>
          <w:color w:val="auto"/>
        </w:rPr>
        <w:t>Any notice, statement or demand authorized by this Agreement to be given or made by the holder of any Warrant or by the Company to or on the Warrant Agent shall be sufficiently given when so delivered if by hand or overnight delivery or if sent by certified mail or private courier service within five days after deposit of such notice, postage prepaid, addressed (until another address is filed in writing by the Warrant Agent with the Company), as follows:</w:t>
      </w:r>
    </w:p>
    <w:p>
      <w:pPr>
        <w:spacing w:after="0" w:line="187"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Continental Stock Transfer &amp; Trust Company</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1 State Street,</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30th Floor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10004</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Compliance Department</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28" w:name="page229"/>
    <w:bookmarkEnd w:id="228"/>
    <w:p>
      <w:pPr>
        <w:ind w:left="660"/>
        <w:spacing w:after="0"/>
        <w:rPr>
          <w:sz w:val="20"/>
          <w:szCs w:val="20"/>
          <w:color w:val="auto"/>
        </w:rPr>
      </w:pPr>
      <w:r>
        <w:rPr>
          <w:rFonts w:ascii="Arial" w:cs="Arial" w:eastAsia="Arial" w:hAnsi="Arial"/>
          <w:sz w:val="18"/>
          <w:szCs w:val="18"/>
          <w:color w:val="auto"/>
        </w:rPr>
        <w:t>with a copy in each case to:</w:t>
      </w:r>
    </w:p>
    <w:p>
      <w:pPr>
        <w:spacing w:after="0" w:line="225"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Kirkland &amp; Ellis LLP</w:t>
      </w:r>
    </w:p>
    <w:p>
      <w:pPr>
        <w:spacing w:after="0" w:line="23"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601 Lexington Avenue</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New York, New York 10022</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Attention: Christian O. Nagler</w:t>
      </w:r>
    </w:p>
    <w:p>
      <w:pPr>
        <w:spacing w:after="0" w:line="9" w:lineRule="exact"/>
        <w:rPr>
          <w:sz w:val="20"/>
          <w:szCs w:val="20"/>
          <w:color w:val="auto"/>
        </w:rPr>
      </w:pPr>
    </w:p>
    <w:p>
      <w:pPr>
        <w:ind w:left="1300"/>
        <w:spacing w:after="0"/>
        <w:rPr>
          <w:sz w:val="20"/>
          <w:szCs w:val="20"/>
          <w:color w:val="auto"/>
        </w:rPr>
      </w:pPr>
      <w:r>
        <w:rPr>
          <w:rFonts w:ascii="Arial" w:cs="Arial" w:eastAsia="Arial" w:hAnsi="Arial"/>
          <w:sz w:val="18"/>
          <w:szCs w:val="18"/>
          <w:color w:val="auto"/>
        </w:rPr>
        <w:t>Peter S. Seligson</w:t>
      </w:r>
    </w:p>
    <w:p>
      <w:pPr>
        <w:spacing w:after="0" w:line="211" w:lineRule="exact"/>
        <w:rPr>
          <w:sz w:val="20"/>
          <w:szCs w:val="20"/>
          <w:color w:val="auto"/>
        </w:rPr>
      </w:pPr>
    </w:p>
    <w:p>
      <w:pPr>
        <w:jc w:val="both"/>
        <w:ind w:right="160" w:firstLine="648"/>
        <w:spacing w:after="0" w:line="342" w:lineRule="auto"/>
        <w:rPr>
          <w:sz w:val="20"/>
          <w:szCs w:val="20"/>
          <w:color w:val="auto"/>
        </w:rPr>
      </w:pPr>
      <w:r>
        <w:rPr>
          <w:rFonts w:ascii="Arial" w:cs="Arial" w:eastAsia="Arial" w:hAnsi="Arial"/>
          <w:sz w:val="16"/>
          <w:szCs w:val="16"/>
          <w:color w:val="auto"/>
        </w:rPr>
        <w:t xml:space="preserve">9.3 </w:t>
      </w:r>
      <w:r>
        <w:rPr>
          <w:rFonts w:ascii="Arial" w:cs="Arial" w:eastAsia="Arial" w:hAnsi="Arial"/>
          <w:sz w:val="16"/>
          <w:szCs w:val="16"/>
          <w:u w:val="single" w:color="auto"/>
          <w:color w:val="auto"/>
        </w:rPr>
        <w:t>Applicable Law</w:t>
      </w:r>
      <w:r>
        <w:rPr>
          <w:rFonts w:ascii="Arial" w:cs="Arial" w:eastAsia="Arial" w:hAnsi="Arial"/>
          <w:sz w:val="16"/>
          <w:szCs w:val="16"/>
          <w:color w:val="auto"/>
        </w:rPr>
        <w:t>. The validity, interpretation and performance of this Agreement and of the Warrants shall be governed in all respects by the laws of the State of New York, without giving effect to conflicts of law principles that would result in the application of the laws of another jurisdiction.</w:t>
      </w:r>
    </w:p>
    <w:p>
      <w:pPr>
        <w:spacing w:after="0" w:line="124" w:lineRule="exact"/>
        <w:rPr>
          <w:sz w:val="20"/>
          <w:szCs w:val="20"/>
          <w:color w:val="auto"/>
        </w:rPr>
      </w:pPr>
    </w:p>
    <w:p>
      <w:pPr>
        <w:ind w:right="20" w:firstLine="648"/>
        <w:spacing w:after="0" w:line="301" w:lineRule="auto"/>
        <w:rPr>
          <w:sz w:val="20"/>
          <w:szCs w:val="20"/>
          <w:color w:val="auto"/>
        </w:rPr>
      </w:pPr>
      <w:r>
        <w:rPr>
          <w:rFonts w:ascii="Arial" w:cs="Arial" w:eastAsia="Arial" w:hAnsi="Arial"/>
          <w:sz w:val="16"/>
          <w:szCs w:val="16"/>
          <w:color w:val="auto"/>
        </w:rPr>
        <w:t xml:space="preserve">9.4 </w:t>
      </w:r>
      <w:r>
        <w:rPr>
          <w:rFonts w:ascii="Arial" w:cs="Arial" w:eastAsia="Arial" w:hAnsi="Arial"/>
          <w:sz w:val="16"/>
          <w:szCs w:val="16"/>
          <w:u w:val="single" w:color="auto"/>
          <w:color w:val="auto"/>
        </w:rPr>
        <w:t>Persons Having Rights under this Agreement</w:t>
      </w:r>
      <w:r>
        <w:rPr>
          <w:rFonts w:ascii="Arial" w:cs="Arial" w:eastAsia="Arial" w:hAnsi="Arial"/>
          <w:sz w:val="16"/>
          <w:szCs w:val="16"/>
          <w:color w:val="auto"/>
        </w:rPr>
        <w:t>. Nothing in this Agreement shall be construed to confer upon, or give to, any person or corporation other than the parties hereto and the Registered Holders of the Warrants any right, remedy or claim under or by reason of this Agreement or of any covenant, condition, stipulation, promise or agreement hereof. All covenants, conditions, stipulations, promises and agreements contained in this Agreement shall be for the sole and exclusive benefit of the parties hereto and their successors and assigns and of the Registered Holders of the Warrants.</w:t>
      </w:r>
    </w:p>
    <w:p>
      <w:pPr>
        <w:spacing w:after="0" w:line="157"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9.5 </w:t>
      </w:r>
      <w:r>
        <w:rPr>
          <w:rFonts w:ascii="Arial" w:cs="Arial" w:eastAsia="Arial" w:hAnsi="Arial"/>
          <w:sz w:val="18"/>
          <w:szCs w:val="18"/>
          <w:u w:val="single" w:color="auto"/>
          <w:color w:val="auto"/>
        </w:rPr>
        <w:t>Examination of the Warrant Agreement</w:t>
      </w:r>
      <w:r>
        <w:rPr>
          <w:rFonts w:ascii="Arial" w:cs="Arial" w:eastAsia="Arial" w:hAnsi="Arial"/>
          <w:sz w:val="18"/>
          <w:szCs w:val="18"/>
          <w:color w:val="auto"/>
        </w:rPr>
        <w:t>. A copy of this Agreement shall be available at all reasonable times at the office of the Warrant Agent in the United States of America, for inspection by the Registered Holder of any Warrant. The Warrant Agent may require any such holder to submit such holder’s Warrant for inspection by the Warrant Agent.</w:t>
      </w:r>
    </w:p>
    <w:p>
      <w:pPr>
        <w:spacing w:after="0" w:line="184" w:lineRule="exact"/>
        <w:rPr>
          <w:sz w:val="20"/>
          <w:szCs w:val="20"/>
          <w:color w:val="auto"/>
        </w:rPr>
      </w:pPr>
    </w:p>
    <w:p>
      <w:pPr>
        <w:ind w:right="20" w:firstLine="648"/>
        <w:spacing w:after="0" w:line="308" w:lineRule="auto"/>
        <w:rPr>
          <w:sz w:val="20"/>
          <w:szCs w:val="20"/>
          <w:color w:val="auto"/>
        </w:rPr>
      </w:pPr>
      <w:r>
        <w:rPr>
          <w:rFonts w:ascii="Arial" w:cs="Arial" w:eastAsia="Arial" w:hAnsi="Arial"/>
          <w:sz w:val="17"/>
          <w:szCs w:val="17"/>
          <w:color w:val="auto"/>
        </w:rPr>
        <w:t xml:space="preserve">9.6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any number of original or facsimile counterparts and each of such counterparts shall for all purposes be deemed to be an original, and all such counterparts shall together constitute but one and the same instrument.</w:t>
      </w:r>
    </w:p>
    <w:p>
      <w:pPr>
        <w:spacing w:after="0" w:line="146" w:lineRule="exact"/>
        <w:rPr>
          <w:sz w:val="20"/>
          <w:szCs w:val="20"/>
          <w:color w:val="auto"/>
        </w:rPr>
      </w:pPr>
    </w:p>
    <w:p>
      <w:pPr>
        <w:ind w:right="740" w:firstLine="648"/>
        <w:spacing w:after="0" w:line="277" w:lineRule="auto"/>
        <w:rPr>
          <w:sz w:val="20"/>
          <w:szCs w:val="20"/>
          <w:color w:val="auto"/>
        </w:rPr>
      </w:pPr>
      <w:r>
        <w:rPr>
          <w:rFonts w:ascii="Arial" w:cs="Arial" w:eastAsia="Arial" w:hAnsi="Arial"/>
          <w:sz w:val="18"/>
          <w:szCs w:val="18"/>
          <w:color w:val="auto"/>
        </w:rPr>
        <w:t xml:space="preserve">9.7 </w:t>
      </w:r>
      <w:r>
        <w:rPr>
          <w:rFonts w:ascii="Arial" w:cs="Arial" w:eastAsia="Arial" w:hAnsi="Arial"/>
          <w:sz w:val="18"/>
          <w:szCs w:val="18"/>
          <w:u w:val="single" w:color="auto"/>
          <w:color w:val="auto"/>
        </w:rPr>
        <w:t>Effect of Headings</w:t>
      </w:r>
      <w:r>
        <w:rPr>
          <w:rFonts w:ascii="Arial" w:cs="Arial" w:eastAsia="Arial" w:hAnsi="Arial"/>
          <w:sz w:val="18"/>
          <w:szCs w:val="18"/>
          <w:color w:val="auto"/>
        </w:rPr>
        <w:t>. The section headings herein are for convenience only and are not part of this Agreement and shall not affect the interpretation thereof.</w:t>
      </w:r>
    </w:p>
    <w:p>
      <w:pPr>
        <w:spacing w:after="0" w:line="379" w:lineRule="exact"/>
        <w:rPr>
          <w:sz w:val="20"/>
          <w:szCs w:val="20"/>
          <w:color w:val="auto"/>
        </w:rPr>
      </w:pPr>
    </w:p>
    <w:p>
      <w:pPr>
        <w:jc w:val="center"/>
        <w:ind w:right="-119"/>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229" w:name="page230"/>
    <w:bookmarkEnd w:id="229"/>
    <w:p>
      <w:pPr>
        <w:ind w:right="40" w:firstLine="648"/>
        <w:spacing w:after="0" w:line="269"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Amendments</w:t>
      </w:r>
      <w:r>
        <w:rPr>
          <w:rFonts w:ascii="Arial" w:cs="Arial" w:eastAsia="Arial" w:hAnsi="Arial"/>
          <w:sz w:val="17"/>
          <w:szCs w:val="17"/>
          <w:color w:val="auto"/>
        </w:rPr>
        <w:t xml:space="preserve">. This Agreement may be amended by the parties hereto without the consent of any Registered Holder for the purpose of (i) curing any ambiguity or to correct any mistake, including to conform the provisions hereof to the description of the terms of the Warrants and this Agreement set forth in the Prospectus, or defective provision contained herein, (ii) amending the definition of “Ordinary Cash Dividend” as contemplated by the second sentence of subsection 4.1.2 or (iii) adding or changing any provisions with respect to matters or questions arising under this Agreement as the parties may deem necessary or desirable and that the parties deem shall not adversely affect the rights of the Registered Holders under this Agreement. All other modifications or amendments, including any modification or amendment to increase the Warrant Price or shorten the Exercise Period and any amendment to the terms of only the Private Placement Warrants, shall require the vote or written consent of the Registered Holders of 65% of the then-outstanding Public Warrants and, solely with respect to any amendment to the terms of the Private Placement Warrants or any provision of this Agreement with respect to the Private Placement Warrants, 65% of the then-outstanding Private Placement Warrants. Notwithstanding the foregoing, the Company may lower the Warrant Price or extend the duration of the Exercise Period pursuant to </w:t>
      </w:r>
      <w:r>
        <w:rPr>
          <w:rFonts w:ascii="Arial" w:cs="Arial" w:eastAsia="Arial" w:hAnsi="Arial"/>
          <w:sz w:val="17"/>
          <w:szCs w:val="17"/>
          <w:u w:val="single" w:color="auto"/>
          <w:color w:val="auto"/>
        </w:rPr>
        <w:t>Sections 3.1</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3.2</w:t>
      </w:r>
      <w:r>
        <w:rPr>
          <w:rFonts w:ascii="Arial" w:cs="Arial" w:eastAsia="Arial" w:hAnsi="Arial"/>
          <w:sz w:val="17"/>
          <w:szCs w:val="17"/>
          <w:color w:val="auto"/>
        </w:rPr>
        <w:t>, respectively, without the consent of the Registered Holders.</w:t>
      </w:r>
    </w:p>
    <w:p>
      <w:pPr>
        <w:spacing w:after="0" w:line="182"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 xml:space="preserve">9.9 </w:t>
      </w:r>
      <w:r>
        <w:rPr>
          <w:rFonts w:ascii="Arial" w:cs="Arial" w:eastAsia="Arial" w:hAnsi="Arial"/>
          <w:sz w:val="18"/>
          <w:szCs w:val="18"/>
          <w:u w:val="single" w:color="auto"/>
          <w:color w:val="auto"/>
        </w:rPr>
        <w:t>Severability</w:t>
      </w:r>
      <w:r>
        <w:rPr>
          <w:rFonts w:ascii="Arial" w:cs="Arial" w:eastAsia="Arial" w:hAnsi="Arial"/>
          <w:sz w:val="18"/>
          <w:szCs w:val="18"/>
          <w:color w:val="auto"/>
        </w:rPr>
        <w:t>. This Agreement shall be deemed severable, and the invalidity or unenforceability of any term or provision hereof shall not affect the validity or enforceability of this Agreement or of any other term or provision hereof. Furthermore, in lieu of any such invalid or unenforceable term or provision, the parties hereto intend that there shall be added as a part of this Agreement a provision as similar in terms to such invalid or unenforceable provision as may be possible and be valid and enforceable.</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Exhibit A Form of Warrant Certificate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Exhibit B Legend —Private Placement Warrants</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[Signature Page Follows]</w:t>
      </w:r>
    </w:p>
    <w:p>
      <w:pPr>
        <w:spacing w:after="0" w:line="200" w:lineRule="exact"/>
        <w:rPr>
          <w:sz w:val="20"/>
          <w:szCs w:val="20"/>
          <w:color w:val="auto"/>
        </w:rPr>
      </w:pPr>
    </w:p>
    <w:p>
      <w:pPr>
        <w:spacing w:after="0" w:line="234"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8" w:right="419" w:bottom="1440" w:gutter="0" w:footer="0" w:header="0"/>
        </w:sectPr>
      </w:pPr>
    </w:p>
    <w:bookmarkStart w:id="230" w:name="page231"/>
    <w:bookmarkEnd w:id="230"/>
    <w:p>
      <w:pPr>
        <w:spacing w:after="0"/>
        <w:rPr>
          <w:sz w:val="20"/>
          <w:szCs w:val="20"/>
          <w:color w:val="auto"/>
        </w:rPr>
      </w:pPr>
      <w:r>
        <w:rPr>
          <w:rFonts w:ascii="Arial" w:cs="Arial" w:eastAsia="Arial" w:hAnsi="Arial"/>
          <w:sz w:val="18"/>
          <w:szCs w:val="18"/>
          <w:color w:val="auto"/>
        </w:rPr>
        <w:t>IN WITNESS WHEREOF, the parties hereto have caused this Agreement to be duly executed as of the date first above written.</w:t>
      </w:r>
    </w:p>
    <w:p>
      <w:pPr>
        <w:spacing w:after="0" w:line="225" w:lineRule="exact"/>
        <w:rPr>
          <w:sz w:val="20"/>
          <w:szCs w:val="20"/>
          <w:color w:val="auto"/>
        </w:rPr>
      </w:pPr>
    </w:p>
    <w:p>
      <w:pPr>
        <w:ind w:left="6100"/>
        <w:spacing w:after="0"/>
        <w:rPr>
          <w:sz w:val="20"/>
          <w:szCs w:val="20"/>
          <w:color w:val="auto"/>
        </w:rPr>
      </w:pPr>
      <w:r>
        <w:rPr>
          <w:rFonts w:ascii="Arial" w:cs="Arial" w:eastAsia="Arial" w:hAnsi="Arial"/>
          <w:sz w:val="17"/>
          <w:szCs w:val="17"/>
          <w:color w:val="auto"/>
        </w:rPr>
        <w:t>SUSTAINABLE OPPORTUNITIES ACQUISITION CORP.</w:t>
      </w:r>
    </w:p>
    <w:p>
      <w:pPr>
        <w:spacing w:after="0" w:line="237"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3">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COMPANY, as Warrant Agent</w:t>
      </w:r>
    </w:p>
    <w:p>
      <w:pPr>
        <w:spacing w:after="0" w:line="211"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4223385</wp:posOffset>
            </wp:positionH>
            <wp:positionV relativeFrom="paragraph">
              <wp:posOffset>14605</wp:posOffset>
            </wp:positionV>
            <wp:extent cx="2494280" cy="1714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4">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100"/>
        <w:spacing w:after="0"/>
        <w:rPr>
          <w:sz w:val="20"/>
          <w:szCs w:val="20"/>
          <w:color w:val="auto"/>
        </w:rPr>
      </w:pPr>
      <w:r>
        <w:rPr>
          <w:rFonts w:ascii="Arial" w:cs="Arial" w:eastAsia="Arial" w:hAnsi="Arial"/>
          <w:sz w:val="18"/>
          <w:szCs w:val="18"/>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-413385</wp:posOffset>
            </wp:positionH>
            <wp:positionV relativeFrom="paragraph">
              <wp:posOffset>580390</wp:posOffset>
            </wp:positionV>
            <wp:extent cx="7132320" cy="1714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480"/>
          </w:cols>
          <w:pgMar w:left="980" w:top="908" w:right="439" w:bottom="1440" w:gutter="0" w:footer="0" w:header="0"/>
        </w:sectPr>
      </w:pPr>
    </w:p>
    <w:bookmarkStart w:id="231" w:name="page232"/>
    <w:bookmarkEnd w:id="231"/>
    <w:p>
      <w:pPr>
        <w:jc w:val="center"/>
        <w:ind w:right="-19"/>
        <w:spacing w:after="0"/>
        <w:rPr>
          <w:sz w:val="20"/>
          <w:szCs w:val="20"/>
          <w:color w:val="auto"/>
        </w:rPr>
      </w:pPr>
      <w:r>
        <w:rPr>
          <w:rFonts w:ascii="Arial" w:cs="Arial" w:eastAsia="Arial" w:hAnsi="Arial"/>
          <w:sz w:val="18"/>
          <w:szCs w:val="18"/>
          <w:b w:val="1"/>
          <w:bCs w:val="1"/>
          <w:color w:val="auto"/>
        </w:rPr>
        <w:t>EXHIBIT A</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Form of Warrant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[FACE]</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Number</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Warrants</w:t>
      </w:r>
    </w:p>
    <w:p>
      <w:pPr>
        <w:spacing w:after="0" w:line="225" w:lineRule="exact"/>
        <w:rPr>
          <w:sz w:val="20"/>
          <w:szCs w:val="20"/>
          <w:color w:val="auto"/>
        </w:rPr>
      </w:pPr>
    </w:p>
    <w:p>
      <w:pPr>
        <w:jc w:val="center"/>
        <w:spacing w:after="0" w:line="266" w:lineRule="auto"/>
        <w:rPr>
          <w:sz w:val="20"/>
          <w:szCs w:val="20"/>
          <w:color w:val="auto"/>
        </w:rPr>
      </w:pPr>
      <w:r>
        <w:rPr>
          <w:rFonts w:ascii="Arial" w:cs="Arial" w:eastAsia="Arial" w:hAnsi="Arial"/>
          <w:sz w:val="18"/>
          <w:szCs w:val="18"/>
          <w:b w:val="1"/>
          <w:bCs w:val="1"/>
          <w:color w:val="auto"/>
        </w:rPr>
        <w:t>THIS WARRANT SHALL BE VOID IF NOT EXERCISED PRIOR TO THE EXPIRATION OF THE EXERCISE PERIOD PROVIDED FOR IN THE WARRANT AGREEMENT DESCRIBED BELOW</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i w:val="1"/>
          <w:iCs w:val="1"/>
          <w:color w:val="auto"/>
        </w:rPr>
        <w:t>A Cayman Islands Exempted Company</w:t>
      </w:r>
    </w:p>
    <w:p>
      <w:pPr>
        <w:spacing w:after="0" w:line="207" w:lineRule="exact"/>
        <w:rPr>
          <w:sz w:val="20"/>
          <w:szCs w:val="20"/>
          <w:color w:val="auto"/>
        </w:rPr>
      </w:pPr>
    </w:p>
    <w:p>
      <w:pPr>
        <w:ind w:left="10420"/>
        <w:spacing w:after="0"/>
        <w:rPr>
          <w:sz w:val="20"/>
          <w:szCs w:val="20"/>
          <w:color w:val="auto"/>
        </w:rPr>
      </w:pPr>
      <w:r>
        <w:rPr>
          <w:rFonts w:ascii="Arial" w:cs="Arial" w:eastAsia="Arial" w:hAnsi="Arial"/>
          <w:sz w:val="17"/>
          <w:szCs w:val="17"/>
          <w:b w:val="1"/>
          <w:bCs w:val="1"/>
          <w:color w:val="auto"/>
        </w:rPr>
        <w:t>CUSIP [●]</w:t>
      </w:r>
    </w:p>
    <w:p>
      <w:pPr>
        <w:spacing w:after="0" w:line="23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Warrant Certificate</w:t>
      </w:r>
    </w:p>
    <w:p>
      <w:pPr>
        <w:spacing w:after="0" w:line="229" w:lineRule="exact"/>
        <w:rPr>
          <w:sz w:val="20"/>
          <w:szCs w:val="20"/>
          <w:color w:val="auto"/>
        </w:rPr>
      </w:pPr>
    </w:p>
    <w:p>
      <w:pPr>
        <w:ind w:left="660"/>
        <w:spacing w:after="0"/>
        <w:tabs>
          <w:tab w:leader="none" w:pos="3900" w:val="left"/>
        </w:tabs>
        <w:rPr>
          <w:sz w:val="20"/>
          <w:szCs w:val="20"/>
          <w:color w:val="auto"/>
        </w:rPr>
      </w:pPr>
      <w:r>
        <w:rPr>
          <w:rFonts w:ascii="Arial" w:cs="Arial" w:eastAsia="Arial" w:hAnsi="Arial"/>
          <w:sz w:val="18"/>
          <w:szCs w:val="18"/>
          <w:color w:val="auto"/>
        </w:rPr>
        <w:t>This Warrant Certificate certifies that</w:t>
      </w:r>
      <w:r>
        <w:rPr>
          <w:sz w:val="20"/>
          <w:szCs w:val="20"/>
          <w:color w:val="auto"/>
        </w:rPr>
        <w:tab/>
      </w:r>
      <w:r>
        <w:rPr>
          <w:rFonts w:ascii="Arial" w:cs="Arial" w:eastAsia="Arial" w:hAnsi="Arial"/>
          <w:sz w:val="16"/>
          <w:szCs w:val="16"/>
          <w:color w:val="auto"/>
        </w:rPr>
        <w:t>, or registered assigns, is the registered holder of warrant(s) evidenced hereby (the “</w:t>
      </w:r>
      <w:r>
        <w:rPr>
          <w:rFonts w:ascii="Arial" w:cs="Arial" w:eastAsia="Arial" w:hAnsi="Arial"/>
          <w:sz w:val="16"/>
          <w:szCs w:val="16"/>
          <w:b w:val="1"/>
          <w:bCs w:val="1"/>
          <w:i w:val="1"/>
          <w:iCs w:val="1"/>
          <w:color w:val="auto"/>
        </w:rPr>
        <w:t>Warrants</w:t>
      </w:r>
      <w:r>
        <w:rPr>
          <w:rFonts w:ascii="Arial" w:cs="Arial" w:eastAsia="Arial" w:hAnsi="Arial"/>
          <w:sz w:val="16"/>
          <w:szCs w:val="16"/>
          <w:color w:val="auto"/>
        </w:rPr>
        <w:t>” and,</w:t>
      </w:r>
    </w:p>
    <w:p>
      <w:pPr>
        <w:spacing w:after="0" w:line="23"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each, a “</w:t>
      </w:r>
      <w:r>
        <w:rPr>
          <w:rFonts w:ascii="Arial" w:cs="Arial" w:eastAsia="Arial" w:hAnsi="Arial"/>
          <w:sz w:val="17"/>
          <w:szCs w:val="17"/>
          <w:b w:val="1"/>
          <w:bCs w:val="1"/>
          <w:i w:val="1"/>
          <w:iCs w:val="1"/>
          <w:color w:val="auto"/>
        </w:rPr>
        <w:t>Warrant</w:t>
      </w:r>
      <w:r>
        <w:rPr>
          <w:rFonts w:ascii="Arial" w:cs="Arial" w:eastAsia="Arial" w:hAnsi="Arial"/>
          <w:sz w:val="17"/>
          <w:szCs w:val="17"/>
          <w:color w:val="auto"/>
        </w:rPr>
        <w:t>”) to purchase Class A ordinary shares, $0.0001 par value (the “</w:t>
      </w:r>
      <w:r>
        <w:rPr>
          <w:rFonts w:ascii="Arial" w:cs="Arial" w:eastAsia="Arial" w:hAnsi="Arial"/>
          <w:sz w:val="17"/>
          <w:szCs w:val="17"/>
          <w:b w:val="1"/>
          <w:bCs w:val="1"/>
          <w:i w:val="1"/>
          <w:iCs w:val="1"/>
          <w:color w:val="auto"/>
        </w:rPr>
        <w:t>Ordinary Shares</w:t>
      </w:r>
      <w:r>
        <w:rPr>
          <w:rFonts w:ascii="Arial" w:cs="Arial" w:eastAsia="Arial" w:hAnsi="Arial"/>
          <w:sz w:val="17"/>
          <w:szCs w:val="17"/>
          <w:color w:val="auto"/>
        </w:rPr>
        <w:t>”), of Sustainable Opportunities Acquisition Corp., a Cayman Islands exempted company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Each whole Warrant entitles the holder, upon exercise during the period set forth in the Warrant Agreement referred to below, to receive from the Company that number of fully paid and non-assessable Ordinary Shares as set forth below, at the exercise price (the “</w:t>
      </w:r>
      <w:r>
        <w:rPr>
          <w:rFonts w:ascii="Arial" w:cs="Arial" w:eastAsia="Arial" w:hAnsi="Arial"/>
          <w:sz w:val="17"/>
          <w:szCs w:val="17"/>
          <w:b w:val="1"/>
          <w:bCs w:val="1"/>
          <w:i w:val="1"/>
          <w:iCs w:val="1"/>
          <w:color w:val="auto"/>
        </w:rPr>
        <w:t>Exercise Price</w:t>
      </w:r>
      <w:r>
        <w:rPr>
          <w:rFonts w:ascii="Arial" w:cs="Arial" w:eastAsia="Arial" w:hAnsi="Arial"/>
          <w:sz w:val="17"/>
          <w:szCs w:val="17"/>
          <w:color w:val="auto"/>
        </w:rPr>
        <w:t>”) as determined pursuant to the Warrant Agreement, payable in lawful money (or through “cashless exercise” as provided for in the Warrant Agreement) of the United States of America upon surrender of this Warrant Certificate and payment of the Exercise Price at the office or agency of the Warrant Agent referred to below, subject to the conditions set forth herein and in the Warrant Agreement. Defined terms used in this Warrant Certificate but not defined herein shall have the meanings given to them in the Warrant Agreement.</w:t>
      </w:r>
    </w:p>
    <w:p>
      <w:pPr>
        <w:spacing w:after="0" w:line="180" w:lineRule="exact"/>
        <w:rPr>
          <w:sz w:val="20"/>
          <w:szCs w:val="20"/>
          <w:color w:val="auto"/>
        </w:rPr>
      </w:pPr>
    </w:p>
    <w:p>
      <w:pPr>
        <w:ind w:right="20" w:firstLine="648"/>
        <w:spacing w:after="0" w:line="263" w:lineRule="auto"/>
        <w:rPr>
          <w:sz w:val="20"/>
          <w:szCs w:val="20"/>
          <w:color w:val="auto"/>
        </w:rPr>
      </w:pPr>
      <w:r>
        <w:rPr>
          <w:rFonts w:ascii="Arial" w:cs="Arial" w:eastAsia="Arial" w:hAnsi="Arial"/>
          <w:sz w:val="18"/>
          <w:szCs w:val="18"/>
          <w:color w:val="auto"/>
        </w:rPr>
        <w:t>Each whole Warrant is initially exercisable for one fully paid and non-assessable Ordinary Share. No fractional shares will be issued upon exercise of any Warrant. The number of Ordinary Shares issuable upon exercise of the Warrants is subject to adjustment upon the occurrence of certain events set forth in the Warrant Agreement.</w:t>
      </w:r>
    </w:p>
    <w:p>
      <w:pPr>
        <w:spacing w:after="0" w:line="184" w:lineRule="exact"/>
        <w:rPr>
          <w:sz w:val="20"/>
          <w:szCs w:val="20"/>
          <w:color w:val="auto"/>
        </w:rPr>
      </w:pPr>
    </w:p>
    <w:p>
      <w:pPr>
        <w:ind w:right="280" w:firstLine="648"/>
        <w:spacing w:after="0" w:line="277" w:lineRule="auto"/>
        <w:rPr>
          <w:sz w:val="20"/>
          <w:szCs w:val="20"/>
          <w:color w:val="auto"/>
        </w:rPr>
      </w:pPr>
      <w:r>
        <w:rPr>
          <w:rFonts w:ascii="Arial" w:cs="Arial" w:eastAsia="Arial" w:hAnsi="Arial"/>
          <w:sz w:val="18"/>
          <w:szCs w:val="18"/>
          <w:color w:val="auto"/>
        </w:rPr>
        <w:t>The initial Exercise Price per Ordinary Share for any Warrant is equal to $11.50 per share. The Exercise Price is subject to adjustment upon the occurrence of certain events set forth in the Warrant Agreement.</w:t>
      </w:r>
    </w:p>
    <w:p>
      <w:pPr>
        <w:spacing w:after="0" w:line="170" w:lineRule="exact"/>
        <w:rPr>
          <w:sz w:val="20"/>
          <w:szCs w:val="20"/>
          <w:color w:val="auto"/>
        </w:rPr>
      </w:pPr>
    </w:p>
    <w:p>
      <w:pPr>
        <w:ind w:right="120" w:firstLine="648"/>
        <w:spacing w:after="0" w:line="277" w:lineRule="auto"/>
        <w:rPr>
          <w:sz w:val="20"/>
          <w:szCs w:val="20"/>
          <w:color w:val="auto"/>
        </w:rPr>
      </w:pPr>
      <w:r>
        <w:rPr>
          <w:rFonts w:ascii="Arial" w:cs="Arial" w:eastAsia="Arial" w:hAnsi="Arial"/>
          <w:sz w:val="18"/>
          <w:szCs w:val="18"/>
          <w:color w:val="auto"/>
        </w:rPr>
        <w:t>Subject to the conditions set forth in the Warrant Agreement, the Warrants may be exercised only during the Exercise Period and to the extent not exercised by the end of such Exercise Period, such Warrants shall become void.</w:t>
      </w:r>
    </w:p>
    <w:p>
      <w:pPr>
        <w:spacing w:after="0" w:line="379"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32" w:name="page233"/>
    <w:bookmarkEnd w:id="232"/>
    <w:p>
      <w:pPr>
        <w:ind w:right="80" w:firstLine="648"/>
        <w:spacing w:after="0" w:line="277" w:lineRule="auto"/>
        <w:rPr>
          <w:sz w:val="20"/>
          <w:szCs w:val="20"/>
          <w:color w:val="auto"/>
        </w:rPr>
      </w:pPr>
      <w:r>
        <w:rPr>
          <w:rFonts w:ascii="Arial" w:cs="Arial" w:eastAsia="Arial" w:hAnsi="Arial"/>
          <w:sz w:val="18"/>
          <w:szCs w:val="18"/>
          <w:color w:val="auto"/>
        </w:rPr>
        <w:t>Reference is hereby made to the further provisions of this Warrant Certificate set forth on the reverse hereof and such further provisions shall for all purposes have the same effect as though fully set forth at this place.</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This Warrant Certificate shall not be valid unless countersigned by the Warrant Agent, as such term is used in the Warrant Agreement.</w:t>
      </w:r>
    </w:p>
    <w:p>
      <w:pPr>
        <w:spacing w:after="0" w:line="237" w:lineRule="exact"/>
        <w:rPr>
          <w:sz w:val="20"/>
          <w:szCs w:val="20"/>
          <w:color w:val="auto"/>
        </w:rPr>
      </w:pPr>
    </w:p>
    <w:p>
      <w:pPr>
        <w:ind w:right="340" w:firstLine="648"/>
        <w:spacing w:after="0" w:line="277" w:lineRule="auto"/>
        <w:rPr>
          <w:sz w:val="20"/>
          <w:szCs w:val="20"/>
          <w:color w:val="auto"/>
        </w:rPr>
      </w:pPr>
      <w:r>
        <w:rPr>
          <w:rFonts w:ascii="Arial" w:cs="Arial" w:eastAsia="Arial" w:hAnsi="Arial"/>
          <w:sz w:val="18"/>
          <w:szCs w:val="18"/>
          <w:color w:val="auto"/>
        </w:rPr>
        <w:t>This Warrant Certificate shall be governed by and construed in accordance with the internal laws of the State of New York, without regard to conflicts of laws principles thereof that would apply the laws of another jurisdiction.</w:t>
      </w:r>
    </w:p>
    <w:p>
      <w:pPr>
        <w:spacing w:after="0" w:line="170" w:lineRule="exact"/>
        <w:rPr>
          <w:sz w:val="20"/>
          <w:szCs w:val="20"/>
          <w:color w:val="auto"/>
        </w:rPr>
      </w:pPr>
    </w:p>
    <w:p>
      <w:pPr>
        <w:ind w:left="6760"/>
        <w:spacing w:after="0"/>
        <w:rPr>
          <w:sz w:val="20"/>
          <w:szCs w:val="20"/>
          <w:color w:val="auto"/>
        </w:rPr>
      </w:pPr>
      <w:r>
        <w:rPr>
          <w:rFonts w:ascii="Arial" w:cs="Arial" w:eastAsia="Arial" w:hAnsi="Arial"/>
          <w:sz w:val="17"/>
          <w:szCs w:val="17"/>
          <w:color w:val="auto"/>
        </w:rPr>
        <w:t>SUSTAINABLE OPPORTUNITIES ACQUISITION CORP.</w:t>
      </w:r>
    </w:p>
    <w:p>
      <w:pPr>
        <w:spacing w:after="0" w:line="237"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7">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24"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CONTINENTAL STOCK TRANSFER &amp; TRUST</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COMPANY, as Warrant Agent</w:t>
      </w:r>
    </w:p>
    <w:p>
      <w:pPr>
        <w:spacing w:after="0" w:line="211"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14605</wp:posOffset>
            </wp:positionV>
            <wp:extent cx="2494280" cy="1714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Name:</w:t>
      </w:r>
    </w:p>
    <w:p>
      <w:pPr>
        <w:spacing w:after="0" w:line="23"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Title:</w:t>
      </w:r>
    </w:p>
    <w:p>
      <w:pPr>
        <w:spacing w:after="0" w:line="200" w:lineRule="exact"/>
        <w:rPr>
          <w:sz w:val="20"/>
          <w:szCs w:val="20"/>
          <w:color w:val="auto"/>
        </w:rPr>
      </w:pPr>
    </w:p>
    <w:p>
      <w:pPr>
        <w:spacing w:after="0" w:line="233"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908" w:right="439" w:bottom="1440" w:gutter="0" w:footer="0" w:header="0"/>
        </w:sectPr>
      </w:pPr>
    </w:p>
    <w:bookmarkStart w:id="233" w:name="page234"/>
    <w:bookmarkEnd w:id="233"/>
    <w:p>
      <w:pPr>
        <w:jc w:val="center"/>
        <w:ind w:right="-19"/>
        <w:spacing w:after="0"/>
        <w:rPr>
          <w:sz w:val="20"/>
          <w:szCs w:val="20"/>
          <w:color w:val="auto"/>
        </w:rPr>
      </w:pPr>
      <w:r>
        <w:rPr>
          <w:rFonts w:ascii="Arial" w:cs="Arial" w:eastAsia="Arial" w:hAnsi="Arial"/>
          <w:sz w:val="18"/>
          <w:szCs w:val="18"/>
          <w:color w:val="auto"/>
        </w:rPr>
        <w:t>Form of Warrant Certificate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[Reverse]</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Warrants evidenced by this Warrant Certificate are part of a duly authorized issue of Warrants entitling the holder on exercise to receive</w:t>
      </w:r>
    </w:p>
    <w:p>
      <w:pPr>
        <w:spacing w:after="0" w:line="35"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Ordinary Shares and are issued or to be issued pursuant to a Warrant Agreement dated as of , 2020 (the “</w:t>
      </w:r>
      <w:r>
        <w:rPr>
          <w:rFonts w:ascii="Arial" w:cs="Arial" w:eastAsia="Arial" w:hAnsi="Arial"/>
          <w:sz w:val="18"/>
          <w:szCs w:val="18"/>
          <w:b w:val="1"/>
          <w:bCs w:val="1"/>
          <w:i w:val="1"/>
          <w:iCs w:val="1"/>
          <w:color w:val="auto"/>
        </w:rPr>
        <w:t>Warrant Agreement</w:t>
      </w:r>
      <w:r>
        <w:rPr>
          <w:rFonts w:ascii="Arial" w:cs="Arial" w:eastAsia="Arial" w:hAnsi="Arial"/>
          <w:sz w:val="18"/>
          <w:szCs w:val="18"/>
          <w:color w:val="auto"/>
        </w:rPr>
        <w:t>”), duly executed and delivered by the Company to Continental Stock Transfer &amp; Trust Company, a New York corporation, as warrant agent (the “</w:t>
      </w:r>
      <w:r>
        <w:rPr>
          <w:rFonts w:ascii="Arial" w:cs="Arial" w:eastAsia="Arial" w:hAnsi="Arial"/>
          <w:sz w:val="18"/>
          <w:szCs w:val="18"/>
          <w:b w:val="1"/>
          <w:bCs w:val="1"/>
          <w:i w:val="1"/>
          <w:iCs w:val="1"/>
          <w:color w:val="auto"/>
        </w:rPr>
        <w:t>Warrant Agent</w:t>
      </w:r>
      <w:r>
        <w:rPr>
          <w:rFonts w:ascii="Arial" w:cs="Arial" w:eastAsia="Arial" w:hAnsi="Arial"/>
          <w:sz w:val="18"/>
          <w:szCs w:val="18"/>
          <w:color w:val="auto"/>
        </w:rPr>
        <w:t>”), which Warrant Agreement is hereby incorporated by reference in and made a part of this instrument and is hereby referred to for a description of the rights, limitation of rights, obligations, duties and immunities thereunder of the Warrant Agent, the Company and the holders (the words “holders” or “holder” meaning the Registered Holders or Registered Holder) of the Warrants. A copy of the Warrant Agreement may be obtained by the holder hereof upon written request to the Company. Defined terms used in this Warrant Certificate but not defined herein shall have the meanings given to them in the Warrant Agreement.</w:t>
      </w:r>
    </w:p>
    <w:p>
      <w:pPr>
        <w:spacing w:after="0" w:line="192" w:lineRule="exact"/>
        <w:rPr>
          <w:sz w:val="20"/>
          <w:szCs w:val="20"/>
          <w:color w:val="auto"/>
        </w:rPr>
      </w:pPr>
    </w:p>
    <w:p>
      <w:pPr>
        <w:ind w:right="160" w:firstLine="648"/>
        <w:spacing w:after="0" w:line="273" w:lineRule="auto"/>
        <w:rPr>
          <w:sz w:val="20"/>
          <w:szCs w:val="20"/>
          <w:color w:val="auto"/>
        </w:rPr>
      </w:pPr>
      <w:r>
        <w:rPr>
          <w:rFonts w:ascii="Arial" w:cs="Arial" w:eastAsia="Arial" w:hAnsi="Arial"/>
          <w:sz w:val="17"/>
          <w:szCs w:val="17"/>
          <w:color w:val="auto"/>
        </w:rPr>
        <w:t>Warrants may be exercised at any time during the Exercise Period set forth in the Warrant Agreement. The holder of Warrants evidenced by this Warrant Certificate may exercise them by surrendering this Warrant Certificate, with the form of election to purchase set forth hereon properly completed and executed, together with payment of the Exercise Price as specified in the Warrant Agreement (or through “cashless exercise” as provided for in the Warrant Agreement) at the principal corporate trust office of the Warrant Agent. In the event that upon any exercise of Warrants evidenced hereby the number of Warrants exercised shall be less than the total number of Warrants evidenced hereby, there shall be issued to the holder hereof or his, her or its assignee, a new Warrant Certificate evidencing the number of Warrants not exercised.</w:t>
      </w:r>
    </w:p>
    <w:p>
      <w:pPr>
        <w:spacing w:after="0" w:line="178" w:lineRule="exact"/>
        <w:rPr>
          <w:sz w:val="20"/>
          <w:szCs w:val="20"/>
          <w:color w:val="auto"/>
        </w:rPr>
      </w:pPr>
    </w:p>
    <w:p>
      <w:pPr>
        <w:ind w:firstLine="648"/>
        <w:spacing w:after="0" w:line="259" w:lineRule="auto"/>
        <w:rPr>
          <w:sz w:val="20"/>
          <w:szCs w:val="20"/>
          <w:color w:val="auto"/>
        </w:rPr>
      </w:pPr>
      <w:r>
        <w:rPr>
          <w:rFonts w:ascii="Arial" w:cs="Arial" w:eastAsia="Arial" w:hAnsi="Arial"/>
          <w:sz w:val="18"/>
          <w:szCs w:val="18"/>
          <w:color w:val="auto"/>
        </w:rPr>
        <w:t>Notwithstanding anything else in this Warrant Certificate or the Warrant Agreement, no Warrant may be exercised unless at the time of exercise (i) a registration statement covering the Ordinary Shares to be issued upon exercise is effective under the Securities Act and (ii) a prospectus thereunder relating to the Ordinary Shares is current, except through “cashless exercise” as provided for in the Warrant Agreement or another exemption from registration.</w:t>
      </w:r>
    </w:p>
    <w:p>
      <w:pPr>
        <w:spacing w:after="0" w:line="187" w:lineRule="exact"/>
        <w:rPr>
          <w:sz w:val="20"/>
          <w:szCs w:val="20"/>
          <w:color w:val="auto"/>
        </w:rPr>
      </w:pPr>
    </w:p>
    <w:p>
      <w:pPr>
        <w:ind w:right="140" w:firstLine="648"/>
        <w:spacing w:after="0" w:line="259" w:lineRule="auto"/>
        <w:rPr>
          <w:sz w:val="20"/>
          <w:szCs w:val="20"/>
          <w:color w:val="auto"/>
        </w:rPr>
      </w:pPr>
      <w:r>
        <w:rPr>
          <w:rFonts w:ascii="Arial" w:cs="Arial" w:eastAsia="Arial" w:hAnsi="Arial"/>
          <w:sz w:val="18"/>
          <w:szCs w:val="18"/>
          <w:color w:val="auto"/>
        </w:rPr>
        <w:t>The Warrant Agreement provides that upon the occurrence of certain events the number of Ordinary Shares issuable upon the exercise of the Warrants set forth on the face hereof may, subject to certain conditions, be adjusted. If, upon exercise of a Warrant, the holder thereof would be entitled to receive a fractional interest in an Ordinary Share, the Company shall, upon exercise, round down to the nearest whole number of Ordinary Shares to be issued to the holder of the Warrant.</w:t>
      </w:r>
    </w:p>
    <w:p>
      <w:pPr>
        <w:spacing w:after="0" w:line="187" w:lineRule="exact"/>
        <w:rPr>
          <w:sz w:val="20"/>
          <w:szCs w:val="20"/>
          <w:color w:val="auto"/>
        </w:rPr>
      </w:pPr>
    </w:p>
    <w:p>
      <w:pPr>
        <w:ind w:right="180" w:firstLine="648"/>
        <w:spacing w:after="0" w:line="259" w:lineRule="auto"/>
        <w:rPr>
          <w:sz w:val="20"/>
          <w:szCs w:val="20"/>
          <w:color w:val="auto"/>
        </w:rPr>
      </w:pPr>
      <w:r>
        <w:rPr>
          <w:rFonts w:ascii="Arial" w:cs="Arial" w:eastAsia="Arial" w:hAnsi="Arial"/>
          <w:sz w:val="18"/>
          <w:szCs w:val="18"/>
          <w:color w:val="auto"/>
        </w:rPr>
        <w:t>Warrant Certificates, when surrendered at the principal corporate trust office of the Warrant Agent by the Registered Holder thereof in person or by legal representative or attorney duly authorized in writing, may be exchanged, in the manner and subject to the limitations provided in the Warrant Agreement, but without payment of any service charge, for another Warrant Certificate or Warrant Certificates of like tenor evidencing in the aggregate a like number of Warrants.</w:t>
      </w:r>
    </w:p>
    <w:p>
      <w:pPr>
        <w:spacing w:after="0" w:line="395"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34" w:name="page235"/>
    <w:bookmarkEnd w:id="234"/>
    <w:p>
      <w:pPr>
        <w:ind w:firstLine="648"/>
        <w:spacing w:after="0" w:line="259" w:lineRule="auto"/>
        <w:rPr>
          <w:sz w:val="20"/>
          <w:szCs w:val="20"/>
          <w:color w:val="auto"/>
        </w:rPr>
      </w:pPr>
      <w:r>
        <w:rPr>
          <w:rFonts w:ascii="Arial" w:cs="Arial" w:eastAsia="Arial" w:hAnsi="Arial"/>
          <w:sz w:val="18"/>
          <w:szCs w:val="18"/>
          <w:color w:val="auto"/>
        </w:rPr>
        <w:t>Upon due presentation for registration of transfer of this Warrant Certificate at the office of the Warrant Agent a new Warrant Certificate or Warrant Certificates of like tenor and evidencing in the aggregate a like number of Warrants shall be issued to the transferee(s) in exchange for this Warrant Certificate, subject to the limitations provided in the Warrant Agreement, without charge except for any tax or other governmental charge imposed in connection therewith.</w:t>
      </w:r>
    </w:p>
    <w:p>
      <w:pPr>
        <w:spacing w:after="0" w:line="187" w:lineRule="exact"/>
        <w:rPr>
          <w:sz w:val="20"/>
          <w:szCs w:val="20"/>
          <w:color w:val="auto"/>
        </w:rPr>
      </w:pPr>
    </w:p>
    <w:p>
      <w:pPr>
        <w:jc w:val="both"/>
        <w:ind w:right="360" w:firstLine="648"/>
        <w:spacing w:after="0" w:line="279" w:lineRule="auto"/>
        <w:rPr>
          <w:sz w:val="20"/>
          <w:szCs w:val="20"/>
          <w:color w:val="auto"/>
        </w:rPr>
      </w:pPr>
      <w:r>
        <w:rPr>
          <w:rFonts w:ascii="Arial" w:cs="Arial" w:eastAsia="Arial" w:hAnsi="Arial"/>
          <w:sz w:val="17"/>
          <w:szCs w:val="17"/>
          <w:color w:val="auto"/>
        </w:rPr>
        <w:t>The Company and the Warrant Agent may deem and treat the Registered Holder(s) hereof as the absolute owner(s) of this Warrant Certificate (notwithstanding any notation of ownership or other writing hereon made by anyone), for the purpose of any exercise hereof, of any distribution to the holder(s) hereof, and for all other purposes, and neither the Company nor the Warrant Agent shall be affected by any notice to the contrary. Neither the Warrants nor this Warrant Certificate entitles any holder hereof to any rights of a shareholder of the Company.</w:t>
      </w:r>
    </w:p>
    <w:p>
      <w:pPr>
        <w:spacing w:after="0" w:line="380"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35" w:name="page236"/>
    <w:bookmarkEnd w:id="235"/>
    <w:p>
      <w:pPr>
        <w:jc w:val="center"/>
        <w:ind w:right="-19"/>
        <w:spacing w:after="0"/>
        <w:rPr>
          <w:sz w:val="20"/>
          <w:szCs w:val="20"/>
          <w:color w:val="auto"/>
        </w:rPr>
      </w:pPr>
      <w:r>
        <w:rPr>
          <w:rFonts w:ascii="Arial" w:cs="Arial" w:eastAsia="Arial" w:hAnsi="Arial"/>
          <w:sz w:val="18"/>
          <w:szCs w:val="18"/>
          <w:color w:val="auto"/>
        </w:rPr>
        <w:t>Election to Purchase</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(To Be Executed Upon Exercise of Warrant)</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undersigned hereby irrevocably elects to exercise the right, represented by this Warrant Certificate, to receive Ordinary Shares and herewith</w:t>
      </w:r>
    </w:p>
    <w:p>
      <w:pPr>
        <w:spacing w:after="0" w:line="46" w:lineRule="exact"/>
        <w:rPr>
          <w:sz w:val="20"/>
          <w:szCs w:val="20"/>
          <w:color w:val="auto"/>
        </w:rPr>
      </w:pPr>
    </w:p>
    <w:p>
      <w:pPr>
        <w:spacing w:after="0"/>
        <w:tabs>
          <w:tab w:leader="none" w:pos="10680" w:val="left"/>
        </w:tabs>
        <w:rPr>
          <w:sz w:val="20"/>
          <w:szCs w:val="20"/>
          <w:color w:val="auto"/>
        </w:rPr>
      </w:pPr>
      <w:r>
        <w:rPr>
          <w:rFonts w:ascii="Arial" w:cs="Arial" w:eastAsia="Arial" w:hAnsi="Arial"/>
          <w:sz w:val="17"/>
          <w:szCs w:val="17"/>
          <w:color w:val="auto"/>
        </w:rPr>
        <w:t>tenders payment for such Ordinary Shares to the order of Sustainable Opportunities Acquisition Corp.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 the amount of $</w:t>
      </w:r>
      <w:r>
        <w:rPr>
          <w:sz w:val="20"/>
          <w:szCs w:val="20"/>
          <w:color w:val="auto"/>
        </w:rPr>
        <w:tab/>
      </w:r>
      <w:r>
        <w:rPr>
          <w:rFonts w:ascii="Arial" w:cs="Arial" w:eastAsia="Arial" w:hAnsi="Arial"/>
          <w:sz w:val="17"/>
          <w:szCs w:val="17"/>
          <w:color w:val="auto"/>
        </w:rPr>
        <w:t>in</w:t>
      </w:r>
    </w:p>
    <w:p>
      <w:pPr>
        <w:spacing w:after="0" w:line="21" w:lineRule="exact"/>
        <w:rPr>
          <w:sz w:val="20"/>
          <w:szCs w:val="20"/>
          <w:color w:val="auto"/>
        </w:rPr>
      </w:pPr>
    </w:p>
    <w:p>
      <w:pPr>
        <w:spacing w:after="0"/>
        <w:rPr>
          <w:sz w:val="20"/>
          <w:szCs w:val="20"/>
          <w:color w:val="auto"/>
        </w:rPr>
      </w:pPr>
      <w:r>
        <w:rPr>
          <w:rFonts w:ascii="Arial" w:cs="Arial" w:eastAsia="Arial" w:hAnsi="Arial"/>
          <w:sz w:val="18"/>
          <w:szCs w:val="18"/>
          <w:color w:val="auto"/>
        </w:rPr>
        <w:t>accordance with the terms hereof. The undersigned requests that a certificate for such Ordinary Shares be registered in the name of</w:t>
      </w:r>
    </w:p>
    <w:p>
      <w:pPr>
        <w:spacing w:after="0" w:line="9" w:lineRule="exact"/>
        <w:rPr>
          <w:sz w:val="20"/>
          <w:szCs w:val="20"/>
          <w:color w:val="auto"/>
        </w:rPr>
      </w:pPr>
    </w:p>
    <w:p>
      <w:pPr>
        <w:ind w:left="1400"/>
        <w:spacing w:after="0"/>
        <w:tabs>
          <w:tab w:leader="none" w:pos="3400" w:val="left"/>
          <w:tab w:leader="none" w:pos="7860" w:val="left"/>
          <w:tab w:leader="none" w:pos="10240" w:val="left"/>
        </w:tabs>
        <w:rPr>
          <w:sz w:val="20"/>
          <w:szCs w:val="20"/>
          <w:color w:val="auto"/>
        </w:rPr>
      </w:pPr>
      <w:r>
        <w:rPr>
          <w:rFonts w:ascii="Arial" w:cs="Arial" w:eastAsia="Arial" w:hAnsi="Arial"/>
          <w:sz w:val="18"/>
          <w:szCs w:val="18"/>
          <w:color w:val="auto"/>
        </w:rPr>
        <w:t>whose address is</w:t>
      </w:r>
      <w:r>
        <w:rPr>
          <w:sz w:val="20"/>
          <w:szCs w:val="20"/>
          <w:color w:val="auto"/>
        </w:rPr>
        <w:tab/>
      </w:r>
      <w:r>
        <w:rPr>
          <w:rFonts w:ascii="Arial" w:cs="Arial" w:eastAsia="Arial" w:hAnsi="Arial"/>
          <w:sz w:val="18"/>
          <w:szCs w:val="18"/>
          <w:color w:val="auto"/>
        </w:rPr>
        <w:t>and that such Ordinary Shares be delivered to</w:t>
      </w:r>
      <w:r>
        <w:rPr>
          <w:sz w:val="20"/>
          <w:szCs w:val="20"/>
          <w:color w:val="auto"/>
        </w:rPr>
        <w:tab/>
      </w:r>
      <w:r>
        <w:rPr>
          <w:rFonts w:ascii="Arial" w:cs="Arial" w:eastAsia="Arial" w:hAnsi="Arial"/>
          <w:sz w:val="18"/>
          <w:szCs w:val="18"/>
          <w:color w:val="auto"/>
        </w:rPr>
        <w:t>whose address is</w:t>
      </w:r>
      <w:r>
        <w:rPr>
          <w:sz w:val="20"/>
          <w:szCs w:val="20"/>
          <w:color w:val="auto"/>
        </w:rPr>
        <w:tab/>
      </w:r>
      <w:r>
        <w:rPr>
          <w:rFonts w:ascii="Arial" w:cs="Arial" w:eastAsia="Arial" w:hAnsi="Arial"/>
          <w:sz w:val="16"/>
          <w:szCs w:val="16"/>
          <w:color w:val="auto"/>
        </w:rPr>
        <w:t>. If said</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color w:val="auto"/>
        </w:rPr>
        <w:t>number of Ordinary Shares is less than all of the Ordinary Shares purchasable hereunder, the undersigned requests that a new Warrant Certificate</w:t>
      </w:r>
    </w:p>
    <w:p>
      <w:pPr>
        <w:spacing w:after="0" w:line="21" w:lineRule="exact"/>
        <w:rPr>
          <w:sz w:val="20"/>
          <w:szCs w:val="20"/>
          <w:color w:val="auto"/>
        </w:rPr>
      </w:pPr>
    </w:p>
    <w:p>
      <w:pPr>
        <w:spacing w:after="0"/>
        <w:tabs>
          <w:tab w:leader="none" w:pos="7700" w:val="left"/>
          <w:tab w:leader="none" w:pos="9980" w:val="left"/>
        </w:tabs>
        <w:rPr>
          <w:sz w:val="20"/>
          <w:szCs w:val="20"/>
          <w:color w:val="auto"/>
        </w:rPr>
      </w:pPr>
      <w:r>
        <w:rPr>
          <w:rFonts w:ascii="Arial" w:cs="Arial" w:eastAsia="Arial" w:hAnsi="Arial"/>
          <w:sz w:val="18"/>
          <w:szCs w:val="18"/>
          <w:color w:val="auto"/>
        </w:rPr>
        <w:t>representing the remaining balance of such Ordinary Shares be registered in the name of</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5"/>
          <w:szCs w:val="15"/>
          <w:color w:val="auto"/>
        </w:rPr>
        <w:t>and that such</w:t>
      </w:r>
    </w:p>
    <w:p>
      <w:pPr>
        <w:spacing w:after="0" w:line="9" w:lineRule="exact"/>
        <w:rPr>
          <w:sz w:val="20"/>
          <w:szCs w:val="20"/>
          <w:color w:val="auto"/>
        </w:rPr>
      </w:pPr>
    </w:p>
    <w:p>
      <w:pPr>
        <w:spacing w:after="0"/>
        <w:tabs>
          <w:tab w:leader="none" w:pos="3840" w:val="left"/>
          <w:tab w:leader="none" w:pos="6440" w:val="left"/>
        </w:tabs>
        <w:rPr>
          <w:sz w:val="20"/>
          <w:szCs w:val="20"/>
          <w:color w:val="auto"/>
        </w:rPr>
      </w:pPr>
      <w:r>
        <w:rPr>
          <w:rFonts w:ascii="Arial" w:cs="Arial" w:eastAsia="Arial" w:hAnsi="Arial"/>
          <w:sz w:val="18"/>
          <w:szCs w:val="18"/>
          <w:color w:val="auto"/>
        </w:rPr>
        <w:t>Warrant Certificate be delivered to</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 xml:space="preserve">In the event that the Warrant has been called for redemption by the Company pursuant to </w:t>
      </w:r>
      <w:r>
        <w:rPr>
          <w:rFonts w:ascii="Arial" w:cs="Arial" w:eastAsia="Arial" w:hAnsi="Arial"/>
          <w:sz w:val="18"/>
          <w:szCs w:val="18"/>
          <w:u w:val="single" w:color="auto"/>
          <w:color w:val="auto"/>
        </w:rPr>
        <w:t>Section 6</w:t>
      </w:r>
      <w:r>
        <w:rPr>
          <w:rFonts w:ascii="Arial" w:cs="Arial" w:eastAsia="Arial" w:hAnsi="Arial"/>
          <w:sz w:val="18"/>
          <w:szCs w:val="18"/>
          <w:color w:val="auto"/>
        </w:rPr>
        <w:t xml:space="preserve"> of the Warrant Agreement and the Company has required cashless exercise pursuant to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of the Warrant Agreement, the number of Ordinary Shares that this Warrant is exercisable for shall be determined in accordance with </w:t>
      </w:r>
      <w:r>
        <w:rPr>
          <w:rFonts w:ascii="Arial" w:cs="Arial" w:eastAsia="Arial" w:hAnsi="Arial"/>
          <w:sz w:val="18"/>
          <w:szCs w:val="18"/>
          <w:u w:val="single" w:color="auto"/>
          <w:color w:val="auto"/>
        </w:rPr>
        <w:t>subsection 3.3.1(b)</w:t>
      </w:r>
      <w:r>
        <w:rPr>
          <w:rFonts w:ascii="Arial" w:cs="Arial" w:eastAsia="Arial" w:hAnsi="Arial"/>
          <w:sz w:val="18"/>
          <w:szCs w:val="18"/>
          <w:color w:val="auto"/>
        </w:rPr>
        <w:t xml:space="preserve"> and </w:t>
      </w:r>
      <w:r>
        <w:rPr>
          <w:rFonts w:ascii="Arial" w:cs="Arial" w:eastAsia="Arial" w:hAnsi="Arial"/>
          <w:sz w:val="18"/>
          <w:szCs w:val="18"/>
          <w:u w:val="single" w:color="auto"/>
          <w:color w:val="auto"/>
        </w:rPr>
        <w:t>Section 6.4</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40" w:firstLine="648"/>
        <w:spacing w:after="0" w:line="263" w:lineRule="auto"/>
        <w:rPr>
          <w:sz w:val="20"/>
          <w:szCs w:val="20"/>
          <w:color w:val="auto"/>
        </w:rPr>
      </w:pPr>
      <w:r>
        <w:rPr>
          <w:rFonts w:ascii="Arial" w:cs="Arial" w:eastAsia="Arial" w:hAnsi="Arial"/>
          <w:sz w:val="18"/>
          <w:szCs w:val="18"/>
          <w:color w:val="auto"/>
        </w:rPr>
        <w:t xml:space="preserve">In the event that the Warrant is a Private Placement Warrant that is to be exercised on a “cashless” basis pursuant to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 the number of Ordinary Shares that this Warrant is exercisable for shall be determined in accordance with </w:t>
      </w:r>
      <w:r>
        <w:rPr>
          <w:rFonts w:ascii="Arial" w:cs="Arial" w:eastAsia="Arial" w:hAnsi="Arial"/>
          <w:sz w:val="18"/>
          <w:szCs w:val="18"/>
          <w:u w:val="single" w:color="auto"/>
          <w:color w:val="auto"/>
        </w:rPr>
        <w:t>subsection 3.3.1(c)</w:t>
      </w:r>
      <w:r>
        <w:rPr>
          <w:rFonts w:ascii="Arial" w:cs="Arial" w:eastAsia="Arial" w:hAnsi="Arial"/>
          <w:sz w:val="18"/>
          <w:szCs w:val="18"/>
          <w:color w:val="auto"/>
        </w:rPr>
        <w:t xml:space="preserve"> of the Warrant Agreement.</w:t>
      </w:r>
    </w:p>
    <w:p>
      <w:pPr>
        <w:spacing w:after="0" w:line="184" w:lineRule="exact"/>
        <w:rPr>
          <w:sz w:val="20"/>
          <w:szCs w:val="20"/>
          <w:color w:val="auto"/>
        </w:rPr>
      </w:pPr>
    </w:p>
    <w:p>
      <w:pPr>
        <w:ind w:right="260" w:firstLine="648"/>
        <w:spacing w:after="0" w:line="308" w:lineRule="auto"/>
        <w:rPr>
          <w:sz w:val="20"/>
          <w:szCs w:val="20"/>
          <w:color w:val="auto"/>
        </w:rPr>
      </w:pPr>
      <w:r>
        <w:rPr>
          <w:rFonts w:ascii="Arial" w:cs="Arial" w:eastAsia="Arial" w:hAnsi="Arial"/>
          <w:sz w:val="17"/>
          <w:szCs w:val="17"/>
          <w:color w:val="auto"/>
        </w:rPr>
        <w:t xml:space="preserve">In the event that the Warrant is to be exercised on a “cashless” basis pursuant to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 the number of Ordinary Shares that this Warrant is exercisable for shall be determined in accordance with </w:t>
      </w:r>
      <w:r>
        <w:rPr>
          <w:rFonts w:ascii="Arial" w:cs="Arial" w:eastAsia="Arial" w:hAnsi="Arial"/>
          <w:sz w:val="17"/>
          <w:szCs w:val="17"/>
          <w:u w:val="single" w:color="auto"/>
          <w:color w:val="auto"/>
        </w:rPr>
        <w:t>Section 7.4</w:t>
      </w:r>
      <w:r>
        <w:rPr>
          <w:rFonts w:ascii="Arial" w:cs="Arial" w:eastAsia="Arial" w:hAnsi="Arial"/>
          <w:sz w:val="17"/>
          <w:szCs w:val="17"/>
          <w:color w:val="auto"/>
        </w:rPr>
        <w:t xml:space="preserve"> of the Warrant Agreement.</w:t>
      </w:r>
    </w:p>
    <w:p>
      <w:pPr>
        <w:spacing w:after="0" w:line="146" w:lineRule="exact"/>
        <w:rPr>
          <w:sz w:val="20"/>
          <w:szCs w:val="20"/>
          <w:color w:val="auto"/>
        </w:rPr>
      </w:pPr>
    </w:p>
    <w:p>
      <w:pPr>
        <w:ind w:right="180" w:firstLine="648"/>
        <w:spacing w:after="0" w:line="285" w:lineRule="auto"/>
        <w:rPr>
          <w:sz w:val="20"/>
          <w:szCs w:val="20"/>
          <w:color w:val="auto"/>
        </w:rPr>
      </w:pPr>
      <w:r>
        <w:rPr>
          <w:rFonts w:ascii="Arial" w:cs="Arial" w:eastAsia="Arial" w:hAnsi="Arial"/>
          <w:sz w:val="16"/>
          <w:szCs w:val="16"/>
          <w:color w:val="auto"/>
        </w:rPr>
        <w:t>In the event that the Warrant may be exercised, to the extent allowed by the Warrant Agreement, through cashless exercise, (i) the number of Ordinary Shares that this Warrant is exercisable for would be determined in accordance with the relevant section of the Warrant Agreement which allows for such cashless exercise and (ii) the holder hereof shall complete the following: The undersigned hereby irrevocably elects to exercise the right, represented by this Warrant Certificate, through the cashless exercise provisions of the Warrant Agreement, to receive Ordinary Shares. If said number of shares is less than all of the Ordinary Shares purchasable hereunder (after giving effect to the cashless exercise), the undersigned requests that a new</w:t>
      </w:r>
    </w:p>
    <w:p>
      <w:pPr>
        <w:spacing w:after="0" w:line="2" w:lineRule="exact"/>
        <w:rPr>
          <w:sz w:val="20"/>
          <w:szCs w:val="20"/>
          <w:color w:val="auto"/>
        </w:rPr>
      </w:pPr>
    </w:p>
    <w:p>
      <w:pPr>
        <w:spacing w:after="0"/>
        <w:tabs>
          <w:tab w:leader="none" w:pos="9220" w:val="left"/>
        </w:tabs>
        <w:rPr>
          <w:sz w:val="20"/>
          <w:szCs w:val="20"/>
          <w:color w:val="auto"/>
        </w:rPr>
      </w:pPr>
      <w:r>
        <w:rPr>
          <w:rFonts w:ascii="Arial" w:cs="Arial" w:eastAsia="Arial" w:hAnsi="Arial"/>
          <w:sz w:val="18"/>
          <w:szCs w:val="18"/>
          <w:color w:val="auto"/>
        </w:rPr>
        <w:t>Warrant Certificate representing the remaining balance of such Ordinary Shares be registered in the name of</w:t>
      </w:r>
      <w:r>
        <w:rPr>
          <w:sz w:val="20"/>
          <w:szCs w:val="20"/>
          <w:color w:val="auto"/>
        </w:rPr>
        <w:tab/>
      </w:r>
      <w:r>
        <w:rPr>
          <w:rFonts w:ascii="Arial" w:cs="Arial" w:eastAsia="Arial" w:hAnsi="Arial"/>
          <w:sz w:val="15"/>
          <w:szCs w:val="15"/>
          <w:color w:val="auto"/>
        </w:rPr>
        <w:t>, whose address is</w:t>
      </w:r>
    </w:p>
    <w:p>
      <w:pPr>
        <w:spacing w:after="0" w:line="9" w:lineRule="exact"/>
        <w:rPr>
          <w:sz w:val="20"/>
          <w:szCs w:val="20"/>
          <w:color w:val="auto"/>
        </w:rPr>
      </w:pPr>
    </w:p>
    <w:p>
      <w:pPr>
        <w:ind w:left="1440"/>
        <w:spacing w:after="0"/>
        <w:tabs>
          <w:tab w:leader="none" w:pos="6360" w:val="left"/>
          <w:tab w:leader="none" w:pos="9100" w:val="left"/>
        </w:tabs>
        <w:rPr>
          <w:sz w:val="20"/>
          <w:szCs w:val="20"/>
          <w:color w:val="auto"/>
        </w:rPr>
      </w:pPr>
      <w:r>
        <w:rPr>
          <w:rFonts w:ascii="Arial" w:cs="Arial" w:eastAsia="Arial" w:hAnsi="Arial"/>
          <w:sz w:val="18"/>
          <w:szCs w:val="18"/>
          <w:color w:val="auto"/>
        </w:rPr>
        <w:t>and that such Warrant Certificate be delivered to</w:t>
      </w:r>
      <w:r>
        <w:rPr>
          <w:sz w:val="20"/>
          <w:szCs w:val="20"/>
          <w:color w:val="auto"/>
        </w:rPr>
        <w:tab/>
      </w:r>
      <w:r>
        <w:rPr>
          <w:rFonts w:ascii="Arial" w:cs="Arial" w:eastAsia="Arial" w:hAnsi="Arial"/>
          <w:sz w:val="18"/>
          <w:szCs w:val="18"/>
          <w:color w:val="auto"/>
        </w:rPr>
        <w:t>, whose address is</w:t>
      </w:r>
      <w:r>
        <w:rPr>
          <w:sz w:val="20"/>
          <w:szCs w:val="20"/>
          <w:color w:val="auto"/>
        </w:rPr>
        <w:tab/>
      </w:r>
      <w:r>
        <w:rPr>
          <w:rFonts w:ascii="Arial" w:cs="Arial" w:eastAsia="Arial" w:hAnsi="Arial"/>
          <w:sz w:val="13"/>
          <w:szCs w:val="13"/>
          <w:color w:val="auto"/>
        </w:rPr>
        <w:t>.</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w:t>
      </w:r>
      <w:r>
        <w:rPr>
          <w:rFonts w:ascii="Arial" w:cs="Arial" w:eastAsia="Arial" w:hAnsi="Arial"/>
          <w:sz w:val="18"/>
          <w:szCs w:val="18"/>
          <w:i w:val="1"/>
          <w:iCs w:val="1"/>
          <w:color w:val="auto"/>
        </w:rPr>
        <w:t>Signature Page Follows</w:t>
      </w:r>
      <w:r>
        <w:rPr>
          <w:rFonts w:ascii="Arial" w:cs="Arial" w:eastAsia="Arial" w:hAnsi="Arial"/>
          <w:sz w:val="18"/>
          <w:szCs w:val="18"/>
          <w:color w:val="auto"/>
        </w:rPr>
        <w:t>]</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08" w:right="359" w:bottom="1440" w:gutter="0" w:footer="0" w:header="0"/>
        </w:sectPr>
      </w:pPr>
    </w:p>
    <w:bookmarkStart w:id="236" w:name="page237"/>
    <w:bookmarkEnd w:id="236"/>
    <w:p>
      <w:pPr>
        <w:spacing w:after="0"/>
        <w:rPr>
          <w:sz w:val="20"/>
          <w:szCs w:val="20"/>
          <w:color w:val="auto"/>
        </w:rPr>
      </w:pPr>
      <w:r>
        <w:rPr>
          <w:rFonts w:ascii="Arial" w:cs="Arial" w:eastAsia="Arial" w:hAnsi="Arial"/>
          <w:sz w:val="18"/>
          <w:szCs w:val="18"/>
          <w:color w:val="auto"/>
        </w:rPr>
        <w:t>Date: ______, 20__</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280670</wp:posOffset>
            </wp:positionV>
            <wp:extent cx="2846070" cy="171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3">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280670</wp:posOffset>
            </wp:positionV>
            <wp:extent cx="2846070" cy="171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4">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4291330</wp:posOffset>
            </wp:positionH>
            <wp:positionV relativeFrom="paragraph">
              <wp:posOffset>280670</wp:posOffset>
            </wp:positionV>
            <wp:extent cx="2846070" cy="171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5">
                      <a:extLst>
                        <a:ext uri="{28A0092B-C50C-407E-A947-70E740481C1C}"/>
                      </a:extLst>
                    </a:blip>
                    <a:srcRect/>
                    <a:stretch>
                      <a:fillRect/>
                    </a:stretch>
                  </pic:blipFill>
                  <pic:spPr bwMode="auto">
                    <a:xfrm>
                      <a:off x="0" y="0"/>
                      <a:ext cx="2846070" cy="17145"/>
                    </a:xfrm>
                    <a:prstGeom prst="rect">
                      <a:avLst/>
                    </a:prstGeom>
                    <a:noFill/>
                  </pic:spPr>
                </pic:pic>
              </a:graphicData>
            </a:graphic>
          </wp:anchor>
        </w:drawing>
      </w:r>
    </w:p>
    <w:p>
      <w:pPr>
        <w:spacing w:after="0" w:line="200" w:lineRule="exact"/>
        <w:rPr>
          <w:sz w:val="20"/>
          <w:szCs w:val="20"/>
          <w:color w:val="auto"/>
        </w:rPr>
      </w:pPr>
    </w:p>
    <w:p>
      <w:pPr>
        <w:spacing w:after="0" w:line="235" w:lineRule="exact"/>
        <w:rPr>
          <w:sz w:val="20"/>
          <w:szCs w:val="20"/>
          <w:color w:val="auto"/>
        </w:rPr>
      </w:pPr>
    </w:p>
    <w:p>
      <w:pPr>
        <w:ind w:left="6760"/>
        <w:spacing w:after="0"/>
        <w:rPr>
          <w:sz w:val="20"/>
          <w:szCs w:val="20"/>
          <w:color w:val="auto"/>
        </w:rPr>
      </w:pPr>
      <w:r>
        <w:rPr>
          <w:rFonts w:ascii="Arial" w:cs="Arial" w:eastAsia="Arial" w:hAnsi="Arial"/>
          <w:sz w:val="18"/>
          <w:szCs w:val="18"/>
          <w:color w:val="auto"/>
        </w:rPr>
        <w:t>(Tax Identification Number)</w:t>
      </w:r>
    </w:p>
    <w:p>
      <w:pPr>
        <w:spacing w:after="0" w:line="225" w:lineRule="exact"/>
        <w:rPr>
          <w:sz w:val="20"/>
          <w:szCs w:val="20"/>
          <w:color w:val="auto"/>
        </w:rPr>
      </w:pPr>
    </w:p>
    <w:p>
      <w:pPr>
        <w:ind w:left="60"/>
        <w:spacing w:after="0"/>
        <w:rPr>
          <w:sz w:val="20"/>
          <w:szCs w:val="20"/>
          <w:color w:val="auto"/>
        </w:rPr>
      </w:pPr>
      <w:r>
        <w:rPr>
          <w:rFonts w:ascii="Arial" w:cs="Arial" w:eastAsia="Arial" w:hAnsi="Arial"/>
          <w:sz w:val="18"/>
          <w:szCs w:val="18"/>
          <w:color w:val="auto"/>
        </w:rPr>
        <w:t>Signature Guaranteed: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____________________________________</w:t>
      </w:r>
    </w:p>
    <w:p>
      <w:pPr>
        <w:spacing w:after="0" w:line="225" w:lineRule="exact"/>
        <w:rPr>
          <w:sz w:val="20"/>
          <w:szCs w:val="20"/>
          <w:color w:val="auto"/>
        </w:rPr>
      </w:pPr>
    </w:p>
    <w:p>
      <w:pPr>
        <w:ind w:firstLine="648"/>
        <w:spacing w:after="0" w:line="263" w:lineRule="auto"/>
        <w:rPr>
          <w:sz w:val="20"/>
          <w:szCs w:val="20"/>
          <w:color w:val="auto"/>
        </w:rPr>
      </w:pPr>
      <w:r>
        <w:rPr>
          <w:rFonts w:ascii="Arial" w:cs="Arial" w:eastAsia="Arial" w:hAnsi="Arial"/>
          <w:sz w:val="18"/>
          <w:szCs w:val="18"/>
          <w:color w:val="auto"/>
        </w:rPr>
        <w:t>THE SIGNATURE(S) SHOULD BE GUARANTEED BY AN ELIGIBLE GUARANTOR INSTITUTION (BANKS, STOCKBROKERS, SAVINGS AND LOAN ASSOCIATIONS AND CREDIT UNIONS WITH MEMBERSHIP IN AN APPROVED SIGNATURE GUARANTEE MEDALLION PROGRAM, PURSUANT TO SEC RULE 17Ad-15 (OR ANY SUCCESSOR RULE)).</w:t>
      </w:r>
    </w:p>
    <w:p>
      <w:pPr>
        <w:spacing w:after="0" w:line="392" w:lineRule="exact"/>
        <w:rPr>
          <w:sz w:val="20"/>
          <w:szCs w:val="20"/>
          <w:color w:val="auto"/>
        </w:rPr>
      </w:pPr>
    </w:p>
    <w:p>
      <w:pPr>
        <w:ind w:left="5460"/>
        <w:spacing w:after="0"/>
        <w:rPr>
          <w:sz w:val="20"/>
          <w:szCs w:val="20"/>
          <w:color w:val="auto"/>
        </w:rPr>
      </w:pPr>
      <w:r>
        <w:rPr>
          <w:rFonts w:ascii="Arial" w:cs="Arial" w:eastAsia="Arial" w:hAnsi="Arial"/>
          <w:sz w:val="22"/>
          <w:szCs w:val="22"/>
          <w:color w:val="auto"/>
        </w:rPr>
        <w:t>A-6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660"/>
          </w:cols>
          <w:pgMar w:left="320" w:top="908" w:right="919" w:bottom="1440" w:gutter="0" w:footer="0" w:header="0"/>
        </w:sectPr>
      </w:pPr>
    </w:p>
    <w:bookmarkStart w:id="237" w:name="page238"/>
    <w:bookmarkEnd w:id="237"/>
    <w:p>
      <w:pPr>
        <w:jc w:val="center"/>
        <w:ind w:right="-59"/>
        <w:spacing w:after="0"/>
        <w:rPr>
          <w:sz w:val="20"/>
          <w:szCs w:val="20"/>
          <w:color w:val="auto"/>
        </w:rPr>
      </w:pPr>
      <w:r>
        <w:rPr>
          <w:rFonts w:ascii="Arial" w:cs="Arial" w:eastAsia="Arial" w:hAnsi="Arial"/>
          <w:sz w:val="18"/>
          <w:szCs w:val="18"/>
          <w:b w:val="1"/>
          <w:bCs w:val="1"/>
          <w:color w:val="auto"/>
        </w:rPr>
        <w:t>EXHIBIT B</w:t>
      </w:r>
    </w:p>
    <w:p>
      <w:pPr>
        <w:spacing w:after="0" w:line="27"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LEGEND</w:t>
      </w:r>
    </w:p>
    <w:p>
      <w:pPr>
        <w:spacing w:after="0" w:line="211" w:lineRule="exact"/>
        <w:rPr>
          <w:sz w:val="20"/>
          <w:szCs w:val="20"/>
          <w:color w:val="auto"/>
        </w:rPr>
      </w:pPr>
    </w:p>
    <w:p>
      <w:pPr>
        <w:ind w:firstLine="648"/>
        <w:spacing w:after="0" w:line="253" w:lineRule="auto"/>
        <w:rPr>
          <w:sz w:val="20"/>
          <w:szCs w:val="20"/>
          <w:color w:val="auto"/>
        </w:rPr>
      </w:pPr>
      <w:r>
        <w:rPr>
          <w:rFonts w:ascii="Arial" w:cs="Arial" w:eastAsia="Arial" w:hAnsi="Arial"/>
          <w:sz w:val="18"/>
          <w:szCs w:val="18"/>
          <w:color w:val="auto"/>
        </w:rPr>
        <w:t>“THE SECURITIES REPRESENTED BY THIS CERTIFICATE HAVE NOT BEEN REGISTERED UNDER THE SECURITIES ACT OF 1933, AS AMENDED, OR ANY STATE SECURITIES LAWS, AND MAY NOT BE OFFERED, SOLD, TRANSFERRED OR OTHERWISE DISPOSED OF UNLESS REGISTERED UNDER THE SECURITIES ACT OF 1933, AS AMENDED, AND ANY APPLICABLE STATE SECURITIES LAWS OR AN EXEMPTION FROM REGISTRATION IS AVAILABLE. IN ADDITION, SUBJECT TO ANY ADDITIONAL LIMITATIONS ON TRANSFER DESCRIBED IN THE LETTER AGREEMENT BY AND AMONG SUSTAINABLE OPPORTUNITIES ACQUISITION CORP.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xml:space="preserve">”) AND THE OTHER SIGNATORIES THERETO, THE SECURITIES REPRESENTED BY THIS CERTIFICATE MAY NOT BE SOLD OR TRANSFERRED PRIOR TO THE DATE THAT IS THIRTY DAYS AFTER THE DATE UPON WHICH THE COMPANY COMPLETES ITS INITIAL BUSINESS COMBINATION (AS DEFINED IN </w:t>
      </w:r>
      <w:r>
        <w:rPr>
          <w:rFonts w:ascii="Arial" w:cs="Arial" w:eastAsia="Arial" w:hAnsi="Arial"/>
          <w:sz w:val="18"/>
          <w:szCs w:val="18"/>
          <w:u w:val="single" w:color="auto"/>
          <w:color w:val="auto"/>
        </w:rPr>
        <w:t>SECTION 3</w:t>
      </w:r>
      <w:r>
        <w:rPr>
          <w:rFonts w:ascii="Arial" w:cs="Arial" w:eastAsia="Arial" w:hAnsi="Arial"/>
          <w:sz w:val="18"/>
          <w:szCs w:val="18"/>
          <w:color w:val="auto"/>
        </w:rPr>
        <w:t xml:space="preserve"> OF THE WARRANT AGREEMENT REFERRED TO HEREIN) EXCEPT TO A PERMITTED TRANSFEREE (AS DEFINED IN </w:t>
      </w:r>
      <w:r>
        <w:rPr>
          <w:rFonts w:ascii="Arial" w:cs="Arial" w:eastAsia="Arial" w:hAnsi="Arial"/>
          <w:sz w:val="18"/>
          <w:szCs w:val="18"/>
          <w:u w:val="single" w:color="auto"/>
          <w:color w:val="auto"/>
        </w:rPr>
        <w:t>SECTION 2</w:t>
      </w:r>
      <w:r>
        <w:rPr>
          <w:rFonts w:ascii="Arial" w:cs="Arial" w:eastAsia="Arial" w:hAnsi="Arial"/>
          <w:sz w:val="18"/>
          <w:szCs w:val="18"/>
          <w:color w:val="auto"/>
        </w:rPr>
        <w:t xml:space="preserve"> OF THE WARRANT AGREEMENT) WHO AGREES IN WRITING WITH THE COMPANY TO BE SUBJECT TO SUCH TRANSFER PROVISIONS.</w:t>
      </w:r>
    </w:p>
    <w:p>
      <w:pPr>
        <w:spacing w:after="0" w:line="194" w:lineRule="exact"/>
        <w:rPr>
          <w:sz w:val="20"/>
          <w:szCs w:val="20"/>
          <w:color w:val="auto"/>
        </w:rPr>
      </w:pPr>
    </w:p>
    <w:p>
      <w:pPr>
        <w:ind w:right="40" w:firstLine="648"/>
        <w:spacing w:after="0" w:line="263" w:lineRule="auto"/>
        <w:rPr>
          <w:sz w:val="20"/>
          <w:szCs w:val="20"/>
          <w:color w:val="auto"/>
        </w:rPr>
      </w:pPr>
      <w:r>
        <w:rPr>
          <w:rFonts w:ascii="Arial" w:cs="Arial" w:eastAsia="Arial" w:hAnsi="Arial"/>
          <w:sz w:val="18"/>
          <w:szCs w:val="18"/>
          <w:color w:val="auto"/>
        </w:rPr>
        <w:t>SECURITIES EVIDENCED BY THIS CERTIFICATE AND CLASS A ORDINARY SHARES OF THE COMPANY ISSUED UPON EXERCISE OF SUCH SECURITIES SHALL BE ENTITLED TO REGISTRATION RIGHTS UNDER AN AGREEMENT TO BE ENTERED INTO BY THE COMPANY.”</w:t>
      </w:r>
    </w:p>
    <w:p>
      <w:pPr>
        <w:spacing w:after="0" w:line="400"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B-1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04" w:right="379" w:bottom="1440" w:gutter="0" w:footer="0" w:header="0"/>
        </w:sectPr>
      </w:pPr>
    </w:p>
    <w:bookmarkStart w:id="238" w:name="page239"/>
    <w:bookmarkEnd w:id="238"/>
    <w:p>
      <w:pPr>
        <w:jc w:val="right"/>
        <w:spacing w:after="0"/>
        <w:rPr>
          <w:sz w:val="20"/>
          <w:szCs w:val="20"/>
          <w:color w:val="auto"/>
        </w:rPr>
      </w:pPr>
      <w:r>
        <w:rPr>
          <w:rFonts w:ascii="Arial" w:cs="Arial" w:eastAsia="Arial" w:hAnsi="Arial"/>
          <w:sz w:val="22"/>
          <w:szCs w:val="22"/>
          <w:b w:val="1"/>
          <w:bCs w:val="1"/>
          <w:color w:val="auto"/>
        </w:rPr>
        <w:t>Exhibit 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165735</wp:posOffset>
            </wp:positionV>
            <wp:extent cx="822960" cy="77978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8">
                      <a:extLst>
                        <a:ext uri="{28A0092B-C50C-407E-A947-70E740481C1C}"/>
                      </a:extLst>
                    </a:blip>
                    <a:srcRect/>
                    <a:stretch>
                      <a:fillRect/>
                    </a:stretch>
                  </pic:blipFill>
                  <pic:spPr bwMode="auto">
                    <a:xfrm>
                      <a:off x="0" y="0"/>
                      <a:ext cx="822960" cy="7797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spacing w:after="0"/>
        <w:rPr>
          <w:sz w:val="20"/>
          <w:szCs w:val="20"/>
          <w:color w:val="auto"/>
        </w:rPr>
      </w:pPr>
      <w:r>
        <w:rPr>
          <w:rFonts w:ascii="Arial" w:cs="Arial" w:eastAsia="Arial" w:hAnsi="Arial"/>
          <w:sz w:val="18"/>
          <w:szCs w:val="18"/>
          <w:color w:val="auto"/>
        </w:rPr>
        <w:t>Sustainable Opportunities Acquisition Corp.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PO Box 309, Ugland House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1 May 2020</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Sustainable Opportunities Acquisition Corp.</w:t>
      </w:r>
    </w:p>
    <w:p>
      <w:pPr>
        <w:spacing w:after="0" w:line="225" w:lineRule="exact"/>
        <w:rPr>
          <w:sz w:val="20"/>
          <w:szCs w:val="20"/>
          <w:color w:val="auto"/>
        </w:rPr>
      </w:pPr>
    </w:p>
    <w:p>
      <w:pPr>
        <w:ind w:right="80"/>
        <w:spacing w:after="0" w:line="281" w:lineRule="auto"/>
        <w:rPr>
          <w:sz w:val="20"/>
          <w:szCs w:val="20"/>
          <w:color w:val="auto"/>
        </w:rPr>
      </w:pPr>
      <w:r>
        <w:rPr>
          <w:rFonts w:ascii="Arial" w:cs="Arial" w:eastAsia="Arial" w:hAnsi="Arial"/>
          <w:sz w:val="17"/>
          <w:szCs w:val="17"/>
          <w:color w:val="auto"/>
        </w:rPr>
        <w:t>We have acted as counsel as to Cayman Islands law to Sustainable Opportunities Acquisition Corp. (the “</w:t>
      </w:r>
      <w:r>
        <w:rPr>
          <w:rFonts w:ascii="Arial" w:cs="Arial" w:eastAsia="Arial" w:hAnsi="Arial"/>
          <w:sz w:val="17"/>
          <w:szCs w:val="17"/>
          <w:b w:val="1"/>
          <w:bCs w:val="1"/>
          <w:color w:val="auto"/>
        </w:rPr>
        <w:t>Company</w:t>
      </w:r>
      <w:r>
        <w:rPr>
          <w:rFonts w:ascii="Arial" w:cs="Arial" w:eastAsia="Arial" w:hAnsi="Arial"/>
          <w:sz w:val="17"/>
          <w:szCs w:val="17"/>
          <w:color w:val="auto"/>
        </w:rPr>
        <w:t>”) in connection with the Company’s registration statement on Form S-1, including all amendments or supplements thereto, filed with the United States Securities and Exchange Commission (the “</w:t>
      </w:r>
      <w:r>
        <w:rPr>
          <w:rFonts w:ascii="Arial" w:cs="Arial" w:eastAsia="Arial" w:hAnsi="Arial"/>
          <w:sz w:val="17"/>
          <w:szCs w:val="17"/>
          <w:b w:val="1"/>
          <w:bCs w:val="1"/>
          <w:color w:val="auto"/>
        </w:rPr>
        <w:t>Commission</w:t>
      </w:r>
      <w:r>
        <w:rPr>
          <w:rFonts w:ascii="Arial" w:cs="Arial" w:eastAsia="Arial" w:hAnsi="Arial"/>
          <w:sz w:val="17"/>
          <w:szCs w:val="17"/>
          <w:color w:val="auto"/>
        </w:rPr>
        <w:t>”) under the United States Securities Act of 1933, as amended (the “</w:t>
      </w:r>
      <w:r>
        <w:rPr>
          <w:rFonts w:ascii="Arial" w:cs="Arial" w:eastAsia="Arial" w:hAnsi="Arial"/>
          <w:sz w:val="17"/>
          <w:szCs w:val="17"/>
          <w:b w:val="1"/>
          <w:bCs w:val="1"/>
          <w:color w:val="auto"/>
        </w:rPr>
        <w:t>Act</w:t>
      </w:r>
      <w:r>
        <w:rPr>
          <w:rFonts w:ascii="Arial" w:cs="Arial" w:eastAsia="Arial" w:hAnsi="Arial"/>
          <w:sz w:val="17"/>
          <w:szCs w:val="17"/>
          <w:color w:val="auto"/>
        </w:rPr>
        <w:t>”) (including its exhibits, the “</w:t>
      </w:r>
      <w:r>
        <w:rPr>
          <w:rFonts w:ascii="Arial" w:cs="Arial" w:eastAsia="Arial" w:hAnsi="Arial"/>
          <w:sz w:val="17"/>
          <w:szCs w:val="17"/>
          <w:b w:val="1"/>
          <w:bCs w:val="1"/>
          <w:color w:val="auto"/>
        </w:rPr>
        <w:t>Registration Statement</w:t>
      </w:r>
      <w:r>
        <w:rPr>
          <w:rFonts w:ascii="Arial" w:cs="Arial" w:eastAsia="Arial" w:hAnsi="Arial"/>
          <w:sz w:val="17"/>
          <w:szCs w:val="17"/>
          <w:color w:val="auto"/>
        </w:rPr>
        <w:t>”) for the purposes of, registering with the Commission under the Act, the offering and sale to the public of:</w:t>
      </w:r>
    </w:p>
    <w:p>
      <w:pPr>
        <w:spacing w:after="0" w:line="169" w:lineRule="exact"/>
        <w:rPr>
          <w:sz w:val="20"/>
          <w:szCs w:val="20"/>
          <w:color w:val="auto"/>
        </w:rPr>
      </w:pPr>
    </w:p>
    <w:p>
      <w:pPr>
        <w:ind w:left="660" w:right="200" w:hanging="652"/>
        <w:spacing w:after="0" w:line="263" w:lineRule="auto"/>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up to 34,500,000 units (including 4,500,000 units, which the several underwriters for whom Citigroup Global Markets Inc. is acting as representative (the “</w:t>
      </w:r>
      <w:r>
        <w:rPr>
          <w:rFonts w:ascii="Arial" w:cs="Arial" w:eastAsia="Arial" w:hAnsi="Arial"/>
          <w:sz w:val="18"/>
          <w:szCs w:val="18"/>
          <w:b w:val="1"/>
          <w:bCs w:val="1"/>
          <w:color w:val="auto"/>
        </w:rPr>
        <w:t>Representative</w:t>
      </w:r>
      <w:r>
        <w:rPr>
          <w:rFonts w:ascii="Arial" w:cs="Arial" w:eastAsia="Arial" w:hAnsi="Arial"/>
          <w:sz w:val="18"/>
          <w:szCs w:val="18"/>
          <w:color w:val="auto"/>
        </w:rPr>
        <w:t>”) will have a 45 day option to purchase from the Company to cover over-allotments, if any) (“</w:t>
      </w:r>
      <w:r>
        <w:rPr>
          <w:rFonts w:ascii="Arial" w:cs="Arial" w:eastAsia="Arial" w:hAnsi="Arial"/>
          <w:sz w:val="18"/>
          <w:szCs w:val="18"/>
          <w:b w:val="1"/>
          <w:bCs w:val="1"/>
          <w:color w:val="auto"/>
        </w:rPr>
        <w:t>Units</w:t>
      </w:r>
      <w:r>
        <w:rPr>
          <w:rFonts w:ascii="Arial" w:cs="Arial" w:eastAsia="Arial" w:hAnsi="Arial"/>
          <w:sz w:val="18"/>
          <w:szCs w:val="18"/>
          <w:color w:val="auto"/>
        </w:rPr>
        <w:t>”) at an offering price of US$10 per Unit, each Unit consisting of:</w:t>
      </w:r>
    </w:p>
    <w:p>
      <w:pPr>
        <w:spacing w:after="0" w:line="179" w:lineRule="exact"/>
        <w:rPr>
          <w:rFonts w:ascii="Arial" w:cs="Arial" w:eastAsia="Arial" w:hAnsi="Arial"/>
          <w:sz w:val="18"/>
          <w:szCs w:val="18"/>
          <w:color w:val="auto"/>
        </w:rPr>
      </w:pPr>
    </w:p>
    <w:p>
      <w:pPr>
        <w:ind w:left="1300" w:hanging="644"/>
        <w:spacing w:after="0"/>
        <w:tabs>
          <w:tab w:leader="none" w:pos="13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one Class A ordinary share of the Company of a par value of US$0.0001 each (“</w:t>
      </w:r>
      <w:r>
        <w:rPr>
          <w:rFonts w:ascii="Arial" w:cs="Arial" w:eastAsia="Arial" w:hAnsi="Arial"/>
          <w:sz w:val="18"/>
          <w:szCs w:val="18"/>
          <w:b w:val="1"/>
          <w:bCs w:val="1"/>
          <w:color w:val="auto"/>
        </w:rPr>
        <w:t>Ordinary Shares</w:t>
      </w:r>
      <w:r>
        <w:rPr>
          <w:rFonts w:ascii="Arial" w:cs="Arial" w:eastAsia="Arial" w:hAnsi="Arial"/>
          <w:sz w:val="18"/>
          <w:szCs w:val="18"/>
          <w:color w:val="auto"/>
        </w:rPr>
        <w:t>”); and</w:t>
      </w:r>
    </w:p>
    <w:p>
      <w:pPr>
        <w:spacing w:after="0" w:line="229" w:lineRule="exact"/>
        <w:rPr>
          <w:rFonts w:ascii="Arial" w:cs="Arial" w:eastAsia="Arial" w:hAnsi="Arial"/>
          <w:sz w:val="18"/>
          <w:szCs w:val="18"/>
          <w:color w:val="auto"/>
        </w:rPr>
      </w:pPr>
    </w:p>
    <w:p>
      <w:pPr>
        <w:ind w:left="1300" w:right="40" w:hanging="644"/>
        <w:spacing w:after="0" w:line="277" w:lineRule="auto"/>
        <w:tabs>
          <w:tab w:leader="none" w:pos="1300" w:val="left"/>
        </w:tabs>
        <w:numPr>
          <w:ilvl w:val="1"/>
          <w:numId w:val="157"/>
        </w:numPr>
        <w:rPr>
          <w:rFonts w:ascii="Arial" w:cs="Arial" w:eastAsia="Arial" w:hAnsi="Arial"/>
          <w:sz w:val="18"/>
          <w:szCs w:val="18"/>
          <w:color w:val="auto"/>
        </w:rPr>
      </w:pPr>
      <w:r>
        <w:rPr>
          <w:rFonts w:ascii="Arial" w:cs="Arial" w:eastAsia="Arial" w:hAnsi="Arial"/>
          <w:sz w:val="18"/>
          <w:szCs w:val="18"/>
          <w:color w:val="auto"/>
        </w:rPr>
        <w:t>one-half of one redeemable warrant to purchase one Ordinary Share, each whole Warrant exercisable to purchase one Ordinary Share at a price of US$11.50 per Ordinary Share (“</w:t>
      </w:r>
      <w:r>
        <w:rPr>
          <w:rFonts w:ascii="Arial" w:cs="Arial" w:eastAsia="Arial" w:hAnsi="Arial"/>
          <w:sz w:val="18"/>
          <w:szCs w:val="18"/>
          <w:b w:val="1"/>
          <w:bCs w:val="1"/>
          <w:color w:val="auto"/>
        </w:rPr>
        <w:t>Warrants</w:t>
      </w:r>
      <w:r>
        <w:rPr>
          <w:rFonts w:ascii="Arial" w:cs="Arial" w:eastAsia="Arial" w:hAnsi="Arial"/>
          <w:sz w:val="18"/>
          <w:szCs w:val="18"/>
          <w:color w:val="auto"/>
        </w:rPr>
        <w:t>”);</w:t>
      </w:r>
    </w:p>
    <w:p>
      <w:pPr>
        <w:spacing w:after="0" w:line="170" w:lineRule="exact"/>
        <w:rPr>
          <w:rFonts w:ascii="Arial" w:cs="Arial" w:eastAsia="Arial" w:hAnsi="Arial"/>
          <w:sz w:val="18"/>
          <w:szCs w:val="18"/>
          <w:color w:val="auto"/>
        </w:rPr>
      </w:pPr>
    </w:p>
    <w:p>
      <w:pPr>
        <w:ind w:left="660" w:hanging="652"/>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Ordinary Shares and Warrants issued as part of the Units; and</w:t>
      </w:r>
    </w:p>
    <w:p>
      <w:pPr>
        <w:spacing w:after="0" w:line="225" w:lineRule="exact"/>
        <w:rPr>
          <w:rFonts w:ascii="Arial" w:cs="Arial" w:eastAsia="Arial" w:hAnsi="Arial"/>
          <w:sz w:val="18"/>
          <w:szCs w:val="18"/>
          <w:color w:val="auto"/>
        </w:rPr>
      </w:pPr>
    </w:p>
    <w:p>
      <w:pPr>
        <w:ind w:left="660" w:hanging="652"/>
        <w:spacing w:after="0"/>
        <w:tabs>
          <w:tab w:leader="none" w:pos="660" w:val="left"/>
        </w:tabs>
        <w:numPr>
          <w:ilvl w:val="0"/>
          <w:numId w:val="157"/>
        </w:numPr>
        <w:rPr>
          <w:rFonts w:ascii="Arial" w:cs="Arial" w:eastAsia="Arial" w:hAnsi="Arial"/>
          <w:sz w:val="18"/>
          <w:szCs w:val="18"/>
          <w:color w:val="auto"/>
        </w:rPr>
      </w:pPr>
      <w:r>
        <w:rPr>
          <w:rFonts w:ascii="Arial" w:cs="Arial" w:eastAsia="Arial" w:hAnsi="Arial"/>
          <w:sz w:val="18"/>
          <w:szCs w:val="18"/>
          <w:color w:val="auto"/>
        </w:rPr>
        <w:t>all Ordinary Shares that may be issued upon exercise of the Warrants included in the 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940435</wp:posOffset>
            </wp:positionV>
            <wp:extent cx="7132320" cy="1714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151765</wp:posOffset>
            </wp:positionV>
            <wp:extent cx="5597525" cy="36004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0">
                      <a:extLst>
                        <a:ext uri="{28A0092B-C50C-407E-A947-70E740481C1C}"/>
                      </a:extLst>
                    </a:blip>
                    <a:srcRect/>
                    <a:stretch>
                      <a:fillRect/>
                    </a:stretch>
                  </pic:blipFill>
                  <pic:spPr bwMode="auto">
                    <a:xfrm>
                      <a:off x="0" y="0"/>
                      <a:ext cx="5597525" cy="3600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239" w:name="page240"/>
    <w:bookmarkEnd w:id="239"/>
    <w:p>
      <w:pPr>
        <w:spacing w:after="0"/>
        <w:rPr>
          <w:sz w:val="20"/>
          <w:szCs w:val="20"/>
          <w:color w:val="auto"/>
        </w:rPr>
      </w:pPr>
      <w:r>
        <w:rPr>
          <w:rFonts w:ascii="Arial" w:cs="Arial" w:eastAsia="Arial" w:hAnsi="Arial"/>
          <w:sz w:val="18"/>
          <w:szCs w:val="18"/>
          <w:color w:val="auto"/>
        </w:rPr>
        <w:t>This opinion letter is given in accordance with the terms of the Legal Matters section of the Registration Statement.</w:t>
      </w:r>
    </w:p>
    <w:p>
      <w:pPr>
        <w:spacing w:after="0" w:line="221" w:lineRule="exact"/>
        <w:rPr>
          <w:sz w:val="20"/>
          <w:szCs w:val="20"/>
          <w:color w:val="auto"/>
        </w:rPr>
      </w:pPr>
    </w:p>
    <w:p>
      <w:pPr>
        <w:ind w:left="660" w:hanging="652"/>
        <w:spacing w:after="0"/>
        <w:tabs>
          <w:tab w:leader="none" w:pos="660" w:val="left"/>
        </w:tabs>
        <w:numPr>
          <w:ilvl w:val="0"/>
          <w:numId w:val="158"/>
        </w:numPr>
        <w:rPr>
          <w:rFonts w:ascii="Arial" w:cs="Arial" w:eastAsia="Arial" w:hAnsi="Arial"/>
          <w:sz w:val="18"/>
          <w:szCs w:val="18"/>
          <w:b w:val="1"/>
          <w:bCs w:val="1"/>
          <w:color w:val="auto"/>
        </w:rPr>
      </w:pPr>
      <w:r>
        <w:rPr>
          <w:rFonts w:ascii="Arial" w:cs="Arial" w:eastAsia="Arial" w:hAnsi="Arial"/>
          <w:sz w:val="18"/>
          <w:szCs w:val="18"/>
          <w:b w:val="1"/>
          <w:bCs w:val="1"/>
          <w:color w:val="auto"/>
        </w:rPr>
        <w:t>Documents Reviewed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We have reviewed originals, copies, drafts or conformed copies of the following documents:</w:t>
      </w:r>
    </w:p>
    <w:p>
      <w:pPr>
        <w:spacing w:after="0" w:line="225" w:lineRule="exact"/>
        <w:rPr>
          <w:sz w:val="20"/>
          <w:szCs w:val="20"/>
          <w:color w:val="auto"/>
        </w:rPr>
      </w:pPr>
    </w:p>
    <w:p>
      <w:pPr>
        <w:ind w:left="660" w:right="620" w:hanging="647"/>
        <w:spacing w:after="0" w:line="277" w:lineRule="auto"/>
        <w:tabs>
          <w:tab w:leader="none" w:pos="640" w:val="left"/>
        </w:tabs>
        <w:rPr>
          <w:sz w:val="20"/>
          <w:szCs w:val="20"/>
          <w:color w:val="auto"/>
        </w:rPr>
      </w:pPr>
      <w:r>
        <w:rPr>
          <w:rFonts w:ascii="Arial" w:cs="Arial" w:eastAsia="Arial" w:hAnsi="Arial"/>
          <w:sz w:val="18"/>
          <w:szCs w:val="18"/>
          <w:color w:val="auto"/>
        </w:rPr>
        <w:t>1.1</w:t>
      </w:r>
      <w:r>
        <w:rPr>
          <w:sz w:val="20"/>
          <w:szCs w:val="20"/>
          <w:color w:val="auto"/>
        </w:rPr>
        <w:tab/>
      </w:r>
      <w:r>
        <w:rPr>
          <w:rFonts w:ascii="Arial" w:cs="Arial" w:eastAsia="Arial" w:hAnsi="Arial"/>
          <w:sz w:val="18"/>
          <w:szCs w:val="18"/>
          <w:color w:val="auto"/>
        </w:rPr>
        <w:t>The certificate of incorporation dated 18 December 2019 and the memorandum and articles of association of the Company as registered or adopted on 18 December 2019 (the “</w:t>
      </w:r>
      <w:r>
        <w:rPr>
          <w:rFonts w:ascii="Arial" w:cs="Arial" w:eastAsia="Arial" w:hAnsi="Arial"/>
          <w:sz w:val="18"/>
          <w:szCs w:val="18"/>
          <w:b w:val="1"/>
          <w:bCs w:val="1"/>
          <w:color w:val="auto"/>
        </w:rPr>
        <w:t>Memorandum and Articles</w:t>
      </w:r>
      <w:r>
        <w:rPr>
          <w:rFonts w:ascii="Arial" w:cs="Arial" w:eastAsia="Arial" w:hAnsi="Arial"/>
          <w:sz w:val="18"/>
          <w:szCs w:val="18"/>
          <w:color w:val="auto"/>
        </w:rPr>
        <w:t>”).</w:t>
      </w:r>
    </w:p>
    <w:p>
      <w:pPr>
        <w:spacing w:after="0" w:line="166" w:lineRule="exact"/>
        <w:rPr>
          <w:sz w:val="20"/>
          <w:szCs w:val="20"/>
          <w:color w:val="auto"/>
        </w:rPr>
      </w:pPr>
    </w:p>
    <w:p>
      <w:pPr>
        <w:ind w:left="660" w:right="280" w:hanging="647"/>
        <w:spacing w:after="0" w:line="282" w:lineRule="auto"/>
        <w:tabs>
          <w:tab w:leader="none" w:pos="640" w:val="left"/>
        </w:tabs>
        <w:rPr>
          <w:sz w:val="20"/>
          <w:szCs w:val="20"/>
          <w:color w:val="auto"/>
        </w:rPr>
      </w:pPr>
      <w:r>
        <w:rPr>
          <w:rFonts w:ascii="Arial" w:cs="Arial" w:eastAsia="Arial" w:hAnsi="Arial"/>
          <w:sz w:val="18"/>
          <w:szCs w:val="18"/>
          <w:color w:val="auto"/>
        </w:rPr>
        <w:t>1.2</w:t>
      </w:r>
      <w:r>
        <w:rPr>
          <w:sz w:val="20"/>
          <w:szCs w:val="20"/>
          <w:color w:val="auto"/>
        </w:rPr>
        <w:tab/>
      </w:r>
      <w:r>
        <w:rPr>
          <w:rFonts w:ascii="Arial" w:cs="Arial" w:eastAsia="Arial" w:hAnsi="Arial"/>
          <w:sz w:val="18"/>
          <w:szCs w:val="18"/>
          <w:color w:val="auto"/>
        </w:rPr>
        <w:t>The written resolutions of the board of directors of the Company dated 31 December 2019 (the “</w:t>
      </w:r>
      <w:r>
        <w:rPr>
          <w:rFonts w:ascii="Arial" w:cs="Arial" w:eastAsia="Arial" w:hAnsi="Arial"/>
          <w:sz w:val="18"/>
          <w:szCs w:val="18"/>
          <w:b w:val="1"/>
          <w:bCs w:val="1"/>
          <w:color w:val="auto"/>
        </w:rPr>
        <w:t>Resolutions</w:t>
      </w:r>
      <w:r>
        <w:rPr>
          <w:rFonts w:ascii="Arial" w:cs="Arial" w:eastAsia="Arial" w:hAnsi="Arial"/>
          <w:sz w:val="18"/>
          <w:szCs w:val="18"/>
          <w:color w:val="auto"/>
        </w:rPr>
        <w:t>”) and the corporate records of the Company maintained at its registered office in the Cayman Islands.</w:t>
      </w:r>
    </w:p>
    <w:p>
      <w:pPr>
        <w:spacing w:after="0" w:line="162"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1.3</w:t>
      </w:r>
      <w:r>
        <w:rPr>
          <w:sz w:val="20"/>
          <w:szCs w:val="20"/>
          <w:color w:val="auto"/>
        </w:rPr>
        <w:tab/>
      </w:r>
      <w:r>
        <w:rPr>
          <w:rFonts w:ascii="Arial" w:cs="Arial" w:eastAsia="Arial" w:hAnsi="Arial"/>
          <w:sz w:val="16"/>
          <w:szCs w:val="16"/>
          <w:color w:val="auto"/>
        </w:rPr>
        <w:t>A certificate of good standing with respect to the Company issued by the Registrar of Companies (the “</w:t>
      </w:r>
      <w:r>
        <w:rPr>
          <w:rFonts w:ascii="Arial" w:cs="Arial" w:eastAsia="Arial" w:hAnsi="Arial"/>
          <w:sz w:val="16"/>
          <w:szCs w:val="16"/>
          <w:b w:val="1"/>
          <w:bCs w:val="1"/>
          <w:color w:val="auto"/>
        </w:rPr>
        <w:t>Certificate of Good Standing</w:t>
      </w:r>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1.4</w:t>
      </w:r>
      <w:r>
        <w:rPr>
          <w:sz w:val="20"/>
          <w:szCs w:val="20"/>
          <w:color w:val="auto"/>
        </w:rPr>
        <w:tab/>
      </w:r>
      <w:r>
        <w:rPr>
          <w:rFonts w:ascii="Arial" w:cs="Arial" w:eastAsia="Arial" w:hAnsi="Arial"/>
          <w:sz w:val="16"/>
          <w:szCs w:val="16"/>
          <w:color w:val="auto"/>
        </w:rPr>
        <w:t>A certificate from a director of the Company a copy of which is attached to this opinion letter (the “</w:t>
      </w:r>
      <w:r>
        <w:rPr>
          <w:rFonts w:ascii="Arial" w:cs="Arial" w:eastAsia="Arial" w:hAnsi="Arial"/>
          <w:sz w:val="16"/>
          <w:szCs w:val="16"/>
          <w:b w:val="1"/>
          <w:bCs w:val="1"/>
          <w:color w:val="auto"/>
        </w:rPr>
        <w:t>Director’s Certificate</w:t>
      </w:r>
      <w:r>
        <w:rPr>
          <w:rFonts w:ascii="Arial" w:cs="Arial" w:eastAsia="Arial" w:hAnsi="Arial"/>
          <w:sz w:val="16"/>
          <w:szCs w:val="16"/>
          <w:color w:val="auto"/>
        </w:rPr>
        <w:t>”).</w:t>
      </w:r>
    </w:p>
    <w:p>
      <w:pPr>
        <w:spacing w:after="0" w:line="229"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1.5</w:t>
      </w:r>
      <w:r>
        <w:rPr>
          <w:sz w:val="20"/>
          <w:szCs w:val="20"/>
          <w:color w:val="auto"/>
        </w:rPr>
        <w:tab/>
      </w:r>
      <w:r>
        <w:rPr>
          <w:rFonts w:ascii="Arial" w:cs="Arial" w:eastAsia="Arial" w:hAnsi="Arial"/>
          <w:sz w:val="16"/>
          <w:szCs w:val="16"/>
          <w:color w:val="auto"/>
        </w:rPr>
        <w:t>The Registration Statement.</w:t>
      </w:r>
    </w:p>
    <w:p>
      <w:pPr>
        <w:spacing w:after="0" w:line="221"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1.6</w:t>
      </w:r>
      <w:r>
        <w:rPr>
          <w:sz w:val="20"/>
          <w:szCs w:val="20"/>
          <w:color w:val="auto"/>
        </w:rPr>
        <w:tab/>
      </w:r>
      <w:r>
        <w:rPr>
          <w:rFonts w:ascii="Arial" w:cs="Arial" w:eastAsia="Arial" w:hAnsi="Arial"/>
          <w:sz w:val="16"/>
          <w:szCs w:val="16"/>
          <w:color w:val="auto"/>
        </w:rPr>
        <w:t>A draft of the form of the unit certificate representing the Units (the “</w:t>
      </w:r>
      <w:r>
        <w:rPr>
          <w:rFonts w:ascii="Arial" w:cs="Arial" w:eastAsia="Arial" w:hAnsi="Arial"/>
          <w:sz w:val="16"/>
          <w:szCs w:val="16"/>
          <w:b w:val="1"/>
          <w:bCs w:val="1"/>
          <w:color w:val="auto"/>
        </w:rPr>
        <w:t>Unit Certificate</w:t>
      </w:r>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1.7</w:t>
      </w:r>
      <w:r>
        <w:rPr>
          <w:sz w:val="20"/>
          <w:szCs w:val="20"/>
          <w:color w:val="auto"/>
        </w:rPr>
        <w:tab/>
      </w:r>
      <w:r>
        <w:rPr>
          <w:rFonts w:ascii="Arial" w:cs="Arial" w:eastAsia="Arial" w:hAnsi="Arial"/>
          <w:sz w:val="16"/>
          <w:szCs w:val="16"/>
          <w:color w:val="auto"/>
        </w:rPr>
        <w:t>A draft of the form of the warrant agreement and the warrant certificate constituting the Warrants (the “</w:t>
      </w:r>
      <w:r>
        <w:rPr>
          <w:rFonts w:ascii="Arial" w:cs="Arial" w:eastAsia="Arial" w:hAnsi="Arial"/>
          <w:sz w:val="16"/>
          <w:szCs w:val="16"/>
          <w:b w:val="1"/>
          <w:bCs w:val="1"/>
          <w:color w:val="auto"/>
        </w:rPr>
        <w:t>Warrant Documents</w:t>
      </w:r>
      <w:r>
        <w:rPr>
          <w:rFonts w:ascii="Arial" w:cs="Arial" w:eastAsia="Arial" w:hAnsi="Arial"/>
          <w:sz w:val="16"/>
          <w:szCs w:val="16"/>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1.8</w:t>
      </w:r>
      <w:r>
        <w:rPr>
          <w:sz w:val="20"/>
          <w:szCs w:val="20"/>
          <w:color w:val="auto"/>
        </w:rPr>
        <w:tab/>
      </w:r>
      <w:r>
        <w:rPr>
          <w:rFonts w:ascii="Arial" w:cs="Arial" w:eastAsia="Arial" w:hAnsi="Arial"/>
          <w:sz w:val="16"/>
          <w:szCs w:val="16"/>
          <w:color w:val="auto"/>
        </w:rPr>
        <w:t>A draft of the underwriting agreement between the Company and the Representative (the “</w:t>
      </w:r>
      <w:r>
        <w:rPr>
          <w:rFonts w:ascii="Arial" w:cs="Arial" w:eastAsia="Arial" w:hAnsi="Arial"/>
          <w:sz w:val="16"/>
          <w:szCs w:val="16"/>
          <w:b w:val="1"/>
          <w:bCs w:val="1"/>
          <w:color w:val="auto"/>
        </w:rPr>
        <w:t>Underwriting Agreement</w:t>
      </w:r>
      <w:r>
        <w:rPr>
          <w:rFonts w:ascii="Arial" w:cs="Arial" w:eastAsia="Arial" w:hAnsi="Arial"/>
          <w:sz w:val="16"/>
          <w:szCs w:val="16"/>
          <w:color w:val="auto"/>
        </w:rPr>
        <w: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The documents listed in paragraphs 1.6 to 1.8 inclusive above shall be referred to collectively herein as the “</w:t>
      </w:r>
      <w:r>
        <w:rPr>
          <w:rFonts w:ascii="Arial" w:cs="Arial" w:eastAsia="Arial" w:hAnsi="Arial"/>
          <w:sz w:val="18"/>
          <w:szCs w:val="18"/>
          <w:b w:val="1"/>
          <w:bCs w:val="1"/>
          <w:color w:val="auto"/>
        </w:rPr>
        <w:t>Documents</w:t>
      </w:r>
      <w:r>
        <w:rPr>
          <w:rFonts w:ascii="Arial" w:cs="Arial" w:eastAsia="Arial" w:hAnsi="Arial"/>
          <w:sz w:val="18"/>
          <w:szCs w:val="18"/>
          <w:color w:val="auto"/>
        </w:rPr>
        <w:t>”.</w:t>
      </w:r>
    </w:p>
    <w:p>
      <w:pPr>
        <w:spacing w:after="0" w:line="225" w:lineRule="exact"/>
        <w:rPr>
          <w:sz w:val="20"/>
          <w:szCs w:val="20"/>
          <w:color w:val="auto"/>
        </w:rPr>
      </w:pPr>
    </w:p>
    <w:p>
      <w:pPr>
        <w:ind w:left="660" w:hanging="652"/>
        <w:spacing w:after="0"/>
        <w:tabs>
          <w:tab w:leader="none" w:pos="660" w:val="left"/>
        </w:tabs>
        <w:numPr>
          <w:ilvl w:val="0"/>
          <w:numId w:val="159"/>
        </w:numPr>
        <w:rPr>
          <w:rFonts w:ascii="Arial" w:cs="Arial" w:eastAsia="Arial" w:hAnsi="Arial"/>
          <w:sz w:val="18"/>
          <w:szCs w:val="18"/>
          <w:b w:val="1"/>
          <w:bCs w:val="1"/>
          <w:color w:val="auto"/>
        </w:rPr>
      </w:pPr>
      <w:r>
        <w:rPr>
          <w:rFonts w:ascii="Arial" w:cs="Arial" w:eastAsia="Arial" w:hAnsi="Arial"/>
          <w:sz w:val="18"/>
          <w:szCs w:val="18"/>
          <w:b w:val="1"/>
          <w:bCs w:val="1"/>
          <w:color w:val="auto"/>
        </w:rPr>
        <w:t>Assumptions</w:t>
      </w:r>
    </w:p>
    <w:p>
      <w:pPr>
        <w:spacing w:after="0" w:line="229"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The following opinions are given only as to, and based on, circumstances and matters of fact existing and known to us on the date of this opinion letter. These opinions only relate to the laws of the Cayman Islands which are in force on the date of this opinion letter. In giving the following opinions, we have relied (without further verification) upon the completeness and accuracy, as at the date of this opinion letter, of the Director’s Certificate and the Certificate of Good Standing. We have also relied upon the following assumptions, which we have not independently verified:</w:t>
      </w:r>
    </w:p>
    <w:p>
      <w:pPr>
        <w:spacing w:after="0" w:line="171" w:lineRule="exact"/>
        <w:rPr>
          <w:sz w:val="20"/>
          <w:szCs w:val="20"/>
          <w:color w:val="auto"/>
        </w:rPr>
      </w:pPr>
    </w:p>
    <w:p>
      <w:pPr>
        <w:ind w:left="660" w:right="700" w:hanging="647"/>
        <w:spacing w:after="0" w:line="308" w:lineRule="auto"/>
        <w:tabs>
          <w:tab w:leader="none" w:pos="640" w:val="left"/>
        </w:tabs>
        <w:rPr>
          <w:sz w:val="20"/>
          <w:szCs w:val="20"/>
          <w:color w:val="auto"/>
        </w:rPr>
      </w:pPr>
      <w:r>
        <w:rPr>
          <w:rFonts w:ascii="Arial" w:cs="Arial" w:eastAsia="Arial" w:hAnsi="Arial"/>
          <w:sz w:val="18"/>
          <w:szCs w:val="18"/>
          <w:color w:val="auto"/>
        </w:rPr>
        <w:t>2.1</w:t>
      </w:r>
      <w:r>
        <w:rPr>
          <w:sz w:val="20"/>
          <w:szCs w:val="20"/>
          <w:color w:val="auto"/>
        </w:rPr>
        <w:tab/>
      </w:r>
      <w:r>
        <w:rPr>
          <w:rFonts w:ascii="Arial" w:cs="Arial" w:eastAsia="Arial" w:hAnsi="Arial"/>
          <w:sz w:val="17"/>
          <w:szCs w:val="17"/>
          <w:color w:val="auto"/>
        </w:rPr>
        <w:t>The Documents have been or will be authorised and duly executed and unconditionally delivered by or on behalf of all relevant parties in accordance with all relevant laws (other than, with respect to the Company, the laws of the Cayman Islands).</w:t>
      </w:r>
    </w:p>
    <w:p>
      <w:pPr>
        <w:spacing w:after="0" w:line="146" w:lineRule="exact"/>
        <w:rPr>
          <w:sz w:val="20"/>
          <w:szCs w:val="20"/>
          <w:color w:val="auto"/>
        </w:rPr>
      </w:pPr>
    </w:p>
    <w:p>
      <w:pPr>
        <w:ind w:left="660" w:right="240" w:hanging="647"/>
        <w:spacing w:after="0" w:line="263" w:lineRule="auto"/>
        <w:tabs>
          <w:tab w:leader="none" w:pos="640" w:val="left"/>
        </w:tabs>
        <w:rPr>
          <w:sz w:val="20"/>
          <w:szCs w:val="20"/>
          <w:color w:val="auto"/>
        </w:rPr>
      </w:pPr>
      <w:r>
        <w:rPr>
          <w:rFonts w:ascii="Arial" w:cs="Arial" w:eastAsia="Arial" w:hAnsi="Arial"/>
          <w:sz w:val="18"/>
          <w:szCs w:val="18"/>
          <w:color w:val="auto"/>
        </w:rPr>
        <w:t>2.2</w:t>
      </w:r>
      <w:r>
        <w:rPr>
          <w:sz w:val="20"/>
          <w:szCs w:val="20"/>
          <w:color w:val="auto"/>
        </w:rPr>
        <w:tab/>
      </w:r>
      <w:r>
        <w:rPr>
          <w:rFonts w:ascii="Arial" w:cs="Arial" w:eastAsia="Arial" w:hAnsi="Arial"/>
          <w:sz w:val="18"/>
          <w:szCs w:val="18"/>
          <w:color w:val="auto"/>
        </w:rPr>
        <w:t>The Documents are, or will be, legal, valid, binding and enforceable against all relevant parties in accordance with their terms under the laws of the State of New York (the “</w:t>
      </w:r>
      <w:r>
        <w:rPr>
          <w:rFonts w:ascii="Arial" w:cs="Arial" w:eastAsia="Arial" w:hAnsi="Arial"/>
          <w:sz w:val="18"/>
          <w:szCs w:val="18"/>
          <w:b w:val="1"/>
          <w:bCs w:val="1"/>
          <w:color w:val="auto"/>
        </w:rPr>
        <w:t>Relevant Law</w:t>
      </w:r>
      <w:r>
        <w:rPr>
          <w:rFonts w:ascii="Arial" w:cs="Arial" w:eastAsia="Arial" w:hAnsi="Arial"/>
          <w:sz w:val="18"/>
          <w:szCs w:val="18"/>
          <w:color w:val="auto"/>
        </w:rPr>
        <w:t>”) and all other relevant laws (other than, with respect to the Company, the laws of the Cayman Islands).</w:t>
      </w:r>
    </w:p>
    <w:p>
      <w:pPr>
        <w:spacing w:after="0" w:line="184" w:lineRule="exact"/>
        <w:rPr>
          <w:sz w:val="20"/>
          <w:szCs w:val="20"/>
          <w:color w:val="auto"/>
        </w:rPr>
      </w:pPr>
    </w:p>
    <w:p>
      <w:pPr>
        <w:ind w:left="660" w:right="40" w:hanging="647"/>
        <w:spacing w:after="0" w:line="263" w:lineRule="auto"/>
        <w:tabs>
          <w:tab w:leader="none" w:pos="640" w:val="left"/>
        </w:tabs>
        <w:rPr>
          <w:sz w:val="20"/>
          <w:szCs w:val="20"/>
          <w:color w:val="auto"/>
        </w:rPr>
      </w:pPr>
      <w:r>
        <w:rPr>
          <w:rFonts w:ascii="Arial" w:cs="Arial" w:eastAsia="Arial" w:hAnsi="Arial"/>
          <w:sz w:val="18"/>
          <w:szCs w:val="18"/>
          <w:color w:val="auto"/>
        </w:rPr>
        <w:t>2.3</w:t>
      </w:r>
      <w:r>
        <w:rPr>
          <w:sz w:val="20"/>
          <w:szCs w:val="20"/>
          <w:color w:val="auto"/>
        </w:rPr>
        <w:tab/>
      </w:r>
      <w:r>
        <w:rPr>
          <w:rFonts w:ascii="Arial" w:cs="Arial" w:eastAsia="Arial" w:hAnsi="Arial"/>
          <w:sz w:val="18"/>
          <w:szCs w:val="18"/>
          <w:color w:val="auto"/>
        </w:rPr>
        <w:t>The choice of the Relevant Law as the governing law of the Documents has been made in good faith and would be regarded as a valid and binding selection which will be upheld by the courts of the State of New York and any other relevant jurisdiction (other than the Cayman Islands) as a matter of the Relevant Law and all other relevant laws (other than the laws of the Cayman Islands).</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0" w:name="page241"/>
    <w:bookmarkEnd w:id="240"/>
    <w:p>
      <w:pPr>
        <w:ind w:left="660" w:right="620" w:hanging="647"/>
        <w:spacing w:after="0" w:line="277" w:lineRule="auto"/>
        <w:tabs>
          <w:tab w:leader="none" w:pos="640" w:val="left"/>
        </w:tabs>
        <w:rPr>
          <w:sz w:val="20"/>
          <w:szCs w:val="20"/>
          <w:color w:val="auto"/>
        </w:rPr>
      </w:pPr>
      <w:r>
        <w:rPr>
          <w:rFonts w:ascii="Arial" w:cs="Arial" w:eastAsia="Arial" w:hAnsi="Arial"/>
          <w:sz w:val="18"/>
          <w:szCs w:val="18"/>
          <w:color w:val="auto"/>
        </w:rPr>
        <w:t>2.4</w:t>
      </w:r>
      <w:r>
        <w:rPr>
          <w:sz w:val="20"/>
          <w:szCs w:val="20"/>
          <w:color w:val="auto"/>
        </w:rPr>
        <w:tab/>
      </w:r>
      <w:r>
        <w:rPr>
          <w:rFonts w:ascii="Arial" w:cs="Arial" w:eastAsia="Arial" w:hAnsi="Arial"/>
          <w:sz w:val="18"/>
          <w:szCs w:val="18"/>
          <w:color w:val="auto"/>
        </w:rPr>
        <w:t>Copies of documents, conformed copies or drafts of documents provided to us are true and complete copies of, or in the final forms of, the originals.</w:t>
      </w:r>
    </w:p>
    <w:p>
      <w:pPr>
        <w:spacing w:after="0" w:line="170"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2.5</w:t>
      </w:r>
      <w:r>
        <w:rPr>
          <w:sz w:val="20"/>
          <w:szCs w:val="20"/>
          <w:color w:val="auto"/>
        </w:rPr>
        <w:tab/>
      </w:r>
      <w:r>
        <w:rPr>
          <w:rFonts w:ascii="Arial" w:cs="Arial" w:eastAsia="Arial" w:hAnsi="Arial"/>
          <w:sz w:val="16"/>
          <w:szCs w:val="16"/>
          <w:color w:val="auto"/>
        </w:rPr>
        <w:t>All signatures, initials and seals are genuine.</w:t>
      </w:r>
    </w:p>
    <w:p>
      <w:pPr>
        <w:spacing w:after="0" w:line="225" w:lineRule="exact"/>
        <w:rPr>
          <w:sz w:val="20"/>
          <w:szCs w:val="20"/>
          <w:color w:val="auto"/>
        </w:rPr>
      </w:pPr>
    </w:p>
    <w:p>
      <w:pPr>
        <w:ind w:left="660" w:right="260" w:hanging="647"/>
        <w:spacing w:after="0" w:line="263" w:lineRule="auto"/>
        <w:tabs>
          <w:tab w:leader="none" w:pos="640" w:val="left"/>
        </w:tabs>
        <w:rPr>
          <w:sz w:val="20"/>
          <w:szCs w:val="20"/>
          <w:color w:val="auto"/>
        </w:rPr>
      </w:pPr>
      <w:r>
        <w:rPr>
          <w:rFonts w:ascii="Arial" w:cs="Arial" w:eastAsia="Arial" w:hAnsi="Arial"/>
          <w:sz w:val="18"/>
          <w:szCs w:val="18"/>
          <w:color w:val="auto"/>
        </w:rPr>
        <w:t>2.6</w:t>
      </w:r>
      <w:r>
        <w:rPr>
          <w:sz w:val="20"/>
          <w:szCs w:val="20"/>
          <w:color w:val="auto"/>
        </w:rPr>
        <w:tab/>
      </w:r>
      <w:r>
        <w:rPr>
          <w:rFonts w:ascii="Arial" w:cs="Arial" w:eastAsia="Arial" w:hAnsi="Arial"/>
          <w:sz w:val="18"/>
          <w:szCs w:val="18"/>
          <w:color w:val="auto"/>
        </w:rPr>
        <w:t>The capacity, power, authority and legal right of all parties under all relevant laws and regulations (other than, with respect to the Company, the laws and regulations of the Cayman Islands) to enter into, execute, unconditionally deliver and perform their respective obligations under the Documents.</w:t>
      </w:r>
    </w:p>
    <w:p>
      <w:pPr>
        <w:spacing w:after="0" w:line="184" w:lineRule="exact"/>
        <w:rPr>
          <w:sz w:val="20"/>
          <w:szCs w:val="20"/>
          <w:color w:val="auto"/>
        </w:rPr>
      </w:pPr>
    </w:p>
    <w:p>
      <w:pPr>
        <w:ind w:left="660" w:right="180" w:hanging="647"/>
        <w:spacing w:after="0" w:line="277" w:lineRule="auto"/>
        <w:tabs>
          <w:tab w:leader="none" w:pos="640" w:val="left"/>
        </w:tabs>
        <w:rPr>
          <w:sz w:val="20"/>
          <w:szCs w:val="20"/>
          <w:color w:val="auto"/>
        </w:rPr>
      </w:pPr>
      <w:r>
        <w:rPr>
          <w:rFonts w:ascii="Arial" w:cs="Arial" w:eastAsia="Arial" w:hAnsi="Arial"/>
          <w:sz w:val="18"/>
          <w:szCs w:val="18"/>
          <w:color w:val="auto"/>
        </w:rPr>
        <w:t>2.7</w:t>
      </w:r>
      <w:r>
        <w:rPr>
          <w:sz w:val="20"/>
          <w:szCs w:val="20"/>
          <w:color w:val="auto"/>
        </w:rPr>
        <w:tab/>
      </w:r>
      <w:r>
        <w:rPr>
          <w:rFonts w:ascii="Arial" w:cs="Arial" w:eastAsia="Arial" w:hAnsi="Arial"/>
          <w:sz w:val="18"/>
          <w:szCs w:val="18"/>
          <w:color w:val="auto"/>
        </w:rPr>
        <w:t>No invitation has been or will be made by or on behalf of the Company to the public in the Cayman Islands to subscribe for any of the Units, the Warrants or the Ordinary Shares.</w:t>
      </w:r>
    </w:p>
    <w:p>
      <w:pPr>
        <w:spacing w:after="0" w:line="170"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2.8</w:t>
      </w:r>
      <w:r>
        <w:rPr>
          <w:sz w:val="20"/>
          <w:szCs w:val="20"/>
          <w:color w:val="auto"/>
        </w:rPr>
        <w:tab/>
      </w:r>
      <w:r>
        <w:rPr>
          <w:rFonts w:ascii="Arial" w:cs="Arial" w:eastAsia="Arial" w:hAnsi="Arial"/>
          <w:sz w:val="18"/>
          <w:szCs w:val="18"/>
          <w:color w:val="auto"/>
        </w:rPr>
        <w:t>There is no contractual or other prohibition or restriction (other than as arising under Cayman Islands law) binding on the Company prohibiting or restricting it from entering into and performing its obligations under the Documents.</w:t>
      </w:r>
    </w:p>
    <w:p>
      <w:pPr>
        <w:spacing w:after="0" w:line="170" w:lineRule="exact"/>
        <w:rPr>
          <w:sz w:val="20"/>
          <w:szCs w:val="20"/>
          <w:color w:val="auto"/>
        </w:rPr>
      </w:pPr>
    </w:p>
    <w:p>
      <w:pPr>
        <w:jc w:val="both"/>
        <w:ind w:left="660" w:right="20" w:hanging="647"/>
        <w:spacing w:after="0" w:line="259" w:lineRule="auto"/>
        <w:tabs>
          <w:tab w:leader="none" w:pos="640" w:val="left"/>
        </w:tabs>
        <w:rPr>
          <w:sz w:val="20"/>
          <w:szCs w:val="20"/>
          <w:color w:val="auto"/>
        </w:rPr>
      </w:pPr>
      <w:r>
        <w:rPr>
          <w:rFonts w:ascii="Arial" w:cs="Arial" w:eastAsia="Arial" w:hAnsi="Arial"/>
          <w:sz w:val="18"/>
          <w:szCs w:val="18"/>
          <w:color w:val="auto"/>
        </w:rPr>
        <w:t>2.9</w:t>
      </w:r>
      <w:r>
        <w:rPr>
          <w:sz w:val="20"/>
          <w:szCs w:val="20"/>
          <w:color w:val="auto"/>
        </w:rPr>
        <w:tab/>
      </w:r>
      <w:r>
        <w:rPr>
          <w:rFonts w:ascii="Arial" w:cs="Arial" w:eastAsia="Arial" w:hAnsi="Arial"/>
          <w:sz w:val="18"/>
          <w:szCs w:val="18"/>
          <w:color w:val="auto"/>
        </w:rPr>
        <w:t>No monies paid to or for the account of any party under the Documents or any property received or disposed of by any party to the Documents in each case in connection with the Documents or the consummation of the transactions contemplated thereby represent or will represent proceeds of criminal conduct or criminal property or terrorist property (as defined in the Proceeds of Crime Law (2020 Revision) and the Terrorism Law (2018 Revision), respectively).</w:t>
      </w:r>
    </w:p>
    <w:p>
      <w:pPr>
        <w:spacing w:after="0" w:line="187" w:lineRule="exact"/>
        <w:rPr>
          <w:sz w:val="20"/>
          <w:szCs w:val="20"/>
          <w:color w:val="auto"/>
        </w:rPr>
      </w:pPr>
    </w:p>
    <w:p>
      <w:pPr>
        <w:ind w:left="660" w:right="160" w:hanging="647"/>
        <w:spacing w:after="0" w:line="277" w:lineRule="auto"/>
        <w:tabs>
          <w:tab w:leader="none" w:pos="640" w:val="left"/>
        </w:tabs>
        <w:rPr>
          <w:sz w:val="20"/>
          <w:szCs w:val="20"/>
          <w:color w:val="auto"/>
        </w:rPr>
      </w:pPr>
      <w:r>
        <w:rPr>
          <w:rFonts w:ascii="Arial" w:cs="Arial" w:eastAsia="Arial" w:hAnsi="Arial"/>
          <w:sz w:val="18"/>
          <w:szCs w:val="18"/>
          <w:color w:val="auto"/>
        </w:rPr>
        <w:t>2.10</w:t>
      </w:r>
      <w:r>
        <w:rPr>
          <w:sz w:val="20"/>
          <w:szCs w:val="20"/>
          <w:color w:val="auto"/>
        </w:rPr>
        <w:tab/>
      </w:r>
      <w:r>
        <w:rPr>
          <w:rFonts w:ascii="Arial" w:cs="Arial" w:eastAsia="Arial" w:hAnsi="Arial"/>
          <w:sz w:val="18"/>
          <w:szCs w:val="18"/>
          <w:color w:val="auto"/>
        </w:rPr>
        <w:t>There is nothing under any law (other than the laws of the Cayman Islands) which would or might affect the opinions set out below. Specifically, we have made no independent investigation of the Relevant Law.</w:t>
      </w:r>
    </w:p>
    <w:p>
      <w:pPr>
        <w:spacing w:after="0" w:line="170" w:lineRule="exact"/>
        <w:rPr>
          <w:sz w:val="20"/>
          <w:szCs w:val="20"/>
          <w:color w:val="auto"/>
        </w:rPr>
      </w:pPr>
    </w:p>
    <w:p>
      <w:pPr>
        <w:ind w:left="660" w:right="60" w:hanging="647"/>
        <w:spacing w:after="0" w:line="277" w:lineRule="auto"/>
        <w:tabs>
          <w:tab w:leader="none" w:pos="640" w:val="left"/>
        </w:tabs>
        <w:rPr>
          <w:sz w:val="20"/>
          <w:szCs w:val="20"/>
          <w:color w:val="auto"/>
        </w:rPr>
      </w:pPr>
      <w:r>
        <w:rPr>
          <w:rFonts w:ascii="Arial" w:cs="Arial" w:eastAsia="Arial" w:hAnsi="Arial"/>
          <w:sz w:val="18"/>
          <w:szCs w:val="18"/>
          <w:color w:val="auto"/>
        </w:rPr>
        <w:t>2.11</w:t>
      </w:r>
      <w:r>
        <w:rPr>
          <w:sz w:val="20"/>
          <w:szCs w:val="20"/>
          <w:color w:val="auto"/>
        </w:rPr>
        <w:tab/>
      </w:r>
      <w:r>
        <w:rPr>
          <w:rFonts w:ascii="Arial" w:cs="Arial" w:eastAsia="Arial" w:hAnsi="Arial"/>
          <w:sz w:val="18"/>
          <w:szCs w:val="18"/>
          <w:color w:val="auto"/>
        </w:rPr>
        <w:t>The Company will receive money or money’s worth in consideration for the issue of the Ordinary Shares and none of the Ordinary Shares were or will be issued for less than par value.</w:t>
      </w:r>
    </w:p>
    <w:p>
      <w:pPr>
        <w:spacing w:after="0" w:line="170"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color w:val="auto"/>
        </w:rPr>
        <w:t>Save as aforesaid we have not been instructed to undertake and have not undertaken any further enquiry or due diligence in relation to the transaction the subject of this opinion letter.</w:t>
      </w:r>
    </w:p>
    <w:p>
      <w:pPr>
        <w:spacing w:after="0" w:line="166" w:lineRule="exact"/>
        <w:rPr>
          <w:sz w:val="20"/>
          <w:szCs w:val="20"/>
          <w:color w:val="auto"/>
        </w:rPr>
      </w:pPr>
    </w:p>
    <w:p>
      <w:pPr>
        <w:ind w:left="660" w:hanging="652"/>
        <w:spacing w:after="0"/>
        <w:tabs>
          <w:tab w:leader="none" w:pos="660" w:val="left"/>
        </w:tabs>
        <w:numPr>
          <w:ilvl w:val="0"/>
          <w:numId w:val="160"/>
        </w:numPr>
        <w:rPr>
          <w:rFonts w:ascii="Arial" w:cs="Arial" w:eastAsia="Arial" w:hAnsi="Arial"/>
          <w:sz w:val="18"/>
          <w:szCs w:val="18"/>
          <w:b w:val="1"/>
          <w:bCs w:val="1"/>
          <w:color w:val="auto"/>
        </w:rPr>
      </w:pPr>
      <w:r>
        <w:rPr>
          <w:rFonts w:ascii="Arial" w:cs="Arial" w:eastAsia="Arial" w:hAnsi="Arial"/>
          <w:sz w:val="18"/>
          <w:szCs w:val="18"/>
          <w:b w:val="1"/>
          <w:bCs w:val="1"/>
          <w:color w:val="auto"/>
        </w:rPr>
        <w:t>Opinions</w:t>
      </w:r>
    </w:p>
    <w:p>
      <w:pPr>
        <w:spacing w:after="0" w:line="229" w:lineRule="exact"/>
        <w:rPr>
          <w:sz w:val="20"/>
          <w:szCs w:val="20"/>
          <w:color w:val="auto"/>
        </w:rPr>
      </w:pPr>
    </w:p>
    <w:p>
      <w:pPr>
        <w:ind w:right="420"/>
        <w:spacing w:after="0" w:line="277" w:lineRule="auto"/>
        <w:rPr>
          <w:sz w:val="20"/>
          <w:szCs w:val="20"/>
          <w:color w:val="auto"/>
        </w:rPr>
      </w:pPr>
      <w:r>
        <w:rPr>
          <w:rFonts w:ascii="Arial" w:cs="Arial" w:eastAsia="Arial" w:hAnsi="Arial"/>
          <w:sz w:val="18"/>
          <w:szCs w:val="18"/>
          <w:color w:val="auto"/>
        </w:rPr>
        <w:t>Based upon, and subject to, the foregoing assumptions and the qualifications set out below, and having regard to such legal considerations as we deem relevant, we are of the opinion that:</w:t>
      </w:r>
    </w:p>
    <w:p>
      <w:pPr>
        <w:spacing w:after="0" w:line="170" w:lineRule="exact"/>
        <w:rPr>
          <w:sz w:val="20"/>
          <w:szCs w:val="20"/>
          <w:color w:val="auto"/>
        </w:rPr>
      </w:pPr>
    </w:p>
    <w:p>
      <w:pPr>
        <w:ind w:left="660" w:right="380" w:hanging="647"/>
        <w:spacing w:after="0" w:line="277" w:lineRule="auto"/>
        <w:tabs>
          <w:tab w:leader="none" w:pos="640" w:val="left"/>
        </w:tabs>
        <w:rPr>
          <w:sz w:val="20"/>
          <w:szCs w:val="20"/>
          <w:color w:val="auto"/>
        </w:rPr>
      </w:pPr>
      <w:r>
        <w:rPr>
          <w:rFonts w:ascii="Arial" w:cs="Arial" w:eastAsia="Arial" w:hAnsi="Arial"/>
          <w:sz w:val="18"/>
          <w:szCs w:val="18"/>
          <w:color w:val="auto"/>
        </w:rPr>
        <w:t>3.1</w:t>
      </w:r>
      <w:r>
        <w:rPr>
          <w:sz w:val="20"/>
          <w:szCs w:val="20"/>
          <w:color w:val="auto"/>
        </w:rPr>
        <w:tab/>
      </w:r>
      <w:r>
        <w:rPr>
          <w:rFonts w:ascii="Arial" w:cs="Arial" w:eastAsia="Arial" w:hAnsi="Arial"/>
          <w:sz w:val="18"/>
          <w:szCs w:val="18"/>
          <w:color w:val="auto"/>
        </w:rPr>
        <w:t>The Company has been duly incorporated as an exempted company with limited liability and is validly existing and in good standing with the Registrar of Companies under the laws of the Cayman Islands.</w:t>
      </w:r>
    </w:p>
    <w:p>
      <w:pPr>
        <w:spacing w:after="0" w:line="170" w:lineRule="exact"/>
        <w:rPr>
          <w:sz w:val="20"/>
          <w:szCs w:val="20"/>
          <w:color w:val="auto"/>
        </w:rPr>
      </w:pPr>
    </w:p>
    <w:p>
      <w:pPr>
        <w:ind w:left="660" w:right="80" w:hanging="647"/>
        <w:spacing w:after="0" w:line="273" w:lineRule="auto"/>
        <w:tabs>
          <w:tab w:leader="none" w:pos="640" w:val="left"/>
        </w:tabs>
        <w:rPr>
          <w:sz w:val="20"/>
          <w:szCs w:val="20"/>
          <w:color w:val="auto"/>
        </w:rPr>
      </w:pPr>
      <w:r>
        <w:rPr>
          <w:rFonts w:ascii="Arial" w:cs="Arial" w:eastAsia="Arial" w:hAnsi="Arial"/>
          <w:sz w:val="18"/>
          <w:szCs w:val="18"/>
          <w:color w:val="auto"/>
        </w:rPr>
        <w:t>3.2</w:t>
      </w:r>
      <w:r>
        <w:rPr>
          <w:sz w:val="20"/>
          <w:szCs w:val="20"/>
          <w:color w:val="auto"/>
        </w:rPr>
        <w:tab/>
      </w:r>
      <w:r>
        <w:rPr>
          <w:rFonts w:ascii="Arial" w:cs="Arial" w:eastAsia="Arial" w:hAnsi="Arial"/>
          <w:sz w:val="17"/>
          <w:szCs w:val="17"/>
          <w:color w:val="auto"/>
        </w:rPr>
        <w:t>The Ordinary Shares to be offered and issued by the Company as contemplated by the Registration Statement (including the issuance of Ordinary Shares upon the exercise of the Warrants in accordance with the Warrant Documents) have been duly authorised for issue, and when issued by the Company against payment in full of the consideration as set out in the Registration Statement and in accordance with the terms set out in the Registration Statement (including the issuance of Ordinary Shares upon the exercise of the Warrants in accordance with the Warrant Documents), such Ordinary Shares will be validly issued, fully paid and non-assessable. As a matter of Cayman Islands law, a share is only issued when it has been entered in the register of members (shareholders).</w:t>
      </w:r>
    </w:p>
    <w:p>
      <w:pPr>
        <w:spacing w:after="0" w:line="178" w:lineRule="exact"/>
        <w:rPr>
          <w:sz w:val="20"/>
          <w:szCs w:val="20"/>
          <w:color w:val="auto"/>
        </w:rPr>
      </w:pPr>
    </w:p>
    <w:p>
      <w:pPr>
        <w:ind w:left="660" w:right="40" w:hanging="647"/>
        <w:spacing w:after="0" w:line="259" w:lineRule="auto"/>
        <w:tabs>
          <w:tab w:leader="none" w:pos="640" w:val="left"/>
        </w:tabs>
        <w:rPr>
          <w:sz w:val="20"/>
          <w:szCs w:val="20"/>
          <w:color w:val="auto"/>
        </w:rPr>
      </w:pPr>
      <w:r>
        <w:rPr>
          <w:rFonts w:ascii="Arial" w:cs="Arial" w:eastAsia="Arial" w:hAnsi="Arial"/>
          <w:sz w:val="18"/>
          <w:szCs w:val="18"/>
          <w:color w:val="auto"/>
        </w:rPr>
        <w:t>3.3</w:t>
      </w:r>
      <w:r>
        <w:rPr>
          <w:sz w:val="20"/>
          <w:szCs w:val="20"/>
          <w:color w:val="auto"/>
        </w:rPr>
        <w:tab/>
      </w:r>
      <w:r>
        <w:rPr>
          <w:rFonts w:ascii="Arial" w:cs="Arial" w:eastAsia="Arial" w:hAnsi="Arial"/>
          <w:sz w:val="18"/>
          <w:szCs w:val="18"/>
          <w:color w:val="auto"/>
        </w:rPr>
        <w:t>The execution, delivery and performance of the Unit Certificates and the Warrant Documents have been authorised by and on behalf of the Company and, once the Unit Certificates and the Warrant Documents have been executed and delivered by any director or officer of the Company, the Unit Certificates and the Warrant Documents will be duly executed and delivered on behalf of the Company and will constitute the legal, valid and binding obligations of the Company enforceable in accordance with their terms.</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1" w:name="page242"/>
    <w:bookmarkEnd w:id="241"/>
    <w:p>
      <w:pPr>
        <w:ind w:left="660" w:hanging="652"/>
        <w:spacing w:after="0"/>
        <w:tabs>
          <w:tab w:leader="none" w:pos="660" w:val="left"/>
        </w:tabs>
        <w:numPr>
          <w:ilvl w:val="0"/>
          <w:numId w:val="161"/>
        </w:numPr>
        <w:rPr>
          <w:rFonts w:ascii="Arial" w:cs="Arial" w:eastAsia="Arial" w:hAnsi="Arial"/>
          <w:sz w:val="18"/>
          <w:szCs w:val="18"/>
          <w:b w:val="1"/>
          <w:bCs w:val="1"/>
          <w:color w:val="auto"/>
        </w:rPr>
      </w:pPr>
      <w:r>
        <w:rPr>
          <w:rFonts w:ascii="Arial" w:cs="Arial" w:eastAsia="Arial" w:hAnsi="Arial"/>
          <w:sz w:val="18"/>
          <w:szCs w:val="18"/>
          <w:b w:val="1"/>
          <w:bCs w:val="1"/>
          <w:color w:val="auto"/>
        </w:rPr>
        <w:t>Qualifications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opinions expressed above are subject to the following qualifications:</w:t>
      </w:r>
    </w:p>
    <w:p>
      <w:pPr>
        <w:spacing w:after="0" w:line="221" w:lineRule="exact"/>
        <w:rPr>
          <w:sz w:val="20"/>
          <w:szCs w:val="20"/>
          <w:color w:val="auto"/>
        </w:rPr>
      </w:pPr>
    </w:p>
    <w:p>
      <w:pPr>
        <w:jc w:val="both"/>
        <w:ind w:left="660" w:right="20" w:hanging="647"/>
        <w:spacing w:after="0" w:line="266" w:lineRule="auto"/>
        <w:tabs>
          <w:tab w:leader="none" w:pos="640" w:val="left"/>
        </w:tabs>
        <w:rPr>
          <w:sz w:val="20"/>
          <w:szCs w:val="20"/>
          <w:color w:val="auto"/>
        </w:rPr>
      </w:pPr>
      <w:r>
        <w:rPr>
          <w:rFonts w:ascii="Arial" w:cs="Arial" w:eastAsia="Arial" w:hAnsi="Arial"/>
          <w:sz w:val="18"/>
          <w:szCs w:val="18"/>
          <w:color w:val="auto"/>
        </w:rPr>
        <w:t>4.1</w:t>
      </w:r>
      <w:r>
        <w:rPr>
          <w:sz w:val="20"/>
          <w:szCs w:val="20"/>
          <w:color w:val="auto"/>
        </w:rPr>
        <w:tab/>
      </w:r>
      <w:r>
        <w:rPr>
          <w:rFonts w:ascii="Arial" w:cs="Arial" w:eastAsia="Arial" w:hAnsi="Arial"/>
          <w:sz w:val="18"/>
          <w:szCs w:val="18"/>
          <w:color w:val="auto"/>
        </w:rPr>
        <w:t>The term “</w:t>
      </w:r>
      <w:r>
        <w:rPr>
          <w:rFonts w:ascii="Arial" w:cs="Arial" w:eastAsia="Arial" w:hAnsi="Arial"/>
          <w:sz w:val="18"/>
          <w:szCs w:val="18"/>
          <w:b w:val="1"/>
          <w:bCs w:val="1"/>
          <w:color w:val="auto"/>
        </w:rPr>
        <w:t>enforceable</w:t>
      </w:r>
      <w:r>
        <w:rPr>
          <w:rFonts w:ascii="Arial" w:cs="Arial" w:eastAsia="Arial" w:hAnsi="Arial"/>
          <w:sz w:val="18"/>
          <w:szCs w:val="18"/>
          <w:color w:val="auto"/>
        </w:rPr>
        <w:t>” as used above means that the obligations assumed by the Company under the Documents are of a type which the courts of the Cayman Islands will enforce. It does not mean that those obligations will necessarily be enforced in all circumstances in accordance with their terms. In particular:</w:t>
      </w:r>
    </w:p>
    <w:p>
      <w:pPr>
        <w:spacing w:after="0" w:line="180" w:lineRule="exact"/>
        <w:rPr>
          <w:sz w:val="20"/>
          <w:szCs w:val="20"/>
          <w:color w:val="auto"/>
        </w:rPr>
      </w:pPr>
    </w:p>
    <w:p>
      <w:pPr>
        <w:ind w:left="1300" w:right="100" w:hanging="644"/>
        <w:spacing w:after="0" w:line="277" w:lineRule="auto"/>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enforcement may be limited by bankruptcy, insolvency, liquidation, reorganisation, readjustment of debts or moratorium or other laws of general application relating to or affecting the rights of creditors;</w:t>
      </w:r>
    </w:p>
    <w:p>
      <w:pPr>
        <w:spacing w:after="0" w:line="170" w:lineRule="exact"/>
        <w:rPr>
          <w:rFonts w:ascii="Arial" w:cs="Arial" w:eastAsia="Arial" w:hAnsi="Arial"/>
          <w:sz w:val="18"/>
          <w:szCs w:val="18"/>
          <w:color w:val="auto"/>
        </w:rPr>
      </w:pPr>
    </w:p>
    <w:p>
      <w:pPr>
        <w:ind w:left="1300" w:right="260" w:hanging="644"/>
        <w:spacing w:after="0" w:line="277" w:lineRule="auto"/>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 xml:space="preserve">enforcement may be limited by general principles of equity. For example, equitable remedies such as specific performance may not be available, </w:t>
      </w:r>
      <w:r>
        <w:rPr>
          <w:rFonts w:ascii="Arial" w:cs="Arial" w:eastAsia="Arial" w:hAnsi="Arial"/>
          <w:sz w:val="18"/>
          <w:szCs w:val="18"/>
          <w:i w:val="1"/>
          <w:iCs w:val="1"/>
          <w:color w:val="auto"/>
        </w:rPr>
        <w:t>inter alia</w:t>
      </w:r>
      <w:r>
        <w:rPr>
          <w:rFonts w:ascii="Arial" w:cs="Arial" w:eastAsia="Arial" w:hAnsi="Arial"/>
          <w:sz w:val="18"/>
          <w:szCs w:val="18"/>
          <w:color w:val="auto"/>
        </w:rPr>
        <w:t>, where damages are considered to be an adequate remedy;</w:t>
      </w:r>
    </w:p>
    <w:p>
      <w:pPr>
        <w:spacing w:after="0" w:line="170" w:lineRule="exact"/>
        <w:rPr>
          <w:rFonts w:ascii="Arial" w:cs="Arial" w:eastAsia="Arial" w:hAnsi="Arial"/>
          <w:sz w:val="18"/>
          <w:szCs w:val="18"/>
          <w:color w:val="auto"/>
        </w:rPr>
      </w:pPr>
    </w:p>
    <w:p>
      <w:pPr>
        <w:ind w:left="1300" w:right="20" w:hanging="644"/>
        <w:spacing w:after="0" w:line="277" w:lineRule="auto"/>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where obligations are to be performed in a jurisdiction outside the Cayman Islands, they may not be enforceable in the Cayman Islands to the extent that performance would be illegal under the laws of that jurisdiction; and</w:t>
      </w:r>
    </w:p>
    <w:p>
      <w:pPr>
        <w:spacing w:after="0" w:line="170" w:lineRule="exact"/>
        <w:rPr>
          <w:rFonts w:ascii="Arial" w:cs="Arial" w:eastAsia="Arial" w:hAnsi="Arial"/>
          <w:sz w:val="18"/>
          <w:szCs w:val="18"/>
          <w:color w:val="auto"/>
        </w:rPr>
      </w:pPr>
    </w:p>
    <w:p>
      <w:pPr>
        <w:ind w:left="1300" w:right="240" w:hanging="644"/>
        <w:spacing w:after="0" w:line="277" w:lineRule="auto"/>
        <w:tabs>
          <w:tab w:leader="none" w:pos="1300" w:val="left"/>
        </w:tabs>
        <w:numPr>
          <w:ilvl w:val="0"/>
          <w:numId w:val="162"/>
        </w:numPr>
        <w:rPr>
          <w:rFonts w:ascii="Arial" w:cs="Arial" w:eastAsia="Arial" w:hAnsi="Arial"/>
          <w:sz w:val="18"/>
          <w:szCs w:val="18"/>
          <w:color w:val="auto"/>
        </w:rPr>
      </w:pPr>
      <w:r>
        <w:rPr>
          <w:rFonts w:ascii="Arial" w:cs="Arial" w:eastAsia="Arial" w:hAnsi="Arial"/>
          <w:sz w:val="18"/>
          <w:szCs w:val="18"/>
          <w:color w:val="auto"/>
        </w:rPr>
        <w:t>some claims may become barred under relevant statutes of limitation or may be or become subject to defences of set off, counterclaim, estoppel and similar defences.</w:t>
      </w:r>
    </w:p>
    <w:p>
      <w:pPr>
        <w:spacing w:after="0" w:line="170" w:lineRule="exact"/>
        <w:rPr>
          <w:sz w:val="20"/>
          <w:szCs w:val="20"/>
          <w:color w:val="auto"/>
        </w:rPr>
      </w:pPr>
    </w:p>
    <w:p>
      <w:pPr>
        <w:ind w:left="660" w:right="20" w:hanging="647"/>
        <w:spacing w:after="0" w:line="277" w:lineRule="auto"/>
        <w:tabs>
          <w:tab w:leader="none" w:pos="640" w:val="left"/>
        </w:tabs>
        <w:rPr>
          <w:sz w:val="20"/>
          <w:szCs w:val="20"/>
          <w:color w:val="auto"/>
        </w:rPr>
      </w:pPr>
      <w:r>
        <w:rPr>
          <w:rFonts w:ascii="Arial" w:cs="Arial" w:eastAsia="Arial" w:hAnsi="Arial"/>
          <w:sz w:val="18"/>
          <w:szCs w:val="18"/>
          <w:color w:val="auto"/>
        </w:rPr>
        <w:t>4.2</w:t>
      </w:r>
      <w:r>
        <w:rPr>
          <w:sz w:val="20"/>
          <w:szCs w:val="20"/>
          <w:color w:val="auto"/>
        </w:rPr>
        <w:tab/>
      </w:r>
      <w:r>
        <w:rPr>
          <w:rFonts w:ascii="Arial" w:cs="Arial" w:eastAsia="Arial" w:hAnsi="Arial"/>
          <w:sz w:val="18"/>
          <w:szCs w:val="18"/>
          <w:color w:val="auto"/>
        </w:rPr>
        <w:t>To maintain the Company in good standing with the Registrar of Companies under the laws of the Cayman Islands, annual filing fees must be paid and returns made to the Registrar of Companies within the time frame prescribed by law.</w:t>
      </w:r>
    </w:p>
    <w:p>
      <w:pPr>
        <w:spacing w:after="0" w:line="170" w:lineRule="exact"/>
        <w:rPr>
          <w:sz w:val="20"/>
          <w:szCs w:val="20"/>
          <w:color w:val="auto"/>
        </w:rPr>
      </w:pPr>
    </w:p>
    <w:p>
      <w:pPr>
        <w:ind w:left="660" w:hanging="647"/>
        <w:spacing w:after="0" w:line="290" w:lineRule="auto"/>
        <w:tabs>
          <w:tab w:leader="none" w:pos="640" w:val="left"/>
        </w:tabs>
        <w:rPr>
          <w:sz w:val="20"/>
          <w:szCs w:val="20"/>
          <w:color w:val="auto"/>
        </w:rPr>
      </w:pPr>
      <w:r>
        <w:rPr>
          <w:rFonts w:ascii="Arial" w:cs="Arial" w:eastAsia="Arial" w:hAnsi="Arial"/>
          <w:sz w:val="18"/>
          <w:szCs w:val="18"/>
          <w:color w:val="auto"/>
        </w:rPr>
        <w:t>4.3</w:t>
      </w:r>
      <w:r>
        <w:rPr>
          <w:sz w:val="20"/>
          <w:szCs w:val="20"/>
          <w:color w:val="auto"/>
        </w:rPr>
        <w:tab/>
      </w:r>
      <w:r>
        <w:rPr>
          <w:rFonts w:ascii="Arial" w:cs="Arial" w:eastAsia="Arial" w:hAnsi="Arial"/>
          <w:sz w:val="16"/>
          <w:szCs w:val="16"/>
          <w:color w:val="auto"/>
        </w:rPr>
        <w:t xml:space="preserve">Under Cayman Islands law, the register of members (shareholders) is </w:t>
      </w:r>
      <w:r>
        <w:rPr>
          <w:rFonts w:ascii="Arial" w:cs="Arial" w:eastAsia="Arial" w:hAnsi="Arial"/>
          <w:sz w:val="16"/>
          <w:szCs w:val="16"/>
          <w:i w:val="1"/>
          <w:iCs w:val="1"/>
          <w:color w:val="auto"/>
        </w:rPr>
        <w:t>prima facie</w:t>
      </w:r>
      <w:r>
        <w:rPr>
          <w:rFonts w:ascii="Arial" w:cs="Arial" w:eastAsia="Arial" w:hAnsi="Arial"/>
          <w:sz w:val="16"/>
          <w:szCs w:val="16"/>
          <w:color w:val="auto"/>
        </w:rPr>
        <w:t xml:space="preserve"> evidence of title to shares and this register would not record a third party interest in such shares. However, there are certain limited circumstances where an application may be made to a Cayman Islands court for a determination on whether the register of members reflects the correct legal position. Further, the Cayman Islands court has the power to order that the register of members maintained by a company should be rectified where it considers that the register of members does not reflect the correct legal position. As far as we are aware, such applications are rarely made in the Cayman Islands and for the purposes of the opinion given in paragraph 3.2, there are no circumstances or matters of fact known to us on the date of this opinion letter which would properly form the basis for an application for an order for rectification of the register of members of the Company, but if such an application were made in respect of the Ordinary Shares, then the validity of such shares may be subject to re-examination by a Cayman Islands court.</w:t>
      </w:r>
    </w:p>
    <w:p>
      <w:pPr>
        <w:spacing w:after="0" w:line="165" w:lineRule="exact"/>
        <w:rPr>
          <w:sz w:val="20"/>
          <w:szCs w:val="20"/>
          <w:color w:val="auto"/>
        </w:rPr>
      </w:pPr>
    </w:p>
    <w:p>
      <w:pPr>
        <w:ind w:left="660" w:right="20" w:hanging="647"/>
        <w:spacing w:after="0" w:line="263" w:lineRule="auto"/>
        <w:tabs>
          <w:tab w:leader="none" w:pos="640" w:val="left"/>
        </w:tabs>
        <w:rPr>
          <w:sz w:val="20"/>
          <w:szCs w:val="20"/>
          <w:color w:val="auto"/>
        </w:rPr>
      </w:pPr>
      <w:r>
        <w:rPr>
          <w:rFonts w:ascii="Arial" w:cs="Arial" w:eastAsia="Arial" w:hAnsi="Arial"/>
          <w:sz w:val="18"/>
          <w:szCs w:val="18"/>
          <w:color w:val="auto"/>
        </w:rPr>
        <w:t>4.4</w:t>
      </w:r>
      <w:r>
        <w:rPr>
          <w:sz w:val="20"/>
          <w:szCs w:val="20"/>
          <w:color w:val="auto"/>
        </w:rPr>
        <w:tab/>
      </w:r>
      <w:r>
        <w:rPr>
          <w:rFonts w:ascii="Arial" w:cs="Arial" w:eastAsia="Arial" w:hAnsi="Arial"/>
          <w:sz w:val="18"/>
          <w:szCs w:val="18"/>
          <w:color w:val="auto"/>
        </w:rPr>
        <w:t>Except as specifically stated herein, we make no comment with respect to any representations and warranties which may be made by or with respect to the Company in any of the documents or instruments cited in this opinion letter or otherwise with respect to the commercial terms of the transactions the subject of this opinion letter.</w:t>
      </w:r>
    </w:p>
    <w:p>
      <w:pPr>
        <w:spacing w:after="0" w:line="400" w:lineRule="exact"/>
        <w:rPr>
          <w:sz w:val="20"/>
          <w:szCs w:val="20"/>
          <w:color w:val="auto"/>
        </w:rPr>
      </w:pPr>
    </w:p>
    <w:p>
      <w:pPr>
        <w:jc w:val="right"/>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42" w:name="page243"/>
    <w:bookmarkEnd w:id="242"/>
    <w:p>
      <w:pPr>
        <w:ind w:left="660" w:right="40" w:hanging="647"/>
        <w:spacing w:after="0" w:line="257" w:lineRule="auto"/>
        <w:tabs>
          <w:tab w:leader="none" w:pos="640" w:val="left"/>
        </w:tabs>
        <w:rPr>
          <w:sz w:val="20"/>
          <w:szCs w:val="20"/>
          <w:color w:val="auto"/>
        </w:rPr>
      </w:pPr>
      <w:r>
        <w:rPr>
          <w:rFonts w:ascii="Arial" w:cs="Arial" w:eastAsia="Arial" w:hAnsi="Arial"/>
          <w:sz w:val="18"/>
          <w:szCs w:val="18"/>
          <w:color w:val="auto"/>
        </w:rPr>
        <w:t>4.5</w:t>
      </w:r>
      <w:r>
        <w:rPr>
          <w:sz w:val="20"/>
          <w:szCs w:val="20"/>
          <w:color w:val="auto"/>
        </w:rPr>
        <w:tab/>
      </w:r>
      <w:r>
        <w:rPr>
          <w:rFonts w:ascii="Arial" w:cs="Arial" w:eastAsia="Arial" w:hAnsi="Arial"/>
          <w:sz w:val="18"/>
          <w:szCs w:val="18"/>
          <w:color w:val="auto"/>
        </w:rPr>
        <w:t>In this opinion letter, the phrase “non-assessable” means, with respect to the issuance of shares, that a shareholder shall not, in respect of the relevant shares and in the absence of a contractual arrangement, or an obligation pursuant to the memorandum and articles of association, to the contrary, have any obligation to make further contributions to the Company’s assets (except in exceptional circumstances, such as involving fraud, the establishment of an agency relationship or an illegal or improper purpose or other circumstances in which a court may be prepared to pierce or lift the corporate veil).</w:t>
      </w:r>
    </w:p>
    <w:p>
      <w:pPr>
        <w:spacing w:after="0" w:line="188" w:lineRule="exact"/>
        <w:rPr>
          <w:sz w:val="20"/>
          <w:szCs w:val="20"/>
          <w:color w:val="auto"/>
        </w:rPr>
      </w:pPr>
    </w:p>
    <w:p>
      <w:pPr>
        <w:ind w:right="100"/>
        <w:spacing w:after="0" w:line="286" w:lineRule="auto"/>
        <w:rPr>
          <w:sz w:val="20"/>
          <w:szCs w:val="20"/>
          <w:color w:val="auto"/>
        </w:rPr>
      </w:pPr>
      <w:r>
        <w:rPr>
          <w:rFonts w:ascii="Arial" w:cs="Arial" w:eastAsia="Arial" w:hAnsi="Arial"/>
          <w:sz w:val="17"/>
          <w:szCs w:val="17"/>
          <w:color w:val="auto"/>
        </w:rPr>
        <w:t>We hereby consent to the filing of this opinion letter as an exhibit to the Registration Statement and to the reference to our firm under the heading “Legal Matters” in the prospectus included in the Registration Statement. In providing our consent, we do not thereby admit that we are in the category of persons whose consent is required under Section 7 of the Act or the Rules and Regulations of the Commission thereunder.</w:t>
      </w:r>
    </w:p>
    <w:p>
      <w:pPr>
        <w:spacing w:after="0" w:line="165"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This opinion letter is addressed to you and may be relied upon by you, your counsel and purchasers of Units pursuant to the Registration Statement. This opinion letter is limited to the matters detailed herein and is not to be read as an opinion with respect to any other matter.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Yours faithfully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spacing w:after="0"/>
        <w:rPr>
          <w:sz w:val="20"/>
          <w:szCs w:val="20"/>
          <w:color w:val="auto"/>
        </w:rPr>
      </w:pPr>
      <w:r>
        <w:rPr>
          <w:rFonts w:ascii="Arial" w:cs="Arial" w:eastAsia="Arial" w:hAnsi="Arial"/>
          <w:sz w:val="18"/>
          <w:szCs w:val="18"/>
          <w:color w:val="auto"/>
        </w:rPr>
        <w:t>/s/ Maples and Calder</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3" w:name="page244"/>
    <w:bookmarkEnd w:id="243"/>
    <w:p>
      <w:pPr>
        <w:jc w:val="center"/>
        <w:spacing w:after="0"/>
        <w:rPr>
          <w:sz w:val="20"/>
          <w:szCs w:val="20"/>
          <w:color w:val="auto"/>
        </w:rPr>
      </w:pPr>
      <w:r>
        <w:rPr>
          <w:rFonts w:ascii="Arial" w:cs="Arial" w:eastAsia="Arial" w:hAnsi="Arial"/>
          <w:sz w:val="16"/>
          <w:szCs w:val="16"/>
          <w:color w:val="auto"/>
        </w:rPr>
        <w:t>Sustainable Opportunities Acquisition Corp.</w:t>
      </w:r>
    </w:p>
    <w:p>
      <w:pPr>
        <w:spacing w:after="0" w:line="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PO Box 309, Ugland House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Cayman Islands</w:t>
      </w:r>
    </w:p>
    <w:p>
      <w:pPr>
        <w:spacing w:after="0" w:line="21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1 May 2020</w:t>
      </w:r>
    </w:p>
    <w:p>
      <w:pPr>
        <w:sectPr>
          <w:pgSz w:w="11900" w:h="16838" w:orient="portrait"/>
          <w:cols w:equalWidth="0" w:num="1">
            <w:col w:w="11240"/>
          </w:cols>
          <w:pgMar w:left="320" w:top="908" w:right="339" w:bottom="1440" w:gutter="0" w:footer="0" w:header="0"/>
        </w:sectPr>
      </w:pP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color w:val="auto"/>
        </w:rPr>
        <w:t>To:</w:t>
      </w:r>
    </w:p>
    <w:p>
      <w:pPr>
        <w:spacing w:after="0" w:line="20" w:lineRule="exact"/>
        <w:rPr>
          <w:sz w:val="20"/>
          <w:szCs w:val="20"/>
          <w:color w:val="auto"/>
        </w:rPr>
      </w:pPr>
      <w:r>
        <w:rPr>
          <w:sz w:val="20"/>
          <w:szCs w:val="20"/>
          <w:color w:val="auto"/>
        </w:rPr>
        <w:br w:type="column"/>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color w:val="auto"/>
        </w:rPr>
        <w:t>Maples and Calder</w:t>
      </w:r>
    </w:p>
    <w:p>
      <w:pPr>
        <w:spacing w:after="0" w:line="23" w:lineRule="exact"/>
        <w:rPr>
          <w:sz w:val="20"/>
          <w:szCs w:val="20"/>
          <w:color w:val="auto"/>
        </w:rPr>
      </w:pPr>
    </w:p>
    <w:p>
      <w:pPr>
        <w:spacing w:after="0"/>
        <w:rPr>
          <w:sz w:val="20"/>
          <w:szCs w:val="20"/>
          <w:color w:val="auto"/>
        </w:rPr>
      </w:pPr>
      <w:r>
        <w:rPr>
          <w:rFonts w:ascii="Arial" w:cs="Arial" w:eastAsia="Arial" w:hAnsi="Arial"/>
          <w:sz w:val="16"/>
          <w:szCs w:val="16"/>
          <w:color w:val="auto"/>
        </w:rPr>
        <w:t>PO Box 309, Ugland House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Grand Cayman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KY1-1104</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Cayman Islands</w:t>
      </w:r>
    </w:p>
    <w:p>
      <w:pPr>
        <w:spacing w:after="0" w:line="200" w:lineRule="exact"/>
        <w:rPr>
          <w:sz w:val="20"/>
          <w:szCs w:val="20"/>
          <w:color w:val="auto"/>
        </w:rPr>
      </w:pPr>
    </w:p>
    <w:p>
      <w:pPr>
        <w:sectPr>
          <w:pgSz w:w="11900" w:h="16838" w:orient="portrait"/>
          <w:cols w:equalWidth="0" w:num="2">
            <w:col w:w="240" w:space="420"/>
            <w:col w:w="10580"/>
          </w:cols>
          <w:pgMar w:left="320" w:top="908" w:right="339" w:bottom="1440" w:gutter="0" w:footer="0" w:header="0"/>
          <w:type w:val="continuous"/>
        </w:sectPr>
      </w:pPr>
    </w:p>
    <w:p>
      <w:pPr>
        <w:spacing w:after="0" w:line="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Sustainable Opportunities Acquisition Corp. </w:t>
      </w:r>
      <w:r>
        <w:rPr>
          <w:rFonts w:ascii="Arial" w:cs="Arial" w:eastAsia="Arial" w:hAnsi="Arial"/>
          <w:sz w:val="18"/>
          <w:szCs w:val="18"/>
          <w:color w:val="auto"/>
        </w:rPr>
        <w:t>(the “</w:t>
      </w:r>
      <w:r>
        <w:rPr>
          <w:rFonts w:ascii="Arial" w:cs="Arial" w:eastAsia="Arial" w:hAnsi="Arial"/>
          <w:sz w:val="18"/>
          <w:szCs w:val="18"/>
          <w:b w:val="1"/>
          <w:bCs w:val="1"/>
          <w:color w:val="auto"/>
        </w:rPr>
        <w:t>Company</w:t>
      </w:r>
      <w:r>
        <w:rPr>
          <w:rFonts w:ascii="Arial" w:cs="Arial" w:eastAsia="Arial" w:hAnsi="Arial"/>
          <w:sz w:val="18"/>
          <w:szCs w:val="18"/>
          <w:color w:val="auto"/>
        </w:rPr>
        <w:t>”)</w:t>
      </w:r>
    </w:p>
    <w:p>
      <w:pPr>
        <w:spacing w:after="0" w:line="225" w:lineRule="exact"/>
        <w:rPr>
          <w:sz w:val="20"/>
          <w:szCs w:val="20"/>
          <w:color w:val="auto"/>
        </w:rPr>
      </w:pPr>
    </w:p>
    <w:p>
      <w:pPr>
        <w:ind w:right="40"/>
        <w:spacing w:after="0" w:line="266" w:lineRule="auto"/>
        <w:rPr>
          <w:sz w:val="20"/>
          <w:szCs w:val="20"/>
          <w:color w:val="auto"/>
        </w:rPr>
      </w:pPr>
      <w:r>
        <w:rPr>
          <w:rFonts w:ascii="Arial" w:cs="Arial" w:eastAsia="Arial" w:hAnsi="Arial"/>
          <w:sz w:val="18"/>
          <w:szCs w:val="18"/>
          <w:color w:val="auto"/>
        </w:rPr>
        <w:t>I, the undersigned, being a director of the Company, am aware that you are being asked to provide an opinion letter (the “</w:t>
      </w:r>
      <w:r>
        <w:rPr>
          <w:rFonts w:ascii="Arial" w:cs="Arial" w:eastAsia="Arial" w:hAnsi="Arial"/>
          <w:sz w:val="18"/>
          <w:szCs w:val="18"/>
          <w:b w:val="1"/>
          <w:bCs w:val="1"/>
          <w:color w:val="auto"/>
        </w:rPr>
        <w:t>Opinion</w:t>
      </w:r>
      <w:r>
        <w:rPr>
          <w:rFonts w:ascii="Arial" w:cs="Arial" w:eastAsia="Arial" w:hAnsi="Arial"/>
          <w:sz w:val="18"/>
          <w:szCs w:val="18"/>
          <w:color w:val="auto"/>
        </w:rPr>
        <w:t>”) in relation to certain aspects of Cayman Islands law. Unless otherwise defined herein, capitalised terms used in this certificate have the respective meanings given to them in the Opinion. I hereby certify that:</w:t>
      </w:r>
    </w:p>
    <w:p>
      <w:pPr>
        <w:spacing w:after="0" w:line="180" w:lineRule="exact"/>
        <w:rPr>
          <w:sz w:val="20"/>
          <w:szCs w:val="20"/>
          <w:color w:val="auto"/>
        </w:rPr>
      </w:pPr>
    </w:p>
    <w:p>
      <w:pPr>
        <w:ind w:left="660" w:hanging="652"/>
        <w:spacing w:after="0"/>
        <w:tabs>
          <w:tab w:leader="none" w:pos="660" w:val="left"/>
        </w:tabs>
        <w:numPr>
          <w:ilvl w:val="0"/>
          <w:numId w:val="163"/>
        </w:numPr>
        <w:rPr>
          <w:rFonts w:ascii="Arial" w:cs="Arial" w:eastAsia="Arial" w:hAnsi="Arial"/>
          <w:sz w:val="18"/>
          <w:szCs w:val="18"/>
          <w:color w:val="auto"/>
        </w:rPr>
      </w:pPr>
      <w:r>
        <w:rPr>
          <w:rFonts w:ascii="Arial" w:cs="Arial" w:eastAsia="Arial" w:hAnsi="Arial"/>
          <w:sz w:val="18"/>
          <w:szCs w:val="18"/>
          <w:color w:val="auto"/>
        </w:rPr>
        <w:t>The Memorandum and Articles remain in full force and effect and are unamended.</w:t>
      </w:r>
    </w:p>
    <w:p>
      <w:pPr>
        <w:spacing w:after="0" w:line="225" w:lineRule="exact"/>
        <w:rPr>
          <w:sz w:val="20"/>
          <w:szCs w:val="20"/>
          <w:color w:val="auto"/>
        </w:rPr>
      </w:pPr>
    </w:p>
    <w:p>
      <w:pPr>
        <w:ind w:left="660" w:right="220" w:hanging="652"/>
        <w:spacing w:after="0" w:line="277" w:lineRule="auto"/>
        <w:tabs>
          <w:tab w:leader="none" w:pos="660" w:val="left"/>
        </w:tabs>
        <w:numPr>
          <w:ilvl w:val="0"/>
          <w:numId w:val="164"/>
        </w:numPr>
        <w:rPr>
          <w:rFonts w:ascii="Arial" w:cs="Arial" w:eastAsia="Arial" w:hAnsi="Arial"/>
          <w:sz w:val="18"/>
          <w:szCs w:val="18"/>
          <w:color w:val="auto"/>
        </w:rPr>
      </w:pPr>
      <w:r>
        <w:rPr>
          <w:rFonts w:ascii="Arial" w:cs="Arial" w:eastAsia="Arial" w:hAnsi="Arial"/>
          <w:sz w:val="18"/>
          <w:szCs w:val="18"/>
          <w:color w:val="auto"/>
        </w:rPr>
        <w:t>The Company has not entered into any mortgages or charges over its property or assets other than those entered in the register of mortgages and charges of the Company.</w:t>
      </w:r>
    </w:p>
    <w:p>
      <w:pPr>
        <w:spacing w:after="0" w:line="170" w:lineRule="exact"/>
        <w:rPr>
          <w:sz w:val="20"/>
          <w:szCs w:val="20"/>
          <w:color w:val="auto"/>
        </w:rPr>
      </w:pPr>
    </w:p>
    <w:p>
      <w:pPr>
        <w:ind w:left="660" w:right="280" w:hanging="652"/>
        <w:spacing w:after="0" w:line="308" w:lineRule="auto"/>
        <w:tabs>
          <w:tab w:leader="none" w:pos="660" w:val="left"/>
        </w:tabs>
        <w:numPr>
          <w:ilvl w:val="0"/>
          <w:numId w:val="165"/>
        </w:numPr>
        <w:rPr>
          <w:rFonts w:ascii="Arial" w:cs="Arial" w:eastAsia="Arial" w:hAnsi="Arial"/>
          <w:sz w:val="17"/>
          <w:szCs w:val="17"/>
          <w:color w:val="auto"/>
        </w:rPr>
      </w:pPr>
      <w:r>
        <w:rPr>
          <w:rFonts w:ascii="Arial" w:cs="Arial" w:eastAsia="Arial" w:hAnsi="Arial"/>
          <w:sz w:val="17"/>
          <w:szCs w:val="17"/>
          <w:color w:val="auto"/>
        </w:rPr>
        <w:t>The Resolutions were duly passed in the manner prescribed in the Memorandum and Articles (including, without limitation, with respect to the disclosure of interests (if any) by directors of the Company) and have not been amended, varied or revoked in any respect.</w:t>
      </w:r>
    </w:p>
    <w:p>
      <w:pPr>
        <w:spacing w:after="0" w:line="146" w:lineRule="exact"/>
        <w:rPr>
          <w:sz w:val="20"/>
          <w:szCs w:val="20"/>
          <w:color w:val="auto"/>
        </w:rPr>
      </w:pPr>
    </w:p>
    <w:p>
      <w:pPr>
        <w:ind w:left="660" w:right="20" w:hanging="652"/>
        <w:spacing w:after="0" w:line="259" w:lineRule="auto"/>
        <w:tabs>
          <w:tab w:leader="none" w:pos="660" w:val="left"/>
        </w:tabs>
        <w:numPr>
          <w:ilvl w:val="0"/>
          <w:numId w:val="166"/>
        </w:numPr>
        <w:rPr>
          <w:rFonts w:ascii="Arial" w:cs="Arial" w:eastAsia="Arial" w:hAnsi="Arial"/>
          <w:sz w:val="18"/>
          <w:szCs w:val="18"/>
          <w:color w:val="auto"/>
        </w:rPr>
      </w:pPr>
      <w:r>
        <w:rPr>
          <w:rFonts w:ascii="Arial" w:cs="Arial" w:eastAsia="Arial" w:hAnsi="Arial"/>
          <w:sz w:val="18"/>
          <w:szCs w:val="18"/>
          <w:color w:val="auto"/>
        </w:rPr>
        <w:t>The authorised share capital of the Company is US$33,100 divided into 300,000,000 Class A ordinary shares of par value US$0.0001 per share, 30,000,000 Class B ordinary shares of par value US$0001 per share and 1,000,000 preferred shares of par value U$0.0001 per shares. The issued share capital of the Company is 8,625,000 Class B ordinary shares, which have been have been duly authorised and are validly issued as fully-paid and non-assessable.</w:t>
      </w:r>
    </w:p>
    <w:p>
      <w:pPr>
        <w:spacing w:after="0" w:line="183" w:lineRule="exact"/>
        <w:rPr>
          <w:sz w:val="20"/>
          <w:szCs w:val="20"/>
          <w:color w:val="auto"/>
        </w:rPr>
      </w:pPr>
    </w:p>
    <w:p>
      <w:pPr>
        <w:ind w:left="660" w:hanging="652"/>
        <w:spacing w:after="0"/>
        <w:tabs>
          <w:tab w:leader="none" w:pos="660" w:val="left"/>
        </w:tabs>
        <w:numPr>
          <w:ilvl w:val="0"/>
          <w:numId w:val="167"/>
        </w:numPr>
        <w:rPr>
          <w:rFonts w:ascii="Arial" w:cs="Arial" w:eastAsia="Arial" w:hAnsi="Arial"/>
          <w:sz w:val="18"/>
          <w:szCs w:val="18"/>
          <w:color w:val="auto"/>
        </w:rPr>
      </w:pPr>
      <w:r>
        <w:rPr>
          <w:rFonts w:ascii="Arial" w:cs="Arial" w:eastAsia="Arial" w:hAnsi="Arial"/>
          <w:sz w:val="18"/>
          <w:szCs w:val="18"/>
          <w:color w:val="auto"/>
        </w:rPr>
        <w:t>The shareholders of the Company (the “</w:t>
      </w:r>
      <w:r>
        <w:rPr>
          <w:rFonts w:ascii="Arial" w:cs="Arial" w:eastAsia="Arial" w:hAnsi="Arial"/>
          <w:sz w:val="18"/>
          <w:szCs w:val="18"/>
          <w:b w:val="1"/>
          <w:bCs w:val="1"/>
          <w:color w:val="auto"/>
        </w:rPr>
        <w:t>Shareholders</w:t>
      </w:r>
      <w:r>
        <w:rPr>
          <w:rFonts w:ascii="Arial" w:cs="Arial" w:eastAsia="Arial" w:hAnsi="Arial"/>
          <w:sz w:val="18"/>
          <w:szCs w:val="18"/>
          <w:color w:val="auto"/>
        </w:rPr>
        <w:t>”) have not restricted the powers of the directors of the Company in any way.</w:t>
      </w:r>
    </w:p>
    <w:p>
      <w:pPr>
        <w:spacing w:after="0" w:line="229" w:lineRule="exact"/>
        <w:rPr>
          <w:sz w:val="20"/>
          <w:szCs w:val="20"/>
          <w:color w:val="auto"/>
        </w:rPr>
      </w:pPr>
    </w:p>
    <w:p>
      <w:pPr>
        <w:ind w:left="660" w:right="420" w:hanging="652"/>
        <w:spacing w:after="0" w:line="277" w:lineRule="auto"/>
        <w:tabs>
          <w:tab w:leader="none" w:pos="660" w:val="left"/>
        </w:tabs>
        <w:numPr>
          <w:ilvl w:val="0"/>
          <w:numId w:val="168"/>
        </w:numPr>
        <w:rPr>
          <w:rFonts w:ascii="Arial" w:cs="Arial" w:eastAsia="Arial" w:hAnsi="Arial"/>
          <w:sz w:val="18"/>
          <w:szCs w:val="18"/>
          <w:color w:val="auto"/>
        </w:rPr>
      </w:pPr>
      <w:r>
        <w:rPr>
          <w:rFonts w:ascii="Arial" w:cs="Arial" w:eastAsia="Arial" w:hAnsi="Arial"/>
          <w:sz w:val="18"/>
          <w:szCs w:val="18"/>
          <w:color w:val="auto"/>
        </w:rPr>
        <w:t>The directors of the Company at the date of the Resolutions and at the date of this certificate were and are as follows: Scott Honour and Scott Edward Leonard.</w:t>
      </w:r>
    </w:p>
    <w:p>
      <w:pPr>
        <w:spacing w:after="0" w:line="170" w:lineRule="exact"/>
        <w:rPr>
          <w:sz w:val="20"/>
          <w:szCs w:val="20"/>
          <w:color w:val="auto"/>
        </w:rPr>
      </w:pPr>
    </w:p>
    <w:p>
      <w:pPr>
        <w:ind w:left="660" w:right="60" w:hanging="652"/>
        <w:spacing w:after="0" w:line="279" w:lineRule="auto"/>
        <w:tabs>
          <w:tab w:leader="none" w:pos="660" w:val="left"/>
        </w:tabs>
        <w:numPr>
          <w:ilvl w:val="0"/>
          <w:numId w:val="169"/>
        </w:numPr>
        <w:rPr>
          <w:rFonts w:ascii="Arial" w:cs="Arial" w:eastAsia="Arial" w:hAnsi="Arial"/>
          <w:sz w:val="17"/>
          <w:szCs w:val="17"/>
          <w:color w:val="auto"/>
        </w:rPr>
      </w:pPr>
      <w:r>
        <w:rPr>
          <w:rFonts w:ascii="Arial" w:cs="Arial" w:eastAsia="Arial" w:hAnsi="Arial"/>
          <w:sz w:val="17"/>
          <w:szCs w:val="17"/>
          <w:color w:val="auto"/>
        </w:rPr>
        <w:t>The minute book and corporate records of the Company as maintained at its registered office in the Cayman Islands and made available to you are complete and accurate in all material respects, and all minutes and resolutions filed therein represent a complete and accurate record of all meetings of the Shareholders and directors (or any committee thereof) of the Company (duly convened in accordance with the Memorandum and Articles) and all resolutions passed at the meetings or passed by written resolution or consent, as the case may be.</w:t>
      </w:r>
    </w:p>
    <w:p>
      <w:pPr>
        <w:spacing w:after="0" w:line="171" w:lineRule="exact"/>
        <w:rPr>
          <w:sz w:val="20"/>
          <w:szCs w:val="20"/>
          <w:color w:val="auto"/>
        </w:rPr>
      </w:pPr>
    </w:p>
    <w:p>
      <w:pPr>
        <w:ind w:left="660" w:right="120" w:hanging="652"/>
        <w:spacing w:after="0" w:line="259" w:lineRule="auto"/>
        <w:tabs>
          <w:tab w:leader="none" w:pos="660" w:val="left"/>
        </w:tabs>
        <w:numPr>
          <w:ilvl w:val="0"/>
          <w:numId w:val="170"/>
        </w:numPr>
        <w:rPr>
          <w:rFonts w:ascii="Arial" w:cs="Arial" w:eastAsia="Arial" w:hAnsi="Arial"/>
          <w:sz w:val="18"/>
          <w:szCs w:val="18"/>
          <w:color w:val="auto"/>
        </w:rPr>
      </w:pPr>
      <w:r>
        <w:rPr>
          <w:rFonts w:ascii="Arial" w:cs="Arial" w:eastAsia="Arial" w:hAnsi="Arial"/>
          <w:sz w:val="18"/>
          <w:szCs w:val="18"/>
          <w:color w:val="auto"/>
        </w:rPr>
        <w:t>Prior to, at the time of, and immediately following the approval of the transactions the subject of the Registration Statement the Company was, or will be, able to pay its debts as they fell, or fall, due and has entered, or will enter, into the transactions the subject of the Registration Statement for proper value and not with an intention to defraud or wilfully defeat an obligation owed to any creditor or with a view to giving a creditor a preference.</w:t>
      </w:r>
    </w:p>
    <w:p>
      <w:pPr>
        <w:spacing w:after="0" w:line="200" w:lineRule="exact"/>
        <w:rPr>
          <w:sz w:val="20"/>
          <w:szCs w:val="20"/>
          <w:color w:val="auto"/>
        </w:rPr>
      </w:pPr>
    </w:p>
    <w:p>
      <w:pPr>
        <w:spacing w:after="0" w:line="203" w:lineRule="exact"/>
        <w:rPr>
          <w:sz w:val="20"/>
          <w:szCs w:val="20"/>
          <w:color w:val="auto"/>
        </w:rPr>
      </w:pPr>
    </w:p>
    <w:p>
      <w:pPr>
        <w:jc w:val="right"/>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type w:val="continuous"/>
        </w:sectPr>
      </w:pPr>
    </w:p>
    <w:bookmarkStart w:id="244" w:name="page245"/>
    <w:bookmarkEnd w:id="244"/>
    <w:p>
      <w:pPr>
        <w:jc w:val="both"/>
        <w:ind w:left="660" w:right="40" w:hanging="652"/>
        <w:spacing w:after="0" w:line="263" w:lineRule="auto"/>
        <w:tabs>
          <w:tab w:leader="none" w:pos="660" w:val="left"/>
        </w:tabs>
        <w:numPr>
          <w:ilvl w:val="0"/>
          <w:numId w:val="171"/>
        </w:numPr>
        <w:rPr>
          <w:rFonts w:ascii="Arial" w:cs="Arial" w:eastAsia="Arial" w:hAnsi="Arial"/>
          <w:sz w:val="18"/>
          <w:szCs w:val="18"/>
          <w:color w:val="auto"/>
        </w:rPr>
      </w:pPr>
      <w:r>
        <w:rPr>
          <w:rFonts w:ascii="Arial" w:cs="Arial" w:eastAsia="Arial" w:hAnsi="Arial"/>
          <w:sz w:val="18"/>
          <w:szCs w:val="18"/>
          <w:color w:val="auto"/>
        </w:rPr>
        <w:t>Each director of the Company considers the transactions contemplated by the Registration Statement to be of commercial benefit to the Company and has acted in good faith in the best interests of the Company, and for a proper purpose of the Company, in relation to the transactions which are the subject of the Opinion.</w:t>
      </w:r>
    </w:p>
    <w:p>
      <w:pPr>
        <w:spacing w:after="0" w:line="184" w:lineRule="exact"/>
        <w:rPr>
          <w:sz w:val="20"/>
          <w:szCs w:val="20"/>
          <w:color w:val="auto"/>
        </w:rPr>
      </w:pPr>
    </w:p>
    <w:p>
      <w:pPr>
        <w:ind w:left="660" w:right="260" w:hanging="652"/>
        <w:spacing w:after="0" w:line="311" w:lineRule="auto"/>
        <w:tabs>
          <w:tab w:leader="none" w:pos="660" w:val="left"/>
        </w:tabs>
        <w:numPr>
          <w:ilvl w:val="0"/>
          <w:numId w:val="172"/>
        </w:numPr>
        <w:rPr>
          <w:rFonts w:ascii="Arial" w:cs="Arial" w:eastAsia="Arial" w:hAnsi="Arial"/>
          <w:sz w:val="16"/>
          <w:szCs w:val="16"/>
          <w:color w:val="auto"/>
        </w:rPr>
      </w:pPr>
      <w:r>
        <w:rPr>
          <w:rFonts w:ascii="Arial" w:cs="Arial" w:eastAsia="Arial" w:hAnsi="Arial"/>
          <w:sz w:val="16"/>
          <w:szCs w:val="16"/>
          <w:color w:val="auto"/>
        </w:rPr>
        <w:t>To the best of my knowledge and belief, having made due inquiry, the Company is not the subject of legal, arbitral, administrative or other proceedings in any jurisdiction. Nor have the directors or Shareholders taken any steps to have the Company struck off or placed in liquidation, nor have any steps been taken to wind up the Company. Nor has any receiver been appointed over any of the Company’s property or assets.</w:t>
      </w:r>
    </w:p>
    <w:p>
      <w:pPr>
        <w:spacing w:after="0" w:line="148" w:lineRule="exact"/>
        <w:rPr>
          <w:rFonts w:ascii="Arial" w:cs="Arial" w:eastAsia="Arial" w:hAnsi="Arial"/>
          <w:sz w:val="16"/>
          <w:szCs w:val="16"/>
          <w:color w:val="auto"/>
        </w:rPr>
      </w:pPr>
    </w:p>
    <w:p>
      <w:pPr>
        <w:ind w:left="660" w:right="80" w:hanging="652"/>
        <w:spacing w:after="0" w:line="27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To the best of my knowledge and belief, having made due inquiry, there are no circumstances or matters of fact existing which may properly form the basis for an application for an order for rectification of the register of members of the Company.</w:t>
      </w:r>
    </w:p>
    <w:p>
      <w:pPr>
        <w:spacing w:after="0" w:line="170" w:lineRule="exact"/>
        <w:rPr>
          <w:rFonts w:ascii="Arial" w:cs="Arial" w:eastAsia="Arial" w:hAnsi="Arial"/>
          <w:sz w:val="18"/>
          <w:szCs w:val="18"/>
          <w:color w:val="auto"/>
        </w:rPr>
      </w:pPr>
    </w:p>
    <w:p>
      <w:pPr>
        <w:ind w:left="660" w:right="200" w:hanging="652"/>
        <w:spacing w:after="0" w:line="27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Registration Statement has been, or will be, authorised and duly executed and delivered by or on behalf of all relevant parties in accordance with all relevant laws.</w:t>
      </w:r>
    </w:p>
    <w:p>
      <w:pPr>
        <w:spacing w:after="0" w:line="170" w:lineRule="exact"/>
        <w:rPr>
          <w:rFonts w:ascii="Arial" w:cs="Arial" w:eastAsia="Arial" w:hAnsi="Arial"/>
          <w:sz w:val="18"/>
          <w:szCs w:val="18"/>
          <w:color w:val="auto"/>
        </w:rPr>
      </w:pPr>
    </w:p>
    <w:p>
      <w:pPr>
        <w:ind w:left="660" w:right="500" w:hanging="652"/>
        <w:spacing w:after="0" w:line="27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No invitation has been made or will be made by or on behalf of the Company to the public in the Cayman Islands to subscribe for any of the Ordinary Shares.</w:t>
      </w:r>
    </w:p>
    <w:p>
      <w:pPr>
        <w:spacing w:after="0" w:line="170" w:lineRule="exact"/>
        <w:rPr>
          <w:rFonts w:ascii="Arial" w:cs="Arial" w:eastAsia="Arial" w:hAnsi="Arial"/>
          <w:sz w:val="18"/>
          <w:szCs w:val="18"/>
          <w:color w:val="auto"/>
        </w:rPr>
      </w:pPr>
    </w:p>
    <w:p>
      <w:pPr>
        <w:ind w:left="660" w:right="140" w:hanging="652"/>
        <w:spacing w:after="0" w:line="27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Ordinary Shares to be issued pursuant to the Registration Statement have been, or will be, duly registered, and will continue to be registered, in the Company’s register of members (shareholders).</w:t>
      </w:r>
    </w:p>
    <w:p>
      <w:pPr>
        <w:spacing w:after="0" w:line="170" w:lineRule="exact"/>
        <w:rPr>
          <w:rFonts w:ascii="Arial" w:cs="Arial" w:eastAsia="Arial" w:hAnsi="Arial"/>
          <w:sz w:val="18"/>
          <w:szCs w:val="18"/>
          <w:color w:val="auto"/>
        </w:rPr>
      </w:pPr>
    </w:p>
    <w:p>
      <w:pPr>
        <w:ind w:left="660" w:right="440" w:hanging="652"/>
        <w:spacing w:after="0" w:line="27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 Company is not a central bank, monetary authority or other sovereign entity of any state and is not a subsidiary, direct or indirect, of any sovereign entity or state.</w:t>
      </w:r>
    </w:p>
    <w:p>
      <w:pPr>
        <w:spacing w:after="0" w:line="170" w:lineRule="exact"/>
        <w:rPr>
          <w:rFonts w:ascii="Arial" w:cs="Arial" w:eastAsia="Arial" w:hAnsi="Arial"/>
          <w:sz w:val="18"/>
          <w:szCs w:val="18"/>
          <w:color w:val="auto"/>
        </w:rPr>
      </w:pPr>
    </w:p>
    <w:p>
      <w:pPr>
        <w:ind w:left="660" w:right="60" w:hanging="652"/>
        <w:spacing w:after="0" w:line="277" w:lineRule="auto"/>
        <w:tabs>
          <w:tab w:leader="none" w:pos="660" w:val="left"/>
        </w:tabs>
        <w:numPr>
          <w:ilvl w:val="0"/>
          <w:numId w:val="172"/>
        </w:numPr>
        <w:rPr>
          <w:rFonts w:ascii="Arial" w:cs="Arial" w:eastAsia="Arial" w:hAnsi="Arial"/>
          <w:sz w:val="18"/>
          <w:szCs w:val="18"/>
          <w:color w:val="auto"/>
        </w:rPr>
      </w:pPr>
      <w:r>
        <w:rPr>
          <w:rFonts w:ascii="Arial" w:cs="Arial" w:eastAsia="Arial" w:hAnsi="Arial"/>
          <w:sz w:val="18"/>
          <w:szCs w:val="18"/>
          <w:color w:val="auto"/>
        </w:rPr>
        <w:t>There is no contractual or other prohibition or restriction (other than as arising under Cayman Islands law) binding on the Company prohibiting or restricting it from entering into and performing its obligations under the Documents.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 follows)</w:t>
      </w:r>
    </w:p>
    <w:p>
      <w:pPr>
        <w:spacing w:after="0" w:line="200" w:lineRule="exact"/>
        <w:rPr>
          <w:sz w:val="20"/>
          <w:szCs w:val="20"/>
          <w:color w:val="auto"/>
        </w:rPr>
      </w:pPr>
    </w:p>
    <w:p>
      <w:pPr>
        <w:spacing w:after="0" w:line="241" w:lineRule="exact"/>
        <w:rPr>
          <w:sz w:val="20"/>
          <w:szCs w:val="20"/>
          <w:color w:val="auto"/>
        </w:rPr>
      </w:pPr>
    </w:p>
    <w:p>
      <w:pPr>
        <w:jc w:val="right"/>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714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5" w:name="page246"/>
    <w:bookmarkEnd w:id="245"/>
    <w:p>
      <w:pPr>
        <w:ind w:right="380"/>
        <w:spacing w:after="0" w:line="277" w:lineRule="auto"/>
        <w:rPr>
          <w:sz w:val="20"/>
          <w:szCs w:val="20"/>
          <w:color w:val="auto"/>
        </w:rPr>
      </w:pPr>
      <w:r>
        <w:rPr>
          <w:rFonts w:ascii="Arial" w:cs="Arial" w:eastAsia="Arial" w:hAnsi="Arial"/>
          <w:sz w:val="18"/>
          <w:szCs w:val="18"/>
          <w:color w:val="auto"/>
        </w:rPr>
        <w:t>I confirm that you may continue to rely on this certificate as being true and correct on the day that you issue the Opinion unless I shall have previously notified you in writing personally to the contrary.</w:t>
      </w:r>
    </w:p>
    <w:p>
      <w:pPr>
        <w:spacing w:after="0" w:line="170"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Signature:</w:t>
      </w:r>
      <w:r>
        <w:rPr>
          <w:sz w:val="20"/>
          <w:szCs w:val="20"/>
          <w:color w:val="auto"/>
        </w:rPr>
        <w:tab/>
      </w:r>
      <w:r>
        <w:rPr>
          <w:rFonts w:ascii="Arial" w:cs="Arial" w:eastAsia="Arial" w:hAnsi="Arial"/>
          <w:sz w:val="16"/>
          <w:szCs w:val="16"/>
          <w:color w:val="auto"/>
        </w:rPr>
        <w:t>/s/ Scott Leonard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579120</wp:posOffset>
            </wp:positionH>
            <wp:positionV relativeFrom="paragraph">
              <wp:posOffset>14605</wp:posOffset>
            </wp:positionV>
            <wp:extent cx="2280285" cy="1714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7">
                      <a:extLst>
                        <a:ext uri="{28A0092B-C50C-407E-A947-70E740481C1C}"/>
                      </a:extLst>
                    </a:blip>
                    <a:srcRect/>
                    <a:stretch>
                      <a:fillRect/>
                    </a:stretch>
                  </pic:blipFill>
                  <pic:spPr bwMode="auto">
                    <a:xfrm>
                      <a:off x="0" y="0"/>
                      <a:ext cx="2280285" cy="17145"/>
                    </a:xfrm>
                    <a:prstGeom prst="rect">
                      <a:avLst/>
                    </a:prstGeom>
                    <a:noFill/>
                  </pic:spPr>
                </pic:pic>
              </a:graphicData>
            </a:graphic>
          </wp:anchor>
        </w:drawing>
      </w:r>
    </w:p>
    <w:p>
      <w:pPr>
        <w:spacing w:after="0" w:line="3"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8"/>
          <w:szCs w:val="18"/>
          <w:color w:val="auto"/>
        </w:rPr>
        <w:t>Scott Leonard</w:t>
      </w:r>
    </w:p>
    <w:p>
      <w:pPr>
        <w:spacing w:after="0" w:line="36" w:lineRule="exact"/>
        <w:rPr>
          <w:sz w:val="20"/>
          <w:szCs w:val="20"/>
          <w:color w:val="auto"/>
        </w:rPr>
      </w:pPr>
    </w:p>
    <w:p>
      <w:pPr>
        <w:spacing w:after="0"/>
        <w:tabs>
          <w:tab w:leader="none" w:pos="900" w:val="left"/>
        </w:tabs>
        <w:rPr>
          <w:sz w:val="20"/>
          <w:szCs w:val="20"/>
          <w:color w:val="auto"/>
        </w:rPr>
      </w:pPr>
      <w:r>
        <w:rPr>
          <w:rFonts w:ascii="Arial" w:cs="Arial" w:eastAsia="Arial" w:hAnsi="Arial"/>
          <w:sz w:val="18"/>
          <w:szCs w:val="18"/>
          <w:color w:val="auto"/>
        </w:rPr>
        <w:t>Title:</w:t>
      </w:r>
      <w:r>
        <w:rPr>
          <w:sz w:val="20"/>
          <w:szCs w:val="20"/>
          <w:color w:val="auto"/>
        </w:rPr>
        <w:tab/>
      </w:r>
      <w:r>
        <w:rPr>
          <w:rFonts w:ascii="Arial" w:cs="Arial" w:eastAsia="Arial" w:hAnsi="Arial"/>
          <w:sz w:val="18"/>
          <w:szCs w:val="18"/>
          <w:color w:val="auto"/>
        </w:rPr>
        <w:t>Director</w:t>
      </w:r>
    </w:p>
    <w:p>
      <w:pPr>
        <w:spacing w:after="0" w:line="200" w:lineRule="exact"/>
        <w:rPr>
          <w:sz w:val="20"/>
          <w:szCs w:val="20"/>
          <w:color w:val="auto"/>
        </w:rPr>
      </w:pPr>
    </w:p>
    <w:p>
      <w:pPr>
        <w:spacing w:after="0" w:line="22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wp:posOffset>
            </wp:positionV>
            <wp:extent cx="7132320" cy="1714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8" w:right="339" w:bottom="1440" w:gutter="0" w:footer="0" w:header="0"/>
        </w:sectPr>
      </w:pPr>
    </w:p>
    <w:bookmarkStart w:id="246" w:name="page247"/>
    <w:bookmarkEnd w:id="246"/>
    <w:p>
      <w:pPr>
        <w:jc w:val="right"/>
        <w:spacing w:after="0"/>
        <w:rPr>
          <w:sz w:val="20"/>
          <w:szCs w:val="20"/>
          <w:color w:val="auto"/>
        </w:rPr>
      </w:pPr>
      <w:r>
        <w:rPr>
          <w:rFonts w:ascii="Arial" w:cs="Arial" w:eastAsia="Arial" w:hAnsi="Arial"/>
          <w:sz w:val="18"/>
          <w:szCs w:val="18"/>
          <w:b w:val="1"/>
          <w:bCs w:val="1"/>
          <w:color w:val="auto"/>
        </w:rPr>
        <w:t>Exhibit 23.1</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u w:val="single" w:color="auto"/>
          <w:color w:val="auto"/>
        </w:rPr>
        <w:t>INDEPENDENT REGISTERED PUBLIC ACCOUNTING FIRM’S CONSENT</w:t>
      </w:r>
    </w:p>
    <w:p>
      <w:pPr>
        <w:spacing w:after="0" w:line="225"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We consent to the inclusion in this Registration Statement of Sustainable Opportunities Acquisition Corp. on Amendment No. 2 to Form S-1, File No. 333-237245, of our report dated February 18, 2020, which includes an explanatory paragraph as to the Company’s ability to continue as a going concern, with respect to our audit of the financial statements of Sustainable Opportunities Acquisition Corp. as of December 31, 2019 and for the period from December 18, 2019 (inception) through December 31, 2019, which report appears in the Prospectus, which is part of this Registration Statement. We also consent to the reference to our Firm under the heading “Experts” in such Prospectus.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/s/ Marcum </w:t>
      </w:r>
      <w:r>
        <w:rPr>
          <w:rFonts w:ascii="Arial" w:cs="Arial" w:eastAsia="Arial" w:hAnsi="Arial"/>
          <w:sz w:val="12"/>
          <w:szCs w:val="12"/>
          <w:color w:val="auto"/>
        </w:rPr>
        <w:t>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New York, NY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May 1, 2020</w:t>
      </w:r>
    </w:p>
    <w:p>
      <w:pPr>
        <w:sectPr>
          <w:pgSz w:w="11900" w:h="16838" w:orient="portrait"/>
          <w:cols w:equalWidth="0" w:num="1">
            <w:col w:w="11240"/>
          </w:cols>
          <w:pgMar w:left="320" w:top="121" w:right="339" w:bottom="1440" w:gutter="0" w:footer="0" w:header="0"/>
        </w:sectPr>
      </w:pPr>
    </w:p>
    <w:bookmarkStart w:id="247" w:name="page248"/>
    <w:bookmarkEnd w:id="247"/>
    <w:p>
      <w:pPr>
        <w:jc w:val="right"/>
        <w:spacing w:after="0"/>
        <w:rPr>
          <w:sz w:val="20"/>
          <w:szCs w:val="20"/>
          <w:color w:val="auto"/>
        </w:rPr>
      </w:pPr>
      <w:r>
        <w:rPr>
          <w:rFonts w:ascii="Arial" w:cs="Arial" w:eastAsia="Arial" w:hAnsi="Arial"/>
          <w:sz w:val="18"/>
          <w:szCs w:val="18"/>
          <w:b w:val="1"/>
          <w:bCs w:val="1"/>
          <w:color w:val="auto"/>
        </w:rPr>
        <w:t>Exhibit 99.3</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JUSTIN KELLY</w:t>
      </w:r>
    </w:p>
    <w:p>
      <w:pPr>
        <w:spacing w:after="0" w:line="229" w:lineRule="exact"/>
        <w:rPr>
          <w:sz w:val="20"/>
          <w:szCs w:val="20"/>
          <w:color w:val="auto"/>
        </w:rPr>
      </w:pPr>
    </w:p>
    <w:p>
      <w:pPr>
        <w:jc w:val="both"/>
        <w:spacing w:after="0" w:line="286" w:lineRule="auto"/>
        <w:rPr>
          <w:sz w:val="20"/>
          <w:szCs w:val="20"/>
          <w:color w:val="auto"/>
        </w:rPr>
      </w:pPr>
      <w:r>
        <w:rPr>
          <w:rFonts w:ascii="Arial" w:cs="Arial" w:eastAsia="Arial" w:hAnsi="Arial"/>
          <w:sz w:val="17"/>
          <w:szCs w:val="17"/>
          <w:color w:val="auto"/>
        </w:rPr>
        <w:t>Sustainable Opportunities Acquisition Corp. (the “</w:t>
      </w:r>
      <w:r>
        <w:rPr>
          <w:rFonts w:ascii="Arial" w:cs="Arial" w:eastAsia="Arial" w:hAnsi="Arial"/>
          <w:sz w:val="17"/>
          <w:szCs w:val="17"/>
          <w:u w:val="single" w:color="auto"/>
          <w:color w:val="auto"/>
        </w:rPr>
        <w:t>Company</w:t>
      </w:r>
      <w:r>
        <w:rPr>
          <w:rFonts w:ascii="Arial" w:cs="Arial" w:eastAsia="Arial" w:hAnsi="Arial"/>
          <w:sz w:val="17"/>
          <w:szCs w:val="17"/>
          <w:color w:val="auto"/>
        </w:rPr>
        <w:t>”) intends to file a Registration Statement on Form S-1 (together with any amendments or supplements thereto, the “</w:t>
      </w:r>
      <w:r>
        <w:rPr>
          <w:rFonts w:ascii="Arial" w:cs="Arial" w:eastAsia="Arial" w:hAnsi="Arial"/>
          <w:sz w:val="17"/>
          <w:szCs w:val="17"/>
          <w:u w:val="single" w:color="auto"/>
          <w:color w:val="auto"/>
        </w:rPr>
        <w:t>Registration Statement</w:t>
      </w:r>
      <w:r>
        <w:rPr>
          <w:rFonts w:ascii="Arial" w:cs="Arial" w:eastAsia="Arial" w:hAnsi="Arial"/>
          <w:sz w:val="17"/>
          <w:szCs w:val="17"/>
          <w:color w:val="auto"/>
        </w:rPr>
        <w:t>”) registering securities for issuance in its initial public offering. As required by Rule 438 under the Securities Act of 1933, as amended, the undersigned hereby consents to being named in the Registration Statement as a Director Nominee.</w:t>
      </w:r>
    </w:p>
    <w:p>
      <w:pPr>
        <w:spacing w:after="0" w:line="381" w:lineRule="exact"/>
        <w:rPr>
          <w:sz w:val="20"/>
          <w:szCs w:val="20"/>
          <w:color w:val="auto"/>
        </w:rPr>
      </w:pPr>
    </w:p>
    <w:p>
      <w:pPr>
        <w:spacing w:after="0"/>
        <w:tabs>
          <w:tab w:leader="none" w:pos="6180" w:val="left"/>
        </w:tabs>
        <w:rPr>
          <w:sz w:val="20"/>
          <w:szCs w:val="20"/>
          <w:color w:val="auto"/>
        </w:rPr>
      </w:pPr>
      <w:r>
        <w:rPr>
          <w:rFonts w:ascii="Arial" w:cs="Arial" w:eastAsia="Arial" w:hAnsi="Arial"/>
          <w:sz w:val="18"/>
          <w:szCs w:val="18"/>
          <w:color w:val="auto"/>
        </w:rPr>
        <w:t>March 30, 2020</w:t>
      </w:r>
      <w:r>
        <w:rPr>
          <w:sz w:val="20"/>
          <w:szCs w:val="20"/>
          <w:color w:val="auto"/>
        </w:rPr>
        <w:tab/>
      </w:r>
      <w:r>
        <w:rPr>
          <w:rFonts w:ascii="Arial" w:cs="Arial" w:eastAsia="Arial" w:hAnsi="Arial"/>
          <w:sz w:val="17"/>
          <w:szCs w:val="17"/>
          <w:color w:val="auto"/>
        </w:rPr>
        <w:t>By: /s/ Justin Kelly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4145280</wp:posOffset>
            </wp:positionH>
            <wp:positionV relativeFrom="paragraph">
              <wp:posOffset>14605</wp:posOffset>
            </wp:positionV>
            <wp:extent cx="2991485" cy="171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9">
                      <a:extLst>
                        <a:ext uri="{28A0092B-C50C-407E-A947-70E740481C1C}"/>
                      </a:extLst>
                    </a:blip>
                    <a:srcRect/>
                    <a:stretch>
                      <a:fillRect/>
                    </a:stretch>
                  </pic:blipFill>
                  <pic:spPr bwMode="auto">
                    <a:xfrm>
                      <a:off x="0" y="0"/>
                      <a:ext cx="2991485" cy="17145"/>
                    </a:xfrm>
                    <a:prstGeom prst="rect">
                      <a:avLst/>
                    </a:prstGeom>
                    <a:noFill/>
                  </pic:spPr>
                </pic:pic>
              </a:graphicData>
            </a:graphic>
          </wp:anchor>
        </w:drawing>
      </w:r>
    </w:p>
    <w:p>
      <w:pPr>
        <w:spacing w:after="0" w:line="16" w:lineRule="exact"/>
        <w:rPr>
          <w:sz w:val="20"/>
          <w:szCs w:val="20"/>
          <w:color w:val="auto"/>
        </w:rPr>
      </w:pPr>
    </w:p>
    <w:p>
      <w:pPr>
        <w:ind w:left="6520"/>
        <w:spacing w:after="0"/>
        <w:rPr>
          <w:sz w:val="20"/>
          <w:szCs w:val="20"/>
          <w:color w:val="auto"/>
        </w:rPr>
      </w:pPr>
      <w:r>
        <w:rPr>
          <w:rFonts w:ascii="Arial" w:cs="Arial" w:eastAsia="Arial" w:hAnsi="Arial"/>
          <w:sz w:val="18"/>
          <w:szCs w:val="18"/>
          <w:color w:val="auto"/>
        </w:rPr>
        <w:t>Name: Justin Kelly</w:t>
      </w:r>
    </w:p>
    <w:sectPr>
      <w:pgSz w:w="11900" w:h="16838" w:orient="portrait"/>
      <w:cols w:equalWidth="0" w:num="1">
        <w:col w:w="11240"/>
      </w:cols>
      <w:pgMar w:left="320" w:top="337"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885E1B"/>
    <w:multiLevelType w:val="hybridMultilevel"/>
    <w:lvl w:ilvl="0">
      <w:lvlJc w:val="left"/>
      <w:lvlText w:val="(%1)"/>
      <w:numFmt w:val="decimal"/>
      <w:start w:val="1"/>
    </w:lvl>
  </w:abstractNum>
  <w:abstractNum w:abstractNumId="1">
    <w:nsid w:val="76272110"/>
    <w:multiLevelType w:val="hybridMultilevel"/>
    <w:lvl w:ilvl="0">
      <w:lvlJc w:val="left"/>
      <w:lvlText w:val="(%1)"/>
      <w:numFmt w:val="decimal"/>
      <w:start w:val="1"/>
    </w:lvl>
  </w:abstractNum>
  <w:abstractNum w:abstractNumId="2">
    <w:nsid w:val="4C04A8AF"/>
    <w:multiLevelType w:val="hybridMultilevel"/>
    <w:lvl w:ilvl="0">
      <w:lvlJc w:val="left"/>
      <w:lvlText w:val="•"/>
      <w:numFmt w:val="bullet"/>
      <w:start w:val="1"/>
    </w:lvl>
  </w:abstractNum>
  <w:abstractNum w:abstractNumId="3">
    <w:nsid w:val="1716703B"/>
    <w:multiLevelType w:val="hybridMultilevel"/>
    <w:lvl w:ilvl="0">
      <w:lvlJc w:val="left"/>
      <w:lvlText w:val="&amp;"/>
      <w:numFmt w:val="bullet"/>
      <w:start w:val="1"/>
    </w:lvl>
  </w:abstractNum>
  <w:abstractNum w:abstractNumId="4">
    <w:nsid w:val="14E17E33"/>
    <w:multiLevelType w:val="hybridMultilevel"/>
    <w:lvl w:ilvl="0">
      <w:lvlJc w:val="left"/>
      <w:lvlText w:val="•"/>
      <w:numFmt w:val="bullet"/>
      <w:start w:val="1"/>
    </w:lvl>
  </w:abstractNum>
  <w:abstractNum w:abstractNumId="5">
    <w:nsid w:val="3222E7CD"/>
    <w:multiLevelType w:val="hybridMultilevel"/>
    <w:lvl w:ilvl="0">
      <w:lvlJc w:val="left"/>
      <w:lvlText w:val="•"/>
      <w:numFmt w:val="bullet"/>
      <w:start w:val="1"/>
    </w:lvl>
  </w:abstractNum>
  <w:abstractNum w:abstractNumId="6">
    <w:nsid w:val="74DE0EE3"/>
    <w:multiLevelType w:val="hybridMultilevel"/>
    <w:lvl w:ilvl="0">
      <w:lvlJc w:val="left"/>
      <w:lvlText w:val="•"/>
      <w:numFmt w:val="bullet"/>
      <w:start w:val="1"/>
    </w:lvl>
  </w:abstractNum>
  <w:abstractNum w:abstractNumId="7">
    <w:nsid w:val="68EBC550"/>
    <w:multiLevelType w:val="hybridMultilevel"/>
    <w:lvl w:ilvl="0">
      <w:lvlJc w:val="left"/>
      <w:lvlText w:val="•"/>
      <w:numFmt w:val="bullet"/>
      <w:start w:val="1"/>
    </w:lvl>
  </w:abstractNum>
  <w:abstractNum w:abstractNumId="8">
    <w:nsid w:val="2DF6D648"/>
    <w:multiLevelType w:val="hybridMultilevel"/>
    <w:lvl w:ilvl="0">
      <w:lvlJc w:val="left"/>
      <w:lvlText w:val="•"/>
      <w:numFmt w:val="bullet"/>
      <w:start w:val="1"/>
    </w:lvl>
  </w:abstractNum>
  <w:abstractNum w:abstractNumId="9">
    <w:nsid w:val="46B7D447"/>
    <w:multiLevelType w:val="hybridMultilevel"/>
    <w:lvl w:ilvl="0">
      <w:lvlJc w:val="left"/>
      <w:lvlText w:val="•"/>
      <w:numFmt w:val="bullet"/>
      <w:start w:val="1"/>
    </w:lvl>
  </w:abstractNum>
  <w:abstractNum w:abstractNumId="10">
    <w:nsid w:val="4A2AC315"/>
    <w:multiLevelType w:val="hybridMultilevel"/>
    <w:lvl w:ilvl="0">
      <w:lvlJc w:val="left"/>
      <w:lvlText w:val="•"/>
      <w:numFmt w:val="bullet"/>
      <w:start w:val="1"/>
    </w:lvl>
  </w:abstractNum>
  <w:abstractNum w:abstractNumId="11">
    <w:nsid w:val="39EE015C"/>
    <w:multiLevelType w:val="hybridMultilevel"/>
    <w:lvl w:ilvl="0">
      <w:lvlJc w:val="left"/>
      <w:lvlText w:val="(%1)"/>
      <w:numFmt w:val="decimal"/>
      <w:start w:val="1"/>
    </w:lvl>
  </w:abstractNum>
  <w:abstractNum w:abstractNumId="12">
    <w:nsid w:val="57FC4FBB"/>
    <w:multiLevelType w:val="hybridMultilevel"/>
    <w:lvl w:ilvl="0">
      <w:lvlJc w:val="left"/>
      <w:lvlText w:val="•"/>
      <w:numFmt w:val="bullet"/>
      <w:start w:val="1"/>
    </w:lvl>
  </w:abstractNum>
  <w:abstractNum w:abstractNumId="13">
    <w:nsid w:val="CC1016F"/>
    <w:multiLevelType w:val="hybridMultilevel"/>
    <w:lvl w:ilvl="0">
      <w:lvlJc w:val="left"/>
      <w:lvlText w:val="•"/>
      <w:numFmt w:val="bullet"/>
      <w:start w:val="1"/>
    </w:lvl>
  </w:abstractNum>
  <w:abstractNum w:abstractNumId="14">
    <w:nsid w:val="43F18422"/>
    <w:multiLevelType w:val="hybridMultilevel"/>
    <w:lvl w:ilvl="0">
      <w:lvlJc w:val="left"/>
      <w:lvlText w:val="•"/>
      <w:numFmt w:val="bullet"/>
      <w:start w:val="1"/>
    </w:lvl>
  </w:abstractNum>
  <w:abstractNum w:abstractNumId="15">
    <w:nsid w:val="60EF0119"/>
    <w:multiLevelType w:val="hybridMultilevel"/>
    <w:lvl w:ilvl="0">
      <w:lvlJc w:val="left"/>
      <w:lvlText w:val="(%1)"/>
      <w:numFmt w:val="lowerRoman"/>
      <w:start w:val="2"/>
    </w:lvl>
  </w:abstractNum>
  <w:abstractNum w:abstractNumId="16">
    <w:nsid w:val="26F324BA"/>
    <w:multiLevelType w:val="hybridMultilevel"/>
    <w:lvl w:ilvl="0">
      <w:lvlJc w:val="left"/>
      <w:lvlText w:val="•"/>
      <w:numFmt w:val="bullet"/>
      <w:start w:val="1"/>
    </w:lvl>
  </w:abstractNum>
  <w:abstractNum w:abstractNumId="17">
    <w:nsid w:val="7F01579B"/>
    <w:multiLevelType w:val="hybridMultilevel"/>
    <w:lvl w:ilvl="0">
      <w:lvlJc w:val="left"/>
      <w:lvlText w:val="(%1)"/>
      <w:numFmt w:val="lowerRoman"/>
      <w:start w:val="2"/>
    </w:lvl>
  </w:abstractNum>
  <w:abstractNum w:abstractNumId="18">
    <w:nsid w:val="49DA307D"/>
    <w:multiLevelType w:val="hybridMultilevel"/>
    <w:lvl w:ilvl="0">
      <w:lvlJc w:val="left"/>
      <w:lvlText w:val="•"/>
      <w:numFmt w:val="bullet"/>
      <w:start w:val="1"/>
    </w:lvl>
  </w:abstractNum>
  <w:abstractNum w:abstractNumId="19">
    <w:nsid w:val="7055A5F5"/>
    <w:multiLevelType w:val="hybridMultilevel"/>
    <w:lvl w:ilvl="0">
      <w:lvlJc w:val="left"/>
      <w:lvlText w:val="•"/>
      <w:numFmt w:val="bullet"/>
      <w:start w:val="1"/>
    </w:lvl>
  </w:abstractNum>
  <w:abstractNum w:abstractNumId="20">
    <w:nsid w:val="5FB8370B"/>
    <w:multiLevelType w:val="hybridMultilevel"/>
    <w:lvl w:ilvl="0">
      <w:lvlJc w:val="left"/>
      <w:lvlText w:val="•"/>
      <w:numFmt w:val="bullet"/>
      <w:start w:val="1"/>
    </w:lvl>
  </w:abstractNum>
  <w:abstractNum w:abstractNumId="21">
    <w:nsid w:val="50801EE1"/>
    <w:multiLevelType w:val="hybridMultilevel"/>
    <w:lvl w:ilvl="0">
      <w:lvlJc w:val="left"/>
      <w:lvlText w:val="•"/>
      <w:numFmt w:val="bullet"/>
      <w:start w:val="1"/>
    </w:lvl>
  </w:abstractNum>
  <w:abstractNum w:abstractNumId="22">
    <w:nsid w:val="488AC1A"/>
    <w:multiLevelType w:val="hybridMultilevel"/>
    <w:lvl w:ilvl="0">
      <w:lvlJc w:val="left"/>
      <w:lvlText w:val="•"/>
      <w:numFmt w:val="bullet"/>
      <w:start w:val="1"/>
    </w:lvl>
  </w:abstractNum>
  <w:abstractNum w:abstractNumId="23">
    <w:nsid w:val="5FB8011C"/>
    <w:multiLevelType w:val="hybridMultilevel"/>
    <w:lvl w:ilvl="0">
      <w:lvlJc w:val="left"/>
      <w:lvlText w:val="•"/>
      <w:numFmt w:val="bullet"/>
      <w:start w:val="1"/>
    </w:lvl>
  </w:abstractNum>
  <w:abstractNum w:abstractNumId="24">
    <w:nsid w:val="6AA78F7F"/>
    <w:multiLevelType w:val="hybridMultilevel"/>
    <w:lvl w:ilvl="0">
      <w:lvlJc w:val="left"/>
      <w:lvlText w:val="•"/>
      <w:numFmt w:val="bullet"/>
      <w:start w:val="1"/>
    </w:lvl>
  </w:abstractNum>
  <w:abstractNum w:abstractNumId="25">
    <w:nsid w:val="7672BD23"/>
    <w:multiLevelType w:val="hybridMultilevel"/>
    <w:lvl w:ilvl="0">
      <w:lvlJc w:val="left"/>
      <w:lvlText w:val="•"/>
      <w:numFmt w:val="bullet"/>
      <w:start w:val="1"/>
    </w:lvl>
  </w:abstractNum>
  <w:abstractNum w:abstractNumId="26">
    <w:nsid w:val="6FC75AF8"/>
    <w:multiLevelType w:val="hybridMultilevel"/>
    <w:lvl w:ilvl="0">
      <w:lvlJc w:val="left"/>
      <w:lvlText w:val="•"/>
      <w:numFmt w:val="bullet"/>
      <w:start w:val="1"/>
    </w:lvl>
  </w:abstractNum>
  <w:abstractNum w:abstractNumId="27">
    <w:nsid w:val="6A5F7029"/>
    <w:multiLevelType w:val="hybridMultilevel"/>
    <w:lvl w:ilvl="0">
      <w:lvlJc w:val="left"/>
      <w:lvlText w:val="•"/>
      <w:numFmt w:val="bullet"/>
      <w:start w:val="1"/>
    </w:lvl>
  </w:abstractNum>
  <w:abstractNum w:abstractNumId="28">
    <w:nsid w:val="7D5E18F8"/>
    <w:multiLevelType w:val="hybridMultilevel"/>
    <w:lvl w:ilvl="0">
      <w:lvlJc w:val="left"/>
      <w:lvlText w:val="•"/>
      <w:numFmt w:val="bullet"/>
      <w:start w:val="1"/>
    </w:lvl>
  </w:abstractNum>
  <w:abstractNum w:abstractNumId="29">
    <w:nsid w:val="5F3534A4"/>
    <w:multiLevelType w:val="hybridMultilevel"/>
    <w:lvl w:ilvl="0">
      <w:lvlJc w:val="left"/>
      <w:lvlText w:val="(%1)"/>
      <w:numFmt w:val="decimal"/>
      <w:start w:val="1"/>
    </w:lvl>
  </w:abstractNum>
  <w:abstractNum w:abstractNumId="30">
    <w:nsid w:val="73A1821B"/>
    <w:multiLevelType w:val="hybridMultilevel"/>
    <w:lvl w:ilvl="0">
      <w:lvlJc w:val="left"/>
      <w:lvlText w:val="(%1)"/>
      <w:numFmt w:val="decimal"/>
      <w:start w:val="4"/>
    </w:lvl>
  </w:abstractNum>
  <w:abstractNum w:abstractNumId="31">
    <w:nsid w:val="7DE67713"/>
    <w:multiLevelType w:val="hybridMultilevel"/>
    <w:lvl w:ilvl="0">
      <w:lvlJc w:val="left"/>
      <w:lvlText w:val="(%1)"/>
      <w:numFmt w:val="decimal"/>
      <w:start w:val="1"/>
    </w:lvl>
  </w:abstractNum>
  <w:abstractNum w:abstractNumId="32">
    <w:nsid w:val="555C55B5"/>
    <w:multiLevelType w:val="hybridMultilevel"/>
    <w:lvl w:ilvl="0">
      <w:lvlJc w:val="left"/>
      <w:lvlText w:val="(%1)"/>
      <w:numFmt w:val="decimal"/>
      <w:start w:val="1"/>
    </w:lvl>
  </w:abstractNum>
  <w:abstractNum w:abstractNumId="33">
    <w:nsid w:val="3FA62ACA"/>
    <w:multiLevelType w:val="hybridMultilevel"/>
    <w:lvl w:ilvl="0">
      <w:lvlJc w:val="left"/>
      <w:lvlText w:val="(%1)"/>
      <w:numFmt w:val="decimal"/>
      <w:start w:val="1"/>
    </w:lvl>
  </w:abstractNum>
  <w:abstractNum w:abstractNumId="34">
    <w:nsid w:val="14FCE74E"/>
    <w:multiLevelType w:val="hybridMultilevel"/>
    <w:lvl w:ilvl="0">
      <w:lvlJc w:val="left"/>
      <w:lvlText w:val="•"/>
      <w:numFmt w:val="bullet"/>
      <w:start w:val="1"/>
    </w:lvl>
  </w:abstractNum>
  <w:abstractNum w:abstractNumId="35">
    <w:nsid w:val="6A3DD3E8"/>
    <w:multiLevelType w:val="hybridMultilevel"/>
    <w:lvl w:ilvl="0">
      <w:lvlJc w:val="left"/>
      <w:lvlText w:val="•"/>
      <w:numFmt w:val="bullet"/>
      <w:start w:val="1"/>
    </w:lvl>
  </w:abstractNum>
  <w:abstractNum w:abstractNumId="36">
    <w:nsid w:val="71C91298"/>
    <w:multiLevelType w:val="hybridMultilevel"/>
    <w:lvl w:ilvl="0">
      <w:lvlJc w:val="left"/>
      <w:lvlText w:val="•"/>
      <w:numFmt w:val="bullet"/>
      <w:start w:val="1"/>
    </w:lvl>
  </w:abstractNum>
  <w:abstractNum w:abstractNumId="37">
    <w:nsid w:val="9DAF632"/>
    <w:multiLevelType w:val="hybridMultilevel"/>
    <w:lvl w:ilvl="0">
      <w:lvlJc w:val="left"/>
      <w:lvlText w:val="•"/>
      <w:numFmt w:val="bullet"/>
      <w:start w:val="1"/>
    </w:lvl>
  </w:abstractNum>
  <w:abstractNum w:abstractNumId="38">
    <w:nsid w:val="53299938"/>
    <w:multiLevelType w:val="hybridMultilevel"/>
    <w:lvl w:ilvl="0">
      <w:lvlJc w:val="left"/>
      <w:lvlText w:val="•"/>
      <w:numFmt w:val="bullet"/>
      <w:start w:val="1"/>
    </w:lvl>
  </w:abstractNum>
  <w:abstractNum w:abstractNumId="39">
    <w:nsid w:val="1FBFE8E0"/>
    <w:multiLevelType w:val="hybridMultilevel"/>
    <w:lvl w:ilvl="0">
      <w:lvlJc w:val="left"/>
      <w:lvlText w:val="•"/>
      <w:numFmt w:val="bullet"/>
      <w:start w:val="1"/>
    </w:lvl>
  </w:abstractNum>
  <w:abstractNum w:abstractNumId="40">
    <w:nsid w:val="5092CA79"/>
    <w:multiLevelType w:val="hybridMultilevel"/>
    <w:lvl w:ilvl="0">
      <w:lvlJc w:val="left"/>
      <w:lvlText w:val="•"/>
      <w:numFmt w:val="bullet"/>
      <w:start w:val="1"/>
    </w:lvl>
  </w:abstractNum>
  <w:abstractNum w:abstractNumId="41">
    <w:nsid w:val="1D545C4D"/>
    <w:multiLevelType w:val="hybridMultilevel"/>
    <w:lvl w:ilvl="0">
      <w:lvlJc w:val="left"/>
      <w:lvlText w:val="•"/>
      <w:numFmt w:val="bullet"/>
      <w:start w:val="1"/>
    </w:lvl>
  </w:abstractNum>
  <w:abstractNum w:abstractNumId="42">
    <w:nsid w:val="59ADEA3D"/>
    <w:multiLevelType w:val="hybridMultilevel"/>
    <w:lvl w:ilvl="0">
      <w:lvlJc w:val="left"/>
      <w:lvlText w:val="•"/>
      <w:numFmt w:val="bullet"/>
      <w:start w:val="1"/>
    </w:lvl>
  </w:abstractNum>
  <w:abstractNum w:abstractNumId="43">
    <w:nsid w:val="288F1A34"/>
    <w:multiLevelType w:val="hybridMultilevel"/>
    <w:lvl w:ilvl="0">
      <w:lvlJc w:val="left"/>
      <w:lvlText w:val="•"/>
      <w:numFmt w:val="bullet"/>
      <w:start w:val="1"/>
    </w:lvl>
  </w:abstractNum>
  <w:abstractNum w:abstractNumId="44">
    <w:nsid w:val="2A155DBC"/>
    <w:multiLevelType w:val="hybridMultilevel"/>
    <w:lvl w:ilvl="0">
      <w:lvlJc w:val="left"/>
      <w:lvlText w:val="•"/>
      <w:numFmt w:val="bullet"/>
      <w:start w:val="1"/>
    </w:lvl>
  </w:abstractNum>
  <w:abstractNum w:abstractNumId="45">
    <w:nsid w:val="1D9F6E5F"/>
    <w:multiLevelType w:val="hybridMultilevel"/>
    <w:lvl w:ilvl="0">
      <w:lvlJc w:val="left"/>
      <w:lvlText w:val="•"/>
      <w:numFmt w:val="bullet"/>
      <w:start w:val="1"/>
    </w:lvl>
  </w:abstractNum>
  <w:abstractNum w:abstractNumId="46">
    <w:nsid w:val="97E1B4E"/>
    <w:multiLevelType w:val="hybridMultilevel"/>
    <w:lvl w:ilvl="0">
      <w:lvlJc w:val="left"/>
      <w:lvlText w:val="•"/>
      <w:numFmt w:val="bullet"/>
      <w:start w:val="1"/>
    </w:lvl>
  </w:abstractNum>
  <w:abstractNum w:abstractNumId="47">
    <w:nsid w:val="51088277"/>
    <w:multiLevelType w:val="hybridMultilevel"/>
    <w:lvl w:ilvl="0">
      <w:lvlJc w:val="left"/>
      <w:lvlText w:val="(%1)"/>
      <w:numFmt w:val="lowerRoman"/>
      <w:start w:val="2"/>
    </w:lvl>
  </w:abstractNum>
  <w:abstractNum w:abstractNumId="48">
    <w:nsid w:val="1CA0C5FA"/>
    <w:multiLevelType w:val="hybridMultilevel"/>
    <w:lvl w:ilvl="0">
      <w:lvlJc w:val="left"/>
      <w:lvlText w:val="(%1)"/>
      <w:numFmt w:val="lowerRoman"/>
      <w:start w:val="1"/>
    </w:lvl>
  </w:abstractNum>
  <w:abstractNum w:abstractNumId="49">
    <w:nsid w:val="53584BCB"/>
    <w:multiLevelType w:val="hybridMultilevel"/>
    <w:lvl w:ilvl="0">
      <w:lvlJc w:val="left"/>
      <w:lvlText w:val="%1)"/>
      <w:numFmt w:val="upperLetter"/>
      <w:start w:val="30"/>
    </w:lvl>
  </w:abstractNum>
  <w:abstractNum w:abstractNumId="50">
    <w:nsid w:val="415E286C"/>
    <w:multiLevelType w:val="hybridMultilevel"/>
    <w:lvl w:ilvl="0">
      <w:lvlJc w:val="left"/>
      <w:lvlText w:val="•"/>
      <w:numFmt w:val="bullet"/>
      <w:start w:val="1"/>
    </w:lvl>
  </w:abstractNum>
  <w:abstractNum w:abstractNumId="51">
    <w:nsid w:val="7C58FD05"/>
    <w:multiLevelType w:val="hybridMultilevel"/>
    <w:lvl w:ilvl="0">
      <w:lvlJc w:val="left"/>
      <w:lvlText w:val="•"/>
      <w:numFmt w:val="bullet"/>
      <w:start w:val="1"/>
    </w:lvl>
  </w:abstractNum>
  <w:abstractNum w:abstractNumId="52">
    <w:nsid w:val="23D86AAC"/>
    <w:multiLevelType w:val="hybridMultilevel"/>
    <w:lvl w:ilvl="0">
      <w:lvlJc w:val="left"/>
      <w:lvlText w:val="•"/>
      <w:numFmt w:val="bullet"/>
      <w:start w:val="1"/>
    </w:lvl>
  </w:abstractNum>
  <w:abstractNum w:abstractNumId="53">
    <w:nsid w:val="45E6D486"/>
    <w:multiLevelType w:val="hybridMultilevel"/>
    <w:lvl w:ilvl="0">
      <w:lvlJc w:val="left"/>
      <w:lvlText w:val="•"/>
      <w:numFmt w:val="bullet"/>
      <w:start w:val="1"/>
    </w:lvl>
  </w:abstractNum>
  <w:abstractNum w:abstractNumId="54">
    <w:nsid w:val="5C10FE21"/>
    <w:multiLevelType w:val="hybridMultilevel"/>
    <w:lvl w:ilvl="0">
      <w:lvlJc w:val="left"/>
      <w:lvlText w:val="•"/>
      <w:numFmt w:val="bullet"/>
      <w:start w:val="1"/>
    </w:lvl>
  </w:abstractNum>
  <w:abstractNum w:abstractNumId="55">
    <w:nsid w:val="E7FFA2B"/>
    <w:multiLevelType w:val="hybridMultilevel"/>
    <w:lvl w:ilvl="0">
      <w:lvlJc w:val="left"/>
      <w:lvlText w:val="•"/>
      <w:numFmt w:val="bullet"/>
      <w:start w:val="1"/>
    </w:lvl>
  </w:abstractNum>
  <w:abstractNum w:abstractNumId="56">
    <w:nsid w:val="3C5991AA"/>
    <w:multiLevelType w:val="hybridMultilevel"/>
    <w:lvl w:ilvl="0">
      <w:lvlJc w:val="left"/>
      <w:lvlText w:val="•"/>
      <w:numFmt w:val="bullet"/>
      <w:start w:val="1"/>
    </w:lvl>
  </w:abstractNum>
  <w:abstractNum w:abstractNumId="57">
    <w:nsid w:val="4BD8591A"/>
    <w:multiLevelType w:val="hybridMultilevel"/>
    <w:lvl w:ilvl="0">
      <w:lvlJc w:val="left"/>
      <w:lvlText w:val="*"/>
      <w:numFmt w:val="bullet"/>
      <w:start w:val="1"/>
    </w:lvl>
  </w:abstractNum>
  <w:abstractNum w:abstractNumId="58">
    <w:nsid w:val="78DF6A55"/>
    <w:multiLevelType w:val="hybridMultilevel"/>
    <w:lvl w:ilvl="0">
      <w:lvlJc w:val="left"/>
      <w:lvlText w:val="(%1)"/>
      <w:numFmt w:val="decimal"/>
      <w:start w:val="1"/>
    </w:lvl>
  </w:abstractNum>
  <w:abstractNum w:abstractNumId="59">
    <w:nsid w:val="39B7AAA2"/>
    <w:multiLevelType w:val="hybridMultilevel"/>
    <w:lvl w:ilvl="0">
      <w:lvlJc w:val="left"/>
      <w:lvlText w:val="(%1)"/>
      <w:numFmt w:val="lowerRoman"/>
      <w:start w:val="10"/>
    </w:lvl>
  </w:abstractNum>
  <w:abstractNum w:abstractNumId="60">
    <w:nsid w:val="2B0D8DBE"/>
    <w:multiLevelType w:val="hybridMultilevel"/>
    <w:lvl w:ilvl="0">
      <w:lvlJc w:val="left"/>
      <w:lvlText w:val="(%1)"/>
      <w:numFmt w:val="lowerRoman"/>
      <w:start w:val="1"/>
    </w:lvl>
  </w:abstractNum>
  <w:abstractNum w:abstractNumId="61">
    <w:nsid w:val="6C80EC70"/>
    <w:multiLevelType w:val="hybridMultilevel"/>
    <w:lvl w:ilvl="0">
      <w:lvlJc w:val="left"/>
      <w:lvlText w:val="•"/>
      <w:numFmt w:val="bullet"/>
      <w:start w:val="1"/>
    </w:lvl>
  </w:abstractNum>
  <w:abstractNum w:abstractNumId="62">
    <w:nsid w:val="379E21B5"/>
    <w:multiLevelType w:val="hybridMultilevel"/>
    <w:lvl w:ilvl="0">
      <w:lvlJc w:val="left"/>
      <w:lvlText w:val="(%1)"/>
      <w:numFmt w:val="lowerRoman"/>
      <w:start w:val="2"/>
    </w:lvl>
  </w:abstractNum>
  <w:abstractNum w:abstractNumId="63">
    <w:nsid w:val="69E373"/>
    <w:multiLevelType w:val="hybridMultilevel"/>
    <w:lvl w:ilvl="0">
      <w:lvlJc w:val="left"/>
      <w:lvlText w:val="•"/>
      <w:numFmt w:val="bullet"/>
      <w:start w:val="1"/>
    </w:lvl>
  </w:abstractNum>
  <w:abstractNum w:abstractNumId="64">
    <w:nsid w:val="2C27173B"/>
    <w:multiLevelType w:val="hybridMultilevel"/>
    <w:lvl w:ilvl="0">
      <w:lvlJc w:val="left"/>
      <w:lvlText w:val="•"/>
      <w:numFmt w:val="bullet"/>
      <w:start w:val="1"/>
    </w:lvl>
  </w:abstractNum>
  <w:abstractNum w:abstractNumId="65">
    <w:nsid w:val="4C9B0904"/>
    <w:multiLevelType w:val="hybridMultilevel"/>
    <w:lvl w:ilvl="0">
      <w:lvlJc w:val="left"/>
      <w:lvlText w:val="(%1)"/>
      <w:numFmt w:val="lowerLetter"/>
      <w:start w:val="25"/>
    </w:lvl>
  </w:abstractNum>
  <w:abstractNum w:abstractNumId="66">
    <w:nsid w:val="6AA7B75C"/>
    <w:multiLevelType w:val="hybridMultilevel"/>
    <w:lvl w:ilvl="0">
      <w:lvlJc w:val="left"/>
      <w:lvlText w:val="•"/>
      <w:numFmt w:val="bullet"/>
      <w:start w:val="1"/>
    </w:lvl>
  </w:abstractNum>
  <w:abstractNum w:abstractNumId="67">
    <w:nsid w:val="1DF029D3"/>
    <w:multiLevelType w:val="hybridMultilevel"/>
    <w:lvl w:ilvl="0">
      <w:lvlJc w:val="left"/>
      <w:lvlText w:val="•"/>
      <w:numFmt w:val="bullet"/>
      <w:start w:val="1"/>
    </w:lvl>
  </w:abstractNum>
  <w:abstractNum w:abstractNumId="68">
    <w:nsid w:val="5675FF36"/>
    <w:multiLevelType w:val="hybridMultilevel"/>
    <w:lvl w:ilvl="0">
      <w:lvlJc w:val="left"/>
      <w:lvlText w:val="•"/>
      <w:numFmt w:val="bullet"/>
      <w:start w:val="1"/>
    </w:lvl>
  </w:abstractNum>
  <w:abstractNum w:abstractNumId="69">
    <w:nsid w:val="3DD15094"/>
    <w:multiLevelType w:val="hybridMultilevel"/>
    <w:lvl w:ilvl="0">
      <w:lvlJc w:val="left"/>
      <w:lvlText w:val="•"/>
      <w:numFmt w:val="bullet"/>
      <w:start w:val="1"/>
    </w:lvl>
  </w:abstractNum>
  <w:abstractNum w:abstractNumId="70">
    <w:nsid w:val="3DB012B3"/>
    <w:multiLevelType w:val="hybridMultilevel"/>
    <w:lvl w:ilvl="0">
      <w:lvlJc w:val="left"/>
      <w:lvlText w:val="%1)"/>
      <w:numFmt w:val="lowerLetter"/>
      <w:start w:val="1"/>
    </w:lvl>
  </w:abstractNum>
  <w:abstractNum w:abstractNumId="71">
    <w:nsid w:val="2708C9AF"/>
    <w:multiLevelType w:val="hybridMultilevel"/>
    <w:lvl w:ilvl="0">
      <w:lvlJc w:val="left"/>
      <w:lvlText w:val="(%1)"/>
      <w:numFmt w:val="lowerLetter"/>
      <w:start w:val="1"/>
    </w:lvl>
  </w:abstractNum>
  <w:abstractNum w:abstractNumId="72">
    <w:nsid w:val="5B25ACE2"/>
    <w:multiLevelType w:val="hybridMultilevel"/>
    <w:lvl w:ilvl="0">
      <w:lvlJc w:val="left"/>
      <w:lvlText w:val="•"/>
      <w:numFmt w:val="bullet"/>
      <w:start w:val="1"/>
    </w:lvl>
  </w:abstractNum>
  <w:abstractNum w:abstractNumId="73">
    <w:nsid w:val="175DFCF0"/>
    <w:multiLevelType w:val="hybridMultilevel"/>
    <w:lvl w:ilvl="0">
      <w:lvlJc w:val="left"/>
      <w:lvlText w:val="•"/>
      <w:numFmt w:val="bullet"/>
      <w:start w:val="1"/>
    </w:lvl>
  </w:abstractNum>
  <w:abstractNum w:abstractNumId="74">
    <w:nsid w:val="4F97E3E4"/>
    <w:multiLevelType w:val="hybridMultilevel"/>
    <w:lvl w:ilvl="0">
      <w:lvlJc w:val="left"/>
      <w:lvlText w:val="%1."/>
      <w:numFmt w:val="decimal"/>
      <w:start w:val="1"/>
    </w:lvl>
  </w:abstractNum>
  <w:abstractNum w:abstractNumId="75">
    <w:nsid w:val="53B0A9E"/>
    <w:multiLevelType w:val="hybridMultilevel"/>
    <w:lvl w:ilvl="0">
      <w:lvlJc w:val="left"/>
      <w:lvlText w:val="•"/>
      <w:numFmt w:val="bullet"/>
      <w:start w:val="1"/>
    </w:lvl>
  </w:abstractNum>
  <w:abstractNum w:abstractNumId="76">
    <w:nsid w:val="34FD6B4F"/>
    <w:multiLevelType w:val="hybridMultilevel"/>
    <w:lvl w:ilvl="0">
      <w:lvlJc w:val="left"/>
      <w:lvlText w:val="(%1)"/>
      <w:numFmt w:val="lowerRoman"/>
      <w:start w:val="2"/>
    </w:lvl>
  </w:abstractNum>
  <w:abstractNum w:abstractNumId="77">
    <w:nsid w:val="5915FF32"/>
    <w:multiLevelType w:val="hybridMultilevel"/>
    <w:lvl w:ilvl="0">
      <w:lvlJc w:val="left"/>
      <w:lvlText w:val="\emdash "/>
      <w:numFmt w:val="bullet"/>
      <w:start w:val="1"/>
    </w:lvl>
  </w:abstractNum>
  <w:abstractNum w:abstractNumId="78">
    <w:nsid w:val="56438D15"/>
    <w:multiLevelType w:val="hybridMultilevel"/>
    <w:lvl w:ilvl="0">
      <w:lvlJc w:val="left"/>
      <w:lvlText w:val="•"/>
      <w:numFmt w:val="bullet"/>
      <w:start w:val="1"/>
    </w:lvl>
  </w:abstractNum>
  <w:abstractNum w:abstractNumId="79">
    <w:nsid w:val="519E3149"/>
    <w:multiLevelType w:val="hybridMultilevel"/>
    <w:lvl w:ilvl="0">
      <w:lvlJc w:val="left"/>
      <w:lvlText w:val="•"/>
      <w:numFmt w:val="bullet"/>
      <w:start w:val="1"/>
    </w:lvl>
  </w:abstractNum>
  <w:abstractNum w:abstractNumId="80">
    <w:nsid w:val="2C6E4AFD"/>
    <w:multiLevelType w:val="hybridMultilevel"/>
    <w:lvl w:ilvl="0">
      <w:lvlJc w:val="left"/>
      <w:lvlText w:val="(%1)"/>
      <w:numFmt w:val="decimal"/>
      <w:start w:val="1"/>
    </w:lvl>
  </w:abstractNum>
  <w:abstractNum w:abstractNumId="81">
    <w:nsid w:val="17A1B582"/>
    <w:multiLevelType w:val="hybridMultilevel"/>
    <w:lvl w:ilvl="0">
      <w:lvlJc w:val="left"/>
      <w:lvlText w:val="•"/>
      <w:numFmt w:val="bullet"/>
      <w:start w:val="1"/>
    </w:lvl>
  </w:abstractNum>
  <w:abstractNum w:abstractNumId="82">
    <w:nsid w:val="4DF72E4E"/>
    <w:multiLevelType w:val="hybridMultilevel"/>
    <w:lvl w:ilvl="0">
      <w:lvlJc w:val="left"/>
      <w:lvlText w:val="•"/>
      <w:numFmt w:val="bullet"/>
      <w:start w:val="1"/>
    </w:lvl>
  </w:abstractNum>
  <w:abstractNum w:abstractNumId="83">
    <w:nsid w:val="5046B5A9"/>
    <w:multiLevelType w:val="hybridMultilevel"/>
    <w:lvl w:ilvl="0">
      <w:lvlJc w:val="left"/>
      <w:lvlText w:val="•"/>
      <w:numFmt w:val="bullet"/>
      <w:start w:val="1"/>
    </w:lvl>
    <w:lvl w:ilvl="1">
      <w:lvlJc w:val="left"/>
      <w:lvlText w:val="•"/>
      <w:numFmt w:val="bullet"/>
      <w:start w:val="1"/>
    </w:lvl>
  </w:abstractNum>
  <w:abstractNum w:abstractNumId="84">
    <w:nsid w:val="5D888A08"/>
    <w:multiLevelType w:val="hybridMultilevel"/>
    <w:lvl w:ilvl="0">
      <w:lvlJc w:val="left"/>
      <w:lvlText w:val="•"/>
      <w:numFmt w:val="bullet"/>
      <w:start w:val="1"/>
    </w:lvl>
  </w:abstractNum>
  <w:abstractNum w:abstractNumId="85">
    <w:nsid w:val="2A082C70"/>
    <w:multiLevelType w:val="hybridMultilevel"/>
    <w:lvl w:ilvl="0">
      <w:lvlJc w:val="left"/>
      <w:lvlText w:val="•"/>
      <w:numFmt w:val="bullet"/>
      <w:start w:val="1"/>
    </w:lvl>
  </w:abstractNum>
  <w:abstractNum w:abstractNumId="86">
    <w:nsid w:val="5EC6AFD4"/>
    <w:multiLevelType w:val="hybridMultilevel"/>
    <w:lvl w:ilvl="0">
      <w:lvlJc w:val="left"/>
      <w:lvlText w:val="(%1)"/>
      <w:numFmt w:val="decimal"/>
      <w:start w:val="1"/>
    </w:lvl>
  </w:abstractNum>
  <w:abstractNum w:abstractNumId="87">
    <w:nsid w:val="19E21BB2"/>
    <w:multiLevelType w:val="hybridMultilevel"/>
    <w:lvl w:ilvl="0">
      <w:lvlJc w:val="left"/>
      <w:lvlText w:val="(%1)"/>
      <w:numFmt w:val="decimal"/>
      <w:start w:val="1"/>
    </w:lvl>
  </w:abstractNum>
  <w:abstractNum w:abstractNumId="88">
    <w:nsid w:val="75E0858A"/>
    <w:multiLevelType w:val="hybridMultilevel"/>
    <w:lvl w:ilvl="0">
      <w:lvlJc w:val="left"/>
      <w:lvlText w:val="(%1)"/>
      <w:numFmt w:val="decimal"/>
      <w:start w:val="1"/>
    </w:lvl>
  </w:abstractNum>
  <w:abstractNum w:abstractNumId="89">
    <w:nsid w:val="57A61A29"/>
    <w:multiLevelType w:val="hybridMultilevel"/>
    <w:lvl w:ilvl="0">
      <w:lvlJc w:val="left"/>
      <w:lvlText w:val="(%1)"/>
      <w:numFmt w:val="lowerLetter"/>
      <w:start w:val="2"/>
    </w:lvl>
  </w:abstractNum>
  <w:abstractNum w:abstractNumId="90">
    <w:nsid w:val="5399C654"/>
    <w:multiLevelType w:val="hybridMultilevel"/>
    <w:lvl w:ilvl="0">
      <w:lvlJc w:val="left"/>
      <w:lvlText w:val="•"/>
      <w:numFmt w:val="bullet"/>
      <w:start w:val="1"/>
    </w:lvl>
  </w:abstractNum>
  <w:abstractNum w:abstractNumId="91">
    <w:nsid w:val="20EE1348"/>
    <w:multiLevelType w:val="hybridMultilevel"/>
    <w:lvl w:ilvl="0">
      <w:lvlJc w:val="left"/>
      <w:lvlText w:val=","/>
      <w:numFmt w:val="bullet"/>
      <w:start w:val="1"/>
    </w:lvl>
  </w:abstractNum>
  <w:abstractNum w:abstractNumId="92">
    <w:nsid w:val="4427069A"/>
    <w:multiLevelType w:val="hybridMultilevel"/>
    <w:lvl w:ilvl="0">
      <w:lvlJc w:val="left"/>
      <w:lvlText w:val="(%1)"/>
      <w:numFmt w:val="decimal"/>
      <w:start w:val="1"/>
    </w:lvl>
  </w:abstractNum>
  <w:abstractNum w:abstractNumId="93">
    <w:nsid w:val="B37E80A"/>
    <w:multiLevelType w:val="hybridMultilevel"/>
    <w:lvl w:ilvl="0">
      <w:lvlJc w:val="left"/>
      <w:lvlText w:val="(%1)"/>
      <w:numFmt w:val="lowerRoman"/>
      <w:start w:val="1"/>
    </w:lvl>
  </w:abstractNum>
  <w:abstractNum w:abstractNumId="94">
    <w:nsid w:val="2157F6BC"/>
    <w:multiLevelType w:val="hybridMultilevel"/>
    <w:lvl w:ilvl="0">
      <w:lvlJc w:val="left"/>
      <w:lvlText w:val="(%1)"/>
      <w:numFmt w:val="lowerRoman"/>
      <w:start w:val="1"/>
    </w:lvl>
    <w:lvl w:ilvl="1">
      <w:lvlJc w:val="left"/>
      <w:lvlText w:val="%2."/>
      <w:numFmt w:val="decimal"/>
      <w:start w:val="1"/>
    </w:lvl>
  </w:abstractNum>
  <w:abstractNum w:abstractNumId="95">
    <w:nsid w:val="704E1DD5"/>
    <w:multiLevelType w:val="hybridMultilevel"/>
    <w:lvl w:ilvl="0">
      <w:lvlJc w:val="left"/>
      <w:lvlText w:val="%1"/>
      <w:numFmt w:val="decimal"/>
      <w:start w:val="24"/>
    </w:lvl>
  </w:abstractNum>
  <w:abstractNum w:abstractNumId="96">
    <w:nsid w:val="57D2F10E"/>
    <w:multiLevelType w:val="hybridMultilevel"/>
    <w:lvl w:ilvl="0">
      <w:lvlJc w:val="left"/>
      <w:lvlText w:val="*"/>
      <w:numFmt w:val="bullet"/>
      <w:start w:val="1"/>
    </w:lvl>
  </w:abstractNum>
  <w:abstractNum w:abstractNumId="97">
    <w:nsid w:val="BFFAE18"/>
    <w:multiLevelType w:val="hybridMultilevel"/>
    <w:lvl w:ilvl="0">
      <w:lvlJc w:val="left"/>
      <w:lvlText w:val="1"/>
      <w:numFmt w:val="bullet"/>
      <w:start w:val="1"/>
    </w:lvl>
  </w:abstractNum>
  <w:abstractNum w:abstractNumId="98">
    <w:nsid w:val="E3E47A8"/>
    <w:multiLevelType w:val="hybridMultilevel"/>
    <w:lvl w:ilvl="0">
      <w:lvlJc w:val="left"/>
      <w:lvlText w:val="(%1)"/>
      <w:numFmt w:val="lowerLetter"/>
      <w:start w:val="1"/>
    </w:lvl>
  </w:abstractNum>
  <w:abstractNum w:abstractNumId="99">
    <w:nsid w:val="2E48F044"/>
    <w:multiLevelType w:val="hybridMultilevel"/>
    <w:lvl w:ilvl="0">
      <w:lvlJc w:val="left"/>
      <w:lvlText w:val="(%1)"/>
      <w:numFmt w:val="lowerLetter"/>
      <w:start w:val="3"/>
    </w:lvl>
  </w:abstractNum>
  <w:abstractNum w:abstractNumId="100">
    <w:nsid w:val="49D0FEAC"/>
    <w:multiLevelType w:val="hybridMultilevel"/>
    <w:lvl w:ilvl="0">
      <w:lvlJc w:val="left"/>
      <w:lvlText w:val="(%1)"/>
      <w:numFmt w:val="lowerLetter"/>
      <w:start w:val="8"/>
    </w:lvl>
  </w:abstractNum>
  <w:abstractNum w:abstractNumId="101">
    <w:nsid w:val="4BEE5A5B"/>
    <w:multiLevelType w:val="hybridMultilevel"/>
    <w:lvl w:ilvl="0">
      <w:lvlJc w:val="left"/>
      <w:lvlText w:val="(%1)"/>
      <w:numFmt w:val="lowerLetter"/>
      <w:start w:val="12"/>
    </w:lvl>
  </w:abstractNum>
  <w:abstractNum w:abstractNumId="102">
    <w:nsid w:val="5551B9F3"/>
    <w:multiLevelType w:val="hybridMultilevel"/>
    <w:lvl w:ilvl="0">
      <w:lvlJc w:val="left"/>
      <w:lvlText w:val="(%1)"/>
      <w:numFmt w:val="lowerLetter"/>
      <w:start w:val="20"/>
    </w:lvl>
  </w:abstractNum>
  <w:abstractNum w:abstractNumId="103">
    <w:nsid w:val="24F6AB8E"/>
    <w:multiLevelType w:val="hybridMultilevel"/>
    <w:lvl w:ilvl="0">
      <w:lvlJc w:val="left"/>
      <w:lvlText w:val="%1"/>
      <w:numFmt w:val="lowerLetter"/>
      <w:start w:val="1"/>
    </w:lvl>
    <w:lvl w:ilvl="1">
      <w:lvlJc w:val="left"/>
      <w:lvlText w:val="(%2)"/>
      <w:numFmt w:val="lowerLetter"/>
      <w:start w:val="27"/>
    </w:lvl>
  </w:abstractNum>
  <w:abstractNum w:abstractNumId="104">
    <w:nsid w:val="634C574C"/>
    <w:multiLevelType w:val="hybridMultilevel"/>
    <w:lvl w:ilvl="0">
      <w:lvlJc w:val="left"/>
      <w:lvlText w:val="(%1)"/>
      <w:numFmt w:val="lowerLetter"/>
      <w:start w:val="35"/>
    </w:lvl>
    <w:lvl w:ilvl="1">
      <w:lvlJc w:val="left"/>
      <w:lvlText w:val="%2"/>
      <w:numFmt w:val="lowerLetter"/>
      <w:start w:val="1"/>
    </w:lvl>
  </w:abstractNum>
  <w:abstractNum w:abstractNumId="105">
    <w:nsid w:val="24E99DD7"/>
    <w:multiLevelType w:val="hybridMultilevel"/>
    <w:lvl w:ilvl="0">
      <w:lvlJc w:val="left"/>
      <w:lvlText w:val="(%1)"/>
      <w:numFmt w:val="lowerLetter"/>
      <w:start w:val="32"/>
    </w:lvl>
  </w:abstractNum>
  <w:abstractNum w:abstractNumId="106">
    <w:nsid w:val="2A31B62D"/>
    <w:multiLevelType w:val="hybridMultilevel"/>
    <w:lvl w:ilvl="0">
      <w:lvlJc w:val="left"/>
      <w:lvlText w:val="(%1)"/>
      <w:numFmt w:val="lowerLetter"/>
      <w:start w:val="36"/>
    </w:lvl>
  </w:abstractNum>
  <w:abstractNum w:abstractNumId="107">
    <w:nsid w:val="1849C29B"/>
    <w:multiLevelType w:val="hybridMultilevel"/>
    <w:lvl w:ilvl="0">
      <w:lvlJc w:val="left"/>
      <w:lvlText w:val="(%1)"/>
      <w:numFmt w:val="lowerLetter"/>
      <w:start w:val="42"/>
    </w:lvl>
  </w:abstractNum>
  <w:abstractNum w:abstractNumId="108">
    <w:nsid w:val="7DFF9D09"/>
    <w:multiLevelType w:val="hybridMultilevel"/>
    <w:lvl w:ilvl="0">
      <w:lvlJc w:val="left"/>
      <w:lvlText w:val="(%1)"/>
      <w:numFmt w:val="lowerLetter"/>
      <w:start w:val="45"/>
    </w:lvl>
  </w:abstractNum>
  <w:abstractNum w:abstractNumId="109">
    <w:nsid w:val="754342"/>
    <w:multiLevelType w:val="hybridMultilevel"/>
    <w:lvl w:ilvl="0">
      <w:lvlJc w:val="left"/>
      <w:lvlText w:val="(%1)"/>
      <w:numFmt w:val="lowerLetter"/>
      <w:start w:val="51"/>
    </w:lvl>
  </w:abstractNum>
  <w:abstractNum w:abstractNumId="110">
    <w:nsid w:val="69E7F3E5"/>
    <w:multiLevelType w:val="hybridMultilevel"/>
    <w:lvl w:ilvl="0">
      <w:lvlJc w:val="left"/>
      <w:lvlText w:val="(%1)"/>
      <w:numFmt w:val="lowerLetter"/>
      <w:start w:val="53"/>
    </w:lvl>
  </w:abstractNum>
  <w:abstractNum w:abstractNumId="111">
    <w:nsid w:val="2A6DE806"/>
    <w:multiLevelType w:val="hybridMultilevel"/>
    <w:lvl w:ilvl="0">
      <w:lvlJc w:val="left"/>
      <w:lvlText w:val="(%1)"/>
      <w:numFmt w:val="lowerLetter"/>
      <w:start w:val="59"/>
    </w:lvl>
  </w:abstractNum>
  <w:abstractNum w:abstractNumId="112">
    <w:nsid w:val="1816F8C4"/>
    <w:multiLevelType w:val="hybridMultilevel"/>
    <w:lvl w:ilvl="0">
      <w:lvlJc w:val="left"/>
      <w:lvlText w:val="(%1)"/>
      <w:numFmt w:val="lowerLetter"/>
      <w:start w:val="65"/>
    </w:lvl>
  </w:abstractNum>
  <w:abstractNum w:abstractNumId="113">
    <w:nsid w:val="37DF2233"/>
    <w:multiLevelType w:val="hybridMultilevel"/>
    <w:lvl w:ilvl="0">
      <w:lvlJc w:val="left"/>
      <w:lvlText w:val="%1."/>
      <w:numFmt w:val="decimal"/>
      <w:start w:val="2"/>
    </w:lvl>
  </w:abstractNum>
  <w:abstractNum w:abstractNumId="114">
    <w:nsid w:val="7AB49DAF"/>
    <w:multiLevelType w:val="hybridMultilevel"/>
    <w:lvl w:ilvl="0">
      <w:lvlJc w:val="left"/>
      <w:lvlText w:val="%1"/>
      <w:numFmt w:val="lowerLetter"/>
      <w:start w:val="1"/>
    </w:lvl>
    <w:lvl w:ilvl="1">
      <w:lvlJc w:val="left"/>
      <w:lvlText w:val="(%2)"/>
      <w:numFmt w:val="lowerLetter"/>
      <w:start w:val="2"/>
    </w:lvl>
  </w:abstractNum>
  <w:abstractNum w:abstractNumId="115">
    <w:nsid w:val="759F82CD"/>
    <w:multiLevelType w:val="hybridMultilevel"/>
    <w:lvl w:ilvl="0">
      <w:lvlJc w:val="left"/>
      <w:lvlText w:val="(%1)"/>
      <w:numFmt w:val="lowerLetter"/>
      <w:start w:val="1"/>
    </w:lvl>
    <w:lvl w:ilvl="1">
      <w:lvlJc w:val="left"/>
      <w:lvlText w:val="%2"/>
      <w:numFmt w:val="lowerLetter"/>
      <w:start w:val="1"/>
    </w:lvl>
  </w:abstractNum>
  <w:abstractNum w:abstractNumId="116">
    <w:nsid w:val="61E74EA3"/>
    <w:multiLevelType w:val="hybridMultilevel"/>
    <w:lvl w:ilvl="0">
      <w:lvlJc w:val="left"/>
      <w:lvlText w:val="%1."/>
      <w:numFmt w:val="decimal"/>
      <w:start w:val="3"/>
    </w:lvl>
  </w:abstractNum>
  <w:abstractNum w:abstractNumId="117">
    <w:nsid w:val="597B4D84"/>
    <w:multiLevelType w:val="hybridMultilevel"/>
    <w:lvl w:ilvl="0">
      <w:lvlJc w:val="left"/>
      <w:lvlText w:val="(%1)"/>
      <w:numFmt w:val="lowerLetter"/>
      <w:start w:val="2"/>
    </w:lvl>
  </w:abstractNum>
  <w:abstractNum w:abstractNumId="118">
    <w:nsid w:val="F819E7F"/>
    <w:multiLevelType w:val="hybridMultilevel"/>
    <w:lvl w:ilvl="0">
      <w:lvlJc w:val="left"/>
      <w:lvlText w:val="%1."/>
      <w:numFmt w:val="decimal"/>
      <w:start w:val="4"/>
    </w:lvl>
  </w:abstractNum>
  <w:abstractNum w:abstractNumId="119">
    <w:nsid w:val="57C7D42D"/>
    <w:multiLevelType w:val="hybridMultilevel"/>
    <w:lvl w:ilvl="0">
      <w:lvlJc w:val="left"/>
      <w:lvlText w:val="(%1)"/>
      <w:numFmt w:val="lowerLetter"/>
      <w:start w:val="1"/>
    </w:lvl>
  </w:abstractNum>
  <w:abstractNum w:abstractNumId="120">
    <w:nsid w:val="312167AD"/>
    <w:multiLevelType w:val="hybridMultilevel"/>
    <w:lvl w:ilvl="0">
      <w:lvlJc w:val="left"/>
      <w:lvlText w:val="(%1)"/>
      <w:numFmt w:val="lowerLetter"/>
      <w:start w:val="2"/>
    </w:lvl>
  </w:abstractNum>
  <w:abstractNum w:abstractNumId="121">
    <w:nsid w:val="631B64D4"/>
    <w:multiLevelType w:val="hybridMultilevel"/>
    <w:lvl w:ilvl="0">
      <w:lvlJc w:val="left"/>
      <w:lvlText w:val="%1"/>
      <w:numFmt w:val="decimal"/>
      <w:start w:val="1"/>
    </w:lvl>
    <w:lvl w:ilvl="1">
      <w:lvlJc w:val="left"/>
      <w:lvlText w:val="(%2)"/>
      <w:numFmt w:val="lowerLetter"/>
      <w:start w:val="7"/>
    </w:lvl>
  </w:abstractNum>
  <w:abstractNum w:abstractNumId="122">
    <w:nsid w:val="78B5E776"/>
    <w:multiLevelType w:val="hybridMultilevel"/>
    <w:lvl w:ilvl="0">
      <w:lvlJc w:val="left"/>
      <w:lvlText w:val="(%1)"/>
      <w:numFmt w:val="decimal"/>
      <w:start w:val="1"/>
    </w:lvl>
    <w:lvl w:ilvl="1">
      <w:lvlJc w:val="left"/>
      <w:lvlText w:val="(%2)"/>
      <w:numFmt w:val="lowerLetter"/>
      <w:start w:val="8"/>
    </w:lvl>
  </w:abstractNum>
  <w:abstractNum w:abstractNumId="123">
    <w:nsid w:val="75486E47"/>
    <w:multiLevelType w:val="hybridMultilevel"/>
    <w:lvl w:ilvl="0">
      <w:lvlJc w:val="left"/>
      <w:lvlText w:val="(%1)"/>
      <w:numFmt w:val="lowerLetter"/>
      <w:start w:val="10"/>
    </w:lvl>
  </w:abstractNum>
  <w:abstractNum w:abstractNumId="124">
    <w:nsid w:val="6E534CDE"/>
    <w:multiLevelType w:val="hybridMultilevel"/>
    <w:lvl w:ilvl="0">
      <w:lvlJc w:val="left"/>
      <w:lvlText w:val="(%1)"/>
      <w:numFmt w:val="lowerLetter"/>
      <w:start w:val="14"/>
    </w:lvl>
  </w:abstractNum>
  <w:abstractNum w:abstractNumId="125">
    <w:nsid w:val="1A0DDE32"/>
    <w:multiLevelType w:val="hybridMultilevel"/>
    <w:lvl w:ilvl="0">
      <w:lvlJc w:val="left"/>
      <w:lvlText w:val="(%1)"/>
      <w:numFmt w:val="lowerLetter"/>
      <w:start w:val="20"/>
    </w:lvl>
  </w:abstractNum>
  <w:abstractNum w:abstractNumId="126">
    <w:nsid w:val="65968C1C"/>
    <w:multiLevelType w:val="hybridMultilevel"/>
    <w:lvl w:ilvl="0">
      <w:lvlJc w:val="left"/>
      <w:lvlText w:val="(%1)"/>
      <w:numFmt w:val="lowerLetter"/>
      <w:start w:val="25"/>
    </w:lvl>
  </w:abstractNum>
  <w:abstractNum w:abstractNumId="127">
    <w:nsid w:val="46263DEC"/>
    <w:multiLevelType w:val="hybridMultilevel"/>
    <w:lvl w:ilvl="0">
      <w:lvlJc w:val="left"/>
      <w:lvlText w:val="(%1)"/>
      <w:numFmt w:val="lowerLetter"/>
      <w:start w:val="27"/>
    </w:lvl>
  </w:abstractNum>
  <w:abstractNum w:abstractNumId="128">
    <w:nsid w:val="260D8C4A"/>
    <w:multiLevelType w:val="hybridMultilevel"/>
    <w:lvl w:ilvl="0">
      <w:lvlJc w:val="left"/>
      <w:lvlText w:val="(%1)"/>
      <w:numFmt w:val="lowerLetter"/>
      <w:start w:val="31"/>
    </w:lvl>
  </w:abstractNum>
  <w:abstractNum w:abstractNumId="129">
    <w:nsid w:val="73D4D3C4"/>
    <w:multiLevelType w:val="hybridMultilevel"/>
    <w:lvl w:ilvl="0">
      <w:lvlJc w:val="left"/>
      <w:lvlText w:val="(%1)"/>
      <w:numFmt w:val="lowerLetter"/>
      <w:start w:val="33"/>
    </w:lvl>
  </w:abstractNum>
  <w:abstractNum w:abstractNumId="130">
    <w:nsid w:val="746F2E30"/>
    <w:multiLevelType w:val="hybridMultilevel"/>
    <w:lvl w:ilvl="0">
      <w:lvlJc w:val="left"/>
      <w:lvlText w:val="(%1)"/>
      <w:numFmt w:val="lowerLetter"/>
      <w:start w:val="38"/>
    </w:lvl>
  </w:abstractNum>
  <w:abstractNum w:abstractNumId="131">
    <w:nsid w:val="6FDE8AF6"/>
    <w:multiLevelType w:val="hybridMultilevel"/>
    <w:lvl w:ilvl="0">
      <w:lvlJc w:val="left"/>
      <w:lvlText w:val="%1."/>
      <w:numFmt w:val="decimal"/>
      <w:start w:val="6"/>
    </w:lvl>
  </w:abstractNum>
  <w:abstractNum w:abstractNumId="132">
    <w:nsid w:val="3FC32E20"/>
    <w:multiLevelType w:val="hybridMultilevel"/>
    <w:lvl w:ilvl="0">
      <w:lvlJc w:val="left"/>
      <w:lvlText w:val="(%1)"/>
      <w:numFmt w:val="lowerLetter"/>
      <w:start w:val="1"/>
    </w:lvl>
    <w:lvl w:ilvl="1">
      <w:lvlJc w:val="left"/>
      <w:lvlText w:val="(%2)"/>
      <w:numFmt w:val="lowerLetter"/>
      <w:start w:val="9"/>
    </w:lvl>
  </w:abstractNum>
  <w:abstractNum w:abstractNumId="133">
    <w:nsid w:val="49C0E823"/>
    <w:multiLevelType w:val="hybridMultilevel"/>
    <w:lvl w:ilvl="0">
      <w:lvlJc w:val="left"/>
      <w:lvlText w:val="%1"/>
      <w:numFmt w:val="lowerLetter"/>
      <w:start w:val="1"/>
    </w:lvl>
    <w:lvl w:ilvl="1">
      <w:lvlJc w:val="left"/>
      <w:lvlText w:val="(%2)"/>
      <w:numFmt w:val="lowerRoman"/>
      <w:start w:val="2"/>
    </w:lvl>
  </w:abstractNum>
  <w:abstractNum w:abstractNumId="134">
    <w:nsid w:val="14D53685"/>
    <w:multiLevelType w:val="hybridMultilevel"/>
    <w:lvl w:ilvl="0">
      <w:lvlJc w:val="left"/>
      <w:lvlText w:val="(%1)"/>
      <w:numFmt w:val="lowerLetter"/>
      <w:start w:val="6"/>
    </w:lvl>
    <w:lvl w:ilvl="1">
      <w:lvlJc w:val="left"/>
      <w:lvlText w:val="(%2)"/>
      <w:numFmt w:val="lowerRoman"/>
      <w:start w:val="1"/>
    </w:lvl>
  </w:abstractNum>
  <w:abstractNum w:abstractNumId="135">
    <w:nsid w:val="230F856C"/>
    <w:multiLevelType w:val="hybridMultilevel"/>
    <w:lvl w:ilvl="0">
      <w:lvlJc w:val="left"/>
      <w:lvlText w:val="(%1)"/>
      <w:numFmt w:val="lowerLetter"/>
      <w:start w:val="8"/>
    </w:lvl>
  </w:abstractNum>
  <w:abstractNum w:abstractNumId="136">
    <w:nsid w:val="6EAA85FB"/>
    <w:multiLevelType w:val="hybridMultilevel"/>
    <w:lvl w:ilvl="0">
      <w:lvlJc w:val="left"/>
      <w:lvlText w:val="%1."/>
      <w:numFmt w:val="decimal"/>
      <w:start w:val="7"/>
    </w:lvl>
  </w:abstractNum>
  <w:abstractNum w:abstractNumId="137">
    <w:nsid w:val="3F06ECB2"/>
    <w:multiLevelType w:val="hybridMultilevel"/>
    <w:lvl w:ilvl="0">
      <w:lvlJc w:val="left"/>
      <w:lvlText w:val="(%1)"/>
      <w:numFmt w:val="lowerLetter"/>
      <w:start w:val="2"/>
    </w:lvl>
  </w:abstractNum>
  <w:abstractNum w:abstractNumId="138">
    <w:nsid w:val="3B594807"/>
    <w:multiLevelType w:val="hybridMultilevel"/>
    <w:lvl w:ilvl="0">
      <w:lvlJc w:val="left"/>
      <w:lvlText w:val="(%1)"/>
      <w:numFmt w:val="lowerLetter"/>
      <w:start w:val="4"/>
    </w:lvl>
  </w:abstractNum>
  <w:abstractNum w:abstractNumId="139">
    <w:nsid w:val="6CAA2304"/>
    <w:multiLevelType w:val="hybridMultilevel"/>
    <w:lvl w:ilvl="0">
      <w:lvlJc w:val="left"/>
      <w:lvlText w:val="%1."/>
      <w:numFmt w:val="decimal"/>
      <w:start w:val="9"/>
    </w:lvl>
  </w:abstractNum>
  <w:abstractNum w:abstractNumId="140">
    <w:nsid w:val="3F7C2FF4"/>
    <w:multiLevelType w:val="hybridMultilevel"/>
    <w:lvl w:ilvl="0">
      <w:lvlJc w:val="left"/>
      <w:lvlText w:val="%1."/>
      <w:numFmt w:val="decimal"/>
      <w:start w:val="11"/>
    </w:lvl>
  </w:abstractNum>
  <w:abstractNum w:abstractNumId="141">
    <w:nsid w:val="25413BEC"/>
    <w:multiLevelType w:val="hybridMultilevel"/>
    <w:lvl w:ilvl="0">
      <w:lvlJc w:val="left"/>
      <w:lvlText w:val="(%1)"/>
      <w:numFmt w:val="lowerLetter"/>
      <w:start w:val="1"/>
    </w:lvl>
  </w:abstractNum>
  <w:abstractNum w:abstractNumId="142">
    <w:nsid w:val="17180B0B"/>
    <w:multiLevelType w:val="hybridMultilevel"/>
    <w:lvl w:ilvl="0">
      <w:lvlJc w:val="left"/>
      <w:lvlText w:val="%1."/>
      <w:numFmt w:val="decimal"/>
      <w:start w:val="15"/>
    </w:lvl>
  </w:abstractNum>
  <w:abstractNum w:abstractNumId="143">
    <w:nsid w:val="579328B9"/>
    <w:multiLevelType w:val="hybridMultilevel"/>
    <w:lvl w:ilvl="0">
      <w:lvlJc w:val="left"/>
      <w:lvlText w:val="%1."/>
      <w:numFmt w:val="decimal"/>
      <w:start w:val="1"/>
    </w:lvl>
  </w:abstractNum>
  <w:abstractNum w:abstractNumId="144">
    <w:nsid w:val="5D205E20"/>
    <w:multiLevelType w:val="hybridMultilevel"/>
    <w:lvl w:ilvl="0">
      <w:lvlJc w:val="left"/>
      <w:lvlText w:val="(%1)"/>
      <w:numFmt w:val="lowerLetter"/>
      <w:start w:val="35"/>
    </w:lvl>
    <w:lvl w:ilvl="1">
      <w:lvlJc w:val="left"/>
      <w:lvlText w:val="(%2)"/>
      <w:numFmt w:val="lowerLetter"/>
      <w:start w:val="1"/>
    </w:lvl>
  </w:abstractNum>
  <w:abstractNum w:abstractNumId="145">
    <w:nsid w:val="11CCA8BA"/>
    <w:multiLevelType w:val="hybridMultilevel"/>
    <w:lvl w:ilvl="0">
      <w:lvlJc w:val="left"/>
      <w:lvlText w:val="(%1)"/>
      <w:numFmt w:val="lowerLetter"/>
      <w:start w:val="2"/>
    </w:lvl>
  </w:abstractNum>
  <w:abstractNum w:abstractNumId="146">
    <w:nsid w:val="4D32AB86"/>
    <w:multiLevelType w:val="hybridMultilevel"/>
    <w:lvl w:ilvl="0">
      <w:lvlJc w:val="left"/>
      <w:lvlText w:val="%1."/>
      <w:numFmt w:val="decimal"/>
      <w:start w:val="3"/>
    </w:lvl>
  </w:abstractNum>
  <w:abstractNum w:abstractNumId="147">
    <w:nsid w:val="3F07ACC3"/>
    <w:multiLevelType w:val="hybridMultilevel"/>
    <w:lvl w:ilvl="0">
      <w:lvlJc w:val="left"/>
      <w:lvlText w:val="(%1)"/>
      <w:numFmt w:val="lowerLetter"/>
      <w:start w:val="26"/>
    </w:lvl>
  </w:abstractNum>
  <w:abstractNum w:abstractNumId="148">
    <w:nsid w:val="6B47F63E"/>
    <w:multiLevelType w:val="hybridMultilevel"/>
    <w:lvl w:ilvl="0">
      <w:lvlJc w:val="left"/>
      <w:lvlText w:val="(%1)"/>
      <w:numFmt w:val="lowerLetter"/>
      <w:start w:val="1"/>
    </w:lvl>
  </w:abstractNum>
  <w:abstractNum w:abstractNumId="149">
    <w:nsid w:val="5CB44A05"/>
    <w:multiLevelType w:val="hybridMultilevel"/>
    <w:lvl w:ilvl="0">
      <w:lvlJc w:val="left"/>
      <w:lvlText w:val="(%1)"/>
      <w:numFmt w:val="lowerLetter"/>
      <w:start w:val="3"/>
    </w:lvl>
  </w:abstractNum>
  <w:abstractNum w:abstractNumId="150">
    <w:nsid w:val="16CF80F1"/>
    <w:multiLevelType w:val="hybridMultilevel"/>
    <w:lvl w:ilvl="0">
      <w:lvlJc w:val="left"/>
      <w:lvlText w:val="%1."/>
      <w:numFmt w:val="decimal"/>
      <w:start w:val="4"/>
    </w:lvl>
  </w:abstractNum>
  <w:abstractNum w:abstractNumId="151">
    <w:nsid w:val="1C695DEC"/>
    <w:multiLevelType w:val="hybridMultilevel"/>
    <w:lvl w:ilvl="0">
      <w:lvlJc w:val="left"/>
      <w:lvlText w:val="%1."/>
      <w:numFmt w:val="decimal"/>
      <w:start w:val="5"/>
    </w:lvl>
  </w:abstractNum>
  <w:abstractNum w:abstractNumId="152">
    <w:nsid w:val="3FCFAED9"/>
    <w:multiLevelType w:val="hybridMultilevel"/>
    <w:lvl w:ilvl="0">
      <w:lvlJc w:val="left"/>
      <w:lvlText w:val="%1."/>
      <w:numFmt w:val="decimal"/>
      <w:start w:val="6"/>
    </w:lvl>
  </w:abstractNum>
  <w:abstractNum w:abstractNumId="153">
    <w:nsid w:val="F856867"/>
    <w:multiLevelType w:val="hybridMultilevel"/>
    <w:lvl w:ilvl="0">
      <w:lvlJc w:val="left"/>
      <w:lvlText w:val="%1."/>
      <w:numFmt w:val="decimal"/>
      <w:start w:val="7"/>
    </w:lvl>
  </w:abstractNum>
  <w:abstractNum w:abstractNumId="154">
    <w:nsid w:val="11B1CC33"/>
    <w:multiLevelType w:val="hybridMultilevel"/>
    <w:lvl w:ilvl="0">
      <w:lvlJc w:val="left"/>
      <w:lvlText w:val="%1."/>
      <w:numFmt w:val="decimal"/>
      <w:start w:val="8"/>
    </w:lvl>
  </w:abstractNum>
  <w:abstractNum w:abstractNumId="155">
    <w:nsid w:val="2E22FBB7"/>
    <w:multiLevelType w:val="hybridMultilevel"/>
    <w:lvl w:ilvl="0">
      <w:lvlJc w:val="left"/>
      <w:lvlText w:val="%1."/>
      <w:numFmt w:val="decimal"/>
      <w:start w:val="9"/>
    </w:lvl>
  </w:abstractNum>
  <w:abstractNum w:abstractNumId="156">
    <w:nsid w:val="29934699"/>
    <w:multiLevelType w:val="hybridMultilevel"/>
    <w:lvl w:ilvl="0">
      <w:lvlJc w:val="left"/>
      <w:lvlText w:val="(%1)"/>
      <w:numFmt w:val="lowerLetter"/>
      <w:start w:val="1"/>
    </w:lvl>
    <w:lvl w:ilvl="1">
      <w:lvlJc w:val="left"/>
      <w:lvlText w:val="(%2)"/>
      <w:numFmt w:val="lowerRoman"/>
      <w:start w:val="1"/>
    </w:lvl>
  </w:abstractNum>
  <w:abstractNum w:abstractNumId="157">
    <w:nsid w:val="77485850"/>
    <w:multiLevelType w:val="hybridMultilevel"/>
    <w:lvl w:ilvl="0">
      <w:lvlJc w:val="left"/>
      <w:lvlText w:val="1"/>
      <w:numFmt w:val="bullet"/>
      <w:start w:val="1"/>
    </w:lvl>
  </w:abstractNum>
  <w:abstractNum w:abstractNumId="158">
    <w:nsid w:val="744939A3"/>
    <w:multiLevelType w:val="hybridMultilevel"/>
    <w:lvl w:ilvl="0">
      <w:lvlJc w:val="left"/>
      <w:lvlText w:val="2"/>
      <w:numFmt w:val="bullet"/>
      <w:start w:val="1"/>
    </w:lvl>
  </w:abstractNum>
  <w:abstractNum w:abstractNumId="159">
    <w:nsid w:val="4FA0D2E3"/>
    <w:multiLevelType w:val="hybridMultilevel"/>
    <w:lvl w:ilvl="0">
      <w:lvlJc w:val="left"/>
      <w:lvlText w:val="3"/>
      <w:numFmt w:val="bullet"/>
      <w:start w:val="1"/>
    </w:lvl>
  </w:abstractNum>
  <w:abstractNum w:abstractNumId="160">
    <w:nsid w:val="6B1D2C14"/>
    <w:multiLevelType w:val="hybridMultilevel"/>
    <w:lvl w:ilvl="0">
      <w:lvlJc w:val="left"/>
      <w:lvlText w:val="4"/>
      <w:numFmt w:val="bullet"/>
      <w:start w:val="1"/>
    </w:lvl>
  </w:abstractNum>
  <w:abstractNum w:abstractNumId="161">
    <w:nsid w:val="68B867D3"/>
    <w:multiLevelType w:val="hybridMultilevel"/>
    <w:lvl w:ilvl="0">
      <w:lvlJc w:val="left"/>
      <w:lvlText w:val="(%1)"/>
      <w:numFmt w:val="lowerLetter"/>
      <w:start w:val="1"/>
    </w:lvl>
  </w:abstractNum>
  <w:abstractNum w:abstractNumId="162">
    <w:nsid w:val="3F7F5DD9"/>
    <w:multiLevelType w:val="hybridMultilevel"/>
    <w:lvl w:ilvl="0">
      <w:lvlJc w:val="left"/>
      <w:lvlText w:val="1"/>
      <w:numFmt w:val="bullet"/>
      <w:start w:val="1"/>
    </w:lvl>
  </w:abstractNum>
  <w:abstractNum w:abstractNumId="163">
    <w:nsid w:val="2AE05A34"/>
    <w:multiLevelType w:val="hybridMultilevel"/>
    <w:lvl w:ilvl="0">
      <w:lvlJc w:val="left"/>
      <w:lvlText w:val="2"/>
      <w:numFmt w:val="bullet"/>
      <w:start w:val="1"/>
    </w:lvl>
  </w:abstractNum>
  <w:abstractNum w:abstractNumId="164">
    <w:nsid w:val="32794FF7"/>
    <w:multiLevelType w:val="hybridMultilevel"/>
    <w:lvl w:ilvl="0">
      <w:lvlJc w:val="left"/>
      <w:lvlText w:val="3"/>
      <w:numFmt w:val="bullet"/>
      <w:start w:val="1"/>
    </w:lvl>
  </w:abstractNum>
  <w:abstractNum w:abstractNumId="165">
    <w:nsid w:val="5454945E"/>
    <w:multiLevelType w:val="hybridMultilevel"/>
    <w:lvl w:ilvl="0">
      <w:lvlJc w:val="left"/>
      <w:lvlText w:val="4"/>
      <w:numFmt w:val="bullet"/>
      <w:start w:val="1"/>
    </w:lvl>
  </w:abstractNum>
  <w:abstractNum w:abstractNumId="166">
    <w:nsid w:val="4DEFDFA0"/>
    <w:multiLevelType w:val="hybridMultilevel"/>
    <w:lvl w:ilvl="0">
      <w:lvlJc w:val="left"/>
      <w:lvlText w:val="5"/>
      <w:numFmt w:val="bullet"/>
      <w:start w:val="1"/>
    </w:lvl>
  </w:abstractNum>
  <w:abstractNum w:abstractNumId="167">
    <w:nsid w:val="2123D5F2"/>
    <w:multiLevelType w:val="hybridMultilevel"/>
    <w:lvl w:ilvl="0">
      <w:lvlJc w:val="left"/>
      <w:lvlText w:val="6"/>
      <w:numFmt w:val="bullet"/>
      <w:start w:val="1"/>
    </w:lvl>
  </w:abstractNum>
  <w:abstractNum w:abstractNumId="168">
    <w:nsid w:val="135B8110"/>
    <w:multiLevelType w:val="hybridMultilevel"/>
    <w:lvl w:ilvl="0">
      <w:lvlJc w:val="left"/>
      <w:lvlText w:val="7"/>
      <w:numFmt w:val="bullet"/>
      <w:start w:val="1"/>
    </w:lvl>
  </w:abstractNum>
  <w:abstractNum w:abstractNumId="169">
    <w:nsid w:val="94927A8"/>
    <w:multiLevelType w:val="hybridMultilevel"/>
    <w:lvl w:ilvl="0">
      <w:lvlJc w:val="left"/>
      <w:lvlText w:val="8"/>
      <w:numFmt w:val="bullet"/>
      <w:start w:val="1"/>
    </w:lvl>
  </w:abstractNum>
  <w:abstractNum w:abstractNumId="170">
    <w:nsid w:val="DCDF8F6"/>
    <w:multiLevelType w:val="hybridMultilevel"/>
    <w:lvl w:ilvl="0">
      <w:lvlJc w:val="left"/>
      <w:lvlText w:val="9"/>
      <w:numFmt w:val="bullet"/>
      <w:start w:val="1"/>
    </w:lvl>
  </w:abstractNum>
  <w:abstractNum w:abstractNumId="171">
    <w:nsid w:val="52D7B105"/>
    <w:multiLevelType w:val="hybridMultilevel"/>
    <w:lvl w:ilvl="0">
      <w:lvlJc w:val="left"/>
      <w:lvlText w:val="%1"/>
      <w:numFmt w:val="decimal"/>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20" Type="http://schemas.openxmlformats.org/officeDocument/2006/relationships/image" Target="media/image211.png"/><Relationship Id="rId223" Type="http://schemas.openxmlformats.org/officeDocument/2006/relationships/image" Target="media/image212.png"/><Relationship Id="rId225" Type="http://schemas.openxmlformats.org/officeDocument/2006/relationships/image" Target="media/image213.png"/><Relationship Id="rId227" Type="http://schemas.openxmlformats.org/officeDocument/2006/relationships/image" Target="media/image214.png"/><Relationship Id="rId230" Type="http://schemas.openxmlformats.org/officeDocument/2006/relationships/image" Target="media/image215.png"/><Relationship Id="rId233" Type="http://schemas.openxmlformats.org/officeDocument/2006/relationships/image" Target="media/image216.png"/><Relationship Id="rId236" Type="http://schemas.openxmlformats.org/officeDocument/2006/relationships/image" Target="media/image217.png"/><Relationship Id="rId239" Type="http://schemas.openxmlformats.org/officeDocument/2006/relationships/image" Target="media/image218.png"/><Relationship Id="rId241" Type="http://schemas.openxmlformats.org/officeDocument/2006/relationships/image" Target="media/image219.png"/><Relationship Id="rId242" Type="http://schemas.openxmlformats.org/officeDocument/2006/relationships/image" Target="media/image220.png"/><Relationship Id="rId245" Type="http://schemas.openxmlformats.org/officeDocument/2006/relationships/image" Target="media/image221.png"/><Relationship Id="rId247" Type="http://schemas.openxmlformats.org/officeDocument/2006/relationships/image" Target="media/image222.png"/><Relationship Id="rId248" Type="http://schemas.openxmlformats.org/officeDocument/2006/relationships/image" Target="media/image223.png"/><Relationship Id="rId249" Type="http://schemas.openxmlformats.org/officeDocument/2006/relationships/image" Target="media/image224.png"/><Relationship Id="rId250" Type="http://schemas.openxmlformats.org/officeDocument/2006/relationships/image" Target="media/image225.png"/><Relationship Id="rId251" Type="http://schemas.openxmlformats.org/officeDocument/2006/relationships/image" Target="media/image226.png"/><Relationship Id="rId252" Type="http://schemas.openxmlformats.org/officeDocument/2006/relationships/image" Target="media/image227.png"/><Relationship Id="rId253" Type="http://schemas.openxmlformats.org/officeDocument/2006/relationships/image" Target="media/image228.png"/><Relationship Id="rId254" Type="http://schemas.openxmlformats.org/officeDocument/2006/relationships/image" Target="media/image229.png"/><Relationship Id="rId255" Type="http://schemas.openxmlformats.org/officeDocument/2006/relationships/image" Target="media/image230.png"/><Relationship Id="rId256" Type="http://schemas.openxmlformats.org/officeDocument/2006/relationships/image" Target="media/image231.png"/><Relationship Id="rId257" Type="http://schemas.openxmlformats.org/officeDocument/2006/relationships/image" Target="media/image232.png"/><Relationship Id="rId258" Type="http://schemas.openxmlformats.org/officeDocument/2006/relationships/image" Target="media/image233.png"/><Relationship Id="rId259" Type="http://schemas.openxmlformats.org/officeDocument/2006/relationships/image" Target="media/image234.png"/><Relationship Id="rId260" Type="http://schemas.openxmlformats.org/officeDocument/2006/relationships/image" Target="media/image235.png"/><Relationship Id="rId261" Type="http://schemas.openxmlformats.org/officeDocument/2006/relationships/image" Target="media/image236.png"/><Relationship Id="rId262" Type="http://schemas.openxmlformats.org/officeDocument/2006/relationships/image" Target="media/image237.png"/><Relationship Id="rId263" Type="http://schemas.openxmlformats.org/officeDocument/2006/relationships/image" Target="media/image238.png"/><Relationship Id="rId264" Type="http://schemas.openxmlformats.org/officeDocument/2006/relationships/image" Target="media/image239.png"/><Relationship Id="rId265" Type="http://schemas.openxmlformats.org/officeDocument/2006/relationships/image" Target="media/image240.png"/><Relationship Id="rId266" Type="http://schemas.openxmlformats.org/officeDocument/2006/relationships/image" Target="media/image241.png"/><Relationship Id="rId267" Type="http://schemas.openxmlformats.org/officeDocument/2006/relationships/image" Target="media/image242.png"/><Relationship Id="rId268" Type="http://schemas.openxmlformats.org/officeDocument/2006/relationships/image" Target="media/image243.png"/><Relationship Id="rId269" Type="http://schemas.openxmlformats.org/officeDocument/2006/relationships/image" Target="media/image244.png"/><Relationship Id="rId270" Type="http://schemas.openxmlformats.org/officeDocument/2006/relationships/image" Target="media/image245.png"/><Relationship Id="rId271" Type="http://schemas.openxmlformats.org/officeDocument/2006/relationships/image" Target="media/image246.png"/><Relationship Id="rId272" Type="http://schemas.openxmlformats.org/officeDocument/2006/relationships/image" Target="media/image247.png"/><Relationship Id="rId273" Type="http://schemas.openxmlformats.org/officeDocument/2006/relationships/image" Target="media/image248.png"/><Relationship Id="rId274" Type="http://schemas.openxmlformats.org/officeDocument/2006/relationships/image" Target="media/image249.png"/><Relationship Id="rId275" Type="http://schemas.openxmlformats.org/officeDocument/2006/relationships/image" Target="media/image250.png"/><Relationship Id="rId276" Type="http://schemas.openxmlformats.org/officeDocument/2006/relationships/image" Target="media/image251.png"/><Relationship Id="rId277" Type="http://schemas.openxmlformats.org/officeDocument/2006/relationships/image" Target="media/image252.png"/><Relationship Id="rId278" Type="http://schemas.openxmlformats.org/officeDocument/2006/relationships/image" Target="media/image253.png"/><Relationship Id="rId279" Type="http://schemas.openxmlformats.org/officeDocument/2006/relationships/image" Target="media/image254.png"/><Relationship Id="rId280" Type="http://schemas.openxmlformats.org/officeDocument/2006/relationships/image" Target="media/image255.png"/><Relationship Id="rId281" Type="http://schemas.openxmlformats.org/officeDocument/2006/relationships/image" Target="media/image256.png"/><Relationship Id="rId282" Type="http://schemas.openxmlformats.org/officeDocument/2006/relationships/image" Target="media/image257.png"/><Relationship Id="rId283" Type="http://schemas.openxmlformats.org/officeDocument/2006/relationships/image" Target="media/image258.png"/><Relationship Id="rId284" Type="http://schemas.openxmlformats.org/officeDocument/2006/relationships/image" Target="media/image259.png"/><Relationship Id="rId285" Type="http://schemas.openxmlformats.org/officeDocument/2006/relationships/image" Target="media/image260.png"/><Relationship Id="rId286" Type="http://schemas.openxmlformats.org/officeDocument/2006/relationships/image" Target="media/image261.png"/><Relationship Id="rId287" Type="http://schemas.openxmlformats.org/officeDocument/2006/relationships/image" Target="media/image262.png"/><Relationship Id="rId288" Type="http://schemas.openxmlformats.org/officeDocument/2006/relationships/image" Target="media/image263.png"/><Relationship Id="rId289" Type="http://schemas.openxmlformats.org/officeDocument/2006/relationships/image" Target="media/image264.png"/><Relationship Id="rId290" Type="http://schemas.openxmlformats.org/officeDocument/2006/relationships/image" Target="media/image265.png"/><Relationship Id="rId291" Type="http://schemas.openxmlformats.org/officeDocument/2006/relationships/image" Target="media/image266.png"/><Relationship Id="rId292" Type="http://schemas.openxmlformats.org/officeDocument/2006/relationships/image" Target="media/image267.png"/><Relationship Id="rId293" Type="http://schemas.openxmlformats.org/officeDocument/2006/relationships/image" Target="media/image268.png"/><Relationship Id="rId294" Type="http://schemas.openxmlformats.org/officeDocument/2006/relationships/image" Target="media/image269.png"/><Relationship Id="rId295" Type="http://schemas.openxmlformats.org/officeDocument/2006/relationships/image" Target="media/image270.png"/><Relationship Id="rId296" Type="http://schemas.openxmlformats.org/officeDocument/2006/relationships/image" Target="media/image271.png"/><Relationship Id="rId297" Type="http://schemas.openxmlformats.org/officeDocument/2006/relationships/image" Target="media/image272.png"/><Relationship Id="rId298" Type="http://schemas.openxmlformats.org/officeDocument/2006/relationships/image" Target="media/image273.png"/><Relationship Id="rId299" Type="http://schemas.openxmlformats.org/officeDocument/2006/relationships/image" Target="media/image274.png"/><Relationship Id="rId300" Type="http://schemas.openxmlformats.org/officeDocument/2006/relationships/image" Target="media/image275.png"/><Relationship Id="rId301" Type="http://schemas.openxmlformats.org/officeDocument/2006/relationships/image" Target="media/image276.png"/><Relationship Id="rId302" Type="http://schemas.openxmlformats.org/officeDocument/2006/relationships/image" Target="media/image277.png"/><Relationship Id="rId303" Type="http://schemas.openxmlformats.org/officeDocument/2006/relationships/image" Target="media/image278.png"/><Relationship Id="rId304" Type="http://schemas.openxmlformats.org/officeDocument/2006/relationships/image" Target="media/image279.png"/><Relationship Id="rId305" Type="http://schemas.openxmlformats.org/officeDocument/2006/relationships/image" Target="media/image280.png"/><Relationship Id="rId306" Type="http://schemas.openxmlformats.org/officeDocument/2006/relationships/image" Target="media/image281.png"/><Relationship Id="rId307" Type="http://schemas.openxmlformats.org/officeDocument/2006/relationships/image" Target="media/image282.png"/><Relationship Id="rId308" Type="http://schemas.openxmlformats.org/officeDocument/2006/relationships/image" Target="media/image283.png"/><Relationship Id="rId309" Type="http://schemas.openxmlformats.org/officeDocument/2006/relationships/image" Target="media/image284.png"/><Relationship Id="rId310" Type="http://schemas.openxmlformats.org/officeDocument/2006/relationships/image" Target="media/image285.png"/><Relationship Id="rId311" Type="http://schemas.openxmlformats.org/officeDocument/2006/relationships/image" Target="media/image286.png"/><Relationship Id="rId312" Type="http://schemas.openxmlformats.org/officeDocument/2006/relationships/image" Target="media/image287.png"/><Relationship Id="rId313" Type="http://schemas.openxmlformats.org/officeDocument/2006/relationships/image" Target="media/image288.png"/><Relationship Id="rId314" Type="http://schemas.openxmlformats.org/officeDocument/2006/relationships/image" Target="media/image289.png"/><Relationship Id="rId315" Type="http://schemas.openxmlformats.org/officeDocument/2006/relationships/image" Target="media/image290.png"/><Relationship Id="rId316" Type="http://schemas.openxmlformats.org/officeDocument/2006/relationships/image" Target="media/image291.png"/><Relationship Id="rId317" Type="http://schemas.openxmlformats.org/officeDocument/2006/relationships/image" Target="media/image292.png"/><Relationship Id="rId318" Type="http://schemas.openxmlformats.org/officeDocument/2006/relationships/image" Target="media/image293.png"/><Relationship Id="rId319" Type="http://schemas.openxmlformats.org/officeDocument/2006/relationships/image" Target="media/image294.png"/><Relationship Id="rId320" Type="http://schemas.openxmlformats.org/officeDocument/2006/relationships/image" Target="media/image295.png"/><Relationship Id="rId321" Type="http://schemas.openxmlformats.org/officeDocument/2006/relationships/image" Target="media/image296.png"/><Relationship Id="rId322" Type="http://schemas.openxmlformats.org/officeDocument/2006/relationships/image" Target="media/image297.png"/><Relationship Id="rId323" Type="http://schemas.openxmlformats.org/officeDocument/2006/relationships/image" Target="media/image298.png"/><Relationship Id="rId324" Type="http://schemas.openxmlformats.org/officeDocument/2006/relationships/image" Target="media/image299.png"/><Relationship Id="rId325" Type="http://schemas.openxmlformats.org/officeDocument/2006/relationships/image" Target="media/image300.png"/><Relationship Id="rId326" Type="http://schemas.openxmlformats.org/officeDocument/2006/relationships/image" Target="media/image301.png"/><Relationship Id="rId327" Type="http://schemas.openxmlformats.org/officeDocument/2006/relationships/image" Target="media/image302.png"/><Relationship Id="rId328" Type="http://schemas.openxmlformats.org/officeDocument/2006/relationships/image" Target="media/image303.jpeg"/><Relationship Id="rId329" Type="http://schemas.openxmlformats.org/officeDocument/2006/relationships/image" Target="media/image304.png"/><Relationship Id="rId330" Type="http://schemas.openxmlformats.org/officeDocument/2006/relationships/image" Target="media/image305.jpeg"/><Relationship Id="rId331" Type="http://schemas.openxmlformats.org/officeDocument/2006/relationships/image" Target="media/image306.png"/><Relationship Id="rId332" Type="http://schemas.openxmlformats.org/officeDocument/2006/relationships/image" Target="media/image307.png"/><Relationship Id="rId333" Type="http://schemas.openxmlformats.org/officeDocument/2006/relationships/image" Target="media/image308.png"/><Relationship Id="rId334" Type="http://schemas.openxmlformats.org/officeDocument/2006/relationships/image" Target="media/image309.png"/><Relationship Id="rId335" Type="http://schemas.openxmlformats.org/officeDocument/2006/relationships/image" Target="media/image310.png"/><Relationship Id="rId336" Type="http://schemas.openxmlformats.org/officeDocument/2006/relationships/image" Target="media/image311.png"/><Relationship Id="rId337" Type="http://schemas.openxmlformats.org/officeDocument/2006/relationships/image" Target="media/image312.png"/><Relationship Id="rId338" Type="http://schemas.openxmlformats.org/officeDocument/2006/relationships/image" Target="media/image313.png"/><Relationship Id="rId339" Type="http://schemas.openxmlformats.org/officeDocument/2006/relationships/image" Target="media/image314.png"/><Relationship Id="rId218" Type="http://schemas.openxmlformats.org/officeDocument/2006/relationships/hyperlink" Target="http://www.sec.gov/Archives/edgar/data/1798562/000121390020006690/fs12020ex3-1_sustainable.htm" TargetMode="External"/><Relationship Id="rId219" Type="http://schemas.openxmlformats.org/officeDocument/2006/relationships/hyperlink" Target="http://www.sec.gov/Archives/edgar/data/1798562/000121390020010708/ea121276ex3-2_sustainable.htm" TargetMode="External"/><Relationship Id="rId221" Type="http://schemas.openxmlformats.org/officeDocument/2006/relationships/hyperlink" Target="http://www.sec.gov/Archives/edgar/data/1798562/000121390020010708/ea121276ex4-1_sustainable.htm" TargetMode="External"/><Relationship Id="rId222" Type="http://schemas.openxmlformats.org/officeDocument/2006/relationships/hyperlink" Target="http://www.sec.gov/Archives/edgar/data/1798562/000121390020010708/ea121276ex4-2_sustainable.htm" TargetMode="External"/><Relationship Id="rId224" Type="http://schemas.openxmlformats.org/officeDocument/2006/relationships/hyperlink" Target="http://www.sec.gov/Archives/edgar/data/1798562/000121390020010708/ea121276ex4-3_sustainable.htm" TargetMode="External"/><Relationship Id="rId226" Type="http://schemas.openxmlformats.org/officeDocument/2006/relationships/hyperlink" Target="http://www.sec.gov/Archives/edgar/data/1798562/000121390020010708/ea121276ex5-1_sustainable.htm" TargetMode="External"/><Relationship Id="rId228" Type="http://schemas.openxmlformats.org/officeDocument/2006/relationships/hyperlink" Target="http://www.sec.gov/Archives/edgar/data/1798562/000121390020010708/ea121276ex10-1_sustainable.htm" TargetMode="External"/><Relationship Id="rId229" Type="http://schemas.openxmlformats.org/officeDocument/2006/relationships/hyperlink" Target="http://www.sec.gov/Archives/edgar/data/1798562/000121390020010708/ea121276ex10-2_sustainable.htm" TargetMode="External"/><Relationship Id="rId231" Type="http://schemas.openxmlformats.org/officeDocument/2006/relationships/hyperlink" Target="http://www.sec.gov/Archives/edgar/data/1798562/000121390020010708/ea121276ex10-3_sustainable.htm" TargetMode="External"/><Relationship Id="rId232" Type="http://schemas.openxmlformats.org/officeDocument/2006/relationships/hyperlink" Target="http://www.sec.gov/Archives/edgar/data/1798562/000121390020010708/ea121276ex10-4_sustainable.htm" TargetMode="External"/><Relationship Id="rId234" Type="http://schemas.openxmlformats.org/officeDocument/2006/relationships/hyperlink" Target="http://www.sec.gov/Archives/edgar/data/1798562/000121390020010708/ea121276ex10-5_sustainable.htm" TargetMode="External"/><Relationship Id="rId235" Type="http://schemas.openxmlformats.org/officeDocument/2006/relationships/hyperlink" Target="http://www.sec.gov/Archives/edgar/data/1798562/000121390020006690/fs12020ex10-6_sustainable.htm" TargetMode="External"/><Relationship Id="rId237" Type="http://schemas.openxmlformats.org/officeDocument/2006/relationships/hyperlink" Target="http://www.sec.gov/Archives/edgar/data/1798562/000121390020006690/fs12020ex10-7_sustainable.htm" TargetMode="External"/><Relationship Id="rId238" Type="http://schemas.openxmlformats.org/officeDocument/2006/relationships/hyperlink" Target="http://www.sec.gov/Archives/edgar/data/1798562/000121390020010708/ea121276ex10-8_sustainable.htm" TargetMode="External"/><Relationship Id="rId240" Type="http://schemas.openxmlformats.org/officeDocument/2006/relationships/hyperlink" Target="http://www.sec.gov/Archives/edgar/data/1798562/000121390020010708/ea121276ex10-9_sustainable.htm" TargetMode="External"/><Relationship Id="rId243" Type="http://schemas.openxmlformats.org/officeDocument/2006/relationships/hyperlink" Target="http://www.sec.gov/Archives/edgar/data/1798562/000121390020006690/fs12020_sustainable.htm" TargetMode="External"/><Relationship Id="rId244" Type="http://schemas.openxmlformats.org/officeDocument/2006/relationships/hyperlink" Target="http://www.sec.gov/Archives/edgar/data/1798562/000121390020006690/fs12020ex99-1_sustainable.htm" TargetMode="External"/><Relationship Id="rId246" Type="http://schemas.openxmlformats.org/officeDocument/2006/relationships/hyperlink" Target="http://www.sec.gov/Archives/edgar/data/1798562/000121390020006690/fs12020ex99-2_sustainable.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2020-05-01T15:25:04Z</dcterms:created>
  <dcterms:modified xsi:type="dcterms:W3CDTF">2020-05-01T15:25:04Z</dcterms:modified>
</cp:coreProperties>
</file>