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60" w:type="dxa"/>
        <w:tblCellMar>
          <w:top w:w="0" w:type="dxa"/>
          <w:left w:w="0" w:type="dxa"/>
          <w:bottom w:w="0" w:type="dxa"/>
          <w:right w:w="0" w:type="dxa"/>
        </w:tblCellMar>
      </w:tblPr>
      <w:tr>
        <w:trPr>
          <w:trHeight w:val="203"/>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PROSPECTUS</w:t>
            </w:r>
          </w:p>
        </w:tc>
        <w:tc>
          <w:tcPr>
            <w:tcW w:w="4520" w:type="dxa"/>
            <w:vAlign w:val="bottom"/>
          </w:tcPr>
          <w:p>
            <w:pPr>
              <w:jc w:val="right"/>
              <w:spacing w:after="0"/>
              <w:rPr>
                <w:sz w:val="20"/>
                <w:szCs w:val="20"/>
                <w:color w:val="auto"/>
              </w:rPr>
            </w:pPr>
            <w:r>
              <w:rPr>
                <w:rFonts w:ascii="Arial" w:cs="Arial" w:eastAsia="Arial" w:hAnsi="Arial"/>
                <w:sz w:val="16"/>
                <w:szCs w:val="16"/>
                <w:color w:val="auto"/>
              </w:rPr>
              <w:t>Filed Pursuant to Rule 424(b)(4)</w:t>
            </w:r>
          </w:p>
        </w:tc>
        <w:tc>
          <w:tcPr>
            <w:tcW w:w="0" w:type="dxa"/>
            <w:vAlign w:val="bottom"/>
          </w:tcPr>
          <w:p>
            <w:pPr>
              <w:spacing w:after="0"/>
              <w:rPr>
                <w:sz w:val="1"/>
                <w:szCs w:val="1"/>
                <w:color w:val="auto"/>
              </w:rPr>
            </w:pPr>
          </w:p>
        </w:tc>
      </w:tr>
      <w:tr>
        <w:trPr>
          <w:trHeight w:val="226"/>
        </w:trPr>
        <w:tc>
          <w:tcPr>
            <w:tcW w:w="3580" w:type="dxa"/>
            <w:vAlign w:val="bottom"/>
            <w:vMerge w:val="continue"/>
          </w:tcPr>
          <w:p>
            <w:pPr>
              <w:spacing w:after="0"/>
              <w:rPr>
                <w:sz w:val="19"/>
                <w:szCs w:val="19"/>
                <w:color w:val="auto"/>
              </w:rPr>
            </w:pPr>
          </w:p>
        </w:tc>
        <w:tc>
          <w:tcPr>
            <w:tcW w:w="4520" w:type="dxa"/>
            <w:vAlign w:val="bottom"/>
          </w:tcPr>
          <w:p>
            <w:pPr>
              <w:jc w:val="right"/>
              <w:spacing w:after="0"/>
              <w:rPr>
                <w:sz w:val="20"/>
                <w:szCs w:val="20"/>
                <w:color w:val="auto"/>
              </w:rPr>
            </w:pPr>
            <w:r>
              <w:rPr>
                <w:rFonts w:ascii="Arial" w:cs="Arial" w:eastAsia="Arial" w:hAnsi="Arial"/>
                <w:sz w:val="16"/>
                <w:szCs w:val="16"/>
                <w:color w:val="auto"/>
              </w:rPr>
              <w:t>Registration No. 333-237245</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1000"/>
        <w:spacing w:after="0"/>
        <w:rPr>
          <w:sz w:val="20"/>
          <w:szCs w:val="20"/>
          <w:color w:val="auto"/>
        </w:rPr>
      </w:pPr>
      <w:r>
        <w:rPr>
          <w:rFonts w:ascii="Arial" w:cs="Arial" w:eastAsia="Arial" w:hAnsi="Arial"/>
          <w:sz w:val="35"/>
          <w:szCs w:val="35"/>
          <w:b w:val="1"/>
          <w:bCs w:val="1"/>
          <w:color w:val="auto"/>
        </w:rPr>
        <w:t>Sustainable Opportunities Acquisition Corp.</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3"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92" w:lineRule="exact"/>
        <w:rPr>
          <w:sz w:val="24"/>
          <w:szCs w:val="24"/>
          <w:color w:val="auto"/>
        </w:rPr>
      </w:pPr>
    </w:p>
    <w:p>
      <w:pPr>
        <w:ind w:left="460" w:right="519" w:firstLine="432"/>
        <w:spacing w:after="0" w:line="313" w:lineRule="auto"/>
        <w:rPr>
          <w:sz w:val="20"/>
          <w:szCs w:val="20"/>
          <w:color w:val="auto"/>
        </w:rPr>
      </w:pPr>
      <w:r>
        <w:rPr>
          <w:rFonts w:ascii="Arial" w:cs="Arial" w:eastAsia="Arial" w:hAnsi="Arial"/>
          <w:sz w:val="14"/>
          <w:szCs w:val="14"/>
          <w:color w:val="auto"/>
        </w:rPr>
        <w:t>Sustainable Opportunities Acquisition Corp. is a newly incorporated blank check company incorporated as a Cayman Islands exempted company and incorporated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While we will not be limited to a particular industry or geographic region, given the experience of our management team, our acquisition and value creation strategy will be to identify, acquire, and build a company in the sustainable sector.</w:t>
      </w:r>
    </w:p>
    <w:p>
      <w:pPr>
        <w:spacing w:after="0" w:line="15" w:lineRule="exact"/>
        <w:rPr>
          <w:sz w:val="24"/>
          <w:szCs w:val="24"/>
          <w:color w:val="auto"/>
        </w:rPr>
      </w:pPr>
    </w:p>
    <w:p>
      <w:pPr>
        <w:ind w:left="460" w:right="599" w:firstLine="432"/>
        <w:spacing w:after="0" w:line="271" w:lineRule="auto"/>
        <w:rPr>
          <w:sz w:val="20"/>
          <w:szCs w:val="20"/>
          <w:color w:val="auto"/>
        </w:rPr>
      </w:pPr>
      <w:r>
        <w:rPr>
          <w:rFonts w:ascii="Arial" w:cs="Arial" w:eastAsia="Arial" w:hAnsi="Arial"/>
          <w:sz w:val="16"/>
          <w:szCs w:val="16"/>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terms and limitations as described herein. The underwriter has a 45-day option from the date of this prospectus to purchase up to 4,500,000 additional units to cover over-allotments, if any.</w:t>
      </w:r>
    </w:p>
    <w:p>
      <w:pPr>
        <w:spacing w:after="0" w:line="55" w:lineRule="exact"/>
        <w:rPr>
          <w:sz w:val="24"/>
          <w:szCs w:val="24"/>
          <w:color w:val="auto"/>
        </w:rPr>
      </w:pPr>
    </w:p>
    <w:p>
      <w:pPr>
        <w:ind w:left="460" w:right="659" w:firstLine="432"/>
        <w:spacing w:after="0" w:line="297"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described herein. If we have not consummated an initial business combination within 18 months from the closing of this offering, we will redeem 100% of the public shares for cash, subject to applicable law and certain conditions as described herein.</w:t>
      </w:r>
    </w:p>
    <w:p>
      <w:pPr>
        <w:spacing w:after="0" w:line="24" w:lineRule="exact"/>
        <w:rPr>
          <w:sz w:val="24"/>
          <w:szCs w:val="24"/>
          <w:color w:val="auto"/>
        </w:rPr>
      </w:pPr>
    </w:p>
    <w:p>
      <w:pPr>
        <w:ind w:left="460" w:right="579" w:firstLine="432"/>
        <w:spacing w:after="0" w:line="269" w:lineRule="auto"/>
        <w:rPr>
          <w:sz w:val="20"/>
          <w:szCs w:val="20"/>
          <w:color w:val="auto"/>
        </w:rPr>
      </w:pPr>
      <w:r>
        <w:rPr>
          <w:rFonts w:ascii="Arial" w:cs="Arial" w:eastAsia="Arial" w:hAnsi="Arial"/>
          <w:sz w:val="16"/>
          <w:szCs w:val="16"/>
          <w:color w:val="auto"/>
        </w:rPr>
        <w:t>Our sponsor, Sustainable Opportunities Holdings LLC, has agreed to purchase 9,500,000 warrants, each exercisable to purchase one Class A ordinary share at $11.50 per share, at a price of $1.00 per warrant, in a private placement to occur concurrently with the closing of this offering. Our sponsor currently owns 8,625,000 Class B ordinary shares which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45" w:lineRule="exact"/>
        <w:rPr>
          <w:sz w:val="24"/>
          <w:szCs w:val="24"/>
          <w:color w:val="auto"/>
        </w:rPr>
      </w:pPr>
    </w:p>
    <w:p>
      <w:pPr>
        <w:ind w:left="460" w:right="659" w:firstLine="432"/>
        <w:spacing w:after="0" w:line="290" w:lineRule="auto"/>
        <w:rPr>
          <w:sz w:val="20"/>
          <w:szCs w:val="20"/>
          <w:color w:val="auto"/>
        </w:rPr>
      </w:pPr>
      <w:r>
        <w:rPr>
          <w:rFonts w:ascii="Arial" w:cs="Arial" w:eastAsia="Arial" w:hAnsi="Arial"/>
          <w:sz w:val="14"/>
          <w:szCs w:val="14"/>
          <w:color w:val="auto"/>
        </w:rPr>
        <w:t>Currently, there is no public market for our securities. Our units have been approved for listing on the New York Stock Exchange, or NYSE, under the symbol “SOAC.U.” We expect that the Class A ordinary shares and warrants comprising the units will begin separate trading on the NYSE under the symbols “SOAC” and “SOAC WS,” respectively, on the 52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day following the date of this prospectus (or if such day is not a business day, the immediately succeeding business day) unless the underwriter permits earlier separate trading and we have satisfied certain conditions.</w:t>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73" w:lineRule="exact"/>
        <w:rPr>
          <w:sz w:val="24"/>
          <w:szCs w:val="24"/>
          <w:color w:val="auto"/>
        </w:rPr>
      </w:pPr>
    </w:p>
    <w:p>
      <w:pPr>
        <w:ind w:left="460" w:right="659" w:firstLine="432"/>
        <w:spacing w:after="0" w:line="245" w:lineRule="auto"/>
        <w:rPr>
          <w:sz w:val="20"/>
          <w:szCs w:val="20"/>
          <w:color w:val="auto"/>
        </w:rPr>
      </w:pPr>
      <w:r>
        <w:rPr>
          <w:rFonts w:ascii="Arial" w:cs="Arial" w:eastAsia="Arial" w:hAnsi="Arial"/>
          <w:sz w:val="20"/>
          <w:szCs w:val="20"/>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27 for a discussion of information that should be considered in connection with an investment in our securities. Investors will not be entitled to protections normally afforded to investors in Rule 419 blank check offerings.</w:t>
      </w:r>
    </w:p>
    <w:p>
      <w:pPr>
        <w:spacing w:after="0" w:line="49" w:lineRule="exact"/>
        <w:rPr>
          <w:sz w:val="24"/>
          <w:szCs w:val="24"/>
          <w:color w:val="auto"/>
        </w:rPr>
      </w:pPr>
    </w:p>
    <w:p>
      <w:pPr>
        <w:ind w:left="460" w:right="539" w:firstLine="432"/>
        <w:spacing w:after="0" w:line="265"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217"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 Unit</w:t>
            </w: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46"/>
        </w:trPr>
        <w:tc>
          <w:tcPr>
            <w:tcW w:w="5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r>
      <w:tr>
        <w:trPr>
          <w:trHeight w:val="283"/>
        </w:trPr>
        <w:tc>
          <w:tcPr>
            <w:tcW w:w="58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16,500,000</w:t>
            </w:r>
          </w:p>
        </w:tc>
      </w:tr>
      <w:tr>
        <w:trPr>
          <w:trHeight w:val="26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283,500,000</w:t>
            </w:r>
          </w:p>
        </w:tc>
      </w:tr>
      <w:tr>
        <w:trPr>
          <w:trHeight w:val="250"/>
        </w:trPr>
        <w:tc>
          <w:tcPr>
            <w:tcW w:w="5820" w:type="dxa"/>
            <w:vAlign w:val="bottom"/>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85" w:lineRule="exact"/>
        <w:rPr>
          <w:sz w:val="24"/>
          <w:szCs w:val="24"/>
          <w:color w:val="auto"/>
        </w:rPr>
      </w:pPr>
    </w:p>
    <w:p>
      <w:pPr>
        <w:ind w:left="880" w:right="599" w:hanging="426"/>
        <w:spacing w:after="0" w:line="271"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 See also “Underwriting” for a description of compensation and other items of value payable to the underwriter.</w:t>
      </w:r>
    </w:p>
    <w:p>
      <w:pPr>
        <w:spacing w:after="0" w:line="41" w:lineRule="exact"/>
        <w:rPr>
          <w:sz w:val="24"/>
          <w:szCs w:val="24"/>
          <w:color w:val="auto"/>
        </w:rPr>
      </w:pPr>
    </w:p>
    <w:p>
      <w:pPr>
        <w:ind w:left="460" w:right="539" w:firstLine="432"/>
        <w:spacing w:after="0" w:line="305" w:lineRule="auto"/>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$300,000,000, or $345,000,000 if the underwriter’s over-allotment option is exercised in full ($10.00 per unit in either case), will be deposited into a trust account with Continental Stock Transfer &amp; Trust Company acting as trustee.</w:t>
      </w:r>
    </w:p>
    <w:p>
      <w:pPr>
        <w:spacing w:after="0" w:line="17" w:lineRule="exact"/>
        <w:rPr>
          <w:sz w:val="24"/>
          <w:szCs w:val="24"/>
          <w:color w:val="auto"/>
        </w:rPr>
      </w:pPr>
    </w:p>
    <w:p>
      <w:pPr>
        <w:ind w:left="460" w:right="499" w:firstLine="432"/>
        <w:spacing w:after="0" w:line="266" w:lineRule="auto"/>
        <w:rPr>
          <w:sz w:val="20"/>
          <w:szCs w:val="20"/>
          <w:color w:val="auto"/>
        </w:rPr>
      </w:pPr>
      <w:r>
        <w:rPr>
          <w:rFonts w:ascii="Arial" w:cs="Arial" w:eastAsia="Arial" w:hAnsi="Arial"/>
          <w:sz w:val="16"/>
          <w:szCs w:val="16"/>
          <w:color w:val="auto"/>
        </w:rPr>
        <w:t>The underwriter is offering the units for sale on a firm commitment basis. The underwriter expects to deliver the units to the purchasers on or about May 8, 2020.</w:t>
      </w:r>
    </w:p>
    <w:p>
      <w:pPr>
        <w:spacing w:after="0" w:line="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Citigroup</w:t>
      </w:r>
    </w:p>
    <w:p>
      <w:pPr>
        <w:spacing w:after="0" w:line="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271780</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5" w:right="1440" w:bottom="24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FINANCIAL DATA</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CAUTIONARY NOTE REGARDING FORWARD-LOOKING STATEMENTS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USE OF PROCEEDS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DIVIDEND POLICY</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4"/>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DILUTION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CAPITALIZATION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MANAGEMENT’S DISCUSSION AND ANALYSIS OF FINANCIAL CONDITION AND</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200" w:type="dxa"/>
            <w:vAlign w:val="bottom"/>
            <w:gridSpan w:val="3"/>
            <w:shd w:val="clear" w:color="auto" w:fill="CCEEFF"/>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RESULTS OF OPERATIONS</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PROPOSED BUSINESS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MANAGEMENT</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98</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SHAREHOLDERS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CERTAIN RELATIONSHIPS AND RELATED PARTY TRANSACTIONS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DESCRIPTION OF SECURITIES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TAXATION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129</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UNDERWRITING</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139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LEGAL MATTERS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EXPERTS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145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WHERE YOU CAN FIND ADDITIONAL INFORMATION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INDEX TO FINANCIAL STATEMENTS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11"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 is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SUMMARY</w:t>
      </w:r>
    </w:p>
    <w:p>
      <w:pPr>
        <w:spacing w:after="0" w:line="148" w:lineRule="exact"/>
        <w:rPr>
          <w:sz w:val="20"/>
          <w:szCs w:val="20"/>
          <w:color w:val="auto"/>
        </w:rPr>
      </w:pPr>
    </w:p>
    <w:p>
      <w:pPr>
        <w:ind w:left="540" w:right="819" w:firstLine="432"/>
        <w:spacing w:after="0" w:line="311" w:lineRule="auto"/>
        <w:rPr>
          <w:sz w:val="20"/>
          <w:szCs w:val="20"/>
          <w:color w:val="auto"/>
        </w:rPr>
      </w:pPr>
      <w:r>
        <w:rPr>
          <w:rFonts w:ascii="Arial" w:cs="Arial" w:eastAsia="Arial" w:hAnsi="Arial"/>
          <w:sz w:val="16"/>
          <w:szCs w:val="16"/>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jc w:val="both"/>
        <w:ind w:left="1400" w:right="699" w:hanging="424"/>
        <w:spacing w:after="0" w:line="263"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102" w:lineRule="exact"/>
        <w:rPr>
          <w:rFonts w:ascii="Arial" w:cs="Arial" w:eastAsia="Arial" w:hAnsi="Arial"/>
          <w:sz w:val="18"/>
          <w:szCs w:val="18"/>
          <w:color w:val="auto"/>
        </w:rPr>
      </w:pPr>
    </w:p>
    <w:p>
      <w:pPr>
        <w:ind w:left="1400" w:right="619" w:hanging="424"/>
        <w:spacing w:after="0" w:line="277"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“Companies Law” are to the Companies Law (2020 Revision) of the Cayman Islands as the same may be amended from time to time;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“Founders” are to Scott Leonard and Scott Honour;</w:t>
      </w:r>
    </w:p>
    <w:p>
      <w:pPr>
        <w:spacing w:after="0" w:line="157" w:lineRule="exact"/>
        <w:rPr>
          <w:rFonts w:ascii="Arial" w:cs="Arial" w:eastAsia="Arial" w:hAnsi="Arial"/>
          <w:sz w:val="18"/>
          <w:szCs w:val="18"/>
          <w:color w:val="auto"/>
        </w:rPr>
      </w:pPr>
    </w:p>
    <w:p>
      <w:pPr>
        <w:ind w:left="1400" w:right="899" w:hanging="424"/>
        <w:spacing w:after="0" w:line="257"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06" w:lineRule="exact"/>
        <w:rPr>
          <w:rFonts w:ascii="Arial" w:cs="Arial" w:eastAsia="Arial" w:hAnsi="Arial"/>
          <w:sz w:val="18"/>
          <w:szCs w:val="18"/>
          <w:color w:val="auto"/>
        </w:rPr>
      </w:pPr>
    </w:p>
    <w:p>
      <w:pPr>
        <w:ind w:left="1400" w:hanging="424"/>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57" w:lineRule="exact"/>
        <w:rPr>
          <w:rFonts w:ascii="Arial" w:cs="Arial" w:eastAsia="Arial" w:hAnsi="Arial"/>
          <w:sz w:val="18"/>
          <w:szCs w:val="18"/>
          <w:color w:val="auto"/>
        </w:rPr>
      </w:pPr>
    </w:p>
    <w:p>
      <w:pPr>
        <w:ind w:left="1400" w:right="1039" w:hanging="424"/>
        <w:spacing w:after="0" w:line="263"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102" w:lineRule="exact"/>
        <w:rPr>
          <w:rFonts w:ascii="Arial" w:cs="Arial" w:eastAsia="Arial" w:hAnsi="Arial"/>
          <w:sz w:val="18"/>
          <w:szCs w:val="18"/>
          <w:color w:val="auto"/>
        </w:rPr>
      </w:pPr>
    </w:p>
    <w:p>
      <w:pPr>
        <w:ind w:left="1400" w:right="1199" w:hanging="424"/>
        <w:spacing w:after="0" w:line="308" w:lineRule="auto"/>
        <w:tabs>
          <w:tab w:leader="none" w:pos="1391" w:val="left"/>
        </w:tabs>
        <w:numPr>
          <w:ilvl w:val="0"/>
          <w:numId w:val="2"/>
        </w:numPr>
        <w:rPr>
          <w:rFonts w:ascii="Arial" w:cs="Arial" w:eastAsia="Arial" w:hAnsi="Arial"/>
          <w:sz w:val="17"/>
          <w:szCs w:val="17"/>
          <w:color w:val="auto"/>
        </w:rPr>
      </w:pPr>
      <w:r>
        <w:rPr>
          <w:rFonts w:ascii="Arial" w:cs="Arial" w:eastAsia="Arial" w:hAnsi="Arial"/>
          <w:sz w:val="17"/>
          <w:szCs w:val="17"/>
          <w:color w:val="auto"/>
        </w:rPr>
        <w:t>“public shares” are to our Class A ordinary shares sold as part of the units in this offering (whether they are purchased in this offering or thereafter in the open market);</w:t>
      </w:r>
    </w:p>
    <w:p>
      <w:pPr>
        <w:spacing w:after="0" w:line="78" w:lineRule="exact"/>
        <w:rPr>
          <w:rFonts w:ascii="Arial" w:cs="Arial" w:eastAsia="Arial" w:hAnsi="Arial"/>
          <w:sz w:val="17"/>
          <w:szCs w:val="17"/>
          <w:color w:val="auto"/>
        </w:rPr>
      </w:pPr>
    </w:p>
    <w:p>
      <w:pPr>
        <w:ind w:left="1400" w:right="559" w:hanging="424"/>
        <w:spacing w:after="0" w:line="279" w:lineRule="auto"/>
        <w:tabs>
          <w:tab w:leader="none" w:pos="1391" w:val="left"/>
        </w:tabs>
        <w:numPr>
          <w:ilvl w:val="0"/>
          <w:numId w:val="2"/>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103" w:lineRule="exact"/>
        <w:rPr>
          <w:rFonts w:ascii="Arial" w:cs="Arial" w:eastAsia="Arial" w:hAnsi="Arial"/>
          <w:sz w:val="17"/>
          <w:szCs w:val="17"/>
          <w:color w:val="auto"/>
        </w:rPr>
      </w:pPr>
    </w:p>
    <w:p>
      <w:pPr>
        <w:ind w:left="1400" w:right="639" w:hanging="424"/>
        <w:spacing w:after="0" w:line="277"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“sponsor” are to Sustainable Opportunities Holdings LLC, a Delaware limited liability company; and</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“company” or “our company” are to Sustainable Opportunities Acquisition Corp., a Cayman Islands exempted company.</w:t>
      </w:r>
    </w:p>
    <w:p>
      <w:pPr>
        <w:spacing w:after="0" w:line="103"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94" w:lineRule="exact"/>
        <w:rPr>
          <w:sz w:val="20"/>
          <w:szCs w:val="20"/>
          <w:color w:val="auto"/>
        </w:rPr>
      </w:pPr>
    </w:p>
    <w:p>
      <w:pPr>
        <w:ind w:left="540" w:right="739" w:firstLine="432"/>
        <w:spacing w:after="0" w:line="277" w:lineRule="auto"/>
        <w:rPr>
          <w:sz w:val="20"/>
          <w:szCs w:val="20"/>
          <w:color w:val="auto"/>
        </w:rPr>
      </w:pPr>
      <w:r>
        <w:rPr>
          <w:rFonts w:ascii="Arial" w:cs="Arial" w:eastAsia="Arial" w:hAnsi="Arial"/>
          <w:sz w:val="18"/>
          <w:szCs w:val="18"/>
          <w:color w:val="auto"/>
        </w:rPr>
        <w:t>Unless we tell you otherwise, the information in this prospectus assumes that the underwriter will not exercise its over-allotment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We believe that there are significant, attractive investment opportunities that exist within industries that benefit from strong Environmental, Social and Governance (“ESG”) profiles. While investing in ESG covers a broad range</w:t>
      </w:r>
    </w:p>
    <w:p>
      <w:pPr>
        <w:sectPr>
          <w:pgSz w:w="11900" w:h="16838" w:orient="portrait"/>
          <w:cols w:equalWidth="0" w:num="1">
            <w:col w:w="9019"/>
          </w:cols>
          <w:pgMar w:left="1440" w:top="540"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 w:name="page4"/>
    <w:bookmarkEnd w:id="3"/>
    <w:p>
      <w:pPr>
        <w:ind w:left="540" w:right="55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11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7310" cy="8711565"/>
                    </a:xfrm>
                    <a:prstGeom prst="rect">
                      <a:avLst/>
                    </a:prstGeom>
                    <a:noFill/>
                  </pic:spPr>
                </pic:pic>
              </a:graphicData>
            </a:graphic>
          </wp:anchor>
        </w:drawing>
        <w:t>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poised to undergo this “brown-to-green” transition in our target universe. Companies in our target universe tend to have stable growth rates and would greatly benefit from access to public market capital.</w:t>
      </w:r>
    </w:p>
    <w:p>
      <w:pPr>
        <w:spacing w:after="0" w:line="100" w:lineRule="exact"/>
        <w:rPr>
          <w:sz w:val="20"/>
          <w:szCs w:val="20"/>
          <w:color w:val="auto"/>
        </w:rPr>
      </w:pPr>
    </w:p>
    <w:p>
      <w:pPr>
        <w:ind w:left="540" w:right="599" w:firstLine="432"/>
        <w:spacing w:after="0" w:line="287" w:lineRule="auto"/>
        <w:rPr>
          <w:sz w:val="20"/>
          <w:szCs w:val="20"/>
          <w:color w:val="auto"/>
        </w:rPr>
      </w:pPr>
      <w:r>
        <w:rPr>
          <w:rFonts w:ascii="Arial" w:cs="Arial" w:eastAsia="Arial" w:hAnsi="Arial"/>
          <w:sz w:val="16"/>
          <w:szCs w:val="16"/>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540" w:right="659" w:firstLine="432"/>
        <w:spacing w:after="0" w:line="283"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w:t>
      </w:r>
    </w:p>
    <w:p>
      <w:pPr>
        <w:spacing w:after="0" w:line="5" w:lineRule="exact"/>
        <w:rPr>
          <w:sz w:val="20"/>
          <w:szCs w:val="20"/>
          <w:color w:val="auto"/>
        </w:rPr>
      </w:pPr>
    </w:p>
    <w:p>
      <w:pPr>
        <w:ind w:left="540" w:right="559" w:firstLine="4"/>
        <w:spacing w:after="0" w:line="288" w:lineRule="auto"/>
        <w:tabs>
          <w:tab w:leader="none" w:pos="72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87" w:lineRule="exact"/>
        <w:rPr>
          <w:sz w:val="20"/>
          <w:szCs w:val="20"/>
          <w:color w:val="auto"/>
        </w:rPr>
      </w:pPr>
    </w:p>
    <w:p>
      <w:pPr>
        <w:ind w:left="540" w:right="55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ectPr>
          <w:pgSz w:w="11900" w:h="16838" w:orient="portrait"/>
          <w:cols w:equalWidth="0" w:num="1">
            <w:col w:w="9019"/>
          </w:cols>
          <w:pgMar w:left="1440" w:top="46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4" w:name="page5"/>
    <w:bookmarkEnd w:id="4"/>
    <w:p>
      <w:pPr>
        <w:ind w:left="540" w:right="559" w:firstLine="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9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891905"/>
                    </a:xfrm>
                    <a:prstGeom prst="rect">
                      <a:avLst/>
                    </a:prstGeom>
                    <a:noFill/>
                  </pic:spPr>
                </pic:pic>
              </a:graphicData>
            </a:graphic>
          </wp:anchor>
        </w:drawing>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540" w:right="559" w:firstLine="432"/>
        <w:spacing w:after="0" w:line="287" w:lineRule="auto"/>
        <w:rPr>
          <w:sz w:val="20"/>
          <w:szCs w:val="20"/>
          <w:color w:val="auto"/>
        </w:rPr>
      </w:pPr>
      <w:r>
        <w:rPr>
          <w:rFonts w:ascii="Arial" w:cs="Arial" w:eastAsia="Arial" w:hAnsi="Arial"/>
          <w:sz w:val="16"/>
          <w:szCs w:val="16"/>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00"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90" w:lineRule="exact"/>
        <w:rPr>
          <w:sz w:val="20"/>
          <w:szCs w:val="20"/>
          <w:color w:val="auto"/>
        </w:rPr>
      </w:pPr>
    </w:p>
    <w:p>
      <w:pPr>
        <w:ind w:left="540" w:right="57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13" w:lineRule="exact"/>
        <w:rPr>
          <w:sz w:val="20"/>
          <w:szCs w:val="20"/>
          <w:color w:val="auto"/>
        </w:rPr>
      </w:pPr>
    </w:p>
    <w:p>
      <w:pPr>
        <w:ind w:left="540" w:right="67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540" w:right="719" w:firstLine="432"/>
        <w:spacing w:after="0" w:line="259" w:lineRule="auto"/>
        <w:rPr>
          <w:sz w:val="20"/>
          <w:szCs w:val="20"/>
          <w:color w:val="auto"/>
        </w:rPr>
      </w:pPr>
      <w:r>
        <w:rPr>
          <w:rFonts w:ascii="Arial" w:cs="Arial" w:eastAsia="Arial" w:hAnsi="Arial"/>
          <w:sz w:val="18"/>
          <w:szCs w:val="18"/>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5" w:name="page6"/>
    <w:bookmarkEnd w:id="5"/>
    <w:p>
      <w:pPr>
        <w:ind w:left="540" w:right="61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54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754745"/>
                    </a:xfrm>
                    <a:prstGeom prst="rect">
                      <a:avLst/>
                    </a:prstGeom>
                    <a:noFill/>
                  </pic:spPr>
                </pic:pic>
              </a:graphicData>
            </a:graphic>
          </wp:anchor>
        </w:drawing>
        <w:t>cornerstones to key investment decisions. NPG has offset its carbon footprint to net zero, achieving CarbonNeutral</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NPG is strategically focused on sponsoring and supporting blank check companies either as a direct sponsor or under its portfolio companies. We believe that we will benefit from NPG’s prior experience.</w:t>
      </w:r>
    </w:p>
    <w:p>
      <w:pPr>
        <w:spacing w:after="0" w:line="113"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68" w:lineRule="exact"/>
        <w:rPr>
          <w:sz w:val="20"/>
          <w:szCs w:val="20"/>
          <w:color w:val="auto"/>
        </w:rPr>
      </w:pPr>
    </w:p>
    <w:p>
      <w:pPr>
        <w:ind w:left="1400" w:right="57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400" w:right="57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44"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103" w:lineRule="exact"/>
        <w:rPr>
          <w:sz w:val="20"/>
          <w:szCs w:val="20"/>
          <w:color w:val="auto"/>
        </w:rPr>
      </w:pPr>
    </w:p>
    <w:p>
      <w:pPr>
        <w:ind w:left="540" w:right="639" w:firstLine="432"/>
        <w:spacing w:after="0" w:line="287" w:lineRule="auto"/>
        <w:rPr>
          <w:sz w:val="20"/>
          <w:szCs w:val="20"/>
          <w:color w:val="auto"/>
        </w:rPr>
      </w:pPr>
      <w:r>
        <w:rPr>
          <w:rFonts w:ascii="Arial" w:cs="Arial" w:eastAsia="Arial" w:hAnsi="Arial"/>
          <w:sz w:val="16"/>
          <w:szCs w:val="16"/>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400" w:right="10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89" w:lineRule="exact"/>
        <w:rPr>
          <w:rFonts w:ascii="Arial" w:cs="Arial" w:eastAsia="Arial" w:hAnsi="Arial"/>
          <w:sz w:val="18"/>
          <w:szCs w:val="18"/>
          <w:color w:val="auto"/>
        </w:rPr>
      </w:pPr>
    </w:p>
    <w:p>
      <w:pPr>
        <w:jc w:val="both"/>
        <w:ind w:left="1400" w:right="959" w:hanging="424"/>
        <w:spacing w:after="0" w:line="263"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ectPr>
          <w:pgSz w:w="11900" w:h="16838" w:orient="portrait"/>
          <w:cols w:equalWidth="0" w:num="1">
            <w:col w:w="9019"/>
          </w:cols>
          <w:pgMar w:left="1440" w:top="463" w:right="1440"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6" w:name="page7"/>
    <w:bookmarkEnd w:id="6"/>
    <w:p>
      <w:pPr>
        <w:ind w:left="1400" w:hanging="424"/>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83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83015"/>
                    </a:xfrm>
                    <a:prstGeom prst="rect">
                      <a:avLst/>
                    </a:prstGeom>
                    <a:noFill/>
                  </pic:spPr>
                </pic:pic>
              </a:graphicData>
            </a:graphic>
          </wp:anchor>
        </w:drawing>
        <w:t>Fostering relationships with sellers, capital providers and target management teams; and</w:t>
      </w:r>
    </w:p>
    <w:p>
      <w:pPr>
        <w:spacing w:after="0" w:line="169" w:lineRule="exact"/>
        <w:rPr>
          <w:rFonts w:ascii="Arial" w:cs="Arial" w:eastAsia="Arial" w:hAnsi="Arial"/>
          <w:sz w:val="17"/>
          <w:szCs w:val="17"/>
          <w:color w:val="auto"/>
        </w:rPr>
      </w:pPr>
    </w:p>
    <w:p>
      <w:pPr>
        <w:ind w:left="1400" w:right="12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and business plans under various economic and financial market conditions.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540" w:right="5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89" w:lineRule="exact"/>
        <w:rPr>
          <w:sz w:val="20"/>
          <w:szCs w:val="20"/>
          <w:color w:val="auto"/>
        </w:rPr>
      </w:pPr>
    </w:p>
    <w:p>
      <w:pPr>
        <w:ind w:left="1400" w:right="679" w:hanging="424"/>
        <w:spacing w:after="0" w:line="273"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83" w:lineRule="exact"/>
        <w:rPr>
          <w:rFonts w:ascii="Arial" w:cs="Arial" w:eastAsia="Arial" w:hAnsi="Arial"/>
          <w:sz w:val="17"/>
          <w:szCs w:val="17"/>
          <w:color w:val="auto"/>
        </w:rPr>
      </w:pPr>
    </w:p>
    <w:p>
      <w:pPr>
        <w:ind w:left="1400" w:right="899" w:hanging="424"/>
        <w:spacing w:after="0" w:line="25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06" w:lineRule="exact"/>
        <w:rPr>
          <w:rFonts w:ascii="Arial" w:cs="Arial" w:eastAsia="Arial" w:hAnsi="Arial"/>
          <w:sz w:val="18"/>
          <w:szCs w:val="18"/>
          <w:color w:val="auto"/>
        </w:rPr>
      </w:pPr>
    </w:p>
    <w:p>
      <w:pPr>
        <w:ind w:left="1400" w:right="599" w:hanging="424"/>
        <w:spacing w:after="0" w:line="275"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Sourcing Channels and Leading Industry Relationships. </w:t>
      </w:r>
      <w:r>
        <w:rPr>
          <w:rFonts w:ascii="Arial" w:cs="Arial" w:eastAsia="Arial" w:hAnsi="Arial"/>
          <w:sz w:val="17"/>
          <w:szCs w:val="17"/>
          <w:color w:val="auto"/>
        </w:rPr>
        <w:t>We believe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81" w:lineRule="exact"/>
        <w:rPr>
          <w:rFonts w:ascii="Arial" w:cs="Arial" w:eastAsia="Arial" w:hAnsi="Arial"/>
          <w:sz w:val="17"/>
          <w:szCs w:val="17"/>
          <w:color w:val="auto"/>
        </w:rPr>
      </w:pPr>
    </w:p>
    <w:p>
      <w:pPr>
        <w:ind w:left="1400" w:right="839" w:hanging="424"/>
        <w:spacing w:after="0" w:line="311"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 and sponsor’s track record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identifying and sourcing transactions positions us well to evaluate potential investment targets and select one that will be well received by the public markets and our shareholders.</w:t>
      </w:r>
    </w:p>
    <w:p>
      <w:pPr>
        <w:spacing w:after="0" w:line="54" w:lineRule="exact"/>
        <w:rPr>
          <w:rFonts w:ascii="Arial" w:cs="Arial" w:eastAsia="Arial" w:hAnsi="Arial"/>
          <w:sz w:val="16"/>
          <w:szCs w:val="16"/>
          <w:color w:val="auto"/>
        </w:rPr>
      </w:pPr>
    </w:p>
    <w:p>
      <w:pPr>
        <w:ind w:left="1400" w:right="699" w:hanging="424"/>
        <w:spacing w:after="0" w:line="271"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Execution and Structuring Capability. </w:t>
      </w:r>
      <w:r>
        <w:rPr>
          <w:rFonts w:ascii="Arial" w:cs="Arial" w:eastAsia="Arial" w:hAnsi="Arial"/>
          <w:sz w:val="17"/>
          <w:szCs w:val="17"/>
          <w:color w:val="auto"/>
        </w:rPr>
        <w:t>We believe that our management team’s and sponsor’s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63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93" w:lineRule="exact"/>
        <w:rPr>
          <w:sz w:val="20"/>
          <w:szCs w:val="20"/>
          <w:color w:val="auto"/>
        </w:rPr>
      </w:pPr>
    </w:p>
    <w:p>
      <w:pPr>
        <w:ind w:left="1400" w:right="759" w:hanging="424"/>
        <w:spacing w:after="0" w:line="301"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Environmentally Sustainable Business Practices. </w:t>
      </w:r>
      <w:r>
        <w:rPr>
          <w:rFonts w:ascii="Arial" w:cs="Arial" w:eastAsia="Arial" w:hAnsi="Arial"/>
          <w:sz w:val="16"/>
          <w:szCs w:val="16"/>
          <w:color w:val="auto"/>
        </w:rPr>
        <w:t>We will seek to acquire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76" w:lineRule="exact"/>
        <w:rPr>
          <w:rFonts w:ascii="Arial" w:cs="Arial" w:eastAsia="Arial" w:hAnsi="Arial"/>
          <w:sz w:val="16"/>
          <w:szCs w:val="16"/>
          <w:color w:val="auto"/>
        </w:rPr>
      </w:pPr>
    </w:p>
    <w:p>
      <w:pPr>
        <w:ind w:left="1400" w:right="63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89" w:lineRule="exact"/>
        <w:rPr>
          <w:rFonts w:ascii="Arial" w:cs="Arial" w:eastAsia="Arial" w:hAnsi="Arial"/>
          <w:sz w:val="18"/>
          <w:szCs w:val="18"/>
          <w:color w:val="auto"/>
        </w:rPr>
      </w:pPr>
    </w:p>
    <w:p>
      <w:pPr>
        <w:ind w:left="1400" w:right="119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stable cash flows and operating leverage and may benefit from optimizing or delevering the capital structure.</w:t>
      </w:r>
    </w:p>
    <w:p>
      <w:pPr>
        <w:spacing w:after="0" w:line="89" w:lineRule="exact"/>
        <w:rPr>
          <w:rFonts w:ascii="Arial" w:cs="Arial" w:eastAsia="Arial" w:hAnsi="Arial"/>
          <w:sz w:val="18"/>
          <w:szCs w:val="18"/>
          <w:color w:val="auto"/>
        </w:rPr>
      </w:pPr>
    </w:p>
    <w:p>
      <w:pPr>
        <w:jc w:val="both"/>
        <w:ind w:left="1400" w:right="719" w:hanging="424"/>
        <w:spacing w:after="0" w:line="263" w:lineRule="auto"/>
        <w:tabs>
          <w:tab w:leader="none" w:pos="1391"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ectPr>
          <w:pgSz w:w="11900" w:h="16838" w:orient="portrait"/>
          <w:cols w:equalWidth="0" w:num="1">
            <w:col w:w="9019"/>
          </w:cols>
          <w:pgMar w:left="1440" w:top="463"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ind w:left="1400" w:right="579" w:hanging="424"/>
        <w:spacing w:after="0" w:line="263" w:lineRule="auto"/>
        <w:tabs>
          <w:tab w:leader="none" w:pos="1391"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23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823325"/>
                    </a:xfrm>
                    <a:prstGeom prst="rect">
                      <a:avLst/>
                    </a:prstGeom>
                    <a:noFill/>
                  </pic:spPr>
                </pic:pic>
              </a:graphicData>
            </a:graphic>
          </wp:anchor>
        </w:drawing>
        <w:t xml:space="preserve">Is Sourced Through our Proprietary Channels. </w:t>
      </w:r>
      <w:r>
        <w:rPr>
          <w:rFonts w:ascii="Arial" w:cs="Arial" w:eastAsia="Arial" w:hAnsi="Arial"/>
          <w:sz w:val="18"/>
          <w:szCs w:val="18"/>
          <w:color w:val="auto"/>
        </w:rPr>
        <w:t>We will aim to leverage our extensive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source our business combination and do not expect to rely on broadly marketed processes to find a business combination target.</w:t>
      </w:r>
    </w:p>
    <w:p>
      <w:pPr>
        <w:spacing w:after="0" w:line="116" w:lineRule="exact"/>
        <w:rPr>
          <w:rFonts w:ascii="Arial" w:cs="Arial" w:eastAsia="Arial" w:hAnsi="Arial"/>
          <w:sz w:val="18"/>
          <w:szCs w:val="18"/>
          <w:b w:val="1"/>
          <w:bCs w:val="1"/>
          <w:i w:val="1"/>
          <w:iCs w:val="1"/>
          <w:color w:val="auto"/>
        </w:rPr>
      </w:pPr>
    </w:p>
    <w:p>
      <w:pPr>
        <w:ind w:left="1400" w:right="699" w:hanging="424"/>
        <w:spacing w:after="0" w:line="296"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80" w:lineRule="exact"/>
        <w:rPr>
          <w:rFonts w:ascii="Arial" w:cs="Arial" w:eastAsia="Arial" w:hAnsi="Arial"/>
          <w:sz w:val="16"/>
          <w:szCs w:val="16"/>
          <w:color w:val="auto"/>
        </w:rPr>
      </w:pPr>
    </w:p>
    <w:p>
      <w:pPr>
        <w:ind w:left="1400" w:right="73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Process</w:t>
      </w:r>
    </w:p>
    <w:p>
      <w:pPr>
        <w:spacing w:after="0" w:line="135" w:lineRule="exact"/>
        <w:rPr>
          <w:sz w:val="20"/>
          <w:szCs w:val="20"/>
          <w:color w:val="auto"/>
        </w:rPr>
      </w:pPr>
    </w:p>
    <w:p>
      <w:pPr>
        <w:ind w:left="540" w:right="59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76" w:lineRule="exact"/>
        <w:rPr>
          <w:sz w:val="20"/>
          <w:szCs w:val="20"/>
          <w:color w:val="auto"/>
        </w:rPr>
      </w:pPr>
    </w:p>
    <w:p>
      <w:pPr>
        <w:ind w:left="540" w:right="59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an independent investment banking firm or another independent entity that commonly renders valuation opinions.</w:t>
      </w:r>
    </w:p>
    <w:p>
      <w:pPr>
        <w:spacing w:after="0" w:line="98"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Business Combination</w:t>
      </w:r>
    </w:p>
    <w:p>
      <w:pPr>
        <w:spacing w:after="0" w:line="135"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another independent entity that commonly renders valuation opinions.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98"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w:t>
      </w:r>
    </w:p>
    <w:p>
      <w:pPr>
        <w:sectPr>
          <w:pgSz w:w="11900" w:h="16838" w:orient="portrait"/>
          <w:cols w:equalWidth="0" w:num="1">
            <w:col w:w="9019"/>
          </w:cols>
          <w:pgMar w:left="1440" w:top="449"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8" w:name="page9"/>
    <w:bookmarkEnd w:id="8"/>
    <w:p>
      <w:pPr>
        <w:ind w:left="5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23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823325"/>
                    </a:xfrm>
                    <a:prstGeom prst="rect">
                      <a:avLst/>
                    </a:prstGeom>
                    <a:noFill/>
                  </pic:spPr>
                </pic:pic>
              </a:graphicData>
            </a:graphic>
          </wp:anchor>
        </w:drawing>
        <w:t>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320"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540" w:right="67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another independent entity that commonly renders valuation opinions that such initial business combination or transaction is fair to our company from a financial point of view.</w:t>
      </w:r>
    </w:p>
    <w:p>
      <w:pPr>
        <w:spacing w:after="0" w:line="96"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96" w:lineRule="exact"/>
        <w:rPr>
          <w:sz w:val="20"/>
          <w:szCs w:val="20"/>
          <w:color w:val="auto"/>
        </w:rPr>
      </w:pPr>
    </w:p>
    <w:p>
      <w:pPr>
        <w:ind w:left="540" w:right="579" w:firstLine="432"/>
        <w:spacing w:after="0" w:line="270"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w:t>
      </w:r>
    </w:p>
    <w:p>
      <w:pPr>
        <w:sectPr>
          <w:pgSz w:w="11900" w:h="16838" w:orient="portrait"/>
          <w:cols w:equalWidth="0" w:num="1">
            <w:col w:w="9019"/>
          </w:cols>
          <w:pgMar w:left="1440" w:top="449"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9" w:name="page10"/>
    <w:bookmarkEnd w:id="9"/>
    <w:p>
      <w:pPr>
        <w:ind w:left="540" w:right="55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54" w:lineRule="exact"/>
        <w:rPr>
          <w:sz w:val="20"/>
          <w:szCs w:val="20"/>
          <w:color w:val="auto"/>
        </w:rPr>
      </w:pPr>
    </w:p>
    <w:p>
      <w:pPr>
        <w:ind w:left="540" w:right="699" w:firstLine="432"/>
        <w:spacing w:after="0" w:line="253" w:lineRule="auto"/>
        <w:rPr>
          <w:sz w:val="20"/>
          <w:szCs w:val="20"/>
          <w:color w:val="auto"/>
        </w:rPr>
      </w:pPr>
      <w:r>
        <w:rPr>
          <w:rFonts w:ascii="Arial" w:cs="Arial" w:eastAsia="Arial" w:hAnsi="Arial"/>
          <w:sz w:val="18"/>
          <w:szCs w:val="18"/>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executive offices are located at 1601 Bryan Street, Suite 4141, Dallas, Texas 75201.</w:t>
      </w:r>
    </w:p>
    <w:p>
      <w:pPr>
        <w:spacing w:after="0" w:line="131"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73" w:lineRule="exact"/>
        <w:rPr>
          <w:sz w:val="20"/>
          <w:szCs w:val="20"/>
          <w:color w:val="auto"/>
        </w:rPr>
      </w:pPr>
    </w:p>
    <w:p>
      <w:pPr>
        <w:ind w:left="540" w:right="579" w:firstLine="432"/>
        <w:spacing w:after="0" w:line="28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7"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7"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00"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ectPr>
          <w:pgSz w:w="11900" w:h="16838" w:orient="portrait"/>
          <w:cols w:equalWidth="0" w:num="1">
            <w:col w:w="9019"/>
          </w:cols>
          <w:pgMar w:left="1440" w:top="449"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77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77275"/>
                    </a:xfrm>
                    <a:prstGeom prst="rect">
                      <a:avLst/>
                    </a:prstGeom>
                    <a:noFill/>
                  </pic:spPr>
                </pic:pic>
              </a:graphicData>
            </a:graphic>
          </wp:anchor>
        </w:drawing>
        <w:t>The Offering</w:t>
      </w:r>
    </w:p>
    <w:p>
      <w:pPr>
        <w:spacing w:after="0" w:line="14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9019"/>
          </w:cols>
          <w:pgMar w:left="1440" w:top="540" w:right="1440" w:bottom="1440" w:gutter="0" w:footer="0" w:header="0"/>
        </w:sectPr>
      </w:pP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right="40" w:hanging="179"/>
        <w:spacing w:after="0" w:line="263"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30,000,000 units (or 34,500,000 units if the underwriter’s over-allotment option is exercised in full), at $10.00 per unit, each unit consisting of:</w:t>
      </w:r>
    </w:p>
    <w:p>
      <w:pPr>
        <w:spacing w:after="0" w:line="103" w:lineRule="exact"/>
        <w:rPr>
          <w:sz w:val="20"/>
          <w:szCs w:val="20"/>
          <w:color w:val="auto"/>
        </w:rPr>
      </w:pPr>
    </w:p>
    <w:p>
      <w:pPr>
        <w:ind w:left="420" w:hanging="194"/>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57" w:lineRule="exact"/>
        <w:rPr>
          <w:rFonts w:ascii="Arial" w:cs="Arial" w:eastAsia="Arial" w:hAnsi="Arial"/>
          <w:sz w:val="18"/>
          <w:szCs w:val="18"/>
          <w:color w:val="auto"/>
        </w:rPr>
      </w:pPr>
    </w:p>
    <w:p>
      <w:pPr>
        <w:ind w:right="2259" w:firstLine="226"/>
        <w:spacing w:after="0" w:line="438" w:lineRule="auto"/>
        <w:tabs>
          <w:tab w:leader="none" w:pos="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one-half of one redeemable warrant. Units: “SOAC.U”</w:t>
      </w:r>
    </w:p>
    <w:p>
      <w:pPr>
        <w:spacing w:after="0"/>
        <w:rPr>
          <w:rFonts w:ascii="Arial" w:cs="Arial" w:eastAsia="Arial" w:hAnsi="Arial"/>
          <w:sz w:val="18"/>
          <w:szCs w:val="18"/>
          <w:color w:val="auto"/>
        </w:rPr>
      </w:pPr>
      <w:r>
        <w:rPr>
          <w:rFonts w:ascii="Arial" w:cs="Arial" w:eastAsia="Arial" w:hAnsi="Arial"/>
          <w:sz w:val="18"/>
          <w:szCs w:val="18"/>
          <w:color w:val="auto"/>
        </w:rPr>
        <w:t>Class A ordinary shares: “SOAC”</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“SOAC 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79"/>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04"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3460" w:space="260"/>
            <w:col w:w="5299"/>
          </w:cols>
          <w:pgMar w:left="1440" w:top="540" w:right="1440"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tbl>
      <w:tblPr>
        <w:tblLayout w:type="fixed"/>
        <w:tblInd w:w="5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108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5"/>
              </w:rPr>
              <w:t>Number outstanding before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453"/>
        </w:trPr>
        <w:tc>
          <w:tcPr>
            <w:tcW w:w="30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w w:val="86"/>
              </w:rPr>
              <w:t>30,000,000</w:t>
            </w:r>
            <w:r>
              <w:rPr>
                <w:rFonts w:ascii="Arial" w:cs="Arial" w:eastAsia="Arial" w:hAnsi="Arial"/>
                <w:sz w:val="20"/>
                <w:szCs w:val="20"/>
                <w:color w:val="auto"/>
                <w:w w:val="86"/>
                <w:vertAlign w:val="superscript"/>
              </w:rPr>
              <w:t>(1)</w:t>
            </w:r>
          </w:p>
        </w:tc>
      </w:tr>
      <w:tr>
        <w:trPr>
          <w:trHeight w:val="357"/>
        </w:trPr>
        <w:tc>
          <w:tcPr>
            <w:tcW w:w="30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499"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200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6200140"/>
                    </a:xfrm>
                    <a:prstGeom prst="rect">
                      <a:avLst/>
                    </a:prstGeom>
                    <a:noFill/>
                  </pic:spPr>
                </pic:pic>
              </a:graphicData>
            </a:graphic>
          </wp:anchor>
        </w:drawing>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Number outstanding before this offering</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after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720" w:right="120" w:hanging="179"/>
        <w:spacing w:after="0" w:line="286" w:lineRule="auto"/>
        <w:rPr>
          <w:sz w:val="20"/>
          <w:szCs w:val="20"/>
          <w:color w:val="auto"/>
        </w:rPr>
      </w:pPr>
      <w:r>
        <w:rPr>
          <w:rFonts w:ascii="Arial" w:cs="Arial" w:eastAsia="Arial" w:hAnsi="Arial"/>
          <w:sz w:val="17"/>
          <w:szCs w:val="17"/>
          <w:color w:val="auto"/>
        </w:rPr>
        <w:t>Number of private placement warrants to be sold in a private placement simultaneously with this offering</w:t>
      </w:r>
    </w:p>
    <w:p>
      <w:pPr>
        <w:spacing w:after="0" w:line="138"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Number of warrants to be outstanding after this offering and the sale of private placement warrants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8,625,000</w:t>
      </w:r>
      <w:r>
        <w:rPr>
          <w:rFonts w:ascii="Arial" w:cs="Arial" w:eastAsia="Arial" w:hAnsi="Arial"/>
          <w:sz w:val="20"/>
          <w:szCs w:val="20"/>
          <w:color w:val="auto"/>
          <w:vertAlign w:val="superscript"/>
        </w:rPr>
        <w:t>(2)(3)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37,500,000</w:t>
      </w:r>
      <w:r>
        <w:rPr>
          <w:rFonts w:ascii="Arial" w:cs="Arial" w:eastAsia="Arial" w:hAnsi="Arial"/>
          <w:sz w:val="20"/>
          <w:szCs w:val="20"/>
          <w:color w:val="auto"/>
          <w:vertAlign w:val="superscript"/>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9,500,000</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24,500,000</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839"/>
        <w:spacing w:after="0" w:line="311" w:lineRule="auto"/>
        <w:rPr>
          <w:sz w:val="20"/>
          <w:szCs w:val="20"/>
          <w:color w:val="auto"/>
        </w:rPr>
      </w:pPr>
      <w:r>
        <w:rPr>
          <w:rFonts w:ascii="Arial" w:cs="Arial" w:eastAsia="Arial" w:hAnsi="Arial"/>
          <w:sz w:val="16"/>
          <w:szCs w:val="16"/>
          <w:color w:val="auto"/>
        </w:rPr>
        <w:t>Each whole warrant sold in this offering is exercisable to purchase one Class A ordinary share, subject to adjustment as described herein. Only whole warrants are exercisable.</w:t>
      </w:r>
    </w:p>
    <w:p>
      <w:pPr>
        <w:spacing w:after="0" w:line="68" w:lineRule="exact"/>
        <w:rPr>
          <w:sz w:val="20"/>
          <w:szCs w:val="20"/>
          <w:color w:val="auto"/>
        </w:rPr>
      </w:pPr>
    </w:p>
    <w:p>
      <w:pPr>
        <w:ind w:right="619"/>
        <w:spacing w:after="0" w:line="289" w:lineRule="auto"/>
        <w:rPr>
          <w:sz w:val="20"/>
          <w:szCs w:val="20"/>
          <w:color w:val="auto"/>
        </w:rPr>
      </w:pPr>
      <w:r>
        <w:rPr>
          <w:rFonts w:ascii="Arial" w:cs="Arial" w:eastAsia="Arial" w:hAnsi="Arial"/>
          <w:sz w:val="16"/>
          <w:szCs w:val="16"/>
          <w:color w:val="auto"/>
        </w:rPr>
        <w:t>We structured each unit to contain one-half of one warrant, with each whole warrant exercisable for one Class A ordinary share, as compared to units issued by some other similar blank check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255" w:lineRule="exact"/>
        <w:rPr>
          <w:sz w:val="20"/>
          <w:szCs w:val="20"/>
          <w:color w:val="auto"/>
        </w:rPr>
      </w:pPr>
    </w:p>
    <w:p>
      <w:pPr>
        <w:sectPr>
          <w:pgSz w:w="11900" w:h="16838" w:orient="portrait"/>
          <w:cols w:equalWidth="0" w:num="2">
            <w:col w:w="3620" w:space="100"/>
            <w:col w:w="5299"/>
          </w:cols>
          <w:pgMar w:left="1440" w:top="499" w:right="1440" w:bottom="1440" w:gutter="0" w:footer="0" w:header="0"/>
          <w:type w:val="continuous"/>
        </w:sectPr>
      </w:pPr>
    </w:p>
    <w:p>
      <w:pPr>
        <w:ind w:left="960" w:hanging="416"/>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980" w:right="599" w:hanging="436"/>
        <w:spacing w:after="0" w:line="26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ind w:left="980" w:hanging="436"/>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1,125,000 founder shares that are subject to forfeiture.</w:t>
      </w:r>
    </w:p>
    <w:p>
      <w:pPr>
        <w:spacing w:after="0" w:line="18" w:lineRule="exact"/>
        <w:rPr>
          <w:rFonts w:ascii="Arial" w:cs="Arial" w:eastAsia="Arial" w:hAnsi="Arial"/>
          <w:sz w:val="16"/>
          <w:szCs w:val="16"/>
          <w:color w:val="auto"/>
        </w:rPr>
      </w:pPr>
    </w:p>
    <w:p>
      <w:pPr>
        <w:ind w:left="980" w:right="819" w:hanging="436"/>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30,000,000 public shares and 7,500,000 founder shares, assuming 1,125,000 founder shares have been forfeited.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2" w:name="page13"/>
    <w:bookmarkEnd w:id="12"/>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Exercise price</w:t>
      </w:r>
      <w:r>
        <w:rPr>
          <w:sz w:val="20"/>
          <w:szCs w:val="20"/>
          <w:color w:val="auto"/>
        </w:rPr>
        <w:tab/>
      </w:r>
      <w:r>
        <w:rPr>
          <w:rFonts w:ascii="Arial" w:cs="Arial" w:eastAsia="Arial" w:hAnsi="Arial"/>
          <w:sz w:val="15"/>
          <w:szCs w:val="15"/>
          <w:color w:val="auto"/>
        </w:rPr>
        <w:t>$11.50 per whole share, subject to adjustments as described</w:t>
      </w:r>
    </w:p>
    <w:p>
      <w:pPr>
        <w:spacing w:after="0" w:line="23" w:lineRule="exact"/>
        <w:rPr>
          <w:sz w:val="20"/>
          <w:szCs w:val="20"/>
          <w:color w:val="auto"/>
        </w:rPr>
      </w:pPr>
    </w:p>
    <w:p>
      <w:pPr>
        <w:ind w:left="3720" w:right="579"/>
        <w:spacing w:after="0" w:line="283" w:lineRule="auto"/>
        <w:rPr>
          <w:sz w:val="20"/>
          <w:szCs w:val="20"/>
          <w:color w:val="auto"/>
        </w:rPr>
      </w:pPr>
      <w:r>
        <w:rPr>
          <w:rFonts w:ascii="Arial" w:cs="Arial" w:eastAsia="Arial" w:hAnsi="Arial"/>
          <w:sz w:val="16"/>
          <w:szCs w:val="16"/>
          <w:color w:val="auto"/>
        </w:rPr>
        <w:t>herein. 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adjacent to “Redemption of warrants” will be adjusted (to the nearest cent) to be equal to 180% of the higher of the Market Value and the Newly Issued Price.</w:t>
      </w:r>
    </w:p>
    <w:p>
      <w:pPr>
        <w:spacing w:after="0" w:line="14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30 days after the completion of our initial business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twelve months from the closing of this offering;</w:t>
      </w:r>
    </w:p>
    <w:p>
      <w:pPr>
        <w:spacing w:after="0" w:line="158" w:lineRule="exact"/>
        <w:rPr>
          <w:sz w:val="20"/>
          <w:szCs w:val="20"/>
          <w:color w:val="auto"/>
        </w:rPr>
      </w:pPr>
    </w:p>
    <w:p>
      <w:pPr>
        <w:ind w:left="3720" w:right="599"/>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in each case that we have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98" w:lineRule="exact"/>
        <w:rPr>
          <w:sz w:val="20"/>
          <w:szCs w:val="20"/>
          <w:color w:val="auto"/>
        </w:rPr>
      </w:pPr>
    </w:p>
    <w:p>
      <w:pPr>
        <w:ind w:left="3720" w:right="619"/>
        <w:spacing w:after="0" w:line="287"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3" w:name="page14"/>
    <w:bookmarkEnd w:id="13"/>
    <w:tbl>
      <w:tblPr>
        <w:tblLayout w:type="fixed"/>
        <w:tblInd w:w="470" w:type="dxa"/>
        <w:tblCellMar>
          <w:top w:w="0" w:type="dxa"/>
          <w:left w:w="0" w:type="dxa"/>
          <w:bottom w:w="0" w:type="dxa"/>
          <w:right w:w="0" w:type="dxa"/>
        </w:tblCellMar>
      </w:tblPr>
      <w:tr>
        <w:trPr>
          <w:trHeight w:val="688"/>
        </w:trPr>
        <w:tc>
          <w:tcPr>
            <w:tcW w:w="254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4"/>
              </w:rPr>
              <w:t>shares issuable upon exercise of the warrants is not effective by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line="216" w:lineRule="exact"/>
              <w:rPr>
                <w:sz w:val="20"/>
                <w:szCs w:val="20"/>
                <w:color w:val="auto"/>
              </w:rPr>
            </w:pPr>
            <w:r>
              <w:rPr>
                <w:rFonts w:ascii="Arial" w:cs="Arial" w:eastAsia="Arial" w:hAnsi="Arial"/>
                <w:sz w:val="18"/>
                <w:szCs w:val="18"/>
                <w:color w:val="auto"/>
                <w:w w:val="94"/>
              </w:rPr>
              <w:t>the 60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 closing of the initial business combination,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warrant holders may, until such time as there is an effective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registration statement and during any period when we will have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failed to maintain an effective registration statement, exercise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warrants on a “cashless basis” in accordance with Section 3(a)(9)</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Securities Act or another exemption.</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The warrants will expire at 5:00 p.m., New York City time, five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years after the completion of our initial business combination 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earlier upon redemption or liquidation. On the exercise of any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warrant, the warrant exercise price will be paid directly to us and</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 placed in the trust account.</w:t>
            </w:r>
          </w:p>
        </w:tc>
      </w:tr>
      <w:tr>
        <w:trPr>
          <w:trHeight w:val="350"/>
        </w:trPr>
        <w:tc>
          <w:tcPr>
            <w:tcW w:w="25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Redemption of warrants</w:t>
            </w: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Once the warrants become exercisable, we may redeem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outstanding warrants (except as described herein with respect to</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in whole and not in part;</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at a price of $0.01 per warrant;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upon a minimum of 30 days’ prior written notice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redemption, which we refer to as the “30-day redemption</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 and</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if, and only if, the closing price of our ordinary shares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equals or exceeds $18.00 per share (as adjusted for share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subdivisions, share capitalizations, reorganizations,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recapitalizations and the like) for any 20 trading days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within a 30-trading day period ending on the third trading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redemption to the warrant holders.</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We will not redeem the warrants as described above unless an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effective registration statement under the Securities Act covering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Class A ordinary shares issuable upon exercise of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is effective and a current prospectus relating to those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Class A ordinary shares is available throughout the 30-day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redemption period, except if the warrants may be exercised on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cashless basis and such cashless exercise is exempt from</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registration under the Securities Act.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If we call the warrants for redemption as described above, our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management will have the option to require all holders that wish</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exercise warrants to do so on a “cashless basis.” In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determining whether to require all holders to exercise their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on a “cashless basis,” our management will consider,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among other factors, our cash position, the number of warrants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that are outstanding and the dilutive effect on our shareholders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issuing the maximum number of Class A ordinary shares issuable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upon the exercise of our warrants. In such event, each holder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would pay the exercise price by surrendering the warrants for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that number of Class A ordinary shares equal to the quotient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obtained by dividing (x) the product of the number of Class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ordinary shares underlying the warrants, multiplied by the excess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of the “fair market value” (defined below) over the exercise price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warrants by (y) the fair market value. The “fair market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value” shall mean the average reported closing price of the Class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 ordinary shares for the 10 trading days ending on the third</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trading day prior to the date on which the notice of redemption is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sent to the holders of warrants. Please see “Description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Securities — Warrants — Public Shareholders’ Warrants” for</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additional information.</w:t>
            </w:r>
          </w:p>
        </w:tc>
      </w:tr>
      <w:tr>
        <w:trPr>
          <w:trHeight w:val="402"/>
        </w:trPr>
        <w:tc>
          <w:tcPr>
            <w:tcW w:w="2540" w:type="dxa"/>
            <w:vAlign w:val="bottom"/>
            <w:tcBorders>
              <w:left w:val="single" w:sz="8" w:color="auto"/>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388"/>
        </w:trPr>
        <w:tc>
          <w:tcPr>
            <w:tcW w:w="25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120" w:right="1440"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2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02906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0"/>
              </w:rPr>
              <w:t>None of the private placement warrants will be redeemable by us</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so long as they are held by our sponsor or its permitted</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transferees.</w:t>
            </w:r>
          </w:p>
        </w:tc>
      </w:tr>
      <w:tr>
        <w:trPr>
          <w:trHeight w:val="364"/>
        </w:trPr>
        <w:tc>
          <w:tcPr>
            <w:tcW w:w="2140" w:type="dxa"/>
            <w:vAlign w:val="bottom"/>
          </w:tcPr>
          <w:p>
            <w:pPr>
              <w:spacing w:after="0"/>
              <w:rPr>
                <w:sz w:val="20"/>
                <w:szCs w:val="20"/>
                <w:color w:val="auto"/>
              </w:rPr>
            </w:pPr>
            <w:r>
              <w:rPr>
                <w:rFonts w:ascii="Arial" w:cs="Arial" w:eastAsia="Arial" w:hAnsi="Arial"/>
                <w:sz w:val="18"/>
                <w:szCs w:val="18"/>
                <w:color w:val="auto"/>
              </w:rPr>
              <w:t>Founder shares</w:t>
            </w:r>
          </w:p>
        </w:tc>
        <w:tc>
          <w:tcPr>
            <w:tcW w:w="5740" w:type="dxa"/>
            <w:vAlign w:val="bottom"/>
          </w:tcPr>
          <w:p>
            <w:pPr>
              <w:ind w:left="1040"/>
              <w:spacing w:after="0"/>
              <w:rPr>
                <w:sz w:val="20"/>
                <w:szCs w:val="20"/>
                <w:color w:val="auto"/>
              </w:rPr>
            </w:pPr>
            <w:r>
              <w:rPr>
                <w:rFonts w:ascii="Arial" w:cs="Arial" w:eastAsia="Arial" w:hAnsi="Arial"/>
                <w:sz w:val="18"/>
                <w:szCs w:val="18"/>
                <w:color w:val="auto"/>
              </w:rPr>
              <w:t>On December 31, 2019, the sponsor paid $25,000,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approximately $0.003 per share, to cover certain of our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costs in consideration of 8,625,000 Class B ordinary shares, par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value $0.0001. In March 2020, our sponsor transferred 30,000</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8"/>
              </w:rPr>
              <w:t>founder shares to each of our independent directors. These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90,000 shares shall not be subject to forfeiture in the event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underwriter’s over-allotment option is not exercised.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initial investment in the company of $25,000 by the sponsor,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company had no assets, tangible or intangible. The per share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price of the founder shares was determined by dividing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amount contributed to the company by the number of founder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89"/>
              </w:rPr>
              <w:t>shares issued. If we increase or decrease the size of this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we will effect a share capitalization or a share surrender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redemption or other appropriate mechanism, as applicable, with</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respect to our Class B ordinary shares immediately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consummation of this offering in such amount as to maintain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ownership of our sponsor (and its permitted transferees), on an</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as-converted basis, at 20% of our issued and outstanding</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ordinary shares upon the consummation of this offering.</w:t>
            </w:r>
          </w:p>
        </w:tc>
      </w:tr>
      <w:tr>
        <w:trPr>
          <w:trHeight w:val="337"/>
        </w:trPr>
        <w:tc>
          <w:tcPr>
            <w:tcW w:w="2140" w:type="dxa"/>
            <w:vAlign w:val="bottom"/>
          </w:tcPr>
          <w:p>
            <w:pPr>
              <w:spacing w:after="0"/>
              <w:rPr>
                <w:sz w:val="24"/>
                <w:szCs w:val="24"/>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The founder shares are identical to the Class A ordinary shares</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included in the units being sold in this offering, except that:</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w w:val="91"/>
              </w:rPr>
              <w:t>•  only holders of the founder shares have the right to vote on</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the election of directors prior to our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and holders of a majority of our founder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shares may remove a member of the board of directors for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any reason;</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the founder shares are subject to certain transfer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restrictions, as described in more detail below;</w:t>
            </w:r>
          </w:p>
        </w:tc>
      </w:tr>
      <w:tr>
        <w:trPr>
          <w:trHeight w:val="337"/>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our sponsor, our Founders and each member of our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9"/>
              </w:rPr>
              <w:t>management team have entered into an agreement with us,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pursuant to which they have agreed to (i) waive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redemption rights with respect to their founder shares,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(ii) waive their redemption rights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founder shares and public shares in connection with a</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shareholder vote to approve an amendment to our amended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and restated memorandum and articles of association that</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would affect the substance or timing of our obligation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provide holders of our Class A ordinary shares the right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have their shares redeemed in connection with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business combination or to redeem 100% of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shares if we do not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18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and (iii) waive their rights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distributions from the trust account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founder shares if we fail to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18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(although they will be entitled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distributions from the trust account with respect to any</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public shares they hold if we fail to complete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business combination within the prescribed time frame). If</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we submit our initial business combination to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shareholders for a vote, our sponsor, our Founders and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each member of our management team have agreed to vote</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their founder shares and any public shares purchased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during or after this offering in favor of our initial business</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ectPr>
          <w:pgSz w:w="11900" w:h="16838" w:orient="portrait"/>
          <w:cols w:equalWidth="0" w:num="1">
            <w:col w:w="9019"/>
          </w:cols>
          <w:pgMar w:left="1440" w:top="50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right="160" w:hanging="179"/>
        <w:spacing w:after="0" w:line="277" w:lineRule="auto"/>
        <w:rPr>
          <w:sz w:val="20"/>
          <w:szCs w:val="20"/>
          <w:color w:val="auto"/>
        </w:rPr>
      </w:pPr>
      <w:r>
        <w:rPr>
          <w:rFonts w:ascii="Arial" w:cs="Arial" w:eastAsia="Arial" w:hAnsi="Arial"/>
          <w:sz w:val="18"/>
          <w:szCs w:val="18"/>
          <w:color w:val="auto"/>
        </w:rPr>
        <w:t>Founder shares conversion and anti-dilution rights</w:t>
      </w:r>
    </w:p>
    <w:p>
      <w:pPr>
        <w:spacing w:after="0" w:line="20" w:lineRule="exact"/>
        <w:rPr>
          <w:sz w:val="20"/>
          <w:szCs w:val="20"/>
          <w:color w:val="auto"/>
        </w:rPr>
      </w:pPr>
      <w:r>
        <w:rPr>
          <w:sz w:val="20"/>
          <w:szCs w:val="20"/>
          <w:color w:val="auto"/>
        </w:rPr>
        <w:br w:type="column"/>
      </w:r>
    </w:p>
    <w:p>
      <w:pPr>
        <w:ind w:left="440" w:right="619"/>
        <w:spacing w:after="0" w:line="269" w:lineRule="auto"/>
        <w:rPr>
          <w:sz w:val="20"/>
          <w:szCs w:val="20"/>
          <w:color w:val="auto"/>
        </w:rPr>
      </w:pPr>
      <w:r>
        <w:rPr>
          <w:rFonts w:ascii="Arial" w:cs="Arial" w:eastAsia="Arial" w:hAnsi="Arial"/>
          <w:sz w:val="17"/>
          <w:szCs w:val="17"/>
          <w:color w:val="auto"/>
        </w:rPr>
        <w:t>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-1715770</wp:posOffset>
            </wp:positionV>
            <wp:extent cx="5147310" cy="9269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269095"/>
                    </a:xfrm>
                    <a:prstGeom prst="rect">
                      <a:avLst/>
                    </a:prstGeom>
                    <a:noFill/>
                  </pic:spPr>
                </pic:pic>
              </a:graphicData>
            </a:graphic>
          </wp:anchor>
        </w:drawing>
      </w:r>
    </w:p>
    <w:p>
      <w:pPr>
        <w:spacing w:after="0" w:line="84" w:lineRule="exact"/>
        <w:rPr>
          <w:sz w:val="20"/>
          <w:szCs w:val="20"/>
          <w:color w:val="auto"/>
        </w:rPr>
      </w:pPr>
    </w:p>
    <w:p>
      <w:pPr>
        <w:ind w:left="440" w:right="579" w:hanging="214"/>
        <w:spacing w:after="0" w:line="255" w:lineRule="auto"/>
        <w:tabs>
          <w:tab w:leader="none" w:pos="4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124" w:lineRule="exact"/>
        <w:rPr>
          <w:rFonts w:ascii="Arial" w:cs="Arial" w:eastAsia="Arial" w:hAnsi="Arial"/>
          <w:sz w:val="18"/>
          <w:szCs w:val="18"/>
          <w:color w:val="auto"/>
        </w:rPr>
      </w:pPr>
    </w:p>
    <w:p>
      <w:pPr>
        <w:ind w:left="420" w:hanging="19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58" w:lineRule="exact"/>
        <w:rPr>
          <w:sz w:val="20"/>
          <w:szCs w:val="20"/>
          <w:color w:val="auto"/>
        </w:rPr>
      </w:pPr>
    </w:p>
    <w:p>
      <w:pPr>
        <w:ind w:right="619"/>
        <w:spacing w:after="0" w:line="283" w:lineRule="auto"/>
        <w:rPr>
          <w:sz w:val="20"/>
          <w:szCs w:val="20"/>
          <w:color w:val="auto"/>
        </w:rPr>
      </w:pPr>
      <w:r>
        <w:rPr>
          <w:rFonts w:ascii="Arial" w:cs="Arial" w:eastAsia="Arial" w:hAnsi="Arial"/>
          <w:sz w:val="16"/>
          <w:szCs w:val="16"/>
          <w:color w:val="auto"/>
        </w:rPr>
        <w:t>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w:t>
      </w:r>
    </w:p>
    <w:p>
      <w:pPr>
        <w:spacing w:after="0" w:line="6" w:lineRule="exact"/>
        <w:rPr>
          <w:sz w:val="20"/>
          <w:szCs w:val="20"/>
          <w:color w:val="auto"/>
        </w:rPr>
      </w:pPr>
    </w:p>
    <w:p>
      <w:pPr>
        <w:ind w:right="599"/>
        <w:spacing w:after="0" w:line="253" w:lineRule="auto"/>
        <w:rPr>
          <w:sz w:val="20"/>
          <w:szCs w:val="20"/>
          <w:color w:val="auto"/>
        </w:rPr>
      </w:pPr>
      <w:r>
        <w:rPr>
          <w:rFonts w:ascii="Arial" w:cs="Arial" w:eastAsia="Arial" w:hAnsi="Arial"/>
          <w:sz w:val="18"/>
          <w:szCs w:val="18"/>
          <w:color w:val="auto"/>
        </w:rPr>
        <w:t>150 days after our initial business combination, or (y) the date on which we complete a liquidation, merger, share exchange or other similar transaction that results in all of our shareholders having the right to exchange their ordinary shares for cash, securities or other property.</w:t>
      </w:r>
    </w:p>
    <w:p>
      <w:pPr>
        <w:spacing w:after="0" w:line="33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286" w:lineRule="exact"/>
        <w:rPr>
          <w:sz w:val="20"/>
          <w:szCs w:val="20"/>
          <w:color w:val="auto"/>
        </w:rPr>
      </w:pPr>
    </w:p>
    <w:p>
      <w:pPr>
        <w:jc w:val="both"/>
        <w:ind w:right="699"/>
        <w:spacing w:after="0" w:line="296" w:lineRule="auto"/>
        <w:rPr>
          <w:sz w:val="20"/>
          <w:szCs w:val="20"/>
          <w:color w:val="auto"/>
        </w:rPr>
      </w:pPr>
      <w:r>
        <w:rPr>
          <w:rFonts w:ascii="Arial" w:cs="Arial" w:eastAsia="Arial" w:hAnsi="Arial"/>
          <w:sz w:val="16"/>
          <w:szCs w:val="16"/>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200" w:lineRule="exact"/>
        <w:rPr>
          <w:sz w:val="20"/>
          <w:szCs w:val="20"/>
          <w:color w:val="auto"/>
        </w:rPr>
      </w:pPr>
    </w:p>
    <w:p>
      <w:pPr>
        <w:sectPr>
          <w:pgSz w:w="11900" w:h="16838" w:orient="portrait"/>
          <w:cols w:equalWidth="0" w:num="2">
            <w:col w:w="3320" w:space="400"/>
            <w:col w:w="5299"/>
          </w:cols>
          <w:pgMar w:left="1440" w:top="652"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16" w:name="page17"/>
    <w:bookmarkEnd w:id="16"/>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37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137525"/>
                    </a:xfrm>
                    <a:prstGeom prst="rect">
                      <a:avLst/>
                    </a:prstGeom>
                    <a:noFill/>
                  </pic:spPr>
                </pic:pic>
              </a:graphicData>
            </a:graphic>
          </wp:anchor>
        </w:drawing>
        <w:t>Election of directors; voting rights</w:t>
      </w:r>
      <w:r>
        <w:rPr>
          <w:sz w:val="20"/>
          <w:szCs w:val="20"/>
          <w:color w:val="auto"/>
        </w:rPr>
        <w:tab/>
      </w:r>
      <w:r>
        <w:rPr>
          <w:rFonts w:ascii="Arial" w:cs="Arial" w:eastAsia="Arial" w:hAnsi="Arial"/>
          <w:sz w:val="16"/>
          <w:szCs w:val="16"/>
          <w:color w:val="auto"/>
        </w:rPr>
        <w:t>Prior to our initial business combination, only holders of our</w:t>
      </w:r>
    </w:p>
    <w:p>
      <w:pPr>
        <w:spacing w:after="0" w:line="23" w:lineRule="exact"/>
        <w:rPr>
          <w:sz w:val="20"/>
          <w:szCs w:val="20"/>
          <w:color w:val="auto"/>
        </w:rPr>
      </w:pPr>
    </w:p>
    <w:p>
      <w:pPr>
        <w:ind w:left="3720" w:right="599"/>
        <w:spacing w:after="0" w:line="284" w:lineRule="auto"/>
        <w:rPr>
          <w:sz w:val="20"/>
          <w:szCs w:val="20"/>
          <w:color w:val="auto"/>
        </w:rPr>
      </w:pPr>
      <w:r>
        <w:rPr>
          <w:rFonts w:ascii="Arial" w:cs="Arial" w:eastAsia="Arial" w:hAnsi="Arial"/>
          <w:sz w:val="16"/>
          <w:szCs w:val="16"/>
          <w:color w:val="auto"/>
        </w:rPr>
        <w:t>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47"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6"/>
          <w:szCs w:val="16"/>
          <w:color w:val="auto"/>
        </w:rPr>
        <w:t>Our sponsor has committed, pursuant to a written agreement, to</w:t>
      </w:r>
    </w:p>
    <w:p>
      <w:pPr>
        <w:spacing w:after="0" w:line="23" w:lineRule="exact"/>
        <w:rPr>
          <w:sz w:val="20"/>
          <w:szCs w:val="20"/>
          <w:color w:val="auto"/>
        </w:rPr>
      </w:pPr>
    </w:p>
    <w:p>
      <w:pPr>
        <w:ind w:left="3720" w:right="619"/>
        <w:spacing w:after="0" w:line="284" w:lineRule="auto"/>
        <w:rPr>
          <w:sz w:val="20"/>
          <w:szCs w:val="20"/>
          <w:color w:val="auto"/>
        </w:rPr>
      </w:pPr>
      <w:r>
        <w:rPr>
          <w:rFonts w:ascii="Arial" w:cs="Arial" w:eastAsia="Arial" w:hAnsi="Arial"/>
          <w:sz w:val="16"/>
          <w:szCs w:val="16"/>
          <w:color w:val="auto"/>
        </w:rPr>
        <w:t>purchase an aggregate of 9,500,000 private placement warrants, each exercisable to purchase one Class A ordinary share at $11.50 per share, at a price of $1.00 per warrant ($9,500,000 in the aggregate), in a private placement that will close simultaneously with the closing of this offering. If we do not consummate an initial business combination within 18 months from the closing of this offering, the private placement warrants will expire worthless. The private placement warrants will be non-redeemable and exercisable on a cashless basis so long as they are held by our sponsor or its permitted transferees (see “Description of Securities — Warrants — Private Placement Warrants”).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ectPr>
          <w:pgSz w:w="11900" w:h="16838" w:orient="portrait"/>
          <w:cols w:equalWidth="0" w:num="1">
            <w:col w:w="9019"/>
          </w:cols>
          <w:pgMar w:left="1440" w:top="503" w:right="1440" w:bottom="1440" w:gutter="0" w:footer="0" w:header="0"/>
        </w:sectPr>
      </w:pPr>
    </w:p>
    <w:p>
      <w:pPr>
        <w:spacing w:after="0" w:line="14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Transfer restrictions on private placement warrants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659"/>
        <w:spacing w:after="0" w:line="293"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 — Transfers of Founder Shares and Private Placement Warrants.”</w:t>
      </w:r>
    </w:p>
    <w:p>
      <w:pPr>
        <w:spacing w:after="0" w:line="137" w:lineRule="exact"/>
        <w:rPr>
          <w:sz w:val="20"/>
          <w:szCs w:val="20"/>
          <w:color w:val="auto"/>
        </w:rPr>
      </w:pPr>
    </w:p>
    <w:p>
      <w:pPr>
        <w:sectPr>
          <w:pgSz w:w="11900" w:h="16838" w:orient="portrait"/>
          <w:cols w:equalWidth="0" w:num="2">
            <w:col w:w="3540" w:space="180"/>
            <w:col w:w="5299"/>
          </w:cols>
          <w:pgMar w:left="1440" w:top="50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80"/>
              <w:spacing w:after="0"/>
              <w:rPr>
                <w:sz w:val="20"/>
                <w:szCs w:val="20"/>
                <w:color w:val="auto"/>
              </w:rPr>
            </w:pPr>
            <w:r>
              <w:rPr>
                <w:rFonts w:ascii="Arial" w:cs="Arial" w:eastAsia="Arial" w:hAnsi="Arial"/>
                <w:sz w:val="18"/>
                <w:szCs w:val="18"/>
                <w:color w:val="auto"/>
                <w:w w:val="99"/>
              </w:rPr>
              <w:t>Proceeds to be held in trust account</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Of the proceeds we will receive from this offering and the sale of</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private placement warrants described in this prospectus,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$300,000,000, or $345,000,000 if the underwriter’s over-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allotment option is exercised in full ($10.00 per unit in either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case), will be deposited into a segregated trust account located in</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United States at J.P. Morgan Chase Bank, N.A.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Continental Stock Transfer &amp; Trust Company acting as trustee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and $3,500,000 will be used to pay expenses in connection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6"/>
              </w:rPr>
              <w:t>the closing of this offering and for working capital following this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offering. The proceeds to be placed in the trust account include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$10,500,000 (or $12,075,000 if the underwriter’s over-allotment</w:t>
            </w:r>
          </w:p>
        </w:tc>
      </w:tr>
      <w:tr>
        <w:trPr>
          <w:trHeight w:val="230"/>
        </w:trPr>
        <w:tc>
          <w:tcPr>
            <w:tcW w:w="296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option is exercised in full) in deferred underwriting commissions.</w:t>
            </w:r>
          </w:p>
        </w:tc>
      </w:tr>
      <w:tr>
        <w:trPr>
          <w:trHeight w:val="402"/>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88"/>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9019"/>
          </w:cols>
          <w:pgMar w:left="1440" w:top="503" w:right="1440" w:bottom="1440" w:gutter="0" w:footer="0" w:header="0"/>
          <w:type w:val="continuous"/>
        </w:sectPr>
      </w:pPr>
    </w:p>
    <w:bookmarkStart w:id="17" w:name="page18"/>
    <w:bookmarkEnd w:id="17"/>
    <w:p>
      <w:pPr>
        <w:ind w:left="3720" w:right="57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74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174480"/>
                    </a:xfrm>
                    <a:prstGeom prst="rect">
                      <a:avLst/>
                    </a:prstGeom>
                    <a:noFill/>
                  </pic:spPr>
                </pic:pic>
              </a:graphicData>
            </a:graphic>
          </wp:anchor>
        </w:drawing>
        <w:t>Except with respect to interest earned on the funds held in the trust account that may be released to us to pay our income taxes, if any, our amended and restated memorandum and articles of association, as discussed below and subject to the requirements of law and regulation, will provide that the proceeds from this offering and the sale of the private placement warrants will not be released from the trust account (1) to us, until the completion of our initial business combination, or (2) to our public shareholders, until the earliest of (a) the completion of our initial business combination, and then only in connection with those Class A ordinary shares that such shareholder properly elected to redeem, subject to the limitations described herein, (b)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(c) the redemption of our public shares if we are unable to complete our business combination within 18 months from the closing of this offering, subject to applicable law. Public shareholders who redeem their Class A ordinary shares in connection with a shareholder vote described in clause (b)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The proceeds deposited in the trust account could become subject to the claims of our creditors, if any, which could have priority over the claims of our public shareholders.</w:t>
      </w:r>
    </w:p>
    <w:p>
      <w:pPr>
        <w:spacing w:after="0" w:line="158" w:lineRule="exact"/>
        <w:rPr>
          <w:sz w:val="20"/>
          <w:szCs w:val="20"/>
          <w:color w:val="auto"/>
        </w:rPr>
      </w:pPr>
    </w:p>
    <w:p>
      <w:pPr>
        <w:ind w:left="3720" w:right="559" w:hanging="3185"/>
        <w:spacing w:after="0" w:line="286" w:lineRule="auto"/>
        <w:tabs>
          <w:tab w:leader="none" w:pos="3700" w:val="left"/>
        </w:tabs>
        <w:rPr>
          <w:sz w:val="20"/>
          <w:szCs w:val="20"/>
          <w:color w:val="auto"/>
        </w:rPr>
      </w:pPr>
      <w:r>
        <w:rPr>
          <w:rFonts w:ascii="Arial" w:cs="Arial" w:eastAsia="Arial" w:hAnsi="Arial"/>
          <w:sz w:val="18"/>
          <w:szCs w:val="18"/>
          <w:color w:val="auto"/>
        </w:rPr>
        <w:t>Anticipated expenses and funding sources</w:t>
      </w:r>
      <w:r>
        <w:rPr>
          <w:sz w:val="20"/>
          <w:szCs w:val="20"/>
          <w:color w:val="auto"/>
        </w:rPr>
        <w:tab/>
      </w: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0.5% per year, we estimate the interest earned on the trust account will be approximately $1,500,000 per year; however, we can provide no assurances regarding this amount. The trust account’s earnings will be lower as interest rates on short-term U.S. government treasury obligations decline. Unless and until we complete our initial business combination, we may pay our expenses only from:</w:t>
      </w:r>
    </w:p>
    <w:p>
      <w:pPr>
        <w:spacing w:after="0" w:line="19" w:lineRule="exact"/>
        <w:rPr>
          <w:sz w:val="20"/>
          <w:szCs w:val="20"/>
          <w:color w:val="auto"/>
        </w:rPr>
      </w:pPr>
    </w:p>
    <w:p>
      <w:pPr>
        <w:ind w:left="4160" w:right="659" w:hanging="214"/>
        <w:spacing w:after="0" w:line="293" w:lineRule="auto"/>
        <w:tabs>
          <w:tab w:leader="none" w:pos="4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net proceeds of this offering and the sale of the private placement warrants not held in the trust account, which will be approximately $2,500,000 (or $1,600,000 if the underwriter’s over-allotment option is exercised in full) in working capital after the payment of approximately $1,000,000 in expenses relating to this offering; and</w:t>
      </w:r>
    </w:p>
    <w:p>
      <w:pPr>
        <w:spacing w:after="0" w:line="15" w:lineRule="exact"/>
        <w:rPr>
          <w:rFonts w:ascii="Arial" w:cs="Arial" w:eastAsia="Arial" w:hAnsi="Arial"/>
          <w:sz w:val="16"/>
          <w:szCs w:val="16"/>
          <w:color w:val="auto"/>
        </w:rPr>
      </w:pPr>
    </w:p>
    <w:p>
      <w:pPr>
        <w:ind w:left="4160" w:right="599" w:hanging="214"/>
        <w:spacing w:after="0" w:line="272" w:lineRule="auto"/>
        <w:tabs>
          <w:tab w:leader="none" w:pos="41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8" w:name="page19"/>
    <w:bookmarkEnd w:id="18"/>
    <w:p>
      <w:pPr>
        <w:ind w:left="720" w:right="360" w:hanging="179"/>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08" w:lineRule="auto"/>
        <w:rPr>
          <w:sz w:val="20"/>
          <w:szCs w:val="20"/>
          <w:color w:val="auto"/>
        </w:rPr>
      </w:pPr>
      <w:r>
        <w:rPr>
          <w:rFonts w:ascii="Arial" w:cs="Arial" w:eastAsia="Arial" w:hAnsi="Arial"/>
          <w:sz w:val="17"/>
          <w:szCs w:val="17"/>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59"/>
        <w:spacing w:after="0" w:line="286" w:lineRule="auto"/>
        <w:rPr>
          <w:sz w:val="20"/>
          <w:szCs w:val="20"/>
          <w:color w:val="auto"/>
        </w:rPr>
      </w:pPr>
      <w:r>
        <w:rPr>
          <w:rFonts w:ascii="Arial" w:cs="Arial" w:eastAsia="Arial" w:hAnsi="Arial"/>
          <w:sz w:val="16"/>
          <w:szCs w:val="16"/>
          <w:color w:val="auto"/>
        </w:rPr>
        <w:t>NYSE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our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another independent entity that commonly renders valuation opinions. Our shareholders may not be provided with a copy of such opinion nor will they be able to rely on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-2271395</wp:posOffset>
            </wp:positionV>
            <wp:extent cx="5147310" cy="9311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311640"/>
                    </a:xfrm>
                    <a:prstGeom prst="rect">
                      <a:avLst/>
                    </a:prstGeom>
                    <a:noFill/>
                  </pic:spPr>
                </pic:pic>
              </a:graphicData>
            </a:graphic>
          </wp:anchor>
        </w:drawing>
      </w:r>
    </w:p>
    <w:p>
      <w:pPr>
        <w:spacing w:after="0" w:line="73"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 xml:space="preserve">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36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w:t>
      </w:r>
    </w:p>
    <w:p>
      <w:pPr>
        <w:spacing w:after="0" w:line="200" w:lineRule="exact"/>
        <w:rPr>
          <w:sz w:val="20"/>
          <w:szCs w:val="20"/>
          <w:color w:val="auto"/>
        </w:rPr>
      </w:pPr>
    </w:p>
    <w:p>
      <w:pPr>
        <w:sectPr>
          <w:pgSz w:w="11900" w:h="16838" w:orient="portrait"/>
          <w:cols w:equalWidth="0" w:num="2">
            <w:col w:w="3480" w:space="240"/>
            <w:col w:w="5299"/>
          </w:cols>
          <w:pgMar w:left="1440" w:top="652" w:right="1440" w:bottom="112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128"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720" w:hanging="179"/>
        <w:spacing w:after="0" w:line="263"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ind w:right="799"/>
        <w:spacing w:after="0" w:line="257" w:lineRule="auto"/>
        <w:rPr>
          <w:sz w:val="20"/>
          <w:szCs w:val="20"/>
          <w:color w:val="auto"/>
        </w:rPr>
      </w:pPr>
      <w:r>
        <w:rPr>
          <w:rFonts w:ascii="Arial" w:cs="Arial" w:eastAsia="Arial" w:hAnsi="Arial"/>
          <w:sz w:val="18"/>
          <w:szCs w:val="18"/>
          <w:color w:val="auto"/>
        </w:rPr>
        <w:t>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-1028065</wp:posOffset>
            </wp:positionV>
            <wp:extent cx="5147310" cy="7665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665720"/>
                    </a:xfrm>
                    <a:prstGeom prst="rect">
                      <a:avLst/>
                    </a:prstGeom>
                    <a:noFill/>
                  </pic:spPr>
                </pic:pic>
              </a:graphicData>
            </a:graphic>
          </wp:anchor>
        </w:drawing>
      </w:r>
    </w:p>
    <w:p>
      <w:pPr>
        <w:spacing w:after="0" w:line="87" w:lineRule="exact"/>
        <w:rPr>
          <w:sz w:val="20"/>
          <w:szCs w:val="20"/>
          <w:color w:val="auto"/>
        </w:rPr>
      </w:pPr>
    </w:p>
    <w:p>
      <w:pPr>
        <w:ind w:right="63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9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the completion of our initial business combination.</w:t>
      </w:r>
    </w:p>
    <w:p>
      <w:pPr>
        <w:spacing w:after="0" w:line="200" w:lineRule="exact"/>
        <w:rPr>
          <w:sz w:val="20"/>
          <w:szCs w:val="20"/>
          <w:color w:val="auto"/>
        </w:rPr>
      </w:pPr>
    </w:p>
    <w:p>
      <w:pPr>
        <w:sectPr>
          <w:pgSz w:w="11900" w:h="16838" w:orient="portrait"/>
          <w:cols w:equalWidth="0" w:num="2">
            <w:col w:w="3580" w:space="140"/>
            <w:col w:w="5299"/>
          </w:cols>
          <w:pgMar w:left="1440" w:top="652"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0" w:name="page21"/>
    <w:bookmarkEnd w:id="20"/>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Limitations on redemptions</w:t>
            </w:r>
          </w:p>
        </w:tc>
        <w:tc>
          <w:tcPr>
            <w:tcW w:w="5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association will provide that in no event will we redeem our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public shares in an amount that would cause our net tangible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89"/>
              </w:rPr>
              <w:t>assets to be less than $5,000,001 (so that we are not subject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SEC’s “penny stock” rules). However, a greater net tangible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or cash requirement may be contained in the agreement relating</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to our initial business combination. For example,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business combination may require: (i) cash consideration to be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paid to the target or its owners, (ii) cash to be transferred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target for working capital or other general corporate purposes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(iii) the retention of cash to satisfy other conditions in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accordance with the terms of the proposed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Furthermore, although we will not redeem shares in an amount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that would cause our net tangible assets to fall below $5,000,001,</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we do not have a maximum redemption threshold based on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percentage of shares sold in this offering, as many blank check</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companies do. In the event the aggregate cash consideration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would be required to pay for all Class A ordinary shares that are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validly submitted for redemption plus any amount required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satisfy cash conditions pursuant to the terms of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business combination exceed the aggregate amount of cash</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available to us, we will not complete the business combination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redeem any shares, and all Class A ordinary shares submitted for</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redemption will be returned to the holders thereof.</w:t>
            </w:r>
          </w:p>
        </w:tc>
      </w:tr>
      <w:tr>
        <w:trPr>
          <w:trHeight w:val="391"/>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Manner of conducting redemptions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We will provide our public shareholders with the opportunity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redeem all or a portion of their public shares upon the completion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of our initial business combination either (i) in connection with a</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shareholder meeting called to approve the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or (ii) by means of a tender offer. The decision as to whether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will seek shareholder approval of a proposed business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combination or conduct a tender offer will be made by us, solely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in our discretion, and will be based on a variety of factors such as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timing of the transaction and whether the terms of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transaction would require us to seek shareholder approval under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applicable law or stock exchange listing requirement.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acquisitions and share purchases would not typically require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shareholder approval, while direct mergers with our company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where we do not survive and any transactions where we issue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more than 20% of our outstanding ordinary shares or seek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amend 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association would require shareholder approval. We currently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intend to conduct redemptions in connection with a shareholder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vote unless shareholder approval is not required by applicable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law or stock exchange listing requirement and we choose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conduct redemptions pursuant to the tender offer rules of the</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 for business or other legal reasons.</w:t>
            </w:r>
          </w:p>
        </w:tc>
      </w:tr>
      <w:tr>
        <w:trPr>
          <w:trHeight w:val="337"/>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If we hold a shareholder vote to approve our initial business</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combination, we will:</w:t>
            </w:r>
          </w:p>
        </w:tc>
      </w:tr>
      <w:tr>
        <w:trPr>
          <w:trHeight w:val="350"/>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conduct the redemptions in conjunction with a proxy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solicitation pursuant to Regulation 14A of the Exchange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Act, which regulates the solicitation of proxies, and not</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and</w:t>
            </w:r>
          </w:p>
        </w:tc>
      </w:tr>
      <w:tr>
        <w:trPr>
          <w:trHeight w:val="365"/>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file proxy materials with the SEC.</w:t>
            </w:r>
          </w:p>
        </w:tc>
      </w:tr>
      <w:tr>
        <w:trPr>
          <w:trHeight w:val="402"/>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88"/>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9019"/>
          </w:cols>
          <w:pgMar w:left="1440" w:top="120" w:right="1440" w:bottom="1440" w:gutter="0" w:footer="0" w:header="0"/>
        </w:sectPr>
      </w:pPr>
    </w:p>
    <w:bookmarkStart w:id="21" w:name="page22"/>
    <w:bookmarkEnd w:id="21"/>
    <w:p>
      <w:pPr>
        <w:ind w:left="3720" w:right="59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14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7914640"/>
                    </a:xfrm>
                    <a:prstGeom prst="rect">
                      <a:avLst/>
                    </a:prstGeom>
                    <a:noFill/>
                  </pic:spPr>
                </pic:pic>
              </a:graphicData>
            </a:graphic>
          </wp:anchor>
        </w:drawing>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99" w:lineRule="exact"/>
        <w:rPr>
          <w:sz w:val="20"/>
          <w:szCs w:val="20"/>
          <w:color w:val="auto"/>
        </w:rPr>
      </w:pPr>
    </w:p>
    <w:p>
      <w:pPr>
        <w:ind w:left="3720" w:right="779"/>
        <w:spacing w:after="0" w:line="263"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16" w:lineRule="exact"/>
        <w:rPr>
          <w:sz w:val="20"/>
          <w:szCs w:val="20"/>
          <w:color w:val="auto"/>
        </w:rPr>
      </w:pPr>
    </w:p>
    <w:p>
      <w:pPr>
        <w:ind w:left="4160" w:right="599" w:hanging="214"/>
        <w:spacing w:after="0" w:line="263" w:lineRule="auto"/>
        <w:tabs>
          <w:tab w:leader="none" w:pos="41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6" w:lineRule="exact"/>
        <w:rPr>
          <w:rFonts w:ascii="Arial" w:cs="Arial" w:eastAsia="Arial" w:hAnsi="Arial"/>
          <w:sz w:val="18"/>
          <w:szCs w:val="18"/>
          <w:color w:val="auto"/>
        </w:rPr>
      </w:pPr>
    </w:p>
    <w:p>
      <w:pPr>
        <w:ind w:left="4160" w:right="579" w:hanging="214"/>
        <w:spacing w:after="0" w:line="293" w:lineRule="auto"/>
        <w:tabs>
          <w:tab w:leader="none" w:pos="41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3" w:lineRule="exact"/>
        <w:rPr>
          <w:sz w:val="20"/>
          <w:szCs w:val="20"/>
          <w:color w:val="auto"/>
        </w:rPr>
      </w:pPr>
    </w:p>
    <w:p>
      <w:pPr>
        <w:ind w:left="3720" w:right="699"/>
        <w:spacing w:after="0" w:line="27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10" w:lineRule="exact"/>
        <w:rPr>
          <w:sz w:val="20"/>
          <w:szCs w:val="20"/>
          <w:color w:val="auto"/>
        </w:rPr>
      </w:pPr>
    </w:p>
    <w:p>
      <w:pPr>
        <w:ind w:left="3720" w:right="559"/>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2" w:name="page23"/>
    <w:bookmarkEnd w:id="22"/>
    <w:p>
      <w:pPr>
        <w:ind w:left="720" w:right="20" w:hanging="179"/>
        <w:spacing w:after="0" w:line="259"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-5050155</wp:posOffset>
            </wp:positionV>
            <wp:extent cx="5147310" cy="8583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680" w:space="100"/>
            <w:col w:w="5239"/>
          </w:cols>
          <w:pgMar w:left="1440" w:top="503"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3" w:name="page24"/>
    <w:bookmarkEnd w:id="23"/>
    <w:p>
      <w:pPr>
        <w:ind w:left="720" w:hanging="179"/>
        <w:spacing w:after="0" w:line="263"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18 months from the closing of this offering to consummate our initial business combination. If we have not consummated an initial business combination within 18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-4193540</wp:posOffset>
            </wp:positionV>
            <wp:extent cx="5147310" cy="9243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9243060"/>
                    </a:xfrm>
                    <a:prstGeom prst="rect">
                      <a:avLst/>
                    </a:prstGeom>
                    <a:noFill/>
                  </pic:spPr>
                </pic:pic>
              </a:graphicData>
            </a:graphic>
          </wp:anchor>
        </w:drawing>
      </w:r>
    </w:p>
    <w:p>
      <w:pPr>
        <w:spacing w:after="0" w:line="70" w:lineRule="exact"/>
        <w:rPr>
          <w:sz w:val="20"/>
          <w:szCs w:val="20"/>
          <w:color w:val="auto"/>
        </w:rPr>
      </w:pPr>
    </w:p>
    <w:p>
      <w:pPr>
        <w:ind w:right="579"/>
        <w:spacing w:after="0" w:line="269" w:lineRule="auto"/>
        <w:rPr>
          <w:sz w:val="20"/>
          <w:szCs w:val="20"/>
          <w:color w:val="auto"/>
        </w:rPr>
      </w:pPr>
      <w:r>
        <w:rPr>
          <w:rFonts w:ascii="Arial" w:cs="Arial" w:eastAsia="Arial" w:hAnsi="Arial"/>
          <w:sz w:val="17"/>
          <w:szCs w:val="17"/>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this offering. However, if our sponsor, directors or members of our management team acquire public shares in or after this offering, they will be entitled to liquidating distributions from the trust account with respect to such public shares if we fail to consummate an initial business combination within 18 months from the closing of this offering.</w:t>
      </w:r>
    </w:p>
    <w:p>
      <w:pPr>
        <w:spacing w:after="0" w:line="114" w:lineRule="exact"/>
        <w:rPr>
          <w:sz w:val="20"/>
          <w:szCs w:val="20"/>
          <w:color w:val="auto"/>
        </w:rPr>
      </w:pPr>
    </w:p>
    <w:p>
      <w:pPr>
        <w:ind w:right="579"/>
        <w:spacing w:after="0" w:line="293" w:lineRule="auto"/>
        <w:rPr>
          <w:sz w:val="20"/>
          <w:szCs w:val="20"/>
          <w:color w:val="auto"/>
        </w:rPr>
      </w:pPr>
      <w:r>
        <w:rPr>
          <w:rFonts w:ascii="Arial" w:cs="Arial" w:eastAsia="Arial" w:hAnsi="Arial"/>
          <w:sz w:val="16"/>
          <w:szCs w:val="16"/>
          <w:color w:val="auto"/>
        </w:rPr>
        <w:t>The underwriter has agreed to waive their rights to their deferred underwriting commission held in the trust account in the event we do not consummate an initial business combination within 18 months from the closing of this offering and, in such event, such amounts will be included with the funds held in the trust account that will be available to fund the redemption of our public shares.</w:t>
      </w:r>
    </w:p>
    <w:p>
      <w:pPr>
        <w:spacing w:after="0" w:line="97" w:lineRule="exact"/>
        <w:rPr>
          <w:sz w:val="20"/>
          <w:szCs w:val="20"/>
          <w:color w:val="auto"/>
        </w:rPr>
      </w:pPr>
    </w:p>
    <w:p>
      <w:pPr>
        <w:ind w:right="639"/>
        <w:spacing w:after="0" w:line="285"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w:t>
      </w:r>
    </w:p>
    <w:p>
      <w:pPr>
        <w:spacing w:after="0" w:line="200" w:lineRule="exact"/>
        <w:rPr>
          <w:sz w:val="20"/>
          <w:szCs w:val="20"/>
          <w:color w:val="auto"/>
        </w:rPr>
      </w:pPr>
    </w:p>
    <w:p>
      <w:pPr>
        <w:sectPr>
          <w:pgSz w:w="11900" w:h="16838" w:orient="portrait"/>
          <w:cols w:equalWidth="0" w:num="2">
            <w:col w:w="3520" w:space="200"/>
            <w:col w:w="5299"/>
          </w:cols>
          <w:pgMar w:left="1440" w:top="652"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4" w:name="page25"/>
    <w:bookmarkEnd w:id="24"/>
    <w:p>
      <w:pPr>
        <w:ind w:left="3720" w:right="63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83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t>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103" w:lineRule="exact"/>
        <w:rPr>
          <w:sz w:val="20"/>
          <w:szCs w:val="20"/>
          <w:color w:val="auto"/>
        </w:rPr>
      </w:pPr>
    </w:p>
    <w:p>
      <w:pPr>
        <w:ind w:left="3720" w:right="579"/>
        <w:spacing w:after="0" w:line="254" w:lineRule="auto"/>
        <w:rPr>
          <w:sz w:val="20"/>
          <w:szCs w:val="20"/>
          <w:color w:val="auto"/>
        </w:rPr>
      </w:pPr>
      <w:r>
        <w:rPr>
          <w:rFonts w:ascii="Arial" w:cs="Arial" w:eastAsia="Arial" w:hAnsi="Arial"/>
          <w:sz w:val="18"/>
          <w:szCs w:val="18"/>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finder’s fees, reimbursements or cash payments</w:t>
      </w:r>
    </w:p>
    <w:p>
      <w:pPr>
        <w:spacing w:after="0" w:line="23" w:lineRule="exact"/>
        <w:rPr>
          <w:sz w:val="20"/>
          <w:szCs w:val="20"/>
          <w:color w:val="auto"/>
        </w:rPr>
      </w:pPr>
    </w:p>
    <w:p>
      <w:pPr>
        <w:ind w:left="3720" w:right="599"/>
        <w:spacing w:after="0" w:line="252" w:lineRule="auto"/>
        <w:rPr>
          <w:sz w:val="20"/>
          <w:szCs w:val="20"/>
          <w:color w:val="auto"/>
        </w:rPr>
      </w:pPr>
      <w:r>
        <w:rPr>
          <w:rFonts w:ascii="Arial" w:cs="Arial" w:eastAsia="Arial" w:hAnsi="Arial"/>
          <w:sz w:val="18"/>
          <w:szCs w:val="18"/>
          <w:color w:val="auto"/>
        </w:rPr>
        <w:t>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held in the trust account prior to the completion of our initial business combination:</w:t>
      </w:r>
    </w:p>
    <w:p>
      <w:pPr>
        <w:spacing w:after="0" w:line="11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up to an aggregate of $300,000 in loans made</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us by our sponsor to cover offering-related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organizational expenses;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reimbursement for office space, secretarial and</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administrative services provided to us by an affiliate of our</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sponsor, in the amount of $10,000 per month;</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reimbursement for any out-of-pocket expenses related to</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identifying, investigating, negotiating and completing an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initial business combination; and</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loans which may be made by our sponsor or</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an affiliate of our sponsor or certain of our officers and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directors to finance transaction costs in connection with an</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intended initial business combination. Up to $1,500,000 of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such loans may be convertible into warrants of the post</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business combination entity at a price of $1.00 per warrant</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at the option of the lender. The warrants would be identical</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the private placement warrants. Except for the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foregoing, the terms of such loans, if any, have not been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determined and no written agreements exist with respect to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such loans.</w:t>
      </w:r>
    </w:p>
    <w:p>
      <w:pPr>
        <w:spacing w:after="0" w:line="143" w:lineRule="exact"/>
        <w:rPr>
          <w:sz w:val="20"/>
          <w:szCs w:val="20"/>
          <w:color w:val="auto"/>
        </w:rPr>
      </w:pPr>
    </w:p>
    <w:p>
      <w:pPr>
        <w:ind w:left="3720" w:right="579"/>
        <w:spacing w:after="0" w:line="257" w:lineRule="auto"/>
        <w:rPr>
          <w:sz w:val="20"/>
          <w:szCs w:val="20"/>
          <w:color w:val="auto"/>
        </w:rPr>
      </w:pPr>
      <w:r>
        <w:rPr>
          <w:rFonts w:ascii="Arial" w:cs="Arial" w:eastAsia="Arial" w:hAnsi="Arial"/>
          <w:sz w:val="18"/>
          <w:szCs w:val="18"/>
          <w:color w:val="auto"/>
        </w:rPr>
        <w:t>Any such payments will be made either (i) prior to our initial business combination using proceeds of this offering held outside the trust account or from loans made to us by our sponsor or (ii) in connection with or after the consummation of our initial business combination.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5" w:name="page26"/>
    <w:bookmarkEnd w:id="25"/>
    <w:tbl>
      <w:tblPr>
        <w:tblLayout w:type="fixed"/>
        <w:tblInd w:w="470" w:type="dxa"/>
        <w:tblCellMar>
          <w:top w:w="0" w:type="dxa"/>
          <w:left w:w="0" w:type="dxa"/>
          <w:bottom w:w="0" w:type="dxa"/>
          <w:right w:w="0" w:type="dxa"/>
        </w:tblCellMar>
      </w:tblPr>
      <w:tr>
        <w:trPr>
          <w:trHeight w:val="728"/>
        </w:trPr>
        <w:tc>
          <w:tcPr>
            <w:tcW w:w="2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8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4"/>
              </w:rPr>
              <w:t>We will establish and maintain an audit committee, which will be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composed entirely of independent directors. Among its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responsibilities, the audit committee will review on a quarterly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basis all payments that were made to our sponsor, officers or</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directors, or our or their affiliates and monitor compliance with</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the other terms relating to this offering. If any noncompliance is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identified, then the audit committee will be charged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responsibility to promptly take all action necessary to rectify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such noncompliance or otherwise to cause compliance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terms of this offering. For more information, see the section</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entitled “Management — Committees of the Board of Directors</w:t>
            </w:r>
          </w:p>
        </w:tc>
      </w:tr>
      <w:tr>
        <w:trPr>
          <w:trHeight w:val="230"/>
        </w:trPr>
        <w:tc>
          <w:tcPr>
            <w:tcW w:w="2280" w:type="dxa"/>
            <w:vAlign w:val="bottom"/>
            <w:tcBorders>
              <w:left w:val="single" w:sz="8" w:color="auto"/>
            </w:tcBorders>
          </w:tcPr>
          <w:p>
            <w:pPr>
              <w:spacing w:after="0"/>
              <w:rPr>
                <w:sz w:val="20"/>
                <w:szCs w:val="20"/>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Audit Committee.”</w:t>
            </w:r>
          </w:p>
        </w:tc>
      </w:tr>
      <w:tr>
        <w:trPr>
          <w:trHeight w:val="402"/>
        </w:trPr>
        <w:tc>
          <w:tcPr>
            <w:tcW w:w="2280" w:type="dxa"/>
            <w:vAlign w:val="bottom"/>
            <w:tcBorders>
              <w:left w:val="single" w:sz="8" w:color="auto"/>
              <w:bottom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spacing w:after="0"/>
              <w:rPr>
                <w:sz w:val="24"/>
                <w:szCs w:val="24"/>
                <w:color w:val="auto"/>
              </w:rPr>
            </w:pPr>
          </w:p>
        </w:tc>
      </w:tr>
      <w:tr>
        <w:trPr>
          <w:trHeight w:val="388"/>
        </w:trPr>
        <w:tc>
          <w:tcPr>
            <w:tcW w:w="22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9019"/>
          </w:cols>
          <w:pgMar w:left="1440" w:top="120"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990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1990725"/>
                    </a:xfrm>
                    <a:prstGeom prst="rect">
                      <a:avLst/>
                    </a:prstGeom>
                    <a:noFill/>
                  </pic:spPr>
                </pic:pic>
              </a:graphicData>
            </a:graphic>
          </wp:anchor>
        </w:drawing>
        <w:t>Risks</w:t>
      </w:r>
    </w:p>
    <w:p>
      <w:pPr>
        <w:spacing w:after="0" w:line="148"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of this prospectus.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63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2633980"/>
                    </a:xfrm>
                    <a:prstGeom prst="rect">
                      <a:avLst/>
                    </a:prstGeom>
                    <a:noFill/>
                  </pic:spPr>
                </pic:pic>
              </a:graphicData>
            </a:graphic>
          </wp:anchor>
        </w:drawing>
        <w:t>SUMMARY FINANCIAL DATA</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46"/>
        </w:trPr>
        <w:tc>
          <w:tcPr>
            <w:tcW w:w="67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r>
      <w:tr>
        <w:trPr>
          <w:trHeight w:val="41"/>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119,621</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r>
      <w:tr>
        <w:trPr>
          <w:trHeight w:val="40"/>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6780" w:type="dxa"/>
            <w:vAlign w:val="bottom"/>
            <w:tcBorders>
              <w:bottom w:val="single" w:sz="8" w:color="auto"/>
            </w:tcBorders>
            <w:gridSpan w:val="2"/>
          </w:tcPr>
          <w:p>
            <w:pPr>
              <w:jc w:val="right"/>
              <w:ind w:right="255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right="819"/>
        <w:spacing w:after="0" w:line="282" w:lineRule="auto"/>
        <w:rPr>
          <w:sz w:val="20"/>
          <w:szCs w:val="20"/>
          <w:color w:val="auto"/>
        </w:rPr>
      </w:pPr>
      <w:r>
        <w:rPr>
          <w:rFonts w:ascii="Arial" w:cs="Arial" w:eastAsia="Arial" w:hAnsi="Arial"/>
          <w:sz w:val="18"/>
          <w:szCs w:val="18"/>
          <w:b w:val="1"/>
          <w:bCs w:val="1"/>
          <w:color w:val="auto"/>
        </w:rPr>
        <w:t>We are a recently incorporated company with no operating history and no revenues, and you have no basis on which to evaluate our ability to achieve our business objective.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left="460" w:right="899"/>
        <w:spacing w:after="0" w:line="312" w:lineRule="auto"/>
        <w:rPr>
          <w:sz w:val="20"/>
          <w:szCs w:val="20"/>
          <w:color w:val="auto"/>
        </w:rPr>
      </w:pPr>
      <w:r>
        <w:rPr>
          <w:rFonts w:ascii="Arial" w:cs="Arial" w:eastAsia="Arial" w:hAnsi="Arial"/>
          <w:sz w:val="17"/>
          <w:szCs w:val="17"/>
          <w:b w:val="1"/>
          <w:bCs w:val="1"/>
          <w:color w:val="auto"/>
        </w:rPr>
        <w:t>Our independent registered public accounting firm’s report contains an explanatory paragraph that expresses substantial doubt about our ability to continue as a “going concern.”</w:t>
      </w:r>
    </w:p>
    <w:p>
      <w:pPr>
        <w:spacing w:after="0" w:line="7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As of December 31, 2019, we had no cash and a working capital deficiency of approximately $88,000. Further, we have incurred and expect to continue to incur significant costs in pursuit of our financing and acquisition plans. Management’s plans to address this need for capital through this offering are discussed in the section of this prospectus entitled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92"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7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spacing w:after="0" w:line="177"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99"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ind w:left="460" w:right="519" w:firstLine="432"/>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166" w:lineRule="exact"/>
        <w:rPr>
          <w:sz w:val="20"/>
          <w:szCs w:val="20"/>
          <w:color w:val="auto"/>
        </w:rPr>
      </w:pPr>
    </w:p>
    <w:p>
      <w:pPr>
        <w:ind w:left="460" w:right="61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6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62" w:lineRule="exact"/>
        <w:rPr>
          <w:sz w:val="20"/>
          <w:szCs w:val="20"/>
          <w:color w:val="auto"/>
        </w:rPr>
      </w:pPr>
    </w:p>
    <w:p>
      <w:pPr>
        <w:jc w:val="both"/>
        <w:ind w:left="460" w:right="759"/>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sponsor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167"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2"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right="499"/>
        <w:spacing w:after="0" w:line="289" w:lineRule="auto"/>
        <w:rPr>
          <w:sz w:val="20"/>
          <w:szCs w:val="20"/>
          <w:color w:val="auto"/>
        </w:rPr>
      </w:pPr>
      <w:r>
        <w:rPr>
          <w:rFonts w:ascii="Arial" w:cs="Arial" w:eastAsia="Arial" w:hAnsi="Arial"/>
          <w:sz w:val="16"/>
          <w:szCs w:val="16"/>
          <w:color w:val="auto"/>
        </w:rPr>
        <w:t>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6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67"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The requirement that we consummate an initial business combination within 18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77"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18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80"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We may not be able to consummate an initial business combination within 18 months after the closing of this offering, in which case we would cease all operations except for the purpose of winding up and we would redeem our public shares and liquidate.</w:t>
      </w:r>
    </w:p>
    <w:p>
      <w:pPr>
        <w:spacing w:after="0" w:line="85"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We may not be able to find a suitable target business and consummate an initial business combination within 18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31" w:name="page32"/>
    <w:bookmarkEnd w:id="31"/>
    <w:p>
      <w:pPr>
        <w:ind w:left="460" w:right="639"/>
        <w:spacing w:after="0" w:line="279" w:lineRule="auto"/>
        <w:rPr>
          <w:sz w:val="20"/>
          <w:szCs w:val="20"/>
          <w:color w:val="auto"/>
        </w:rPr>
      </w:pPr>
      <w:r>
        <w:rPr>
          <w:rFonts w:ascii="Arial" w:cs="Arial" w:eastAsia="Arial" w:hAnsi="Arial"/>
          <w:sz w:val="17"/>
          <w:szCs w:val="17"/>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7" w:lineRule="exact"/>
        <w:rPr>
          <w:sz w:val="20"/>
          <w:szCs w:val="20"/>
          <w:color w:val="auto"/>
        </w:rPr>
      </w:pPr>
    </w:p>
    <w:p>
      <w:pPr>
        <w:ind w:left="460" w:right="85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1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86"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45"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Tendering Share Certificates in Connection with a Tender Offer or Redemption Rights.”</w:t>
      </w:r>
    </w:p>
    <w:p>
      <w:pPr>
        <w:spacing w:after="0" w:line="177" w:lineRule="exact"/>
        <w:rPr>
          <w:sz w:val="20"/>
          <w:szCs w:val="20"/>
          <w:color w:val="auto"/>
        </w:rPr>
      </w:pPr>
    </w:p>
    <w:p>
      <w:pPr>
        <w:ind w:left="460" w:right="69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2" w:lineRule="exact"/>
        <w:rPr>
          <w:sz w:val="20"/>
          <w:szCs w:val="20"/>
          <w:color w:val="auto"/>
        </w:rPr>
      </w:pPr>
    </w:p>
    <w:p>
      <w:pPr>
        <w:ind w:left="460" w:right="599" w:firstLine="432"/>
        <w:spacing w:after="0" w:line="287"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w:t>
      </w:r>
    </w:p>
    <w:p>
      <w:pPr>
        <w:spacing w:after="0" w:line="2" w:lineRule="exact"/>
        <w:rPr>
          <w:sz w:val="20"/>
          <w:szCs w:val="20"/>
          <w:color w:val="auto"/>
        </w:rPr>
      </w:pPr>
    </w:p>
    <w:p>
      <w:pPr>
        <w:ind w:left="460" w:right="599" w:hanging="6"/>
        <w:spacing w:after="0" w:line="255" w:lineRule="auto"/>
        <w:tabs>
          <w:tab w:leader="none" w:pos="7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shareholder vote to amend our amended and restated memorandum and articles of association that would affect the substance or timing of our obligation</w:t>
      </w:r>
    </w:p>
    <w:p>
      <w:pPr>
        <w:sectPr>
          <w:pgSz w:w="11900" w:h="16838" w:orient="portrait"/>
          <w:cols w:equalWidth="0" w:num="1">
            <w:col w:w="9019"/>
          </w:cols>
          <w:pgMar w:left="1440" w:top="24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type w:val="continuous"/>
        </w:sectPr>
      </w:pPr>
    </w:p>
    <w:bookmarkStart w:id="32" w:name="page33"/>
    <w:bookmarkEnd w:id="32"/>
    <w:p>
      <w:pPr>
        <w:ind w:left="460" w:right="499"/>
        <w:spacing w:after="0" w:line="287" w:lineRule="auto"/>
        <w:rPr>
          <w:sz w:val="20"/>
          <w:szCs w:val="20"/>
          <w:color w:val="auto"/>
        </w:rPr>
      </w:pPr>
      <w:r>
        <w:rPr>
          <w:rFonts w:ascii="Arial" w:cs="Arial" w:eastAsia="Arial" w:hAnsi="Arial"/>
          <w:sz w:val="16"/>
          <w:szCs w:val="16"/>
          <w:color w:val="auto"/>
        </w:rPr>
        <w:t>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(iii) the redemption of our public shares if we have not consummated an initial business within 18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units have been approved for listing on the NYSE on the date of this prospectus and we expect our Class A ordinary shares and warrants to be listed on the NYSE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spacing w:after="0" w:line="98"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spacing w:after="0" w:line="10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8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jc w:val="both"/>
        <w:ind w:left="1320" w:right="819" w:hanging="434"/>
        <w:spacing w:after="0" w:line="311"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right="459"/>
        <w:spacing w:after="0" w:line="275" w:lineRule="auto"/>
        <w:rPr>
          <w:sz w:val="20"/>
          <w:szCs w:val="20"/>
          <w:color w:val="auto"/>
        </w:rPr>
      </w:pPr>
      <w:r>
        <w:rPr>
          <w:rFonts w:ascii="Arial" w:cs="Arial" w:eastAsia="Arial" w:hAnsi="Arial"/>
          <w:sz w:val="17"/>
          <w:szCs w:val="17"/>
          <w:color w:val="auto"/>
        </w:rPr>
        <w:t>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72" w:lineRule="exact"/>
        <w:rPr>
          <w:sz w:val="20"/>
          <w:szCs w:val="20"/>
          <w:color w:val="auto"/>
        </w:rPr>
      </w:pPr>
    </w:p>
    <w:p>
      <w:pPr>
        <w:ind w:left="460" w:right="121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8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16"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0"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right="479"/>
        <w:spacing w:after="0" w:line="293" w:lineRule="auto"/>
        <w:rPr>
          <w:sz w:val="20"/>
          <w:szCs w:val="20"/>
          <w:color w:val="auto"/>
        </w:rPr>
      </w:pPr>
      <w:r>
        <w:rPr>
          <w:rFonts w:ascii="Arial" w:cs="Arial" w:eastAsia="Arial" w:hAnsi="Arial"/>
          <w:sz w:val="16"/>
          <w:szCs w:val="16"/>
          <w:color w:val="auto"/>
        </w:rPr>
        <w:t>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8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w:t>
      </w:r>
    </w:p>
    <w:p>
      <w:pPr>
        <w:spacing w:after="0" w:line="166" w:lineRule="exact"/>
        <w:rPr>
          <w:sz w:val="20"/>
          <w:szCs w:val="20"/>
          <w:color w:val="auto"/>
        </w:rPr>
      </w:pPr>
    </w:p>
    <w:p>
      <w:pPr>
        <w:ind w:left="460" w:right="479"/>
        <w:spacing w:after="0" w:line="258"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2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ind w:left="460" w:right="519"/>
        <w:spacing w:after="0" w:line="258" w:lineRule="auto"/>
        <w:rPr>
          <w:sz w:val="20"/>
          <w:szCs w:val="20"/>
          <w:color w:val="auto"/>
        </w:rPr>
      </w:pPr>
      <w:r>
        <w:rPr>
          <w:rFonts w:ascii="Arial" w:cs="Arial" w:eastAsia="Arial" w:hAnsi="Arial"/>
          <w:sz w:val="18"/>
          <w:szCs w:val="18"/>
          <w:b w:val="1"/>
          <w:bCs w:val="1"/>
          <w:color w:val="auto"/>
        </w:rPr>
        <w:t>If the net proceeds of this offering and the sale of the private placement warrants not being held in the trust account are insufficient to allow us to operate for at least the next 18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2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Of the net proceeds of this offering and the sale of the private placement warrants, only $2,500,000 (or $1,600,000 if the underwriter’s over-allotment option is exercised in full) will be available to us initially outside the trust account to fund our working capital requirements. We believe that, upon closing of this offering, the funds available to us outside of the trust account, together with funds available from loans from our sponsor, will be sufficient to allow us to operate for at least the next 18 months; however, we cannot assure you that our estimate is accurate.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03"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$1,000,000, the amount of</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right="499"/>
        <w:spacing w:after="0" w:line="286" w:lineRule="auto"/>
        <w:rPr>
          <w:sz w:val="20"/>
          <w:szCs w:val="20"/>
          <w:color w:val="auto"/>
        </w:rPr>
      </w:pPr>
      <w:r>
        <w:rPr>
          <w:rFonts w:ascii="Arial" w:cs="Arial" w:eastAsia="Arial" w:hAnsi="Arial"/>
          <w:sz w:val="16"/>
          <w:szCs w:val="16"/>
          <w:color w:val="auto"/>
        </w:rPr>
        <w:t>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63"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86" w:lineRule="exact"/>
        <w:rPr>
          <w:sz w:val="20"/>
          <w:szCs w:val="20"/>
          <w:color w:val="auto"/>
        </w:rPr>
      </w:pPr>
    </w:p>
    <w:p>
      <w:pPr>
        <w:ind w:left="460" w:right="67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shareholders may be less than $10.00 per share.</w:t>
      </w:r>
    </w:p>
    <w:p>
      <w:pPr>
        <w:spacing w:after="0" w:line="5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spacing w:after="0" w:line="117" w:lineRule="exact"/>
        <w:rPr>
          <w:sz w:val="20"/>
          <w:szCs w:val="20"/>
          <w:color w:val="auto"/>
        </w:rPr>
      </w:pPr>
    </w:p>
    <w:p>
      <w:pPr>
        <w:ind w:left="460" w:right="999" w:firstLine="432"/>
        <w:spacing w:after="0" w:line="263"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third-party consultant whose particular expertise or skills are believed by management to be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right="479"/>
        <w:spacing w:after="0" w:line="284" w:lineRule="auto"/>
        <w:rPr>
          <w:sz w:val="20"/>
          <w:szCs w:val="20"/>
          <w:color w:val="auto"/>
        </w:rPr>
      </w:pPr>
      <w:r>
        <w:rPr>
          <w:rFonts w:ascii="Arial" w:cs="Arial" w:eastAsia="Arial" w:hAnsi="Arial"/>
          <w:sz w:val="16"/>
          <w:szCs w:val="16"/>
          <w:color w:val="auto"/>
        </w:rPr>
        <w:t xml:space="preserve">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18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9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2" w:lineRule="exact"/>
        <w:rPr>
          <w:sz w:val="20"/>
          <w:szCs w:val="20"/>
          <w:color w:val="auto"/>
        </w:rPr>
      </w:pPr>
    </w:p>
    <w:p>
      <w:pPr>
        <w:ind w:left="460" w:right="839"/>
        <w:spacing w:after="0" w:line="266"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ind w:left="460" w:right="479" w:hanging="6"/>
        <w:spacing w:after="0" w:line="286" w:lineRule="auto"/>
        <w:tabs>
          <w:tab w:leader="none" w:pos="7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We may not have sufficient funds to satisfy indemnification claims of our directors and executive officers.</w:t>
      </w:r>
    </w:p>
    <w:p>
      <w:pPr>
        <w:spacing w:after="0" w:line="185"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right="659"/>
        <w:spacing w:after="0" w:line="277"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8"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06"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74"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03"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320" w:right="13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8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w:t>
      </w:r>
    </w:p>
    <w:p>
      <w:pPr>
        <w:sectPr>
          <w:pgSz w:w="11900" w:h="16838" w:orient="portrait"/>
          <w:cols w:equalWidth="0" w:num="1">
            <w:col w:w="9019"/>
          </w:cols>
          <w:pgMar w:left="1440" w:top="337"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8" w:name="page39"/>
    <w:bookmarkEnd w:id="38"/>
    <w:p>
      <w:pPr>
        <w:ind w:left="460" w:right="479"/>
        <w:spacing w:after="0" w:line="285" w:lineRule="auto"/>
        <w:rPr>
          <w:sz w:val="20"/>
          <w:szCs w:val="20"/>
          <w:color w:val="auto"/>
        </w:rPr>
      </w:pPr>
      <w:r>
        <w:rPr>
          <w:rFonts w:ascii="Arial" w:cs="Arial" w:eastAsia="Arial" w:hAnsi="Arial"/>
          <w:sz w:val="16"/>
          <w:szCs w:val="16"/>
          <w:color w:val="auto"/>
        </w:rPr>
        <w:t>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or (iii) absent our completing an initial business combination within 18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86"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95"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If we have not consummated an initial business combination within 18 months from the closing of this offering, our public shareholders may be forced to wait beyond such 18 months before redemption from our trust account.</w:t>
      </w:r>
    </w:p>
    <w:p>
      <w:pPr>
        <w:spacing w:after="0" w:line="9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If we have not consummated an initial business combination within 18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18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16"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9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If we are forced to enter into an insolvent liquidation, any distributions received by shareholders could be viewed as an unlawful payment if it was proved that immediately following the date on which the distribution was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right="479"/>
        <w:spacing w:after="0" w:line="270" w:lineRule="auto"/>
        <w:rPr>
          <w:sz w:val="20"/>
          <w:szCs w:val="20"/>
          <w:color w:val="auto"/>
        </w:rPr>
      </w:pPr>
      <w:r>
        <w:rPr>
          <w:rFonts w:ascii="Arial" w:cs="Arial" w:eastAsia="Arial" w:hAnsi="Arial"/>
          <w:sz w:val="17"/>
          <w:szCs w:val="17"/>
          <w:color w:val="auto"/>
        </w:rPr>
        <w:t>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177"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 later than one year after our first fiscal year end following our listing on the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162" w:lineRule="exact"/>
        <w:rPr>
          <w:sz w:val="20"/>
          <w:szCs w:val="20"/>
          <w:color w:val="auto"/>
        </w:rPr>
      </w:pPr>
    </w:p>
    <w:p>
      <w:pPr>
        <w:ind w:left="460" w:right="639"/>
        <w:spacing w:after="0" w:line="282" w:lineRule="auto"/>
        <w:rPr>
          <w:sz w:val="20"/>
          <w:szCs w:val="20"/>
          <w:color w:val="auto"/>
        </w:rPr>
      </w:pPr>
      <w:r>
        <w:rPr>
          <w:rFonts w:ascii="Arial" w:cs="Arial" w:eastAsia="Arial" w:hAnsi="Arial"/>
          <w:sz w:val="18"/>
          <w:szCs w:val="18"/>
          <w:b w:val="1"/>
          <w:bCs w:val="1"/>
          <w:color w:val="auto"/>
        </w:rPr>
        <w:t>Holders of Class A ordinary shares will not be entitled to vote on any election of directors we hold prior to our initial business combination.</w:t>
      </w:r>
    </w:p>
    <w:p>
      <w:pPr>
        <w:spacing w:after="0" w:line="9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157"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1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jc w:val="both"/>
        <w:ind w:left="460" w:right="1179"/>
        <w:spacing w:after="0" w:line="259" w:lineRule="auto"/>
        <w:rPr>
          <w:sz w:val="20"/>
          <w:szCs w:val="20"/>
          <w:color w:val="auto"/>
        </w:rPr>
      </w:pPr>
      <w:r>
        <w:rPr>
          <w:rFonts w:ascii="Arial" w:cs="Arial" w:eastAsia="Arial" w:hAnsi="Arial"/>
          <w:sz w:val="18"/>
          <w:szCs w:val="18"/>
          <w:color w:val="auto"/>
        </w:rPr>
        <w:t>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83" w:lineRule="exact"/>
        <w:rPr>
          <w:sz w:val="20"/>
          <w:szCs w:val="20"/>
          <w:color w:val="auto"/>
        </w:rPr>
      </w:pPr>
    </w:p>
    <w:p>
      <w:pPr>
        <w:ind w:left="460" w:right="579"/>
        <w:spacing w:after="0" w:line="277" w:lineRule="auto"/>
        <w:rPr>
          <w:sz w:val="20"/>
          <w:szCs w:val="20"/>
          <w:color w:val="auto"/>
        </w:rPr>
      </w:pPr>
      <w:r>
        <w:rPr>
          <w:rFonts w:ascii="Arial" w:cs="Arial" w:eastAsia="Arial" w:hAnsi="Arial"/>
          <w:sz w:val="17"/>
          <w:szCs w:val="17"/>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9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78"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The warrants may become exercisable for a security other than the Class A ordinary shares, and you will not have any information regarding such other security at this time.</w:t>
      </w:r>
    </w:p>
    <w:p>
      <w:pPr>
        <w:spacing w:after="0" w:line="9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184"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11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Pursuant to an agreement to be entered into on or prior to the closing of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170" w:lineRule="exact"/>
        <w:rPr>
          <w:sz w:val="20"/>
          <w:szCs w:val="20"/>
          <w:color w:val="auto"/>
        </w:rPr>
      </w:pPr>
    </w:p>
    <w:p>
      <w:pPr>
        <w:jc w:val="both"/>
        <w:ind w:left="460" w:right="51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5"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right="479"/>
        <w:spacing w:after="0" w:line="286" w:lineRule="auto"/>
        <w:rPr>
          <w:sz w:val="20"/>
          <w:szCs w:val="20"/>
          <w:color w:val="auto"/>
        </w:rPr>
      </w:pPr>
      <w:r>
        <w:rPr>
          <w:rFonts w:ascii="Arial" w:cs="Arial" w:eastAsia="Arial" w:hAnsi="Arial"/>
          <w:sz w:val="16"/>
          <w:szCs w:val="16"/>
          <w:color w:val="auto"/>
        </w:rPr>
        <w:t>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7"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We may seek acquisition opportunities in industries or sectors which may or may not be outside of our management’s area of expertise.</w:t>
      </w:r>
    </w:p>
    <w:p>
      <w:pPr>
        <w:spacing w:after="0" w:line="85"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170" w:lineRule="exact"/>
        <w:rPr>
          <w:sz w:val="20"/>
          <w:szCs w:val="20"/>
          <w:color w:val="auto"/>
        </w:rPr>
      </w:pPr>
    </w:p>
    <w:p>
      <w:pPr>
        <w:ind w:left="460" w:right="499"/>
        <w:spacing w:after="0" w:line="298"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and our strategy will be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90"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and our strategy will be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jc w:val="both"/>
        <w:ind w:left="460" w:right="679"/>
        <w:spacing w:after="0" w:line="28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9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other independent entity that the price we are paying is fair to our shareholders from a financial point of view. If no opinion is obtained, our shareholders will be relying on the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right="519"/>
        <w:spacing w:after="0" w:line="263" w:lineRule="auto"/>
        <w:rPr>
          <w:sz w:val="20"/>
          <w:szCs w:val="20"/>
          <w:color w:val="auto"/>
        </w:rPr>
      </w:pPr>
      <w:r>
        <w:rPr>
          <w:rFonts w:ascii="Arial" w:cs="Arial" w:eastAsia="Arial" w:hAnsi="Arial"/>
          <w:sz w:val="18"/>
          <w:szCs w:val="18"/>
          <w:color w:val="auto"/>
        </w:rPr>
        <w:t>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80" w:lineRule="exact"/>
        <w:rPr>
          <w:sz w:val="20"/>
          <w:szCs w:val="20"/>
          <w:color w:val="auto"/>
        </w:rPr>
      </w:pPr>
    </w:p>
    <w:p>
      <w:pPr>
        <w:ind w:left="460" w:right="659"/>
        <w:spacing w:after="0" w:line="256" w:lineRule="auto"/>
        <w:rPr>
          <w:sz w:val="20"/>
          <w:szCs w:val="20"/>
          <w:color w:val="auto"/>
        </w:rPr>
      </w:pPr>
      <w:r>
        <w:rPr>
          <w:rFonts w:ascii="Arial" w:cs="Arial" w:eastAsia="Arial" w:hAnsi="Arial"/>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10"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270,000,000 and 22,500,000 (assuming in each case that the underwriter has not exercised its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111" w:lineRule="exact"/>
        <w:rPr>
          <w:sz w:val="20"/>
          <w:szCs w:val="20"/>
          <w:color w:val="auto"/>
        </w:rPr>
      </w:pPr>
    </w:p>
    <w:p>
      <w:pPr>
        <w:ind w:left="1320" w:right="559" w:hanging="434"/>
        <w:spacing w:after="0" w:line="259"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0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02"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1" w:lineRule="exact"/>
        <w:rPr>
          <w:sz w:val="20"/>
          <w:szCs w:val="20"/>
          <w:color w:val="auto"/>
        </w:rPr>
      </w:pPr>
    </w:p>
    <w:p>
      <w:pPr>
        <w:ind w:left="460" w:right="599"/>
        <w:spacing w:after="0" w:line="312" w:lineRule="auto"/>
        <w:rPr>
          <w:sz w:val="20"/>
          <w:szCs w:val="20"/>
          <w:color w:val="auto"/>
        </w:rPr>
      </w:pPr>
      <w:r>
        <w:rPr>
          <w:rFonts w:ascii="Arial" w:cs="Arial" w:eastAsia="Arial" w:hAnsi="Arial"/>
          <w:sz w:val="17"/>
          <w:szCs w:val="17"/>
          <w:b w:val="1"/>
          <w:bCs w:val="1"/>
          <w:color w:val="auto"/>
        </w:rPr>
        <w:t>Unlike most other similarly structured blank check companies, our sponsor will receive additional Class A ordinary shares if we issue shares to consummate an initial business combination.</w:t>
      </w:r>
    </w:p>
    <w:p>
      <w:pPr>
        <w:spacing w:after="0" w:line="7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founder shares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right="499"/>
        <w:spacing w:after="0" w:line="271" w:lineRule="auto"/>
        <w:rPr>
          <w:sz w:val="20"/>
          <w:szCs w:val="20"/>
          <w:color w:val="auto"/>
        </w:rPr>
      </w:pPr>
      <w:r>
        <w:rPr>
          <w:rFonts w:ascii="Arial" w:cs="Arial" w:eastAsia="Arial" w:hAnsi="Arial"/>
          <w:sz w:val="17"/>
          <w:szCs w:val="17"/>
          <w:color w:val="auto"/>
        </w:rPr>
        <w:t>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174" w:lineRule="exact"/>
        <w:rPr>
          <w:sz w:val="20"/>
          <w:szCs w:val="20"/>
          <w:color w:val="auto"/>
        </w:rPr>
      </w:pPr>
    </w:p>
    <w:p>
      <w:pPr>
        <w:ind w:left="460" w:right="639"/>
        <w:spacing w:after="0" w:line="258" w:lineRule="auto"/>
        <w:rPr>
          <w:sz w:val="20"/>
          <w:szCs w:val="20"/>
          <w:color w:val="auto"/>
        </w:rPr>
      </w:pPr>
      <w:r>
        <w:rPr>
          <w:rFonts w:ascii="Arial" w:cs="Arial" w:eastAsia="Arial" w:hAnsi="Arial"/>
          <w:sz w:val="18"/>
          <w:szCs w:val="18"/>
          <w:b w:val="1"/>
          <w:b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8"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U.S. federal income tax consequences to U.S. investors.</w:t>
      </w:r>
    </w:p>
    <w:p>
      <w:pPr>
        <w:spacing w:after="0" w:line="9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183"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9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right="599"/>
        <w:spacing w:after="0" w:line="28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9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57" w:lineRule="exact"/>
        <w:rPr>
          <w:sz w:val="20"/>
          <w:szCs w:val="20"/>
          <w:color w:val="auto"/>
        </w:rPr>
      </w:pPr>
    </w:p>
    <w:p>
      <w:pPr>
        <w:ind w:left="460" w:right="89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9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166"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2" w:lineRule="exact"/>
        <w:rPr>
          <w:sz w:val="20"/>
          <w:szCs w:val="20"/>
          <w:color w:val="auto"/>
        </w:rPr>
      </w:pPr>
    </w:p>
    <w:p>
      <w:pPr>
        <w:ind w:left="460" w:right="559"/>
        <w:spacing w:after="0" w:line="256"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jc w:val="both"/>
        <w:ind w:left="460" w:right="5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1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4"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9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57"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37" w:lineRule="exact"/>
        <w:rPr>
          <w:sz w:val="20"/>
          <w:szCs w:val="20"/>
          <w:color w:val="auto"/>
        </w:rPr>
      </w:pPr>
    </w:p>
    <w:p>
      <w:pPr>
        <w:ind w:left="460" w:right="579"/>
        <w:spacing w:after="0" w:line="261"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0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ind w:left="460" w:right="479" w:firstLine="432"/>
        <w:spacing w:after="0" w:line="270" w:lineRule="auto"/>
        <w:rPr>
          <w:sz w:val="20"/>
          <w:szCs w:val="20"/>
          <w:color w:val="auto"/>
        </w:rPr>
      </w:pPr>
      <w:r>
        <w:rPr>
          <w:rFonts w:ascii="Arial" w:cs="Arial" w:eastAsia="Arial" w:hAnsi="Arial"/>
          <w:sz w:val="17"/>
          <w:szCs w:val="17"/>
          <w:color w:val="auto"/>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73"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37" w:lineRule="exact"/>
        <w:rPr>
          <w:sz w:val="20"/>
          <w:szCs w:val="20"/>
          <w:color w:val="auto"/>
        </w:rPr>
      </w:pPr>
    </w:p>
    <w:p>
      <w:pPr>
        <w:ind w:left="460" w:right="799"/>
        <w:spacing w:after="0" w:line="282"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5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7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or entities affiliated with our sponsor, executive officers, directors or existing holders. Our directors also serve as officers and board members for other entities, including, without limitation, those described under “Management — Conflicts of Interest.” 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other independent entity regarding the fairness to our company from a financial point of view of a business combination with one or more domestic or international businesses affiliated with our sponsor, executive officers, directors or existing holders, potential conflicts of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right="599"/>
        <w:spacing w:after="0" w:line="277" w:lineRule="auto"/>
        <w:rPr>
          <w:sz w:val="20"/>
          <w:szCs w:val="20"/>
          <w:color w:val="auto"/>
        </w:rPr>
      </w:pPr>
      <w:r>
        <w:rPr>
          <w:rFonts w:ascii="Arial" w:cs="Arial" w:eastAsia="Arial" w:hAnsi="Arial"/>
          <w:sz w:val="18"/>
          <w:szCs w:val="18"/>
          <w:color w:val="auto"/>
        </w:rPr>
        <w:t>still may exist and, as a result, the terms of the business combination may not be as advantageous to our public shareholders as they would be absent any conflicts of interest.</w:t>
      </w:r>
    </w:p>
    <w:p>
      <w:pPr>
        <w:spacing w:after="0" w:line="126"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has committed, pursuant to a written agreement, to purchase an aggregate of 9,500,000 private placement warrants, each exercisable to purchase one Class A ordinary share at $11.50 per share, at a price of $1.00 per warrant ($9,500,000 in the aggregate), in a private placement that will close simultaneously with the closing of this offering. If we do not consummate an initial business within 18 months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anniversary of the closing of this offering nears, which is the deadline for our consummation of an initial business combination.</w:t>
      </w:r>
    </w:p>
    <w:p>
      <w:pPr>
        <w:spacing w:after="0" w:line="388"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12"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14" w:lineRule="exact"/>
        <w:rPr>
          <w:sz w:val="20"/>
          <w:szCs w:val="20"/>
          <w:color w:val="auto"/>
        </w:rPr>
      </w:pPr>
    </w:p>
    <w:p>
      <w:pPr>
        <w:ind w:left="1320" w:right="5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15" w:lineRule="exact"/>
        <w:rPr>
          <w:rFonts w:ascii="Arial" w:cs="Arial" w:eastAsia="Arial" w:hAnsi="Arial"/>
          <w:sz w:val="16"/>
          <w:szCs w:val="16"/>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1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5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48" w:name="page49"/>
    <w:bookmarkEnd w:id="48"/>
    <w:p>
      <w:pPr>
        <w:ind w:left="1320" w:right="899" w:hanging="434"/>
        <w:spacing w:after="0" w:line="286" w:lineRule="auto"/>
        <w:tabs>
          <w:tab w:leader="none" w:pos="13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1"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net proceeds from this offering and the private placement of warrants may provide us with up to $292,000,000 (or $334,525,000 if the underwriter’s over-allotment option is exercised in full) that we may use to complete our initial business combination (after taking into account the $10,500,000, or $12,075,000 if the over-allotment option is exercised in full, of deferred underwriting commissions being held in the trust account and the estimated expenses of this offering).</w:t>
      </w:r>
    </w:p>
    <w:p>
      <w:pPr>
        <w:spacing w:after="0" w:line="12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14"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44"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ind w:left="460" w:right="499"/>
        <w:spacing w:after="0" w:line="28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99"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right="719"/>
        <w:spacing w:after="0" w:line="28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9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72" w:lineRule="exact"/>
        <w:rPr>
          <w:sz w:val="20"/>
          <w:szCs w:val="20"/>
          <w:color w:val="auto"/>
        </w:rPr>
      </w:pPr>
    </w:p>
    <w:p>
      <w:pPr>
        <w:ind w:left="460" w:right="1059"/>
        <w:spacing w:after="0" w:line="266" w:lineRule="auto"/>
        <w:rPr>
          <w:sz w:val="20"/>
          <w:szCs w:val="20"/>
          <w:color w:val="auto"/>
        </w:rPr>
      </w:pPr>
      <w:r>
        <w:rPr>
          <w:rFonts w:ascii="Arial" w:cs="Arial" w:eastAsia="Arial" w:hAnsi="Arial"/>
          <w:sz w:val="18"/>
          <w:szCs w:val="18"/>
          <w:b w:val="1"/>
          <w:bCs w:val="1"/>
          <w:color w:val="auto"/>
        </w:rPr>
        <w:t>We may seek business combination opportunities with a high degree of complexity that require significant operational improvements, which could delay or prevent us from achieving our desired results.</w:t>
      </w:r>
    </w:p>
    <w:p>
      <w:pPr>
        <w:spacing w:after="0" w:line="9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19"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64" w:lineRule="exact"/>
        <w:rPr>
          <w:sz w:val="20"/>
          <w:szCs w:val="20"/>
          <w:color w:val="auto"/>
        </w:rPr>
      </w:pPr>
    </w:p>
    <w:p>
      <w:pPr>
        <w:ind w:left="460" w:right="539"/>
        <w:spacing w:after="0" w:line="266"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ind w:left="460" w:right="659"/>
        <w:spacing w:after="0" w:line="298" w:lineRule="auto"/>
        <w:rPr>
          <w:sz w:val="20"/>
          <w:szCs w:val="20"/>
          <w:color w:val="auto"/>
        </w:rPr>
      </w:pPr>
      <w:r>
        <w:rPr>
          <w:rFonts w:ascii="Arial" w:cs="Arial" w:eastAsia="Arial" w:hAnsi="Arial"/>
          <w:sz w:val="16"/>
          <w:szCs w:val="16"/>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90"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65% of the public warrants and, solely with respect to any amendment to the terms of the private placement warrants or any provision of the warrant agreement with respect to the private placement warrants, 65% of the number of the then-outstanding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spacing w:after="0" w:line="176" w:lineRule="exact"/>
        <w:rPr>
          <w:sz w:val="20"/>
          <w:szCs w:val="20"/>
          <w:color w:val="auto"/>
        </w:rPr>
      </w:pPr>
    </w:p>
    <w:p>
      <w:pPr>
        <w:ind w:left="460" w:right="579"/>
        <w:spacing w:after="0" w:line="272"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95"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ectPr>
          <w:pgSz w:w="11900" w:h="16838" w:orient="portrait"/>
          <w:cols w:equalWidth="0" w:num="1">
            <w:col w:w="9019"/>
          </w:cols>
          <w:pgMar w:left="1440" w:top="337" w:right="1440"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1" w:name="page52"/>
    <w:bookmarkEnd w:id="51"/>
    <w:p>
      <w:pPr>
        <w:ind w:left="460" w:right="459" w:firstLine="432"/>
        <w:spacing w:after="0" w:line="286" w:lineRule="auto"/>
        <w:rPr>
          <w:sz w:val="20"/>
          <w:szCs w:val="20"/>
          <w:color w:val="auto"/>
        </w:rPr>
      </w:pPr>
      <w:r>
        <w:rPr>
          <w:rFonts w:ascii="Arial" w:cs="Arial" w:eastAsia="Arial" w:hAnsi="Arial"/>
          <w:sz w:val="16"/>
          <w:szCs w:val="16"/>
          <w:color w:val="auto"/>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170"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77"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81" w:lineRule="exact"/>
        <w:rPr>
          <w:sz w:val="20"/>
          <w:szCs w:val="20"/>
          <w:color w:val="auto"/>
        </w:rPr>
      </w:pPr>
    </w:p>
    <w:p>
      <w:pPr>
        <w:ind w:left="460" w:right="779"/>
        <w:spacing w:after="0" w:line="312" w:lineRule="auto"/>
        <w:rPr>
          <w:sz w:val="20"/>
          <w:szCs w:val="20"/>
          <w:color w:val="auto"/>
        </w:rPr>
      </w:pPr>
      <w:r>
        <w:rPr>
          <w:rFonts w:ascii="Arial" w:cs="Arial" w:eastAsia="Arial" w:hAnsi="Arial"/>
          <w:sz w:val="17"/>
          <w:szCs w:val="17"/>
          <w:b w:val="1"/>
          <w:bCs w:val="1"/>
          <w:color w:val="auto"/>
        </w:rPr>
        <w:t>Our sponsor controls a substantial interest in us and thus may exert a substantial influence on actions requiring a shareholder vote, potentially in a manner that you do not support.</w:t>
      </w:r>
    </w:p>
    <w:p>
      <w:pPr>
        <w:spacing w:after="0" w:line="7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Upon closing of this offering, our sponsor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right="599"/>
        <w:spacing w:after="0" w:line="255" w:lineRule="auto"/>
        <w:rPr>
          <w:sz w:val="20"/>
          <w:szCs w:val="20"/>
          <w:color w:val="auto"/>
        </w:rPr>
      </w:pPr>
      <w:r>
        <w:rPr>
          <w:rFonts w:ascii="Arial" w:cs="Arial" w:eastAsia="Arial" w:hAnsi="Arial"/>
          <w:sz w:val="18"/>
          <w:szCs w:val="18"/>
          <w:color w:val="auto"/>
        </w:rPr>
        <w:t>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In addition, we have agreed not to enter into a definitive agreement regarding an initial business combination without the prior consent of our sponsor. Accordingly, our sponsor will continue to exert control at least until the completion of our initial business combination.</w:t>
      </w:r>
    </w:p>
    <w:p>
      <w:pPr>
        <w:spacing w:after="0" w:line="188" w:lineRule="exact"/>
        <w:rPr>
          <w:sz w:val="20"/>
          <w:szCs w:val="20"/>
          <w:color w:val="auto"/>
        </w:rPr>
      </w:pPr>
    </w:p>
    <w:p>
      <w:pPr>
        <w:ind w:left="460" w:right="599"/>
        <w:spacing w:after="0" w:line="347" w:lineRule="auto"/>
        <w:rPr>
          <w:sz w:val="20"/>
          <w:szCs w:val="20"/>
          <w:color w:val="auto"/>
        </w:rPr>
      </w:pPr>
      <w:r>
        <w:rPr>
          <w:rFonts w:ascii="Arial" w:cs="Arial" w:eastAsia="Arial" w:hAnsi="Arial"/>
          <w:sz w:val="16"/>
          <w:szCs w:val="16"/>
          <w:b w:val="1"/>
          <w:bCs w:val="1"/>
          <w:color w:val="auto"/>
        </w:rPr>
        <w:t>Our sponsor contributed $25,000, or approximately $0.003 per founder share, and, accordingly, you will experience immediate and substantial dilution from the purchase of our Class A ordinary shares.</w:t>
      </w:r>
    </w:p>
    <w:p>
      <w:pPr>
        <w:spacing w:after="0" w:line="3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94.3% (or $9.43 per share, assuming no exercise of the underwriter’s over-allotment option), the difference between the pro forma net tangible book value per share of $0.57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167"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65%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120"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this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of public warrants. Accordingly, we may amend the terms of the public warrants in a manner adverse to a holder if holders of at least 65% of the then-outstanding public warrants approve of such amendment and, solely with respect to any amendment to the terms of the private placement warrants or any provision of the warrant agreement with respect to the private placement warrants, 65% of the number of the then-outstanding private placement warrants. Although our ability to amend the terms of the public warrants with the consent of at least 65%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17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right="1019"/>
        <w:spacing w:after="0" w:line="259" w:lineRule="auto"/>
        <w:rPr>
          <w:sz w:val="20"/>
          <w:szCs w:val="20"/>
          <w:color w:val="auto"/>
        </w:rPr>
      </w:pPr>
      <w:r>
        <w:rPr>
          <w:rFonts w:ascii="Arial" w:cs="Arial" w:eastAsia="Arial" w:hAnsi="Arial"/>
          <w:sz w:val="18"/>
          <w:szCs w:val="18"/>
          <w:color w:val="auto"/>
        </w:rPr>
        <w:t>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spacing w:after="0" w:line="183"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85"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will be issuing warrants to purchase 15,000,000 Class A ordinary shares (or up to 17,250,000 Class A ordinary shares if the underwriter’s over-allotment option is exercised in full) as part of the units offered by this prospectus and, simultaneously with the closing of this offering, we will be issuing in a private placement an aggregate of 9,500,000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spacing w:after="0" w:line="9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6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blank check companies.</w:t>
      </w:r>
    </w:p>
    <w:p>
      <w:pPr>
        <w:spacing w:after="0" w:line="9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64" w:lineRule="exact"/>
        <w:rPr>
          <w:sz w:val="20"/>
          <w:szCs w:val="20"/>
          <w:color w:val="auto"/>
        </w:rPr>
      </w:pPr>
    </w:p>
    <w:p>
      <w:pPr>
        <w:ind w:left="460" w:right="111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8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the underwriter, both prior to our inception and thereafter, with respect to the state of capital markets, generally, and the amount the underwriter believed it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right="879"/>
        <w:spacing w:after="0" w:line="342" w:lineRule="auto"/>
        <w:rPr>
          <w:sz w:val="20"/>
          <w:szCs w:val="20"/>
          <w:color w:val="auto"/>
        </w:rPr>
      </w:pPr>
      <w:r>
        <w:rPr>
          <w:rFonts w:ascii="Arial" w:cs="Arial" w:eastAsia="Arial" w:hAnsi="Arial"/>
          <w:sz w:val="16"/>
          <w:szCs w:val="16"/>
          <w:color w:val="auto"/>
        </w:rPr>
        <w:t>reasonably could raise on our behalf. Factors considered in determining the size of this offering, prices and terms of the units, including the Class A ordinary shares and warrants underlying the units, include:</w:t>
      </w:r>
    </w:p>
    <w:p>
      <w:pPr>
        <w:spacing w:after="0" w:line="43" w:lineRule="exact"/>
        <w:rPr>
          <w:sz w:val="20"/>
          <w:szCs w:val="20"/>
          <w:color w:val="auto"/>
        </w:rPr>
      </w:pPr>
    </w:p>
    <w:p>
      <w:pPr>
        <w:ind w:left="1320" w:right="119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85"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74"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64"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9"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right="559"/>
        <w:spacing w:after="0" w:line="271" w:lineRule="auto"/>
        <w:rPr>
          <w:sz w:val="20"/>
          <w:szCs w:val="20"/>
          <w:color w:val="auto"/>
        </w:rPr>
      </w:pPr>
      <w:r>
        <w:rPr>
          <w:rFonts w:ascii="Arial" w:cs="Arial" w:eastAsia="Arial" w:hAnsi="Arial"/>
          <w:sz w:val="17"/>
          <w:szCs w:val="17"/>
          <w:color w:val="auto"/>
        </w:rPr>
        <w:t>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6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12"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8" w:lineRule="exact"/>
        <w:rPr>
          <w:sz w:val="20"/>
          <w:szCs w:val="20"/>
          <w:color w:val="auto"/>
        </w:rPr>
      </w:pPr>
    </w:p>
    <w:p>
      <w:pPr>
        <w:ind w:left="460" w:right="659"/>
        <w:spacing w:after="0" w:line="266"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99"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81"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w:t>
      </w:r>
    </w:p>
    <w:p>
      <w:pPr>
        <w:sectPr>
          <w:pgSz w:w="11900" w:h="16838" w:orient="portrait"/>
          <w:cols w:equalWidth="0" w:num="1">
            <w:col w:w="9019"/>
          </w:cols>
          <w:pgMar w:left="1440" w:top="233"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56" w:name="page57"/>
    <w:bookmarkEnd w:id="56"/>
    <w:p>
      <w:pPr>
        <w:ind w:left="460" w:right="579"/>
        <w:spacing w:after="0" w:line="255" w:lineRule="auto"/>
        <w:rPr>
          <w:sz w:val="20"/>
          <w:szCs w:val="20"/>
          <w:color w:val="auto"/>
        </w:rPr>
      </w:pPr>
      <w:r>
        <w:rPr>
          <w:rFonts w:ascii="Arial" w:cs="Arial" w:eastAsia="Arial" w:hAnsi="Arial"/>
          <w:sz w:val="18"/>
          <w:szCs w:val="18"/>
          <w:color w:val="auto"/>
        </w:rPr>
        <w:t>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1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0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80" w:lineRule="exact"/>
        <w:rPr>
          <w:sz w:val="20"/>
          <w:szCs w:val="20"/>
          <w:color w:val="auto"/>
        </w:rPr>
      </w:pPr>
    </w:p>
    <w:p>
      <w:pPr>
        <w:jc w:val="both"/>
        <w:ind w:left="460" w:right="579"/>
        <w:spacing w:after="0" w:line="266" w:lineRule="auto"/>
        <w:rPr>
          <w:sz w:val="20"/>
          <w:szCs w:val="20"/>
          <w:color w:val="auto"/>
        </w:rPr>
      </w:pPr>
      <w:r>
        <w:rPr>
          <w:rFonts w:ascii="Arial" w:cs="Arial" w:eastAsia="Arial" w:hAnsi="Arial"/>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1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 investment in this offering may result in uncertain or adverse U.S. federal income tax consequences.</w:t>
      </w:r>
    </w:p>
    <w:p>
      <w:pPr>
        <w:spacing w:after="0" w:line="17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right="679"/>
        <w:spacing w:after="0" w:line="282"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98"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2" w:lineRule="exact"/>
        <w:rPr>
          <w:sz w:val="20"/>
          <w:szCs w:val="20"/>
          <w:color w:val="auto"/>
        </w:rPr>
      </w:pPr>
    </w:p>
    <w:p>
      <w:pPr>
        <w:ind w:left="460" w:right="619"/>
        <w:spacing w:after="0" w:line="261" w:lineRule="auto"/>
        <w:rPr>
          <w:sz w:val="20"/>
          <w:szCs w:val="20"/>
          <w:color w:val="auto"/>
        </w:rPr>
      </w:pPr>
      <w:r>
        <w:rPr>
          <w:rFonts w:ascii="Arial" w:cs="Arial" w:eastAsia="Arial" w:hAnsi="Arial"/>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103"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125" w:lineRule="exact"/>
        <w:rPr>
          <w:sz w:val="20"/>
          <w:szCs w:val="20"/>
          <w:color w:val="auto"/>
        </w:rPr>
      </w:pPr>
    </w:p>
    <w:p>
      <w:pPr>
        <w:ind w:left="1320" w:right="71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the NYSE;</w:t>
      </w:r>
    </w:p>
    <w:p>
      <w:pPr>
        <w:spacing w:after="0" w:line="102" w:lineRule="exact"/>
        <w:rPr>
          <w:rFonts w:ascii="Arial" w:cs="Arial" w:eastAsia="Arial" w:hAnsi="Arial"/>
          <w:sz w:val="18"/>
          <w:szCs w:val="18"/>
          <w:color w:val="auto"/>
        </w:rPr>
      </w:pPr>
    </w:p>
    <w:p>
      <w:pPr>
        <w:ind w:left="1320" w:right="539" w:hanging="434"/>
        <w:spacing w:after="0" w:line="308" w:lineRule="auto"/>
        <w:tabs>
          <w:tab w:leader="none" w:pos="13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65"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16"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5"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7"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0"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8" w:name="page59"/>
    <w:bookmarkEnd w:id="58"/>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53" w:lineRule="exact"/>
        <w:rPr>
          <w:rFonts w:ascii="Arial" w:cs="Arial" w:eastAsia="Arial" w:hAnsi="Arial"/>
          <w:sz w:val="16"/>
          <w:szCs w:val="16"/>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3"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99"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74"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right="459"/>
        <w:spacing w:after="0" w:line="308" w:lineRule="auto"/>
        <w:rPr>
          <w:sz w:val="20"/>
          <w:szCs w:val="20"/>
          <w:color w:val="auto"/>
        </w:rPr>
      </w:pPr>
      <w:r>
        <w:rPr>
          <w:rFonts w:ascii="Arial" w:cs="Arial" w:eastAsia="Arial" w:hAnsi="Arial"/>
          <w:sz w:val="17"/>
          <w:szCs w:val="17"/>
          <w:color w:val="auto"/>
        </w:rPr>
        <w:t>our ability to find an attractive target business with which to consummate our initial business combination and if we effect our initial business combination, the ability of that target business to become profitable.</w:t>
      </w:r>
    </w:p>
    <w:p>
      <w:pPr>
        <w:spacing w:after="0" w:line="142" w:lineRule="exact"/>
        <w:rPr>
          <w:sz w:val="20"/>
          <w:szCs w:val="20"/>
          <w:color w:val="auto"/>
        </w:rPr>
      </w:pPr>
    </w:p>
    <w:p>
      <w:pPr>
        <w:ind w:left="460" w:right="759"/>
        <w:spacing w:after="0" w:line="282" w:lineRule="auto"/>
        <w:rPr>
          <w:sz w:val="20"/>
          <w:szCs w:val="20"/>
          <w:color w:val="auto"/>
        </w:rPr>
      </w:pPr>
      <w:r>
        <w:rPr>
          <w:rFonts w:ascii="Arial" w:cs="Arial" w:eastAsia="Arial" w:hAnsi="Arial"/>
          <w:sz w:val="18"/>
          <w:szCs w:val="18"/>
          <w:b w:val="1"/>
          <w:bCs w:val="1"/>
          <w:color w:val="auto"/>
        </w:rPr>
        <w:t>Exchange rate fluctuations and currency policies may cause a target business’ ability to succeed in the international markets to be diminished.</w:t>
      </w:r>
    </w:p>
    <w:p>
      <w:pPr>
        <w:spacing w:after="0" w:line="8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679"/>
        <w:spacing w:after="0" w:line="266"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12"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88" w:lineRule="exact"/>
        <w:rPr>
          <w:sz w:val="20"/>
          <w:szCs w:val="20"/>
          <w:color w:val="auto"/>
        </w:rPr>
      </w:pPr>
    </w:p>
    <w:p>
      <w:pPr>
        <w:ind w:left="460" w:right="559"/>
        <w:spacing w:after="0" w:line="347" w:lineRule="auto"/>
        <w:rPr>
          <w:sz w:val="20"/>
          <w:szCs w:val="20"/>
          <w:color w:val="auto"/>
        </w:rPr>
      </w:pPr>
      <w:r>
        <w:rPr>
          <w:rFonts w:ascii="Arial" w:cs="Arial" w:eastAsia="Arial" w:hAnsi="Arial"/>
          <w:sz w:val="16"/>
          <w:szCs w:val="16"/>
          <w:b w:val="1"/>
          <w:bCs w:val="1"/>
          <w:color w:val="auto"/>
        </w:rPr>
        <w:t>We are subject to changing law and regulations regarding regulatory matters, corporate governance and public disclosure that have increased both our costs and the risk of non-compliance.</w:t>
      </w:r>
    </w:p>
    <w:p>
      <w:pPr>
        <w:spacing w:after="0" w:line="5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97"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5" w:lineRule="exact"/>
        <w:rPr>
          <w:sz w:val="20"/>
          <w:szCs w:val="20"/>
          <w:color w:val="auto"/>
        </w:rPr>
      </w:pPr>
    </w:p>
    <w:p>
      <w:pPr>
        <w:ind w:left="1320" w:right="71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and complete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102"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offering 30,000,000 units at an offering price of $10.00 per unit. We estimate that the net proceeds of this offering, together with the funds we will receive from the sale of the private placement warrants,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Without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Over-allotment</w:t>
            </w:r>
          </w:p>
        </w:tc>
      </w:tr>
      <w:tr>
        <w:trPr>
          <w:trHeight w:val="203"/>
        </w:trPr>
        <w:tc>
          <w:tcPr>
            <w:tcW w:w="520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Over-allotment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Option</w:t>
            </w: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Exercised</w:t>
            </w:r>
          </w:p>
        </w:tc>
      </w:tr>
      <w:tr>
        <w:trPr>
          <w:trHeight w:val="46"/>
        </w:trPr>
        <w:tc>
          <w:tcPr>
            <w:tcW w:w="5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300,000,000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345,000,000</w:t>
            </w: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Gross proceeds from private placement warrants offered in the private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8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309,500,000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70"/>
        </w:trPr>
        <w:tc>
          <w:tcPr>
            <w:tcW w:w="5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b w:val="1"/>
                <w:bCs w:val="1"/>
                <w:color w:val="auto"/>
              </w:rPr>
              <w:t>Offering expenses</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Underwriting commissions (2.0% of gross proceeds from units offered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0"/>
                <w:szCs w:val="20"/>
                <w:color w:val="auto"/>
                <w:vertAlign w:val="superscript"/>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6,900,000</w:t>
            </w:r>
          </w:p>
        </w:tc>
        <w:tc>
          <w:tcPr>
            <w:tcW w:w="140" w:type="dxa"/>
            <w:vAlign w:val="bottom"/>
            <w:shd w:val="clear" w:color="auto" w:fill="CCEEFF"/>
          </w:tcPr>
          <w:p>
            <w:pPr>
              <w:spacing w:after="0"/>
              <w:rPr>
                <w:sz w:val="23"/>
                <w:szCs w:val="23"/>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Travel and road show</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Director &amp; Officer liability insurance premiums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27,969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27,969</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offering expenses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302,500,000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346,600,000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3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1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of public offering size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shows the use of the $2,500,000 of net proceeds not held in the trust account.</w:t>
      </w:r>
      <w:r>
        <w:rPr>
          <w:rFonts w:ascii="Arial" w:cs="Arial" w:eastAsia="Arial" w:hAnsi="Arial"/>
          <w:sz w:val="19"/>
          <w:szCs w:val="19"/>
          <w:color w:val="auto"/>
          <w:vertAlign w:val="superscript"/>
        </w:rPr>
        <w:t>(4)(5)</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 of Total</w:t>
            </w:r>
          </w:p>
        </w:tc>
      </w:tr>
      <w:tr>
        <w:trPr>
          <w:trHeight w:val="47"/>
        </w:trPr>
        <w:tc>
          <w:tcPr>
            <w:tcW w:w="5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Legal, accounting, due diligence, travel, and other expenses in connection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71"/>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r>
              <w:rPr>
                <w:rFonts w:ascii="Arial" w:cs="Arial" w:eastAsia="Arial" w:hAnsi="Arial"/>
                <w:sz w:val="20"/>
                <w:szCs w:val="20"/>
                <w:color w:val="auto"/>
                <w:vertAlign w:val="superscript"/>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40"/>
        </w:trPr>
        <w:tc>
          <w:tcPr>
            <w:tcW w:w="5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NYSE fees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r>
      <w:tr>
        <w:trPr>
          <w:trHeight w:val="40"/>
        </w:trPr>
        <w:tc>
          <w:tcPr>
            <w:tcW w:w="5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59" w:hanging="426"/>
        <w:spacing w:after="0" w:line="266"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amounts payable to public shareholders who properly redeem their shares in connection with our successful completion of our initial business combination.</w:t>
      </w:r>
    </w:p>
    <w:p>
      <w:pPr>
        <w:spacing w:after="0" w:line="1" w:lineRule="exact"/>
        <w:rPr>
          <w:rFonts w:ascii="Arial" w:cs="Arial" w:eastAsia="Arial" w:hAnsi="Arial"/>
          <w:sz w:val="16"/>
          <w:szCs w:val="16"/>
          <w:color w:val="auto"/>
        </w:rPr>
      </w:pPr>
    </w:p>
    <w:p>
      <w:pPr>
        <w:ind w:left="880" w:right="499" w:hanging="426"/>
        <w:spacing w:after="0" w:line="281" w:lineRule="auto"/>
        <w:tabs>
          <w:tab w:leader="none" w:pos="87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portion of the offering expenses will be paid from the proceeds of loans from our sponsor of up to $300,000 as described in this prospectus. As of December 31, 2019, we had not borrowed any amount under the promissory 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Arial" w:cs="Arial" w:eastAsia="Arial" w:hAnsi="Arial"/>
          <w:sz w:val="15"/>
          <w:szCs w:val="15"/>
          <w:color w:val="auto"/>
        </w:rPr>
      </w:pPr>
    </w:p>
    <w:p>
      <w:pPr>
        <w:ind w:left="880" w:right="479" w:hanging="426"/>
        <w:spacing w:after="0" w:line="268" w:lineRule="auto"/>
        <w:tabs>
          <w:tab w:leader="none" w:pos="8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underwriter has agreed to defer underwriting commissions of 3.5% of the gross proceeds of this offering. Upon and concurrently with the completion of our initial business combination, $10,500,000, which constitutes the underwriter’s deferred commissions (or $12,075,000 if the underwriter’s over-allotment option is exercised in full) will be paid to the underwriter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2" w:name="page63"/>
    <w:bookmarkEnd w:id="62"/>
    <w:p>
      <w:pPr>
        <w:ind w:left="880" w:right="559"/>
        <w:spacing w:after="0" w:line="265" w:lineRule="auto"/>
        <w:rPr>
          <w:sz w:val="20"/>
          <w:szCs w:val="20"/>
          <w:color w:val="auto"/>
        </w:rPr>
      </w:pPr>
      <w:r>
        <w:rPr>
          <w:rFonts w:ascii="Arial" w:cs="Arial" w:eastAsia="Arial" w:hAnsi="Arial"/>
          <w:sz w:val="16"/>
          <w:szCs w:val="16"/>
          <w:color w:val="auto"/>
        </w:rPr>
        <w:t>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81" w:lineRule="auto"/>
        <w:tabs>
          <w:tab w:leader="none" w:pos="87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0.5% per year, we estimate the interest earned on the trust account will be approximately $1,500,000 per year; however, we can provide no assurances regarding this amount. The trust account’s earnings will be lower as interest rates on short-term government treasury obligations decline.</w:t>
      </w:r>
    </w:p>
    <w:p>
      <w:pPr>
        <w:spacing w:after="0" w:line="8" w:lineRule="exact"/>
        <w:rPr>
          <w:rFonts w:ascii="Arial" w:cs="Arial" w:eastAsia="Arial" w:hAnsi="Arial"/>
          <w:sz w:val="15"/>
          <w:szCs w:val="15"/>
          <w:color w:val="auto"/>
        </w:rPr>
      </w:pPr>
    </w:p>
    <w:p>
      <w:pPr>
        <w:ind w:left="880" w:hanging="426"/>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880" w:right="639" w:hanging="426"/>
        <w:spacing w:after="0" w:line="288"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estimated amounts that may also be used in connection with our initial business combination to fund a “no shop” provision and commitment fees for financing.</w:t>
      </w:r>
    </w:p>
    <w:p>
      <w:pPr>
        <w:spacing w:after="0" w:line="10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Of the $309,500,000 in proceeds we receive from this offering and the sale of the private placement warrants described in this prospectus, or $354,500,000 if the underwriter’s over-allotment option is exercised in full, $300,000,000 ($10.00 per unit), or $345,000,000 if the underwriter’s over-allotment option is exercised in full ($10.00 per unit), will be deposited into a trust account with Continental Stock Transfer &amp; Trust Company acting as trustee, and $10,000,000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18 months from the closing of this offering, subject to applicable law, or (iii) 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Based on current interest rates, we expect that interest income earned on the trust account (if any) will be sufficient to pay our income taxes.</w:t>
      </w:r>
    </w:p>
    <w:p>
      <w:pPr>
        <w:spacing w:after="0" w:line="9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1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99" w:lineRule="exact"/>
        <w:rPr>
          <w:sz w:val="20"/>
          <w:szCs w:val="20"/>
          <w:color w:val="auto"/>
        </w:rPr>
      </w:pPr>
    </w:p>
    <w:p>
      <w:pPr>
        <w:ind w:left="460" w:right="699" w:firstLine="432"/>
        <w:spacing w:after="0" w:line="311" w:lineRule="auto"/>
        <w:rPr>
          <w:sz w:val="20"/>
          <w:szCs w:val="20"/>
          <w:color w:val="auto"/>
        </w:rPr>
      </w:pPr>
      <w:r>
        <w:rPr>
          <w:rFonts w:ascii="Arial" w:cs="Arial" w:eastAsia="Arial" w:hAnsi="Arial"/>
          <w:sz w:val="16"/>
          <w:szCs w:val="16"/>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3" w:name="page64"/>
    <w:bookmarkEnd w:id="63"/>
    <w:p>
      <w:pPr>
        <w:ind w:left="460" w:right="559" w:firstLine="432"/>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As of December 31, 2019, we had not borrowed any amount under the promissory note with our sponsor. These loans are non-interest bearing, unsecured and are due at the earlier of June 30, 2020 or the closing of this offering. The loan will be repaid upon the closing of this offering out of the offering proceeds not held in the trust account.</w:t>
      </w:r>
    </w:p>
    <w:p>
      <w:pPr>
        <w:spacing w:after="0" w:line="10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0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At December 31, 2019, our net tangible book deficit was $(87,699), or approximately $(0.01) per ordinary share. After giving effect to the sale of 30,000,000 Class A ordinary shares included in the units we are offering by this prospectus (or 34,500,000 Class A ordinary shares if the underwriter’s over-allotment option is exercised in full), the sale of the private placement warrants and the deduction of underwriting commissions and estimated expenses of this offering, our pro forma net tangible book value at December 31, 2019 would have been $5,000,001 or $0.57 per share (or $5,000,001 or $0.49 per share if the underwriter’s over-allotment option is exercised in full), representing an immediate increase in net tangible book value (as decreased by the value of 28,701,596 Class A ordinary shares that may be redeemed for cash, or 32,954,096 Class A ordinary shares if the underwriter’s over-allotment option is exercised in full) of $0.58 per share (or $0.50 per share if the underwriter’s over-allotment option is exercised in full) to our sponsor as of the date of this prospectus and an immediate dilution to public shareholders from this offering of $10.00 per share. Total dilution to public shareholders from this offering will be $9.43 per share (or $9.51 if the underwriter’s over-allotment option is exercised in full).</w:t>
      </w:r>
    </w:p>
    <w:p>
      <w:pPr>
        <w:spacing w:after="0" w:line="119"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7"/>
              </w:rPr>
              <w:t>Without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With</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2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39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0.50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and the sale of the private placement warrants</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0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$287,015,960 because holders of up to approximately 95.7%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sponsor and the public shareholders: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060" w:type="dxa"/>
            <w:vAlign w:val="bottom"/>
            <w:gridSpan w:val="5"/>
            <w:vMerge w:val="restart"/>
          </w:tcPr>
          <w:p>
            <w:pPr>
              <w:ind w:left="360"/>
              <w:spacing w:after="0"/>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7"/>
                <w:szCs w:val="17"/>
                <w:color w:val="auto"/>
              </w:rPr>
            </w:pPr>
          </w:p>
        </w:tc>
        <w:tc>
          <w:tcPr>
            <w:tcW w:w="200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270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6"/>
                <w:szCs w:val="16"/>
                <w:b w:val="1"/>
                <w:bCs w:val="1"/>
                <w:color w:val="auto"/>
                <w:w w:val="90"/>
              </w:rPr>
              <w:t>Price per</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w:t>
            </w:r>
          </w:p>
        </w:tc>
        <w:tc>
          <w:tcPr>
            <w:tcW w:w="104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6"/>
        </w:trPr>
        <w:tc>
          <w:tcPr>
            <w:tcW w:w="2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Arial" w:cs="Arial" w:eastAsia="Arial" w:hAnsi="Arial"/>
                <w:sz w:val="18"/>
                <w:szCs w:val="18"/>
                <w:color w:val="auto"/>
              </w:rPr>
              <w:t>Public Shareholders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300,000,000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300,025,000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93" w:lineRule="auto"/>
        <w:tabs>
          <w:tab w:leader="none" w:pos="8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1,125,000 Class B ordinary shares held by our sponsor.</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6" w:name="page67"/>
    <w:bookmarkEnd w:id="66"/>
    <w:p>
      <w:pPr>
        <w:ind w:left="460" w:right="499" w:firstLine="432"/>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 does not exercise its over-allotment option) is calculated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Over-allotment</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9"/>
              </w:rPr>
              <w:t>Over-allotment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302,500,000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346,600,000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(12,075,000)</w:t>
            </w:r>
          </w:p>
        </w:tc>
        <w:tc>
          <w:tcPr>
            <w:tcW w:w="0" w:type="dxa"/>
            <w:vAlign w:val="bottom"/>
          </w:tcPr>
          <w:p>
            <w:pPr>
              <w:spacing w:after="0"/>
              <w:rPr>
                <w:sz w:val="1"/>
                <w:szCs w:val="1"/>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(287,015,960)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(329,540,960)</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(28,701,596)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(32,954,096)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8,798,404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10,170,904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39" w:hanging="426"/>
        <w:spacing w:after="0" w:line="265"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$1,000,000 and underwriting commissions of $6,000,000 or $6,900,000 if the underwriter exercises its over-allotment option (excluding deferred underwriting fees). See “Use of Proceeds.”</w:t>
      </w:r>
    </w:p>
    <w:p>
      <w:pPr>
        <w:spacing w:after="0" w:line="1" w:lineRule="exact"/>
        <w:rPr>
          <w:rFonts w:ascii="Arial" w:cs="Arial" w:eastAsia="Arial" w:hAnsi="Arial"/>
          <w:sz w:val="16"/>
          <w:szCs w:val="16"/>
          <w:color w:val="auto"/>
        </w:rPr>
      </w:pPr>
    </w:p>
    <w:p>
      <w:pPr>
        <w:ind w:left="880" w:right="499" w:hanging="426"/>
        <w:spacing w:after="0" w:line="267"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of Our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following table sets forth our capitalization at December 31, 2019,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December 31, 2019</w:t>
            </w:r>
          </w:p>
        </w:tc>
      </w:tr>
      <w:tr>
        <w:trPr>
          <w:trHeight w:val="46"/>
        </w:trPr>
        <w:tc>
          <w:tcPr>
            <w:tcW w:w="5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273"/>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(1)</w:t>
            </w:r>
          </w:p>
        </w:tc>
      </w:tr>
      <w:tr>
        <w:trPr>
          <w:trHeight w:val="26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10,500,000</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5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Class A ordinary shares, $0.0001 par value, 300,000,000 shares authorized; 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28,701,596 Class A ordinary shares are subject to possible redemption,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287,015,960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0"/>
              </w:rPr>
              <w:t>Preference shares, $0.0001 par value; 1,000,000 preference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0 preference shares issued and outstanding, actual and as adjusted</w:t>
            </w:r>
          </w:p>
        </w:tc>
        <w:tc>
          <w:tcPr>
            <w:tcW w:w="2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1,298,404 shares issued and outstanding (excluding 0 and 28,701,596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subject to possible redemption), actual and as adjusted, respectively</w:t>
            </w:r>
            <w:r>
              <w:rPr>
                <w:rFonts w:ascii="Arial" w:cs="Arial" w:eastAsia="Arial" w:hAnsi="Arial"/>
                <w:sz w:val="20"/>
                <w:szCs w:val="20"/>
                <w:color w:val="auto"/>
                <w:w w:val="90"/>
                <w:vertAlign w:val="superscript"/>
              </w:rPr>
              <w:t>(3)</w:t>
            </w: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6"/>
              </w:rPr>
              <w:t>Class B ordinary shares, $0.0001 par value, 30,000,000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w w:val="98"/>
              </w:rPr>
              <w:t>8,625,000 and 7,500,000 shares issued and outstanding, actual and as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5,008,160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302,515,961</w:t>
            </w:r>
          </w:p>
        </w:tc>
        <w:tc>
          <w:tcPr>
            <w:tcW w:w="14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66" w:lineRule="auto"/>
        <w:tabs>
          <w:tab w:leader="none" w:pos="8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1,250,000 Class B ordinary shares held by our sponsor.</w:t>
      </w:r>
    </w:p>
    <w:p>
      <w:pPr>
        <w:spacing w:after="0" w:line="1" w:lineRule="exact"/>
        <w:rPr>
          <w:rFonts w:ascii="Arial" w:cs="Arial" w:eastAsia="Arial" w:hAnsi="Arial"/>
          <w:sz w:val="16"/>
          <w:szCs w:val="16"/>
          <w:color w:val="auto"/>
        </w:rPr>
      </w:pPr>
    </w:p>
    <w:p>
      <w:pPr>
        <w:ind w:left="880" w:right="879" w:hanging="426"/>
        <w:spacing w:after="0" w:line="281"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sponsor has agreed to loan us up to $300,000 to be used for a portion of the expenses of this offering. As of December 31, 2019, we had not borrowed any amount under the promissory note with our sponsor.</w:t>
      </w:r>
    </w:p>
    <w:p>
      <w:pPr>
        <w:spacing w:after="0" w:line="1" w:lineRule="exact"/>
        <w:rPr>
          <w:rFonts w:ascii="Arial" w:cs="Arial" w:eastAsia="Arial" w:hAnsi="Arial"/>
          <w:sz w:val="15"/>
          <w:szCs w:val="15"/>
          <w:color w:val="auto"/>
        </w:rPr>
      </w:pPr>
    </w:p>
    <w:p>
      <w:pPr>
        <w:ind w:left="880" w:right="559" w:hanging="426"/>
        <w:spacing w:after="0" w:line="312" w:lineRule="auto"/>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are a blank check company incorporated on December 18, 2019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private placement of the private placement warrants, our shares, debt or a combination of cash, equity and debt.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58" w:lineRule="exact"/>
        <w:rPr>
          <w:sz w:val="20"/>
          <w:szCs w:val="20"/>
          <w:color w:val="auto"/>
        </w:rPr>
      </w:pPr>
    </w:p>
    <w:p>
      <w:pPr>
        <w:ind w:left="1320" w:right="559" w:hanging="434"/>
        <w:spacing w:after="0" w:line="259"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89"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or otherwise incur significant debt, it could result in:</w:t>
      </w:r>
    </w:p>
    <w:p>
      <w:pPr>
        <w:spacing w:after="0" w:line="158" w:lineRule="exact"/>
        <w:rPr>
          <w:sz w:val="20"/>
          <w:szCs w:val="20"/>
          <w:color w:val="auto"/>
        </w:rPr>
      </w:pPr>
    </w:p>
    <w:p>
      <w:pPr>
        <w:ind w:left="1320" w:right="5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5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9" w:name="page70"/>
    <w:bookmarkEnd w:id="69"/>
    <w:p>
      <w:pPr>
        <w:ind w:left="1320" w:right="899" w:hanging="434"/>
        <w:spacing w:after="0" w:line="286"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8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indicated in the accompanying financial statements, as of December 31, 2019, we had no cash and deferred offering costs of approximately $104,000.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Our liquidity needs have been satisfied prior to the completion of this offering through receipt of (i) a $25,000 capital contribution from our sponsor in exchange for the issuance of the founder shares to our sponsor and (ii) and loans to us of up to $300,000 by our sponsor under an unsecured promissory note. As of December 31, 2019, we had not borrowed any amount under the unsecured promissory note. We estimate that the net proceeds from (i) the sale of the units in this offering, after deducting offering expenses of $1,000,000, underwriting commissions of $6,000,000, or $6,900,000 if the underwriter’s over-allotment option is exercised in full (excluding deferred underwriting commissions of $10,500,000, or $12,075,000 if the underwriter’s over-allotment option is exercised in full), and (ii) the sale of the private placement warrants for a purchase price of $9,500,000 will be $302,500,000 (or $346,600,000 if the underwriter’s over-allotment option is exercised in full). $300,000,000 (or $345,000,000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$2,500,000 (or $1,600,000 if the underwriter’s over-allotment option is exercised in full)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Prior to the completion of our initial business combination, we will have available to us the $2,500,000 of proceeds held outside the trust account (or $1,600,000 if the underwriter’s over-allotment option is exercised in full), as well as certain funds from loans from our sponsor.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right="459" w:firstLine="432"/>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3"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expect our primary liquidity requirements during that period to include approximately $1,935,000 for legal, accounting, due diligence, travel and other expenses associated with structuring, negotiating and documenting successful business combinations; $120,000 for legal and accounting fees related to regulatory reporting requirements; $180,000 for office space, administrative and support services; $165,000 for NYSE continued listing fees; and $100,000 for general working capital that will be used for miscellaneous expenses and reserves.</w:t>
      </w:r>
    </w:p>
    <w:p>
      <w:pPr>
        <w:spacing w:after="0" w:line="125"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04"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required to maintain an effective system of internal controls as defined by</w:t>
      </w:r>
    </w:p>
    <w:p>
      <w:pPr>
        <w:spacing w:after="0" w:line="23" w:lineRule="exact"/>
        <w:rPr>
          <w:sz w:val="20"/>
          <w:szCs w:val="20"/>
          <w:color w:val="auto"/>
        </w:rPr>
      </w:pPr>
    </w:p>
    <w:p>
      <w:pPr>
        <w:ind w:left="460" w:right="479"/>
        <w:spacing w:after="0" w:line="251" w:lineRule="auto"/>
        <w:rPr>
          <w:sz w:val="20"/>
          <w:szCs w:val="20"/>
          <w:color w:val="auto"/>
        </w:rPr>
      </w:pPr>
      <w:r>
        <w:rPr>
          <w:rFonts w:ascii="Arial" w:cs="Arial" w:eastAsia="Arial" w:hAnsi="Arial"/>
          <w:sz w:val="18"/>
          <w:szCs w:val="18"/>
          <w:color w:val="auto"/>
        </w:rPr>
        <w:t>Section 404 of the Sarbanes-Oxley Act. We will be required to comply with the internal control requirements of the Sarbanes- 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right="599" w:firstLine="432"/>
        <w:spacing w:after="0" w:line="291"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5"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As of December 31, 2019,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right="479" w:firstLine="432"/>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potential business combination target.</w:t>
      </w:r>
    </w:p>
    <w:p>
      <w:pPr>
        <w:spacing w:after="0" w:line="11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4" w:name="page75"/>
    <w:bookmarkEnd w:id="74"/>
    <w:p>
      <w:pPr>
        <w:ind w:left="460" w:right="47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12"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right="49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We believe that we will benefit from NPG’s prior experience.</w:t>
      </w:r>
    </w:p>
    <w:p>
      <w:pPr>
        <w:spacing w:after="0" w:line="113"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81" w:lineRule="exact"/>
        <w:rPr>
          <w:sz w:val="20"/>
          <w:szCs w:val="20"/>
          <w:color w:val="auto"/>
        </w:rPr>
      </w:pPr>
    </w:p>
    <w:p>
      <w:pPr>
        <w:ind w:left="1320" w:right="67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8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right="559"/>
        <w:spacing w:after="0" w:line="255" w:lineRule="auto"/>
        <w:rPr>
          <w:sz w:val="20"/>
          <w:szCs w:val="20"/>
          <w:color w:val="auto"/>
        </w:rPr>
      </w:pPr>
      <w:r>
        <w:rPr>
          <w:rFonts w:ascii="Arial" w:cs="Arial" w:eastAsia="Arial" w:hAnsi="Arial"/>
          <w:sz w:val="18"/>
          <w:szCs w:val="18"/>
          <w:color w:val="auto"/>
        </w:rPr>
        <w:t>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320" w:right="111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89" w:lineRule="exact"/>
        <w:rPr>
          <w:rFonts w:ascii="Arial" w:cs="Arial" w:eastAsia="Arial" w:hAnsi="Arial"/>
          <w:sz w:val="18"/>
          <w:szCs w:val="18"/>
          <w:color w:val="auto"/>
        </w:rPr>
      </w:pPr>
    </w:p>
    <w:p>
      <w:pPr>
        <w:jc w:val="both"/>
        <w:ind w:left="1320" w:right="105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Executing transactions and business plans under various economic and financial market conditions.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03" w:lineRule="exact"/>
        <w:rPr>
          <w:sz w:val="20"/>
          <w:szCs w:val="20"/>
          <w:color w:val="auto"/>
        </w:rPr>
      </w:pPr>
    </w:p>
    <w:p>
      <w:pPr>
        <w:ind w:left="1320" w:right="519" w:hanging="434"/>
        <w:spacing w:after="0" w:line="273"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 team,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110" w:lineRule="exact"/>
        <w:rPr>
          <w:rFonts w:ascii="Arial" w:cs="Arial" w:eastAsia="Arial" w:hAnsi="Arial"/>
          <w:sz w:val="17"/>
          <w:szCs w:val="17"/>
          <w:color w:val="auto"/>
        </w:rPr>
      </w:pPr>
    </w:p>
    <w:p>
      <w:pPr>
        <w:ind w:left="1320" w:right="519" w:hanging="434"/>
        <w:spacing w:after="0" w:line="25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20" w:lineRule="exact"/>
        <w:rPr>
          <w:rFonts w:ascii="Arial" w:cs="Arial" w:eastAsia="Arial" w:hAnsi="Arial"/>
          <w:sz w:val="18"/>
          <w:szCs w:val="18"/>
          <w:color w:val="auto"/>
        </w:rPr>
      </w:pPr>
    </w:p>
    <w:p>
      <w:pPr>
        <w:ind w:left="1320" w:right="519" w:hanging="434"/>
        <w:spacing w:after="0" w:line="25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06" w:lineRule="exact"/>
        <w:rPr>
          <w:rFonts w:ascii="Arial" w:cs="Arial" w:eastAsia="Arial" w:hAnsi="Arial"/>
          <w:sz w:val="18"/>
          <w:szCs w:val="18"/>
          <w:color w:val="auto"/>
        </w:rPr>
      </w:pPr>
    </w:p>
    <w:p>
      <w:pPr>
        <w:ind w:left="1320" w:right="579" w:hanging="434"/>
        <w:spacing w:after="0" w:line="286"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Experience. </w:t>
      </w:r>
      <w:r>
        <w:rPr>
          <w:rFonts w:ascii="Arial" w:cs="Arial" w:eastAsia="Arial" w:hAnsi="Arial"/>
          <w:sz w:val="17"/>
          <w:szCs w:val="17"/>
          <w:color w:val="auto"/>
        </w:rPr>
        <w:t>We believe that our management and sponsor’s track record of identifying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sourcing transactions positions us well to evaluate potential investment targets and select one that will be well received by the public markets and our shareholders.</w:t>
      </w:r>
    </w:p>
    <w:p>
      <w:pPr>
        <w:spacing w:after="0" w:line="97" w:lineRule="exact"/>
        <w:rPr>
          <w:rFonts w:ascii="Arial" w:cs="Arial" w:eastAsia="Arial" w:hAnsi="Arial"/>
          <w:sz w:val="17"/>
          <w:szCs w:val="17"/>
          <w:color w:val="auto"/>
        </w:rPr>
      </w:pPr>
    </w:p>
    <w:p>
      <w:pPr>
        <w:ind w:left="1320" w:right="579" w:hanging="434"/>
        <w:spacing w:after="0" w:line="254"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We believe that our management team’s and sponsor’s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07" w:lineRule="exact"/>
        <w:rPr>
          <w:sz w:val="20"/>
          <w:szCs w:val="20"/>
          <w:color w:val="auto"/>
        </w:rPr>
      </w:pPr>
    </w:p>
    <w:p>
      <w:pPr>
        <w:ind w:left="1320" w:right="539" w:hanging="434"/>
        <w:spacing w:after="0" w:line="279"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Benefits from Environmentally Sustainable Business Practices.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103" w:lineRule="exact"/>
        <w:rPr>
          <w:rFonts w:ascii="Arial" w:cs="Arial" w:eastAsia="Arial" w:hAnsi="Arial"/>
          <w:sz w:val="17"/>
          <w:szCs w:val="17"/>
          <w:color w:val="auto"/>
        </w:rPr>
      </w:pPr>
    </w:p>
    <w:p>
      <w:pPr>
        <w:ind w:left="1320" w:right="7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16" w:lineRule="exact"/>
        <w:rPr>
          <w:rFonts w:ascii="Arial" w:cs="Arial" w:eastAsia="Arial" w:hAnsi="Arial"/>
          <w:sz w:val="18"/>
          <w:szCs w:val="18"/>
          <w:color w:val="auto"/>
        </w:rPr>
      </w:pPr>
    </w:p>
    <w:p>
      <w:pPr>
        <w:jc w:val="both"/>
        <w:ind w:left="1320" w:right="5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stable cash flows and operating leverage and may benefit from optimizing or delevering the capital structure.</w:t>
      </w:r>
    </w:p>
    <w:p>
      <w:pPr>
        <w:spacing w:after="0" w:line="102" w:lineRule="exact"/>
        <w:rPr>
          <w:rFonts w:ascii="Arial" w:cs="Arial" w:eastAsia="Arial" w:hAnsi="Arial"/>
          <w:sz w:val="18"/>
          <w:szCs w:val="18"/>
          <w:color w:val="auto"/>
        </w:rPr>
      </w:pPr>
    </w:p>
    <w:p>
      <w:pPr>
        <w:jc w:val="both"/>
        <w:ind w:left="1320" w:right="7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16"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 our business combination and do not expect to rely on broadly marketed processes to find a business combination target.</w:t>
      </w:r>
    </w:p>
    <w:p>
      <w:pPr>
        <w:spacing w:after="0" w:line="116" w:lineRule="exact"/>
        <w:rPr>
          <w:rFonts w:ascii="Arial" w:cs="Arial" w:eastAsia="Arial" w:hAnsi="Arial"/>
          <w:sz w:val="18"/>
          <w:szCs w:val="18"/>
          <w:color w:val="auto"/>
        </w:rPr>
      </w:pPr>
    </w:p>
    <w:p>
      <w:pPr>
        <w:ind w:left="1320" w:right="799" w:hanging="434"/>
        <w:spacing w:after="0" w:line="296"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80" w:lineRule="exact"/>
        <w:rPr>
          <w:rFonts w:ascii="Arial" w:cs="Arial" w:eastAsia="Arial" w:hAnsi="Arial"/>
          <w:sz w:val="16"/>
          <w:szCs w:val="16"/>
          <w:color w:val="auto"/>
        </w:rPr>
      </w:pPr>
    </w:p>
    <w:p>
      <w:pPr>
        <w:ind w:left="1320" w:right="81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Process</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7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or other independent entity that commonly renders valuation opinions or an independent accounting firm.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8" w:name="page79"/>
    <w:bookmarkEnd w:id="78"/>
    <w:p>
      <w:pPr>
        <w:ind w:left="460" w:right="599" w:firstLine="432"/>
        <w:spacing w:after="0" w:line="293" w:lineRule="auto"/>
        <w:rPr>
          <w:sz w:val="20"/>
          <w:szCs w:val="20"/>
          <w:color w:val="auto"/>
        </w:rPr>
      </w:pPr>
      <w:r>
        <w:rPr>
          <w:rFonts w:ascii="Arial" w:cs="Arial" w:eastAsia="Arial" w:hAnsi="Arial"/>
          <w:sz w:val="16"/>
          <w:szCs w:val="16"/>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other independent entity that commonly renders valuation opinions.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111"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0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other independent entity that commonly renders valuation opinions that such initial business combination or transaction is fair to our company from a financial point of view.</w:t>
      </w:r>
    </w:p>
    <w:p>
      <w:pPr>
        <w:spacing w:after="0" w:line="96"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11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0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0" w:name="page81"/>
    <w:bookmarkEnd w:id="80"/>
    <w:p>
      <w:pPr>
        <w:ind w:left="460" w:right="719"/>
        <w:spacing w:after="0" w:line="263" w:lineRule="auto"/>
        <w:rPr>
          <w:sz w:val="20"/>
          <w:szCs w:val="20"/>
          <w:color w:val="auto"/>
        </w:rPr>
      </w:pPr>
      <w:r>
        <w:rPr>
          <w:rFonts w:ascii="Arial" w:cs="Arial" w:eastAsia="Arial" w:hAnsi="Arial"/>
          <w:sz w:val="18"/>
          <w:szCs w:val="18"/>
          <w:color w:val="auto"/>
        </w:rPr>
        <w:t>the ability to use its shares as currency for acquisitions. Being a public company can offer further benefits by augmenting a company’s profile among potential new customers and vendors and aid in attracting talented employees.</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With funds available for a business combination initially in the amount of $292,000,000, after payment of the estimated expenses of this offering and $10,500,000 of deferred underwriting fees (or $334,525,000 after payment of $12,075,000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1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right="619"/>
        <w:spacing w:after="0" w:line="311" w:lineRule="auto"/>
        <w:rPr>
          <w:sz w:val="20"/>
          <w:szCs w:val="20"/>
          <w:color w:val="auto"/>
        </w:rPr>
      </w:pPr>
      <w:r>
        <w:rPr>
          <w:rFonts w:ascii="Arial" w:cs="Arial" w:eastAsia="Arial" w:hAnsi="Arial"/>
          <w:sz w:val="16"/>
          <w:szCs w:val="16"/>
          <w:color w:val="auto"/>
        </w:rPr>
        <w:t>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68"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14"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of Target Businesses</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spacing w:after="0" w:line="30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jc w:val="both"/>
        <w:ind w:left="460" w:right="479"/>
        <w:spacing w:after="0" w:line="263" w:lineRule="auto"/>
        <w:rPr>
          <w:sz w:val="20"/>
          <w:szCs w:val="20"/>
          <w:color w:val="auto"/>
        </w:rPr>
      </w:pPr>
      <w:r>
        <w:rPr>
          <w:rFonts w:ascii="Arial" w:cs="Arial" w:eastAsia="Arial" w:hAnsi="Arial"/>
          <w:sz w:val="18"/>
          <w:szCs w:val="18"/>
          <w:color w:val="auto"/>
        </w:rPr>
        <w:t>banking firm or other independent entity that commonly renders valuation opinions, that such an initial business combination is fair to our company from a financial point of view. We are not required to obtain such an opinion in any other context.</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25"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96" w:lineRule="exact"/>
        <w:rPr>
          <w:sz w:val="20"/>
          <w:szCs w:val="20"/>
          <w:color w:val="auto"/>
        </w:rPr>
      </w:pPr>
    </w:p>
    <w:p>
      <w:pPr>
        <w:ind w:left="460" w:right="1219" w:firstLine="432"/>
        <w:spacing w:after="0" w:line="277" w:lineRule="auto"/>
        <w:rPr>
          <w:sz w:val="20"/>
          <w:szCs w:val="20"/>
          <w:color w:val="auto"/>
        </w:rPr>
      </w:pPr>
      <w:r>
        <w:rPr>
          <w:rFonts w:ascii="Arial" w:cs="Arial" w:eastAsia="Arial" w:hAnsi="Arial"/>
          <w:sz w:val="18"/>
          <w:szCs w:val="18"/>
          <w:color w:val="auto"/>
        </w:rPr>
        <w:t>In addition, we have agreed not to enter into a definitive agreement regarding an initial business combination without the prior consent of our sponsor.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25" w:lineRule="exact"/>
        <w:rPr>
          <w:sz w:val="20"/>
          <w:szCs w:val="20"/>
          <w:color w:val="auto"/>
        </w:rPr>
      </w:pPr>
    </w:p>
    <w:p>
      <w:pPr>
        <w:ind w:left="1320" w:right="53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right="719" w:firstLine="432"/>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84"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62" w:lineRule="exact"/>
        <w:rPr>
          <w:sz w:val="20"/>
          <w:szCs w:val="20"/>
          <w:color w:val="auto"/>
        </w:rPr>
      </w:pPr>
    </w:p>
    <w:p>
      <w:pPr>
        <w:jc w:val="both"/>
        <w:ind w:left="460" w:right="719" w:firstLine="432"/>
        <w:spacing w:after="0" w:line="279"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04"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89" w:lineRule="exact"/>
        <w:rPr>
          <w:sz w:val="20"/>
          <w:szCs w:val="20"/>
          <w:color w:val="auto"/>
        </w:rPr>
      </w:pPr>
    </w:p>
    <w:p>
      <w:pPr>
        <w:ind w:left="1320" w:right="81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102" w:lineRule="exact"/>
        <w:rPr>
          <w:rFonts w:ascii="Arial" w:cs="Arial" w:eastAsia="Arial" w:hAnsi="Arial"/>
          <w:sz w:val="18"/>
          <w:szCs w:val="18"/>
          <w:color w:val="auto"/>
        </w:rPr>
      </w:pPr>
    </w:p>
    <w:p>
      <w:pPr>
        <w:ind w:left="1320" w:right="459" w:hanging="434"/>
        <w:spacing w:after="0" w:line="296"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3" w:lineRule="exact"/>
        <w:rPr>
          <w:rFonts w:ascii="Arial" w:cs="Arial" w:eastAsia="Arial" w:hAnsi="Arial"/>
          <w:sz w:val="16"/>
          <w:szCs w:val="16"/>
          <w:color w:val="auto"/>
        </w:rPr>
      </w:pPr>
    </w:p>
    <w:p>
      <w:pPr>
        <w:ind w:left="1320" w:right="99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89"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320" w:right="959" w:hanging="434"/>
        <w:spacing w:after="0" w:line="308"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w:t>
      </w:r>
    </w:p>
    <w:p>
      <w:pPr>
        <w:spacing w:after="0" w:line="78" w:lineRule="exact"/>
        <w:rPr>
          <w:rFonts w:ascii="Arial" w:cs="Arial" w:eastAsia="Arial" w:hAnsi="Arial"/>
          <w:sz w:val="17"/>
          <w:szCs w:val="17"/>
          <w:color w:val="auto"/>
        </w:rPr>
      </w:pPr>
    </w:p>
    <w:p>
      <w:pPr>
        <w:ind w:left="1320" w:right="53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44"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right="639" w:firstLine="432"/>
        <w:spacing w:after="0" w:line="27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96"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29"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9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7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right="599"/>
        <w:spacing w:after="0" w:line="311" w:lineRule="auto"/>
        <w:rPr>
          <w:sz w:val="20"/>
          <w:szCs w:val="20"/>
          <w:color w:val="auto"/>
        </w:rPr>
      </w:pPr>
      <w:r>
        <w:rPr>
          <w:rFonts w:ascii="Arial" w:cs="Arial" w:eastAsia="Arial" w:hAnsi="Arial"/>
          <w:sz w:val="16"/>
          <w:szCs w:val="16"/>
          <w:color w:val="auto"/>
        </w:rPr>
        <w:t>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on Redemptions</w:t>
      </w:r>
    </w:p>
    <w:p>
      <w:pPr>
        <w:spacing w:after="0" w:line="148"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Manner of Conducting Redemptions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12"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89" w:lineRule="exact"/>
        <w:rPr>
          <w:sz w:val="20"/>
          <w:szCs w:val="20"/>
          <w:color w:val="auto"/>
        </w:rPr>
      </w:pPr>
    </w:p>
    <w:p>
      <w:pPr>
        <w:jc w:val="both"/>
        <w:ind w:left="1320" w:right="519" w:hanging="434"/>
        <w:spacing w:after="0" w:line="263"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03"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this offering in favor of our initial business combination. As a result, in addition to our sponsor’s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right="459"/>
        <w:spacing w:after="0" w:line="271" w:lineRule="auto"/>
        <w:rPr>
          <w:sz w:val="20"/>
          <w:szCs w:val="20"/>
          <w:color w:val="auto"/>
        </w:rPr>
      </w:pPr>
      <w:r>
        <w:rPr>
          <w:rFonts w:ascii="Arial" w:cs="Arial" w:eastAsia="Arial" w:hAnsi="Arial"/>
          <w:sz w:val="17"/>
          <w:szCs w:val="17"/>
          <w:color w:val="auto"/>
        </w:rPr>
        <w:t>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9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03" w:lineRule="exact"/>
        <w:rPr>
          <w:sz w:val="20"/>
          <w:szCs w:val="20"/>
          <w:color w:val="auto"/>
        </w:rPr>
      </w:pPr>
    </w:p>
    <w:p>
      <w:pPr>
        <w:ind w:left="1320" w:right="7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81"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60"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93"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0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97"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8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19"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If our initial proposed business combination is not completed, we may continue to try to complete a business combination with a different target until 18 months from the closing of this offering.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18 months from the closing of this offering to consummate an initial business combination. If we have not consummated an initial business combination within 18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this offering. However, if our sponsor, director or members of our management team acquire public shares in or after this offering, they will be entitled to liquidating distributions from the trust account with respect to such public shares if we fail to consummate an initial business combination within 18 months from the closing of this offering.</w:t>
      </w:r>
    </w:p>
    <w:p>
      <w:pPr>
        <w:spacing w:after="0" w:line="12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1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$2,500,000 of proceeds held outside the trust account (or $1,600,000 if the underwriter’s over-allotment option is exercised in full) plus up to $100,000 of funds from the trust account available to us to pay dissolution expenses, although we cannot assure you that there will be sufficient funds for such purpose.</w:t>
      </w:r>
    </w:p>
    <w:p>
      <w:pPr>
        <w:spacing w:after="0" w:line="107"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9" w:name="page90"/>
    <w:bookmarkEnd w:id="89"/>
    <w:p>
      <w:pPr>
        <w:ind w:left="460" w:right="479" w:firstLine="432"/>
        <w:spacing w:after="0" w:line="283"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 of this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02"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0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$2,500,000 from the proceeds of this offering and the sale of the private placement warrants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right="519"/>
        <w:spacing w:after="0" w:line="269" w:lineRule="auto"/>
        <w:rPr>
          <w:sz w:val="20"/>
          <w:szCs w:val="20"/>
          <w:color w:val="auto"/>
        </w:rPr>
      </w:pPr>
      <w:r>
        <w:rPr>
          <w:rFonts w:ascii="Arial" w:cs="Arial" w:eastAsia="Arial" w:hAnsi="Arial"/>
          <w:sz w:val="17"/>
          <w:szCs w:val="17"/>
          <w:color w:val="auto"/>
        </w:rPr>
        <w:t>(or $1,600,000 if the underwriter’s over-allotment option is exercised in full)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consummate an initial business combination within 18 months from the closing of this offering, (ii)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right="47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have not consummated an initial business combination within 18 months from the closing of this offering.</w:t>
      </w:r>
    </w:p>
    <w:p>
      <w:pPr>
        <w:spacing w:after="0" w:line="125" w:lineRule="exact"/>
        <w:rPr>
          <w:sz w:val="20"/>
          <w:szCs w:val="20"/>
          <w:color w:val="auto"/>
        </w:rPr>
      </w:pPr>
    </w:p>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 xml:space="preserve">Calculation of redemption price  </w:t>
      </w:r>
      <w:r>
        <w:rPr>
          <w:rFonts w:ascii="Arial" w:cs="Arial" w:eastAsia="Arial" w:hAnsi="Arial"/>
          <w:sz w:val="16"/>
          <w:szCs w:val="16"/>
          <w:color w:val="auto"/>
        </w:rPr>
        <w:t>Redemptions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-104775</wp:posOffset>
            </wp:positionV>
            <wp:extent cx="1165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may be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made pursuant to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or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redemption price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same whether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conduct redemptions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pursuant to a tender offer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 in 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either case, our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shareholders may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shares for cash equal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aggregate amount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then on deposit in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account calculated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 of two business days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consummation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(which is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initially anticipated to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 per share),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interest earned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on the funds held in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trust account and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previously released to us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pay our income taxes,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if any, divided by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outstanding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shares,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 that no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redemptions will take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place if all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redemptions would cause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net tangible assets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be less than $5,000,001</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and any limitations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but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limited, to cash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requirements) agreed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 connection with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negotiation of terms of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proposed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-6749415</wp:posOffset>
            </wp:positionV>
            <wp:extent cx="10890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99"/>
        <w:spacing w:after="0" w:line="284" w:lineRule="auto"/>
        <w:rPr>
          <w:sz w:val="20"/>
          <w:szCs w:val="20"/>
          <w:color w:val="auto"/>
        </w:rPr>
      </w:pPr>
      <w:r>
        <w:rPr>
          <w:rFonts w:ascii="Arial" w:cs="Arial" w:eastAsia="Arial" w:hAnsi="Arial"/>
          <w:sz w:val="16"/>
          <w:szCs w:val="16"/>
          <w:color w:val="auto"/>
        </w:rPr>
        <w:t>If we have not consummated an initial business combination within 18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-3593465</wp:posOffset>
            </wp:positionV>
            <wp:extent cx="11226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5344" w:lineRule="exact"/>
        <w:rPr>
          <w:sz w:val="20"/>
          <w:szCs w:val="20"/>
          <w:color w:val="auto"/>
        </w:rPr>
      </w:pPr>
    </w:p>
    <w:p>
      <w:pPr>
        <w:sectPr>
          <w:pgSz w:w="11900" w:h="16838" w:orient="portrait"/>
          <w:cols w:equalWidth="0" w:num="3">
            <w:col w:w="4860" w:space="120"/>
            <w:col w:w="1720" w:space="80"/>
            <w:col w:w="2239"/>
          </w:cols>
          <w:pgMar w:left="1440" w:top="337"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2" w:name="page93"/>
    <w:bookmarkEnd w:id="92"/>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01" w:right="1440" w:bottom="1440" w:gutter="0" w:footer="0" w:header="0"/>
        </w:sectPr>
      </w:pPr>
    </w:p>
    <w:p>
      <w:pPr>
        <w:ind w:left="640" w:right="280" w:hanging="179"/>
        <w:spacing w:after="0" w:line="347" w:lineRule="auto"/>
        <w:rPr>
          <w:sz w:val="20"/>
          <w:szCs w:val="20"/>
          <w:color w:val="auto"/>
        </w:rPr>
      </w:pPr>
      <w:r>
        <w:rPr>
          <w:rFonts w:ascii="Arial" w:cs="Arial" w:eastAsia="Arial" w:hAnsi="Arial"/>
          <w:sz w:val="16"/>
          <w:szCs w:val="16"/>
          <w:b w:val="1"/>
          <w:bCs w:val="1"/>
          <w:color w:val="auto"/>
        </w:rPr>
        <w:t>Impact to remaining shareholders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redemptions in connection with our initial business combination will reduce the book value per share for our remaining shareholders, who will bear the burden of the deferred underwriting commissions and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165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auto"/>
        <w:rPr>
          <w:sz w:val="20"/>
          <w:szCs w:val="20"/>
          <w:color w:val="auto"/>
        </w:rPr>
      </w:pPr>
      <w:r>
        <w:rPr>
          <w:rFonts w:ascii="Arial" w:cs="Arial" w:eastAsia="Arial" w:hAnsi="Arial"/>
          <w:sz w:val="15"/>
          <w:szCs w:val="15"/>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-1271905</wp:posOffset>
            </wp:positionV>
            <wp:extent cx="1089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99"/>
        <w:spacing w:after="0" w:line="287"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-1535430</wp:posOffset>
            </wp:positionV>
            <wp:extent cx="11226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720"/>
            <w:col w:w="1760" w:space="180"/>
            <w:col w:w="1600" w:space="200"/>
            <w:col w:w="2239"/>
          </w:cols>
          <w:pgMar w:left="1440" w:top="301"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pacing w:after="0" w:line="148" w:lineRule="exact"/>
        <w:rPr>
          <w:sz w:val="20"/>
          <w:szCs w:val="20"/>
          <w:color w:val="auto"/>
        </w:rPr>
      </w:pPr>
    </w:p>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type w:val="continuous"/>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Escrow of offering proceeds</w:t>
      </w:r>
      <w:r>
        <w:rPr>
          <w:sz w:val="20"/>
          <w:szCs w:val="20"/>
          <w:color w:val="auto"/>
        </w:rPr>
        <w:tab/>
      </w:r>
      <w:r>
        <w:rPr>
          <w:rFonts w:ascii="Arial" w:cs="Arial" w:eastAsia="Arial" w:hAnsi="Arial"/>
          <w:sz w:val="16"/>
          <w:szCs w:val="16"/>
          <w:color w:val="auto"/>
        </w:rPr>
        <w:t>$300,000,000 of the net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private placement warrants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deposited into a trust account located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 the United States with Continental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Stock Transfer &amp; Trust Company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acting as trustee.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99"/>
        <w:spacing w:after="0" w:line="288" w:lineRule="auto"/>
        <w:rPr>
          <w:sz w:val="20"/>
          <w:szCs w:val="20"/>
          <w:color w:val="auto"/>
        </w:rPr>
      </w:pPr>
      <w:r>
        <w:rPr>
          <w:rFonts w:ascii="Arial" w:cs="Arial" w:eastAsia="Arial" w:hAnsi="Arial"/>
          <w:sz w:val="16"/>
          <w:szCs w:val="16"/>
          <w:color w:val="auto"/>
        </w:rPr>
        <w:t>$255,150,000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-1400810</wp:posOffset>
            </wp:positionV>
            <wp:extent cx="17487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700" w:space="100"/>
            <w:col w:w="3219"/>
          </w:cols>
          <w:pgMar w:left="1440" w:top="301"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$300,000,000 of the net proceeds of</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private placement warrants held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will be invested only in U.S.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government treasury obligations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with a maturity of 185 days or less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or in money market funds meeting</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certain conditions under Rule 2a-7</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under the Investment Company Act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which invest only in direct U.S.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government treasury obligations.</w:t>
      </w:r>
    </w:p>
    <w:p>
      <w:pPr>
        <w:spacing w:after="0" w:line="20" w:lineRule="exact"/>
        <w:rPr>
          <w:sz w:val="20"/>
          <w:szCs w:val="20"/>
          <w:color w:val="auto"/>
        </w:rPr>
      </w:pPr>
      <w:r>
        <w:rPr>
          <w:sz w:val="20"/>
          <w:szCs w:val="20"/>
          <w:color w:val="auto"/>
        </w:rPr>
        <w:br w:type="column"/>
      </w:r>
    </w:p>
    <w:p>
      <w:pPr>
        <w:ind w:right="459"/>
        <w:spacing w:after="0" w:line="29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82" w:lineRule="exact"/>
        <w:rPr>
          <w:sz w:val="20"/>
          <w:szCs w:val="20"/>
          <w:color w:val="auto"/>
        </w:rPr>
      </w:pPr>
    </w:p>
    <w:p>
      <w:pPr>
        <w:sectPr>
          <w:pgSz w:w="11900" w:h="16838" w:orient="portrait"/>
          <w:cols w:equalWidth="0" w:num="2">
            <w:col w:w="5620" w:space="180"/>
            <w:col w:w="3219"/>
          </w:cols>
          <w:pgMar w:left="1440" w:top="301" w:right="1440" w:bottom="1440" w:gutter="0" w:footer="0" w:header="0"/>
          <w:type w:val="continuous"/>
        </w:sectPr>
      </w:pPr>
    </w:p>
    <w:p>
      <w:pPr>
        <w:ind w:left="640" w:hanging="179"/>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ind w:left="8" w:right="60"/>
        <w:spacing w:after="0" w:line="286" w:lineRule="auto"/>
        <w:rPr>
          <w:sz w:val="20"/>
          <w:szCs w:val="20"/>
          <w:color w:val="auto"/>
        </w:rPr>
      </w:pPr>
      <w:r>
        <w:rPr>
          <w:rFonts w:ascii="Arial" w:cs="Arial" w:eastAsia="Arial" w:hAnsi="Arial"/>
          <w:sz w:val="16"/>
          <w:szCs w:val="16"/>
          <w:color w:val="auto"/>
        </w:rPr>
        <w:t>Interest income (if any) on proceeds from the trust account to be paid to shareholders is reduced by (i) any income taxes paid or payable and</w:t>
      </w:r>
    </w:p>
    <w:p>
      <w:pPr>
        <w:spacing w:after="0" w:line="1" w:lineRule="exact"/>
        <w:rPr>
          <w:sz w:val="20"/>
          <w:szCs w:val="20"/>
          <w:color w:val="auto"/>
        </w:rPr>
      </w:pPr>
    </w:p>
    <w:p>
      <w:pPr>
        <w:ind w:left="8" w:hanging="8"/>
        <w:spacing w:after="0" w:line="251" w:lineRule="auto"/>
        <w:tabs>
          <w:tab w:leader="none" w:pos="2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ind w:right="579"/>
        <w:spacing w:after="0" w:line="272"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1475" w:lineRule="exact"/>
        <w:rPr>
          <w:sz w:val="20"/>
          <w:szCs w:val="20"/>
          <w:color w:val="auto"/>
        </w:rPr>
      </w:pPr>
    </w:p>
    <w:p>
      <w:pPr>
        <w:sectPr>
          <w:pgSz w:w="11900" w:h="16838" w:orient="portrait"/>
          <w:cols w:equalWidth="0" w:num="3">
            <w:col w:w="2840" w:space="192"/>
            <w:col w:w="2668" w:space="100"/>
            <w:col w:w="3219"/>
          </w:cols>
          <w:pgMar w:left="1440" w:top="301"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3" w:name="page94"/>
    <w:bookmarkEnd w:id="93"/>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6973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units will automatically separate into their component parts and will not be traded after completion of our initial business combination.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twelve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519"/>
        <w:spacing w:after="0" w:line="311" w:lineRule="auto"/>
        <w:rPr>
          <w:sz w:val="20"/>
          <w:szCs w:val="20"/>
          <w:color w:val="auto"/>
        </w:rPr>
      </w:pPr>
      <w:r>
        <w:rPr>
          <w:rFonts w:ascii="Arial" w:cs="Arial" w:eastAsia="Arial" w:hAnsi="Arial"/>
          <w:sz w:val="16"/>
          <w:szCs w:val="16"/>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1748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99"/>
        <w:spacing w:after="0" w:line="293"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78" w:lineRule="exact"/>
        <w:rPr>
          <w:sz w:val="20"/>
          <w:szCs w:val="20"/>
          <w:color w:val="auto"/>
        </w:rPr>
      </w:pPr>
    </w:p>
    <w:p>
      <w:pPr>
        <w:sectPr>
          <w:pgSz w:w="11900" w:h="16838" w:orient="portrait"/>
          <w:cols w:equalWidth="0" w:num="3">
            <w:col w:w="2780" w:space="260"/>
            <w:col w:w="2660" w:space="100"/>
            <w:col w:w="321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4" w:name="page95"/>
    <w:bookmarkEnd w:id="94"/>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with the opportunity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redeem their public shares for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 a per share price equal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aggregate amount then on deposit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trust account calculated as of two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business days 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consummation of our initial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including interest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earned on the funds held in the trust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account and not previously released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us to pay our income taxes, if 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divided by the number of the then-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outstanding public shares, upon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completion 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limitations described herein.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may not be required by law to hold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If we are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required by law and do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otherwise decide to hold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shareholder vote, we will, pursuant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association, conduct the redemptions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pursuant to the tender offer rules of</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SEC and file tender offer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documents with the SEC which will</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contain substantially the same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financial and other information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about the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and the redemption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rights as is required under the SEC’s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If, however, we hold a</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 vote, we will, like many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blank check companies, offer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shares in conjunction with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proxy solicitation pursuant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and not pursuant to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rules. If we seek</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approval, we will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combination only if a majority of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ordinary shares, represented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person or by proxy and entitled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vote thereon, voted at a shareholder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meeting vote in favor of the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Additionally, each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public shareholder may elect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 shares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irrespective of whether they vote for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or against the proposed transaction.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association will require that at least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five days’ notice will be given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any such shareholder meeting.</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59"/>
        <w:spacing w:after="0" w:line="282"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-3448050</wp:posOffset>
            </wp:positionV>
            <wp:extent cx="1748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5" w:name="page96"/>
    <w:bookmarkEnd w:id="95"/>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 business combination within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18 months from the closing of this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offering, we will (i) cease all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operations except for the purpose of</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winding up; (ii) as promptly as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reasonably possible but not more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than ten business days thereafter,</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100% of the public shares, at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 per-share price, payable in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equal to the aggregate amount then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on deposit in the trust account,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interest earned on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funds held in the trust account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not previously released to us to pay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income taxes, if any, (less up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$100,000 of interest to pay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dissolution expenses) divided by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then-outstanding</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public shares, which redemption will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completely extinguish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rights as shareholders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the right to receive further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liquidation distributions, if any);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(iii) as promptly as reasonably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possible following such redemption,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subject to the approval of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remaining shareholders and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board of directors, liquidate and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dissolve, subject in the case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clauses (ii) and (iii) to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obligations under Cayman Islands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 to provide for claims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creditors and in all cases subject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other requirements of applicable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-836930</wp:posOffset>
            </wp:positionV>
            <wp:extent cx="1748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6" w:name="page97"/>
    <w:bookmarkEnd w:id="96"/>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8" w:right="20"/>
        <w:spacing w:after="0" w:line="296" w:lineRule="auto"/>
        <w:rPr>
          <w:sz w:val="20"/>
          <w:szCs w:val="20"/>
          <w:color w:val="auto"/>
        </w:rPr>
      </w:pPr>
      <w:r>
        <w:rPr>
          <w:rFonts w:ascii="Arial" w:cs="Arial" w:eastAsia="Arial" w:hAnsi="Arial"/>
          <w:sz w:val="16"/>
          <w:szCs w:val="16"/>
          <w:color w:val="auto"/>
        </w:rPr>
        <w:t>Except for the withdrawal of interest income (if any) to pay our income taxes, if any, none of the funds held in trust will be released from the trust account until the earliest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-719455</wp:posOffset>
            </wp:positionV>
            <wp:extent cx="16973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4" w:lineRule="exact"/>
        <w:rPr>
          <w:sz w:val="20"/>
          <w:szCs w:val="20"/>
          <w:color w:val="auto"/>
        </w:rPr>
      </w:pPr>
    </w:p>
    <w:p>
      <w:pPr>
        <w:ind w:left="8" w:right="440" w:hanging="8"/>
        <w:spacing w:after="0" w:line="308" w:lineRule="auto"/>
        <w:tabs>
          <w:tab w:leader="none" w:pos="2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w:t>
      </w:r>
    </w:p>
    <w:p>
      <w:pPr>
        <w:spacing w:after="0" w:line="78" w:lineRule="exact"/>
        <w:rPr>
          <w:rFonts w:ascii="Arial" w:cs="Arial" w:eastAsia="Arial" w:hAnsi="Arial"/>
          <w:sz w:val="17"/>
          <w:szCs w:val="17"/>
          <w:color w:val="auto"/>
        </w:rPr>
      </w:pPr>
    </w:p>
    <w:p>
      <w:pPr>
        <w:ind w:left="8" w:right="20" w:hanging="8"/>
        <w:spacing w:after="0" w:line="255" w:lineRule="auto"/>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of our public shares if we have not consummated an initial business combination within 18 months from the closing of this offering, subject to applicable law; or</w:t>
      </w:r>
    </w:p>
    <w:p>
      <w:pPr>
        <w:spacing w:after="0" w:line="111" w:lineRule="exact"/>
        <w:rPr>
          <w:rFonts w:ascii="Arial" w:cs="Arial" w:eastAsia="Arial" w:hAnsi="Arial"/>
          <w:sz w:val="18"/>
          <w:szCs w:val="18"/>
          <w:color w:val="auto"/>
        </w:rPr>
      </w:pPr>
    </w:p>
    <w:p>
      <w:pPr>
        <w:ind w:left="8" w:hanging="8"/>
        <w:spacing w:after="0" w:line="285" w:lineRule="auto"/>
        <w:tabs>
          <w:tab w:leader="none" w:pos="3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79"/>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-845820</wp:posOffset>
            </wp:positionV>
            <wp:extent cx="1748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983" w:lineRule="exact"/>
        <w:rPr>
          <w:sz w:val="20"/>
          <w:szCs w:val="20"/>
          <w:color w:val="auto"/>
        </w:rPr>
      </w:pPr>
    </w:p>
    <w:p>
      <w:pPr>
        <w:sectPr>
          <w:pgSz w:w="11900" w:h="16838" w:orient="portrait"/>
          <w:cols w:equalWidth="0" w:num="3">
            <w:col w:w="2312" w:space="720"/>
            <w:col w:w="2668" w:space="100"/>
            <w:col w:w="3219"/>
          </w:cols>
          <w:pgMar w:left="1440" w:top="301" w:right="1440" w:bottom="1440" w:gutter="0" w:footer="0" w:header="0"/>
          <w:type w:val="continuous"/>
        </w:sectPr>
      </w:pPr>
    </w:p>
    <w:p>
      <w:pPr>
        <w:ind w:left="460" w:right="499" w:firstLine="432"/>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7" w:name="page98"/>
    <w:bookmarkEnd w:id="97"/>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4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be required to evaluate our internal control procedures for the fiscal year ending December 31,</w:t>
      </w:r>
    </w:p>
    <w:p>
      <w:pPr>
        <w:spacing w:after="0" w:line="46" w:lineRule="exact"/>
        <w:rPr>
          <w:sz w:val="20"/>
          <w:szCs w:val="20"/>
          <w:color w:val="auto"/>
        </w:rPr>
      </w:pPr>
    </w:p>
    <w:p>
      <w:pPr>
        <w:ind w:left="460" w:right="559"/>
        <w:spacing w:after="0" w:line="252" w:lineRule="auto"/>
        <w:rPr>
          <w:sz w:val="20"/>
          <w:szCs w:val="20"/>
          <w:color w:val="auto"/>
        </w:rPr>
      </w:pPr>
      <w:r>
        <w:rPr>
          <w:rFonts w:ascii="Arial" w:cs="Arial" w:eastAsia="Arial" w:hAnsi="Arial"/>
          <w:sz w:val="18"/>
          <w:szCs w:val="18"/>
          <w:color w:val="auto"/>
        </w:rPr>
        <w:t>2021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ind w:left="460" w:right="47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5"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27"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48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Scott Honour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Rick Gaenzle</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84"/>
        </w:trPr>
        <w:tc>
          <w:tcPr>
            <w:tcW w:w="2600" w:type="dxa"/>
            <w:vAlign w:val="bottom"/>
            <w:gridSpan w:val="2"/>
          </w:tcPr>
          <w:p>
            <w:pPr>
              <w:spacing w:after="0"/>
              <w:rPr>
                <w:sz w:val="20"/>
                <w:szCs w:val="20"/>
                <w:color w:val="auto"/>
              </w:rPr>
            </w:pPr>
            <w:r>
              <w:rPr>
                <w:rFonts w:ascii="Arial" w:cs="Arial" w:eastAsia="Arial" w:hAnsi="Arial"/>
                <w:sz w:val="18"/>
                <w:szCs w:val="18"/>
                <w:color w:val="auto"/>
              </w:rPr>
              <w:t>Isaac Barchas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Justin Kelly</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In addition, Mr. Leonard serves as a manager of our sponsor. Mr. Leonard earned a B.S. with Highest Honors from Georgia Tech, and an M.B.A. with Distinction from The Kellogg Graduate School of Management at Northwestern.</w:t>
      </w:r>
    </w:p>
    <w:p>
      <w:pPr>
        <w:spacing w:after="0" w:line="122" w:lineRule="exact"/>
        <w:rPr>
          <w:sz w:val="20"/>
          <w:szCs w:val="20"/>
          <w:color w:val="auto"/>
        </w:rPr>
      </w:pPr>
    </w:p>
    <w:p>
      <w:pPr>
        <w:ind w:left="460" w:right="579" w:firstLine="432"/>
        <w:spacing w:after="0" w:line="283" w:lineRule="auto"/>
        <w:rPr>
          <w:sz w:val="20"/>
          <w:szCs w:val="20"/>
          <w:color w:val="auto"/>
        </w:rPr>
      </w:pPr>
      <w:r>
        <w:rPr>
          <w:rFonts w:ascii="Arial" w:cs="Arial" w:eastAsia="Arial" w:hAnsi="Arial"/>
          <w:sz w:val="16"/>
          <w:szCs w:val="16"/>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Choice Delivery, LLC, United Language Group, Inc., Renters Warehouse LLC, Real Dolmen (REM:BB) and Westwood One, Inc. (formerly Nasdaq: WWON), and is a co-founder of Titan CNG LLC and YapStone Inc. In addition, Mr. Honour serves as a manager of our sponsor. Mr. Honour earned a B.S. and B.A., </w:t>
      </w:r>
      <w:r>
        <w:rPr>
          <w:rFonts w:ascii="Arial" w:cs="Arial" w:eastAsia="Arial" w:hAnsi="Arial"/>
          <w:sz w:val="16"/>
          <w:szCs w:val="16"/>
          <w:i w:val="1"/>
          <w:iCs w:val="1"/>
          <w:color w:val="auto"/>
        </w:rPr>
        <w:t>cum laude</w:t>
      </w:r>
      <w:r>
        <w:rPr>
          <w:rFonts w:ascii="Arial" w:cs="Arial" w:eastAsia="Arial" w:hAnsi="Arial"/>
          <w:sz w:val="16"/>
          <w:szCs w:val="16"/>
          <w:color w:val="auto"/>
        </w:rPr>
        <w:t>, in Business Administration and Economics from Pepperdine University and an M.B.A. in Finance and Marketing from the Wharton School of the University of Pennsylvania.</w:t>
      </w:r>
    </w:p>
    <w:p>
      <w:pPr>
        <w:spacing w:after="0" w:line="106"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w:t>
      </w:r>
    </w:p>
    <w:p>
      <w:pPr>
        <w:sectPr>
          <w:pgSz w:w="11900" w:h="16838" w:orient="portrait"/>
          <w:cols w:equalWidth="0" w:num="1">
            <w:col w:w="9019"/>
          </w:cols>
          <w:pgMar w:left="1440" w:top="33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0" w:name="page101"/>
    <w:bookmarkEnd w:id="100"/>
    <w:p>
      <w:pPr>
        <w:ind w:left="460" w:right="659"/>
        <w:spacing w:after="0" w:line="291" w:lineRule="auto"/>
        <w:rPr>
          <w:sz w:val="20"/>
          <w:szCs w:val="20"/>
          <w:color w:val="auto"/>
        </w:rPr>
      </w:pPr>
      <w:r>
        <w:rPr>
          <w:rFonts w:ascii="Arial" w:cs="Arial" w:eastAsia="Arial" w:hAnsi="Arial"/>
          <w:sz w:val="16"/>
          <w:szCs w:val="16"/>
          <w:color w:val="auto"/>
        </w:rPr>
        <w:t>pricing and hedging for TXU Energy’s retail portfolio. Dr. Quiram began his career at McKinsey &amp; Co where he worked as an Engagement Manager from 2001 until 2005, and as a Research Scientist at DuPont (NYSE:</w:t>
      </w:r>
    </w:p>
    <w:p>
      <w:pPr>
        <w:ind w:left="460" w:right="619" w:hanging="6"/>
        <w:spacing w:after="0" w:line="255" w:lineRule="auto"/>
        <w:tabs>
          <w:tab w:leader="none" w:pos="8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1998 to 2001. Dr. Quiram earned a B.S. in Chemical Engineering with Highest Distinction from the University of Virginia, and an M.S. and Ph.D. in Chemical Engineering from the Massachusetts Institute of Technology.</w:t>
      </w:r>
    </w:p>
    <w:p>
      <w:pPr>
        <w:spacing w:after="0" w:line="8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7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7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board of directors is divided into three classes, with only one class of directors being elected in each year, and with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 term of office of the first class of directors, consisting of Rick Gaenzle, will expire at our first annual meeting of shareholders. The term of office of the second class of directors, consisting of Isaac Barchas and Justin Kelly, will expire at our second annual meeting of shareholders. The term of office of the third class of directors, consisting of Scott Leonard and Scott Honour, will expire at our third annual meeting of shareholders.</w:t>
      </w:r>
    </w:p>
    <w:p>
      <w:pPr>
        <w:spacing w:after="0" w:line="8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7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right="539" w:firstLine="432"/>
        <w:spacing w:after="0" w:line="293"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NYSE listing standards require that a majority of our board of directors be independent. Our board of directors has determined that Rick Gaenzle, Isaac Barchas and Justin Kelly are “independent directors” as defined in the NYSE listing standards. Our independent directors will have regularly scheduled meetings at which only independent directors are present.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1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01"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Rick Gaenzle, Isaac Barchas and Justin Kelly will serve as members of our audit committee. Our board of directors has determined that each of Rick Gaenzle, Isaac Barchas and Justin Kelly are independent under the NYSE listing standards and applicable SEC rules. Rick Gaenzle will serve as the Chairman of the audit committee. Each member of the audit committee is financially literate and our board of directors has determined that Rick Gaenzle qualifies as an “audit committee financial expert” as defined in applicable SEC rules.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w:t>
      </w:r>
    </w:p>
    <w:p>
      <w:pPr>
        <w:spacing w:after="0" w:line="158" w:lineRule="exact"/>
        <w:rPr>
          <w:sz w:val="20"/>
          <w:szCs w:val="20"/>
          <w:color w:val="auto"/>
        </w:rPr>
      </w:pPr>
    </w:p>
    <w:p>
      <w:pPr>
        <w:ind w:left="1320" w:right="87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57"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55" w:lineRule="exact"/>
        <w:rPr>
          <w:rFonts w:ascii="Arial" w:cs="Arial" w:eastAsia="Arial" w:hAnsi="Arial"/>
          <w:sz w:val="17"/>
          <w:szCs w:val="17"/>
          <w:color w:val="auto"/>
        </w:rPr>
      </w:pPr>
    </w:p>
    <w:p>
      <w:pPr>
        <w:ind w:left="1320" w:right="77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57" w:lineRule="exact"/>
        <w:rPr>
          <w:rFonts w:ascii="Arial" w:cs="Arial" w:eastAsia="Arial" w:hAnsi="Arial"/>
          <w:sz w:val="18"/>
          <w:szCs w:val="18"/>
          <w:color w:val="auto"/>
        </w:rPr>
      </w:pPr>
    </w:p>
    <w:p>
      <w:pPr>
        <w:ind w:left="1320" w:right="639" w:hanging="434"/>
        <w:spacing w:after="0" w:line="259"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05"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116"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Committee</w:t>
      </w:r>
    </w:p>
    <w:p>
      <w:pPr>
        <w:spacing w:after="0" w:line="144"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our board of directors. The members of our nominating committee will be Rick Gaenzle, Isaac Barchas and Justin Kelly, and Isaac Barchas will serve as chairman of the nominating committee. Under the NYSE listing standards, we are required to have a nominating committee composed entirely of independent directors. Our board of directors has determined that each of Rick Gaenzle, Isaac Barchas and Justin Kelly are independent.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both"/>
        <w:ind w:left="460" w:right="479" w:firstLine="432"/>
        <w:spacing w:after="0" w:line="263"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103" w:lineRule="exact"/>
        <w:rPr>
          <w:sz w:val="20"/>
          <w:szCs w:val="20"/>
          <w:color w:val="auto"/>
        </w:rPr>
      </w:pPr>
    </w:p>
    <w:p>
      <w:pPr>
        <w:ind w:left="1320" w:right="91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ind w:left="1320" w:right="127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our board of directors. The members of our compensation committee will be Rick Gaenzle, Isaac Barchas and Justin Kelly, and Justin Kelly will serve as chairman of the compensation committee.</w:t>
      </w:r>
    </w:p>
    <w:p>
      <w:pPr>
        <w:spacing w:after="0" w:line="106"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NYSE listing standards, we are required to have a compensation committee composed entirely of independent directors. Our board of directors has determined that each of Rick Gaenzle, Isaac Barchas and Justin Kelly are independent. We will adopt a compensation committee charter, which will detail the principal functions of the compensation committee, including:</w:t>
      </w:r>
    </w:p>
    <w:p>
      <w:pPr>
        <w:spacing w:after="0" w:line="119" w:lineRule="exact"/>
        <w:rPr>
          <w:sz w:val="20"/>
          <w:szCs w:val="20"/>
          <w:color w:val="auto"/>
        </w:rPr>
      </w:pPr>
    </w:p>
    <w:p>
      <w:pPr>
        <w:ind w:left="1320" w:right="519" w:hanging="434"/>
        <w:spacing w:after="0" w:line="259"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jc w:val="both"/>
        <w:ind w:left="460" w:right="499"/>
        <w:spacing w:after="0" w:line="263" w:lineRule="auto"/>
        <w:rPr>
          <w:sz w:val="20"/>
          <w:szCs w:val="20"/>
          <w:color w:val="auto"/>
        </w:rPr>
      </w:pPr>
      <w:r>
        <w:rPr>
          <w:rFonts w:ascii="Arial" w:cs="Arial" w:eastAsia="Arial" w:hAnsi="Arial"/>
          <w:sz w:val="18"/>
          <w:szCs w:val="18"/>
          <w:color w:val="auto"/>
        </w:rPr>
        <w:t>receiving advice from a compensation consultant, external legal counsel or any other adviser, the compensation committee will consider the independence of each such adviser, including the factors required by the NYSE and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44" w:lineRule="exact"/>
        <w:rPr>
          <w:sz w:val="20"/>
          <w:szCs w:val="20"/>
          <w:color w:val="auto"/>
        </w:rPr>
      </w:pPr>
    </w:p>
    <w:p>
      <w:pPr>
        <w:jc w:val="both"/>
        <w:ind w:left="460" w:right="519" w:firstLine="432"/>
        <w:spacing w:after="0" w:line="342" w:lineRule="auto"/>
        <w:rPr>
          <w:sz w:val="20"/>
          <w:szCs w:val="20"/>
          <w:color w:val="auto"/>
        </w:rPr>
      </w:pPr>
      <w:r>
        <w:rPr>
          <w:rFonts w:ascii="Arial" w:cs="Arial" w:eastAsia="Arial" w:hAnsi="Arial"/>
          <w:sz w:val="16"/>
          <w:szCs w:val="16"/>
          <w:color w:val="auto"/>
        </w:rPr>
        <w:t>None of our executive officers currently serves, and in the past year has not served, as a member of the compensation committee of any entity that has one or more executive officers serving on our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44" w:lineRule="exact"/>
        <w:rPr>
          <w:sz w:val="20"/>
          <w:szCs w:val="20"/>
          <w:color w:val="auto"/>
        </w:rPr>
      </w:pPr>
    </w:p>
    <w:p>
      <w:pPr>
        <w:ind w:left="1320" w:right="89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57"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44"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2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right="819" w:firstLine="432"/>
        <w:spacing w:after="0" w:line="308"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8"/>
                <w:szCs w:val="18"/>
                <w:color w:val="auto"/>
              </w:rPr>
            </w:pPr>
          </w:p>
        </w:tc>
        <w:tc>
          <w:tcPr>
            <w:tcW w:w="3040" w:type="dxa"/>
            <w:vAlign w:val="bottom"/>
            <w:gridSpan w:val="2"/>
          </w:tcPr>
          <w:p>
            <w:pPr>
              <w:ind w:left="1260"/>
              <w:spacing w:after="0"/>
              <w:rPr>
                <w:sz w:val="20"/>
                <w:szCs w:val="20"/>
                <w:color w:val="auto"/>
              </w:rPr>
            </w:pPr>
            <w:r>
              <w:rPr>
                <w:rFonts w:ascii="Arial" w:cs="Arial" w:eastAsia="Arial" w:hAnsi="Arial"/>
                <w:sz w:val="16"/>
                <w:szCs w:val="16"/>
                <w:b w:val="1"/>
                <w:bCs w:val="1"/>
                <w:color w:val="auto"/>
              </w:rPr>
              <w:t>Entity</w:t>
            </w:r>
          </w:p>
        </w:tc>
        <w:tc>
          <w:tcPr>
            <w:tcW w:w="1300" w:type="dxa"/>
            <w:vAlign w:val="bottom"/>
          </w:tcPr>
          <w:p>
            <w:pPr>
              <w:ind w:left="60"/>
              <w:spacing w:after="0"/>
              <w:rPr>
                <w:sz w:val="20"/>
                <w:szCs w:val="20"/>
                <w:color w:val="auto"/>
              </w:rPr>
            </w:pPr>
            <w:r>
              <w:rPr>
                <w:rFonts w:ascii="Arial" w:cs="Arial" w:eastAsia="Arial" w:hAnsi="Arial"/>
                <w:sz w:val="16"/>
                <w:szCs w:val="16"/>
                <w:b w:val="1"/>
                <w:bCs w:val="1"/>
                <w:color w:val="auto"/>
                <w:w w:val="91"/>
              </w:rPr>
              <w:t>Entity’s Business</w:t>
            </w:r>
          </w:p>
        </w:tc>
        <w:tc>
          <w:tcPr>
            <w:tcW w:w="10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Lonestar II Generation Holdings</w:t>
            </w:r>
          </w:p>
        </w:tc>
        <w:tc>
          <w:tcPr>
            <w:tcW w:w="100" w:type="dxa"/>
            <w:vAlign w:val="bottom"/>
            <w:vMerge w:val="continue"/>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Energy</w:t>
            </w:r>
          </w:p>
        </w:tc>
        <w:tc>
          <w:tcPr>
            <w:tcW w:w="100" w:type="dxa"/>
            <w:vAlign w:val="bottom"/>
            <w:vMerge w:val="continue"/>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Holdings 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0"/>
                <w:szCs w:val="20"/>
                <w:color w:val="auto"/>
              </w:rPr>
            </w:pPr>
            <w:r>
              <w:rPr>
                <w:rFonts w:ascii="Arial" w:cs="Arial" w:eastAsia="Arial" w:hAnsi="Arial"/>
                <w:sz w:val="18"/>
                <w:szCs w:val="18"/>
                <w:color w:val="auto"/>
              </w:rPr>
              <w:t>Scott Honour</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Managing Partner</w:t>
            </w: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EVO Transportation &amp;</w:t>
            </w:r>
          </w:p>
        </w:tc>
        <w:tc>
          <w:tcPr>
            <w:tcW w:w="1300" w:type="dxa"/>
            <w:vAlign w:val="bottom"/>
          </w:tcPr>
          <w:p>
            <w:pPr>
              <w:spacing w:after="0"/>
              <w:rPr>
                <w:sz w:val="20"/>
                <w:szCs w:val="20"/>
                <w:color w:val="auto"/>
              </w:rPr>
            </w:pPr>
            <w:r>
              <w:rPr>
                <w:rFonts w:ascii="Arial" w:cs="Arial" w:eastAsia="Arial" w:hAnsi="Arial"/>
                <w:sz w:val="18"/>
                <w:szCs w:val="18"/>
                <w:color w:val="auto"/>
              </w:rPr>
              <w:t>Transportation</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Energy Services Inc.</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 Holdings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40" w:type="dxa"/>
            <w:vAlign w:val="bottom"/>
          </w:tcPr>
          <w:p>
            <w:pPr>
              <w:spacing w:after="0"/>
              <w:rPr>
                <w:sz w:val="20"/>
                <w:szCs w:val="20"/>
                <w:color w:val="auto"/>
              </w:rPr>
            </w:pPr>
            <w:r>
              <w:rPr>
                <w:rFonts w:ascii="Arial" w:cs="Arial" w:eastAsia="Arial" w:hAnsi="Arial"/>
                <w:sz w:val="18"/>
                <w:szCs w:val="18"/>
                <w:color w:val="auto"/>
              </w:rPr>
              <w:t>Rick Gaenzle</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Gilbert Global Equity Capital, L.L.C.</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6"/>
              </w:rPr>
              <w:t>Founder and Managing</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Impact Delta</w:t>
            </w:r>
          </w:p>
        </w:tc>
        <w:tc>
          <w:tcPr>
            <w:tcW w:w="1300" w:type="dxa"/>
            <w:vAlign w:val="bottom"/>
          </w:tcPr>
          <w:p>
            <w:pPr>
              <w:spacing w:after="0"/>
              <w:rPr>
                <w:sz w:val="20"/>
                <w:szCs w:val="20"/>
                <w:color w:val="auto"/>
              </w:rPr>
            </w:pPr>
            <w:r>
              <w:rPr>
                <w:rFonts w:ascii="Arial" w:cs="Arial" w:eastAsia="Arial" w:hAnsi="Arial"/>
                <w:sz w:val="18"/>
                <w:szCs w:val="18"/>
                <w:color w:val="auto"/>
              </w:rPr>
              <w:t>Advisory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Senior Advisor</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Lake Street Homes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Isaac Barchas</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Research Bridge Partners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Novosteo,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MorphImmune,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Justin Kelly</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Winslow Capital Management, LLC</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8"/>
              </w:rPr>
              <w:t>Chief Executive Officer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and Chief Investment</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58" w:lineRule="exact"/>
        <w:rPr>
          <w:sz w:val="20"/>
          <w:szCs w:val="20"/>
          <w:color w:val="auto"/>
        </w:rPr>
      </w:pPr>
    </w:p>
    <w:p>
      <w:pPr>
        <w:ind w:left="1320" w:right="539" w:hanging="434"/>
        <w:spacing w:after="0" w:line="272" w:lineRule="auto"/>
        <w:tabs>
          <w:tab w:leader="none" w:pos="1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09" w:lineRule="exact"/>
        <w:rPr>
          <w:rFonts w:ascii="Arial" w:cs="Arial" w:eastAsia="Arial" w:hAnsi="Arial"/>
          <w:sz w:val="17"/>
          <w:szCs w:val="17"/>
          <w:color w:val="auto"/>
        </w:rPr>
      </w:pPr>
    </w:p>
    <w:p>
      <w:pPr>
        <w:ind w:left="1320" w:right="719" w:hanging="434"/>
        <w:spacing w:after="0" w:line="263"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102" w:lineRule="exact"/>
        <w:rPr>
          <w:rFonts w:ascii="Arial" w:cs="Arial" w:eastAsia="Arial" w:hAnsi="Arial"/>
          <w:sz w:val="18"/>
          <w:szCs w:val="18"/>
          <w:color w:val="auto"/>
        </w:rPr>
      </w:pPr>
    </w:p>
    <w:p>
      <w:pPr>
        <w:ind w:left="1320" w:right="479" w:hanging="434"/>
        <w:spacing w:after="0" w:line="283" w:lineRule="auto"/>
        <w:tabs>
          <w:tab w:leader="none" w:pos="13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1" w:lineRule="exact"/>
        <w:rPr>
          <w:rFonts w:ascii="Arial" w:cs="Arial" w:eastAsia="Arial" w:hAnsi="Arial"/>
          <w:sz w:val="16"/>
          <w:szCs w:val="16"/>
          <w:color w:val="auto"/>
        </w:rPr>
      </w:pPr>
    </w:p>
    <w:p>
      <w:pPr>
        <w:ind w:left="1320" w:right="499"/>
        <w:spacing w:after="0" w:line="270" w:lineRule="auto"/>
        <w:rPr>
          <w:rFonts w:ascii="Arial" w:cs="Arial" w:eastAsia="Arial" w:hAnsi="Arial"/>
          <w:sz w:val="16"/>
          <w:szCs w:val="16"/>
          <w:color w:val="auto"/>
        </w:rPr>
      </w:pPr>
      <w:r>
        <w:rPr>
          <w:rFonts w:ascii="Arial" w:cs="Arial" w:eastAsia="Arial" w:hAnsi="Arial"/>
          <w:sz w:val="17"/>
          <w:szCs w:val="17"/>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1320" w:right="539"/>
        <w:spacing w:after="0" w:line="296" w:lineRule="auto"/>
        <w:rPr>
          <w:sz w:val="20"/>
          <w:szCs w:val="20"/>
          <w:color w:val="auto"/>
        </w:rPr>
      </w:pPr>
      <w:r>
        <w:rPr>
          <w:rFonts w:ascii="Arial" w:cs="Arial" w:eastAsia="Arial" w:hAnsi="Arial"/>
          <w:sz w:val="16"/>
          <w:szCs w:val="16"/>
          <w:color w:val="auto"/>
        </w:rPr>
        <w:t>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80" w:lineRule="exact"/>
        <w:rPr>
          <w:sz w:val="20"/>
          <w:szCs w:val="20"/>
          <w:color w:val="auto"/>
        </w:rPr>
      </w:pPr>
    </w:p>
    <w:p>
      <w:pPr>
        <w:ind w:left="1320" w:right="499" w:hanging="434"/>
        <w:spacing w:after="0" w:line="311" w:lineRule="auto"/>
        <w:tabs>
          <w:tab w:leader="none" w:pos="13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8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or another independent entity that commonly renders valuation opinions,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reimburse an affiliate of our sponsor for office space, secretarial and administrative services provided to us in the amount of $10,000 per month.</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In the event that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25"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4" w:lineRule="exact"/>
        <w:rPr>
          <w:sz w:val="20"/>
          <w:szCs w:val="20"/>
          <w:color w:val="auto"/>
        </w:rPr>
      </w:pPr>
    </w:p>
    <w:p>
      <w:pPr>
        <w:ind w:left="1320" w:right="55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4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post-offering percentages in the following table assume that the underwriter does not exercise its over-allotment option and that there are 37,500,000 ordinary shares issued and outstanding after this offering.</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Approximate Percentage of</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Issued and Outstanding</w:t>
            </w: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Ordinary Shares</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25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Before</w:t>
            </w:r>
          </w:p>
        </w:tc>
        <w:tc>
          <w:tcPr>
            <w:tcW w:w="1280" w:type="dxa"/>
            <w:vAlign w:val="bottom"/>
          </w:tcPr>
          <w:p>
            <w:pPr>
              <w:jc w:val="right"/>
              <w:ind w:right="372"/>
              <w:spacing w:after="0" w:line="182" w:lineRule="exact"/>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18"/>
                <w:szCs w:val="18"/>
                <w:b w:val="1"/>
                <w:bCs w:val="1"/>
                <w:color w:val="auto"/>
                <w:w w:val="91"/>
                <w:vertAlign w:val="superscript"/>
              </w:rPr>
              <w:t>(2)</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Offering</w:t>
            </w:r>
          </w:p>
        </w:tc>
        <w:tc>
          <w:tcPr>
            <w:tcW w:w="1280" w:type="dxa"/>
            <w:vAlign w:val="bottom"/>
          </w:tcPr>
          <w:p>
            <w:pPr>
              <w:jc w:val="right"/>
              <w:ind w:right="252"/>
              <w:spacing w:after="0"/>
              <w:rPr>
                <w:sz w:val="20"/>
                <w:szCs w:val="20"/>
                <w:color w:val="auto"/>
              </w:rPr>
            </w:pPr>
            <w:r>
              <w:rPr>
                <w:rFonts w:ascii="Arial" w:cs="Arial" w:eastAsia="Arial" w:hAnsi="Arial"/>
                <w:sz w:val="16"/>
                <w:szCs w:val="16"/>
                <w:b w:val="1"/>
                <w:bCs w:val="1"/>
                <w:color w:val="auto"/>
              </w:rPr>
              <w:t>Offering</w:t>
            </w:r>
          </w:p>
        </w:tc>
        <w:tc>
          <w:tcPr>
            <w:tcW w:w="0" w:type="dxa"/>
            <w:vAlign w:val="bottom"/>
          </w:tcPr>
          <w:p>
            <w:pPr>
              <w:spacing w:after="0"/>
              <w:rPr>
                <w:sz w:val="1"/>
                <w:szCs w:val="1"/>
                <w:color w:val="auto"/>
              </w:rPr>
            </w:pPr>
          </w:p>
        </w:tc>
      </w:tr>
      <w:tr>
        <w:trPr>
          <w:trHeight w:val="268"/>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Sustainable Opportunities Holdings LLC (our sponsor)</w:t>
            </w:r>
            <w:r>
              <w:rPr>
                <w:rFonts w:ascii="Arial" w:cs="Arial" w:eastAsia="Arial" w:hAnsi="Arial"/>
                <w:sz w:val="20"/>
                <w:szCs w:val="20"/>
                <w:color w:val="auto"/>
                <w:w w:val="94"/>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Scott Honour</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David Quiram</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Rick Gaenzle</w:t>
            </w:r>
          </w:p>
        </w:tc>
        <w:tc>
          <w:tcPr>
            <w:tcW w:w="12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Isaac Barchas</w:t>
            </w:r>
          </w:p>
        </w:tc>
        <w:tc>
          <w:tcPr>
            <w:tcW w:w="1240" w:type="dxa"/>
            <w:vAlign w:val="bottom"/>
            <w:gridSpan w:val="2"/>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Kelly</w:t>
            </w:r>
          </w:p>
        </w:tc>
        <w:tc>
          <w:tcPr>
            <w:tcW w:w="12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All officers, directors and director nominees as a group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(six individuals)</w:t>
            </w:r>
          </w:p>
        </w:tc>
        <w:tc>
          <w:tcPr>
            <w:tcW w:w="1240" w:type="dxa"/>
            <w:vAlign w:val="bottom"/>
            <w:gridSpan w:val="2"/>
          </w:tcPr>
          <w:p>
            <w:pPr>
              <w:jc w:val="right"/>
              <w:ind w:right="56"/>
              <w:spacing w:after="0"/>
              <w:rPr>
                <w:sz w:val="20"/>
                <w:szCs w:val="20"/>
                <w:color w:val="auto"/>
              </w:rPr>
            </w:pPr>
            <w:r>
              <w:rPr>
                <w:rFonts w:ascii="Arial" w:cs="Arial" w:eastAsia="Arial" w:hAnsi="Arial"/>
                <w:sz w:val="18"/>
                <w:szCs w:val="18"/>
                <w:color w:val="auto"/>
              </w:rPr>
              <w:t>8,625,000</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73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our shareholders is 1601 Bryan Street, Suite 4141, Dallas, Texas 75201.</w:t>
      </w:r>
    </w:p>
    <w:p>
      <w:pPr>
        <w:jc w:val="both"/>
        <w:ind w:left="880" w:right="479" w:hanging="426"/>
        <w:spacing w:after="0" w:line="264"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880" w:right="779" w:hanging="426"/>
        <w:spacing w:after="0" w:line="281" w:lineRule="auto"/>
        <w:tabs>
          <w:tab w:leader="none" w:pos="8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Scott Leonard and Scott Honour are the managers of our sponsor and share voting and dispositive power over the securities held by our sponsor and therefore each may be deemed to be a beneficial owner thereof.</w:t>
      </w:r>
    </w:p>
    <w:p>
      <w:pPr>
        <w:spacing w:after="0" w:line="1" w:lineRule="exact"/>
        <w:rPr>
          <w:rFonts w:ascii="Arial" w:cs="Arial" w:eastAsia="Arial" w:hAnsi="Arial"/>
          <w:sz w:val="15"/>
          <w:szCs w:val="15"/>
          <w:color w:val="auto"/>
        </w:rPr>
      </w:pPr>
    </w:p>
    <w:p>
      <w:pPr>
        <w:ind w:left="880" w:right="539" w:hanging="426"/>
        <w:spacing w:after="0" w:line="288"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up to 1,125,000 founder shares that will be surrendered to us for no consideration by our sponsor depending on the extent to which the underwriter’s over-allotment option is exercised.</w:t>
      </w:r>
    </w:p>
    <w:p>
      <w:pPr>
        <w:spacing w:after="0" w:line="90"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Immediately after this offering, our sponsor will beneficially own 20% of the then issued and outstanding ordinary shares (assuming they do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ectPr>
          <w:pgSz w:w="11900" w:h="16838" w:orient="portrait"/>
          <w:cols w:equalWidth="0" w:num="1">
            <w:col w:w="9019"/>
          </w:cols>
          <w:pgMar w:left="1440" w:top="337"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8" w:name="page109"/>
    <w:bookmarkEnd w:id="108"/>
    <w:p>
      <w:pPr>
        <w:ind w:left="460" w:right="879" w:firstLine="432"/>
        <w:spacing w:after="0" w:line="263" w:lineRule="auto"/>
        <w:rPr>
          <w:sz w:val="20"/>
          <w:szCs w:val="20"/>
          <w:color w:val="auto"/>
        </w:rPr>
      </w:pPr>
      <w:r>
        <w:rPr>
          <w:rFonts w:ascii="Arial" w:cs="Arial" w:eastAsia="Arial" w:hAnsi="Arial"/>
          <w:sz w:val="18"/>
          <w:szCs w:val="18"/>
          <w:color w:val="auto"/>
        </w:rPr>
        <w:t>Our sponsor has agreed (a) to vote any founder shares owned by it in favor of any proposed business combination and (b) not to redeem any founder shares in connection with a shareholder vote to approve a proposed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62"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agreements entered into by our sponsor and management team. Our sponsor and each member of our management team have agreed not to transfer, assign or sell any of their founder shares until the earliest of (a) one year after the completion of our initial business combination and (b) upon consummation of our initial business combination,</w:t>
      </w:r>
    </w:p>
    <w:p>
      <w:pPr>
        <w:spacing w:after="0" w:line="2" w:lineRule="exact"/>
        <w:rPr>
          <w:sz w:val="20"/>
          <w:szCs w:val="20"/>
          <w:color w:val="auto"/>
        </w:rPr>
      </w:pPr>
    </w:p>
    <w:p>
      <w:pPr>
        <w:ind w:left="460" w:right="479" w:hanging="6"/>
        <w:spacing w:after="0" w:line="281" w:lineRule="auto"/>
        <w:tabs>
          <w:tab w:leader="none" w:pos="7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w:t>
      </w:r>
    </w:p>
    <w:p>
      <w:pPr>
        <w:spacing w:after="0" w:line="11" w:lineRule="exact"/>
        <w:rPr>
          <w:rFonts w:ascii="Arial" w:cs="Arial" w:eastAsia="Arial" w:hAnsi="Arial"/>
          <w:sz w:val="16"/>
          <w:szCs w:val="16"/>
          <w:color w:val="auto"/>
        </w:rPr>
      </w:pPr>
    </w:p>
    <w:p>
      <w:pPr>
        <w:ind w:left="460" w:right="559" w:hanging="6"/>
        <w:spacing w:after="0" w:line="270" w:lineRule="auto"/>
        <w:tabs>
          <w:tab w:leader="none" w:pos="6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clauses (a) through (f), except with the prior written consent of the Company, these permitted transferees must enter into a written agreement agreeing to be bound by these transfer restrictions and the other restrictions contained in the letter agreements.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The number of founder shares issued was determined based on the expectation that such founder shares would represent 20% of the issued and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the issued and outstanding ordinary shares upon the consummation of this offering. Up to 1,125,000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66"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9,500,000 private placement warrants for a purchase price of $1.00 per whole warrant in a private placement that will occur simultaneously with the closing of this offering. As such, our sponsor’s interest in this transaction is valued at $9,500,000. Each private placement warrant entitles the holder to purchase one share of our Class A ordinary shares at $11.50 per share. The private placement warrants (including the Class A ordinary shares issuable upon exercise thereof) may not, subject to certain limited exceptions, be transferred, assigned or sold by the holder.</w:t>
      </w:r>
    </w:p>
    <w:p>
      <w:pPr>
        <w:spacing w:after="0" w:line="8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8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8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5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2020 or the closing of this offering. The loan will be repaid upon the closing of this offering out of the offering proceeds not held in the trust account.</w:t>
      </w:r>
    </w:p>
    <w:p>
      <w:pPr>
        <w:spacing w:after="0" w:line="7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0" w:name="page111"/>
    <w:bookmarkEnd w:id="110"/>
    <w:p>
      <w:pPr>
        <w:ind w:left="460" w:right="639" w:firstLine="432"/>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9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99"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99"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The Class A ordinary shares and warrants comprising the units are expected to begin separate trading on the 52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day following the date of this prospectus unless (or if such day is not a business day, the immediately succeeding business day)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8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the date of this prospectus, there were 8,625,000 Class B ordinary shares issued and outstanding, all of which were held of record by our sponsor, so that our sponsor will own 20% of our issued and outstanding shares after this offering (assuming our sponsor does not purchase any units in this offering). Upon the closing of this offering, 37,500,000 of our ordinary shares will be outstanding (assuming no exercise of the underwriter’s over-allotment option) including:</w:t>
      </w:r>
    </w:p>
    <w:p>
      <w:pPr>
        <w:spacing w:after="0" w:line="120"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30,000,000 Class A ordinary shares underlying the units issued as part of this offering;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7,500,000 Class B ordinary shares held by our sponsor.</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ind w:left="460" w:right="479" w:firstLine="432"/>
        <w:spacing w:after="0" w:line="267"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w:t>
      </w:r>
    </w:p>
    <w:p>
      <w:pPr>
        <w:spacing w:after="0" w:line="107"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9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There is no requirement under the Companies Law for us to hold annual or general meetings or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0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will include the requirement that a beneficial owner must identify itself in order to valid redeem its shares. 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w:t>
      </w:r>
    </w:p>
    <w:p>
      <w:pPr>
        <w:spacing w:after="0" w:line="3" w:lineRule="exact"/>
        <w:rPr>
          <w:sz w:val="20"/>
          <w:szCs w:val="20"/>
          <w:color w:val="auto"/>
        </w:rPr>
      </w:pPr>
    </w:p>
    <w:p>
      <w:pPr>
        <w:ind w:left="460" w:right="519" w:hanging="6"/>
        <w:spacing w:after="0" w:line="267" w:lineRule="auto"/>
        <w:tabs>
          <w:tab w:leader="none" w:pos="72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right="459"/>
        <w:spacing w:after="0" w:line="268" w:lineRule="auto"/>
        <w:rPr>
          <w:sz w:val="20"/>
          <w:szCs w:val="20"/>
          <w:color w:val="auto"/>
        </w:rPr>
      </w:pPr>
      <w:r>
        <w:rPr>
          <w:rFonts w:ascii="Arial" w:cs="Arial" w:eastAsia="Arial" w:hAnsi="Arial"/>
          <w:sz w:val="17"/>
          <w:szCs w:val="17"/>
          <w:color w:val="auto"/>
        </w:rPr>
        <w:t>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vote in favor of the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w:t>
      </w:r>
    </w:p>
    <w:p>
      <w:pPr>
        <w:spacing w:after="0" w:line="10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and members of our management team have entered into agreements with us, pursuant to which they have agreed to waive their rights to liquidating distributions from the trust account with respect to their founder shares if we fail to consummate an initial business combination within 18 months from the closing of this offering. However, if our sponsor or members of our management team acquire public shares in or after this offering, they will be entitled to liquidating distributions from the trust account with respect to such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right="619"/>
        <w:spacing w:after="0" w:line="275" w:lineRule="auto"/>
        <w:rPr>
          <w:sz w:val="20"/>
          <w:szCs w:val="20"/>
          <w:color w:val="auto"/>
        </w:rPr>
      </w:pPr>
      <w:r>
        <w:rPr>
          <w:rFonts w:ascii="Arial" w:cs="Arial" w:eastAsia="Arial" w:hAnsi="Arial"/>
          <w:sz w:val="17"/>
          <w:szCs w:val="17"/>
          <w:color w:val="auto"/>
        </w:rPr>
        <w:t>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agreements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(C) to waive their rights to liquidating distributions from the trust account with respect to its founder shares if we fail to consummate an initial business combination within 18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1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w:t>
      </w:r>
    </w:p>
    <w:p>
      <w:pPr>
        <w:spacing w:after="0" w:line="101"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right="699"/>
        <w:spacing w:after="0" w:line="255" w:lineRule="auto"/>
        <w:rPr>
          <w:sz w:val="20"/>
          <w:szCs w:val="20"/>
          <w:color w:val="auto"/>
        </w:rPr>
      </w:pPr>
      <w:r>
        <w:rPr>
          <w:rFonts w:ascii="Arial" w:cs="Arial" w:eastAsia="Arial" w:hAnsi="Arial"/>
          <w:sz w:val="18"/>
          <w:szCs w:val="18"/>
          <w:color w:val="auto"/>
        </w:rPr>
        <w:t>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69" w:lineRule="exact"/>
        <w:rPr>
          <w:sz w:val="20"/>
          <w:szCs w:val="20"/>
          <w:color w:val="auto"/>
        </w:rPr>
      </w:pPr>
    </w:p>
    <w:p>
      <w:pPr>
        <w:jc w:val="both"/>
        <w:ind w:left="1320" w:right="539" w:hanging="434"/>
        <w:spacing w:after="0" w:line="263"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Preference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Public Shareholders’ Warrants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9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We will use our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Class A ordinary shares are at the time of any exercise of a warrant not listed on a national securities exchange such that it satisfies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reasonable best efforts to register or qualify the shares under applicable blue sky laws to the extent an exemption is not available.</w:t>
      </w:r>
    </w:p>
    <w:p>
      <w:pPr>
        <w:spacing w:after="0" w:line="10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i w:val="1"/>
          <w:iCs w:val="1"/>
          <w:color w:val="auto"/>
        </w:rPr>
        <w:t xml:space="preserve">Redemptions of warrants. </w:t>
      </w:r>
      <w:r>
        <w:rPr>
          <w:rFonts w:ascii="Arial" w:cs="Arial" w:eastAsia="Arial" w:hAnsi="Arial"/>
          <w:sz w:val="18"/>
          <w:szCs w:val="18"/>
          <w:color w:val="auto"/>
        </w:rPr>
        <w:t>Once the warrants become exercisable, we may call the warrants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w:t>
      </w:r>
    </w:p>
    <w:p>
      <w:pPr>
        <w:spacing w:after="0" w:line="89"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44" w:lineRule="exact"/>
        <w:rPr>
          <w:rFonts w:ascii="Arial" w:cs="Arial" w:eastAsia="Arial" w:hAnsi="Arial"/>
          <w:sz w:val="18"/>
          <w:szCs w:val="18"/>
          <w:color w:val="auto"/>
        </w:rPr>
      </w:pPr>
    </w:p>
    <w:p>
      <w:pPr>
        <w:jc w:val="both"/>
        <w:ind w:left="1320" w:right="639" w:hanging="434"/>
        <w:spacing w:after="0" w:line="279" w:lineRule="auto"/>
        <w:tabs>
          <w:tab w:leader="none" w:pos="13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and only if, the reported closing price of the ordinary shares equals or exceeds $18.00 per share (as adjusted for share subdivisions, share capitalizations, reorganizations, recapitalizations and the like) for any 20 trading days within a 30-trading day period ending three business days before we send to the notice of redemption to the warrant holders.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7" w:name="page118"/>
    <w:bookmarkEnd w:id="117"/>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110"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Redemption procedures and cashless exercise. </w:t>
      </w:r>
      <w:r>
        <w:rPr>
          <w:rFonts w:ascii="Arial" w:cs="Arial" w:eastAsia="Arial" w:hAnsi="Arial"/>
          <w:sz w:val="16"/>
          <w:szCs w:val="16"/>
          <w:color w:val="auto"/>
        </w:rPr>
        <w:t>If we call the warrants for redemption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spacing w:after="0" w:line="95"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Class A ordinary shares is increased by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payable in Class A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Class A ordinary shares at a price less than the fair market value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right="499" w:firstLine="432"/>
        <w:spacing w:after="0" w:line="267"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of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Class A ordinary shares if we do not consummate an initial business combination within 18 months from the closing of this offering;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0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9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in “— Redemption of warrants” will be adjusted (to the nearest cent) to be equal to 180% of the higher of the Market Value and the Newly Issued Price.</w:t>
      </w:r>
    </w:p>
    <w:p>
      <w:pPr>
        <w:spacing w:after="0" w:line="95"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right="479"/>
        <w:spacing w:after="0" w:line="286" w:lineRule="auto"/>
        <w:rPr>
          <w:sz w:val="20"/>
          <w:szCs w:val="20"/>
          <w:color w:val="auto"/>
        </w:rPr>
      </w:pPr>
      <w:r>
        <w:rPr>
          <w:rFonts w:ascii="Arial" w:cs="Arial" w:eastAsia="Arial" w:hAnsi="Arial"/>
          <w:sz w:val="16"/>
          <w:szCs w:val="16"/>
          <w:color w:val="auto"/>
        </w:rPr>
        <w:t>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this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1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11" w:lineRule="exact"/>
        <w:rPr>
          <w:sz w:val="20"/>
          <w:szCs w:val="20"/>
          <w:color w:val="auto"/>
        </w:rPr>
      </w:pPr>
    </w:p>
    <w:p>
      <w:pPr>
        <w:ind w:left="460" w:right="77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so long as they are held by our sponsor or its permitted transferees. Our sponsor, or its permitted transferees, has the option to exercise the private placement warrants on a cashless basis. Except as described below,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0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59" w:hanging="6"/>
        <w:spacing w:after="0" w:line="253"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permitted transferees is because it is not known at this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0" w:name="page121"/>
    <w:bookmarkEnd w:id="120"/>
    <w:p>
      <w:pPr>
        <w:ind w:left="460" w:right="499"/>
        <w:spacing w:after="0" w:line="253" w:lineRule="auto"/>
        <w:rPr>
          <w:sz w:val="20"/>
          <w:szCs w:val="20"/>
          <w:color w:val="auto"/>
        </w:rPr>
      </w:pPr>
      <w:r>
        <w:rPr>
          <w:rFonts w:ascii="Arial" w:cs="Arial" w:eastAsia="Arial" w:hAnsi="Arial"/>
          <w:sz w:val="18"/>
          <w:szCs w:val="18"/>
          <w:color w:val="auto"/>
        </w:rPr>
        <w:t>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1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In certain circumstances, the Companies Law allows for mergers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consolidations between two Cayman Islands companies, or between a Cayman Islands exempted company and a company incorporated in another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 facilitated by the laws of that other jurisdiction).</w:t>
      </w:r>
    </w:p>
    <w:p>
      <w:pPr>
        <w:spacing w:after="0" w:line="81" w:lineRule="exact"/>
        <w:rPr>
          <w:sz w:val="20"/>
          <w:szCs w:val="20"/>
          <w:color w:val="auto"/>
        </w:rPr>
      </w:pPr>
    </w:p>
    <w:p>
      <w:pPr>
        <w:ind w:left="460" w:right="819" w:firstLine="432"/>
        <w:spacing w:after="0" w:line="287"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w:t>
      </w:r>
    </w:p>
    <w:p>
      <w:pPr>
        <w:spacing w:after="0" w:line="2" w:lineRule="exact"/>
        <w:rPr>
          <w:sz w:val="20"/>
          <w:szCs w:val="20"/>
          <w:color w:val="auto"/>
        </w:rPr>
      </w:pPr>
    </w:p>
    <w:p>
      <w:pPr>
        <w:ind w:left="460" w:right="539"/>
        <w:spacing w:after="0" w:line="266" w:lineRule="auto"/>
        <w:rPr>
          <w:sz w:val="20"/>
          <w:szCs w:val="20"/>
          <w:color w:val="auto"/>
        </w:rPr>
      </w:pPr>
      <w:r>
        <w:rPr>
          <w:rFonts w:ascii="Arial" w:cs="Arial" w:eastAsia="Arial" w:hAnsi="Arial"/>
          <w:sz w:val="16"/>
          <w:szCs w:val="16"/>
          <w:color w:val="auto"/>
        </w:rPr>
        <w:t>majority of 66</w:t>
      </w:r>
      <w:r>
        <w:rPr>
          <w:rFonts w:ascii="Arial" w:cs="Arial" w:eastAsia="Arial" w:hAnsi="Arial"/>
          <w:sz w:val="30"/>
          <w:szCs w:val="30"/>
          <w:color w:val="auto"/>
          <w:vertAlign w:val="superscript"/>
        </w:rPr>
        <w:t>2/3</w:t>
      </w:r>
      <w:r>
        <w:rPr>
          <w:rFonts w:ascii="Arial" w:cs="Arial" w:eastAsia="Arial" w:hAnsi="Arial"/>
          <w:sz w:val="16"/>
          <w:szCs w:val="16"/>
          <w:color w:val="auto"/>
        </w:rPr>
        <w:t xml:space="preserve">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right="599" w:firstLine="432"/>
        <w:spacing w:after="0" w:line="287"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1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1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right="539"/>
        <w:spacing w:after="0" w:line="288" w:lineRule="auto"/>
        <w:rPr>
          <w:sz w:val="20"/>
          <w:szCs w:val="20"/>
          <w:color w:val="auto"/>
        </w:rPr>
      </w:pPr>
      <w:r>
        <w:rPr>
          <w:rFonts w:ascii="Arial" w:cs="Arial" w:eastAsia="Arial" w:hAnsi="Arial"/>
          <w:sz w:val="16"/>
          <w:szCs w:val="16"/>
          <w:color w:val="auto"/>
        </w:rPr>
        <w:t>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7" w:lineRule="exact"/>
        <w:rPr>
          <w:sz w:val="20"/>
          <w:szCs w:val="20"/>
          <w:color w:val="auto"/>
        </w:rPr>
      </w:pPr>
    </w:p>
    <w:p>
      <w:pPr>
        <w:ind w:left="1320" w:right="499" w:hanging="434"/>
        <w:spacing w:after="0" w:line="277"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Squeeze-out Provisions. </w:t>
      </w:r>
      <w:r>
        <w:rPr>
          <w:rFonts w:ascii="Arial" w:cs="Arial" w:eastAsia="Arial" w:hAnsi="Arial"/>
          <w:sz w:val="18"/>
          <w:szCs w:val="18"/>
          <w:color w:val="auto"/>
        </w:rPr>
        <w:t>When a takeover offer is made and accepted by holders of 90% of the shares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07" w:lineRule="exact"/>
        <w:rPr>
          <w:sz w:val="20"/>
          <w:szCs w:val="20"/>
          <w:color w:val="auto"/>
        </w:rPr>
      </w:pPr>
    </w:p>
    <w:p>
      <w:pPr>
        <w:ind w:left="460" w:right="1199" w:firstLine="432"/>
        <w:spacing w:after="0" w:line="340" w:lineRule="auto"/>
        <w:rPr>
          <w:sz w:val="20"/>
          <w:szCs w:val="20"/>
          <w:color w:val="auto"/>
        </w:rPr>
      </w:pPr>
      <w:r>
        <w:rPr>
          <w:rFonts w:ascii="Arial" w:cs="Arial" w:eastAsia="Arial" w:hAnsi="Arial"/>
          <w:sz w:val="15"/>
          <w:szCs w:val="15"/>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63"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Our Cayman Islands counsel is not aware of any reported class action having been</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9" w:lineRule="exact"/>
        <w:rPr>
          <w:sz w:val="20"/>
          <w:szCs w:val="20"/>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44" w:lineRule="exact"/>
        <w:rPr>
          <w:rFonts w:ascii="Arial" w:cs="Arial" w:eastAsia="Arial" w:hAnsi="Arial"/>
          <w:sz w:val="18"/>
          <w:szCs w:val="18"/>
          <w:color w:val="auto"/>
        </w:rPr>
      </w:pPr>
    </w:p>
    <w:p>
      <w:pPr>
        <w:ind w:left="1320" w:right="879" w:hanging="434"/>
        <w:spacing w:after="0" w:line="308" w:lineRule="auto"/>
        <w:tabs>
          <w:tab w:leader="none" w:pos="131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89" w:lineRule="exact"/>
        <w:rPr>
          <w:sz w:val="20"/>
          <w:szCs w:val="20"/>
          <w:color w:val="auto"/>
        </w:rPr>
      </w:pPr>
    </w:p>
    <w:p>
      <w:pPr>
        <w:jc w:val="both"/>
        <w:ind w:left="460" w:right="1199" w:firstLine="432"/>
        <w:spacing w:after="0" w:line="286"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United States and provides less protection to investors. Additionally, Cayman Islands companies may not have standing to sue before the Federal courts of the United States.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10" w:lineRule="exact"/>
        <w:rPr>
          <w:sz w:val="20"/>
          <w:szCs w:val="20"/>
          <w:color w:val="auto"/>
        </w:rPr>
      </w:pPr>
    </w:p>
    <w:p>
      <w:pPr>
        <w:ind w:left="1320" w:right="619" w:hanging="434"/>
        <w:spacing w:after="0" w:line="263"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89" w:lineRule="exact"/>
        <w:rPr>
          <w:rFonts w:ascii="Arial" w:cs="Arial" w:eastAsia="Arial" w:hAnsi="Arial"/>
          <w:sz w:val="18"/>
          <w:szCs w:val="18"/>
          <w:color w:val="auto"/>
        </w:rPr>
      </w:pPr>
    </w:p>
    <w:p>
      <w:pPr>
        <w:ind w:left="1320" w:right="129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right="479" w:firstLine="432"/>
        <w:spacing w:after="0" w:line="275" w:lineRule="auto"/>
        <w:rPr>
          <w:sz w:val="20"/>
          <w:szCs w:val="20"/>
          <w:color w:val="auto"/>
        </w:rPr>
      </w:pPr>
      <w:r>
        <w:rPr>
          <w:rFonts w:ascii="Arial" w:cs="Arial" w:eastAsia="Arial" w:hAnsi="Arial"/>
          <w:sz w:val="17"/>
          <w:szCs w:val="17"/>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5" w:lineRule="exact"/>
        <w:rPr>
          <w:sz w:val="20"/>
          <w:szCs w:val="20"/>
          <w:color w:val="auto"/>
        </w:rPr>
      </w:pPr>
    </w:p>
    <w:p>
      <w:pPr>
        <w:ind w:left="1320" w:right="459" w:hanging="434"/>
        <w:spacing w:after="0" w:line="287" w:lineRule="auto"/>
        <w:tabs>
          <w:tab w:leader="none" w:pos="13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00"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18 months from the closing of this offering or (y) amend the foregoing provisions;</w:t>
      </w:r>
    </w:p>
    <w:p>
      <w:pPr>
        <w:spacing w:after="0" w:line="98" w:lineRule="exact"/>
        <w:rPr>
          <w:rFonts w:ascii="Arial" w:cs="Arial" w:eastAsia="Arial" w:hAnsi="Arial"/>
          <w:sz w:val="16"/>
          <w:szCs w:val="16"/>
          <w:color w:val="auto"/>
        </w:rPr>
      </w:pPr>
    </w:p>
    <w:p>
      <w:pPr>
        <w:ind w:left="1320" w:right="519" w:hanging="434"/>
        <w:spacing w:after="0" w:line="255"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 business combination is fair to our company from a financial point of view;</w:t>
      </w:r>
    </w:p>
    <w:p>
      <w:pPr>
        <w:spacing w:after="0" w:line="111" w:lineRule="exact"/>
        <w:rPr>
          <w:rFonts w:ascii="Arial" w:cs="Arial" w:eastAsia="Arial" w:hAnsi="Arial"/>
          <w:sz w:val="18"/>
          <w:szCs w:val="18"/>
          <w:color w:val="auto"/>
        </w:rPr>
      </w:pPr>
    </w:p>
    <w:p>
      <w:pPr>
        <w:ind w:left="1320" w:right="479" w:hanging="434"/>
        <w:spacing w:after="0" w:line="293" w:lineRule="auto"/>
        <w:tabs>
          <w:tab w:leader="none" w:pos="13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6" w:lineRule="exact"/>
        <w:rPr>
          <w:rFonts w:ascii="Arial" w:cs="Arial" w:eastAsia="Arial" w:hAnsi="Arial"/>
          <w:sz w:val="16"/>
          <w:szCs w:val="16"/>
          <w:color w:val="auto"/>
        </w:rPr>
      </w:pPr>
    </w:p>
    <w:p>
      <w:pPr>
        <w:ind w:left="1320" w:right="479" w:hanging="434"/>
        <w:spacing w:after="0" w:line="301" w:lineRule="auto"/>
        <w:tabs>
          <w:tab w:leader="none" w:pos="13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9" w:lineRule="exact"/>
        <w:rPr>
          <w:rFonts w:ascii="Arial" w:cs="Arial" w:eastAsia="Arial" w:hAnsi="Arial"/>
          <w:sz w:val="16"/>
          <w:szCs w:val="16"/>
          <w:color w:val="auto"/>
        </w:rPr>
      </w:pPr>
    </w:p>
    <w:p>
      <w:pPr>
        <w:ind w:left="1320" w:right="499" w:hanging="434"/>
        <w:spacing w:after="0" w:line="288" w:lineRule="auto"/>
        <w:tabs>
          <w:tab w:leader="none" w:pos="13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7"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jc w:val="both"/>
        <w:ind w:left="460" w:right="519" w:firstLine="432"/>
        <w:spacing w:after="0" w:line="263"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11"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9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20" w:lineRule="exact"/>
        <w:rPr>
          <w:sz w:val="20"/>
          <w:szCs w:val="20"/>
          <w:color w:val="auto"/>
        </w:rPr>
      </w:pPr>
    </w:p>
    <w:p>
      <w:pPr>
        <w:ind w:left="1320" w:right="619" w:hanging="434"/>
        <w:spacing w:after="0" w:line="342" w:lineRule="auto"/>
        <w:tabs>
          <w:tab w:leader="none" w:pos="129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subscriber is a relevant financial business required to comply with the Anti-Money Laundering Regulations (2020 Revision) or is a majority-owned subsidiary of such a business; or</w:t>
      </w:r>
    </w:p>
    <w:p>
      <w:pPr>
        <w:spacing w:after="0" w:line="29" w:lineRule="exact"/>
        <w:rPr>
          <w:rFonts w:ascii="Arial" w:cs="Arial" w:eastAsia="Arial" w:hAnsi="Arial"/>
          <w:sz w:val="16"/>
          <w:szCs w:val="16"/>
          <w:color w:val="auto"/>
        </w:rPr>
      </w:pPr>
    </w:p>
    <w:p>
      <w:pPr>
        <w:ind w:left="1320" w:right="619" w:hanging="434"/>
        <w:spacing w:after="0" w:line="259" w:lineRule="auto"/>
        <w:tabs>
          <w:tab w:leader="none" w:pos="1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subscriber is acting in the course of a business in relation to which a regulatory authority exercises regulatory functions and which is in a country listed by the Cayman Islands Anti-Money Laundering Steering Committee (“Equivalent Jurisdiction”) or is a majority-owned subsidiary of such subscriber; or</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2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subscriber is a central or local government organization, statutory body or agency of government in the Cayman Islands or an Equivalent Jurisdiction; or</w:t>
      </w:r>
    </w:p>
    <w:p>
      <w:pPr>
        <w:spacing w:after="0" w:line="75" w:lineRule="exact"/>
        <w:rPr>
          <w:rFonts w:ascii="Arial" w:cs="Arial" w:eastAsia="Arial" w:hAnsi="Arial"/>
          <w:sz w:val="18"/>
          <w:szCs w:val="18"/>
          <w:color w:val="auto"/>
        </w:rPr>
      </w:pPr>
    </w:p>
    <w:p>
      <w:pPr>
        <w:jc w:val="both"/>
        <w:ind w:left="1320" w:right="599" w:hanging="434"/>
        <w:spacing w:after="0" w:line="263" w:lineRule="auto"/>
        <w:tabs>
          <w:tab w:leader="none" w:pos="1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subscriber is a company that is listed on a recognized stock exchange and subject to disclosure requirements which impose requirements to ensure adequate transparency of beneficial ownership, or is a majority-owned subsidiary of such a company; or</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2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subscriber is a pension fund for a professional association, trade union or is acting on behalf of employees of an entity referred to in sub-paragraphs (a) to (d); or</w:t>
      </w:r>
    </w:p>
    <w:p>
      <w:pPr>
        <w:spacing w:after="0" w:line="89" w:lineRule="exact"/>
        <w:rPr>
          <w:sz w:val="20"/>
          <w:szCs w:val="20"/>
          <w:color w:val="auto"/>
        </w:rPr>
      </w:pPr>
    </w:p>
    <w:p>
      <w:pPr>
        <w:ind w:left="1320" w:right="479" w:hanging="431"/>
        <w:spacing w:after="0" w:line="272" w:lineRule="auto"/>
        <w:rPr>
          <w:sz w:val="20"/>
          <w:szCs w:val="20"/>
          <w:color w:val="auto"/>
        </w:rPr>
      </w:pPr>
      <w:r>
        <w:rPr>
          <w:rFonts w:ascii="Arial" w:cs="Arial" w:eastAsia="Arial" w:hAnsi="Arial"/>
          <w:sz w:val="17"/>
          <w:szCs w:val="17"/>
          <w:color w:val="auto"/>
        </w:rPr>
        <w:t>f)the application is made through an intermediary which falls within one of sub-paragraphs (a) to (e). In this situation the company may rely on a written assurance from the intermediary which confirms (i) that the requisite identification and verification procedures on the applicant for business and its beneficial owners have been carried out; (ii) the nature and intended purpose of the business relationship; (iii) that the intermediary has identified the source of funds of the applicant for business; and (iv) that the intermediary shall make available copies of any identification and verification data or information and relevant documents.</w:t>
      </w:r>
    </w:p>
    <w:p>
      <w:pPr>
        <w:spacing w:after="0" w:line="96"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right="819" w:firstLine="432"/>
        <w:spacing w:after="0" w:line="286"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8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(2020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Protection — Cayman Islands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We have certain duties under the Data Protection Law, 2017 of the Cayman Islands (the “DPL”) based on internationally accepted principles of data privacy.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Investor Data</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9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90" w:lineRule="exact"/>
        <w:rPr>
          <w:sz w:val="20"/>
          <w:szCs w:val="20"/>
          <w:color w:val="auto"/>
        </w:rPr>
      </w:pPr>
    </w:p>
    <w:p>
      <w:pPr>
        <w:ind w:left="460" w:right="699" w:firstLine="432"/>
        <w:spacing w:after="0" w:line="255" w:lineRule="auto"/>
        <w:rPr>
          <w:sz w:val="20"/>
          <w:szCs w:val="20"/>
          <w:color w:val="auto"/>
        </w:rPr>
      </w:pPr>
      <w:r>
        <w:rPr>
          <w:rFonts w:ascii="Arial" w:cs="Arial" w:eastAsia="Arial" w:hAnsi="Arial"/>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i w:val="1"/>
          <w:iCs w:val="1"/>
          <w:color w:val="auto"/>
        </w:rPr>
        <w:t>Who this Affects</w:t>
      </w:r>
    </w:p>
    <w:p>
      <w:pPr>
        <w:spacing w:after="0" w:line="15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How the Company May Use a Shareholder’s Personal Data</w:t>
      </w:r>
    </w:p>
    <w:p>
      <w:pPr>
        <w:spacing w:after="0" w:line="144"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03" w:lineRule="exact"/>
        <w:rPr>
          <w:sz w:val="20"/>
          <w:szCs w:val="20"/>
          <w:color w:val="auto"/>
        </w:rPr>
      </w:pPr>
    </w:p>
    <w:p>
      <w:pPr>
        <w:ind w:left="1320" w:right="1059" w:hanging="434"/>
        <w:spacing w:after="0" w:line="277" w:lineRule="auto"/>
        <w:tabs>
          <w:tab w:leader="none" w:pos="13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278"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65" w:lineRule="exact"/>
        <w:rPr>
          <w:rFonts w:ascii="Arial" w:cs="Arial" w:eastAsia="Arial" w:hAnsi="Arial"/>
          <w:sz w:val="17"/>
          <w:szCs w:val="17"/>
          <w:color w:val="auto"/>
        </w:rPr>
      </w:pPr>
    </w:p>
    <w:p>
      <w:pPr>
        <w:ind w:left="1320" w:right="1099" w:hanging="434"/>
        <w:spacing w:after="0" w:line="277" w:lineRule="auto"/>
        <w:tabs>
          <w:tab w:leader="none" w:pos="13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Should we wish to use personal data for other specific purposes (including, if applicable, any purpose that requires your consent), we will contact you.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Why We May Transfer Your Personal Data</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06"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Data Protection Measures We Take</w:t>
      </w:r>
    </w:p>
    <w:p>
      <w:pPr>
        <w:spacing w:after="0" w:line="15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84" w:lineRule="exact"/>
        <w:rPr>
          <w:sz w:val="20"/>
          <w:szCs w:val="20"/>
          <w:color w:val="auto"/>
        </w:rPr>
      </w:pPr>
    </w:p>
    <w:p>
      <w:pPr>
        <w:ind w:left="460" w:right="899" w:firstLine="432"/>
        <w:spacing w:after="0" w:line="342" w:lineRule="auto"/>
        <w:rPr>
          <w:sz w:val="20"/>
          <w:szCs w:val="20"/>
          <w:color w:val="auto"/>
        </w:rPr>
      </w:pPr>
      <w:r>
        <w:rPr>
          <w:rFonts w:ascii="Arial" w:cs="Arial" w:eastAsia="Arial" w:hAnsi="Arial"/>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120" w:lineRule="exact"/>
        <w:rPr>
          <w:sz w:val="20"/>
          <w:szCs w:val="20"/>
          <w:color w:val="auto"/>
        </w:rPr>
      </w:pPr>
    </w:p>
    <w:p>
      <w:pPr>
        <w:ind w:left="460" w:right="1339"/>
        <w:spacing w:after="0" w:line="282" w:lineRule="auto"/>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98"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81"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Immediately after this offering, we will have 37,500,000 Class A ordinary shares (or 43,125,000 Class A ordinary shares if the underwriter’s over-allotment option is exercised in full) issued and outstanding on an as-converted basis. Of these shares, the Class A ordinary shares sold in this offering (30,000,000 Class A ordinary shares if the underwriter’s over-allotment option is not exercised and 34,500,000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(7,500,000 founder shares if the underwriter’s over-allotment option is not exercised and 8,625,000 founder shares if the underwriter’s over-allotment option is exercised in full) and all of the outstanding private placement warrants (9,500,000) will be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Rule 144</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right="799" w:hanging="434"/>
        <w:spacing w:after="0" w:line="263"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375,000 shares immediately after this offering (or 431,250 shares if the underwriter exercises its over-allotment option in full); or</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9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the sponsor holds any securities covered by the registration and shareholder rights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units have been approved for listing on the NYSE under the symbol “SOAC.U.” Once the securities comprising the units begin separate trading, we expect that the Class A ordinary shares and warrants will be listed on the NYSE under the symbols “SOAC” and “SOAC WS,” respectively. The units will automatically separate into their component parts and will not be traded following the completion of our initial business combination.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following summary of certain Cayman Islands and U.S.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9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 Considerations</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Existing Cayman Islands Laws: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0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0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No stamp duty is payable in respect of the issue of our Class A ordinary shares or on an instrument of transfer in respect of such shares.</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Revision)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13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(2020 Revision), the Financial Secretary undertakes with Sustainable Opportunities Acquisition Corp. (the “Company”):</w:t>
      </w:r>
    </w:p>
    <w:p>
      <w:pPr>
        <w:spacing w:after="0" w:line="103" w:lineRule="exact"/>
        <w:rPr>
          <w:sz w:val="20"/>
          <w:szCs w:val="20"/>
          <w:color w:val="auto"/>
        </w:rPr>
      </w:pPr>
    </w:p>
    <w:p>
      <w:pPr>
        <w:ind w:left="1320" w:right="979" w:hanging="434"/>
        <w:spacing w:after="0" w:line="308" w:lineRule="auto"/>
        <w:tabs>
          <w:tab w:leader="none" w:pos="129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w:t>
      </w:r>
    </w:p>
    <w:p>
      <w:pPr>
        <w:spacing w:after="0" w:line="78" w:lineRule="exact"/>
        <w:rPr>
          <w:rFonts w:ascii="Arial" w:cs="Arial" w:eastAsia="Arial" w:hAnsi="Arial"/>
          <w:sz w:val="17"/>
          <w:szCs w:val="17"/>
          <w:color w:val="auto"/>
        </w:rPr>
      </w:pPr>
    </w:p>
    <w:p>
      <w:pPr>
        <w:ind w:left="1320" w:right="879" w:hanging="434"/>
        <w:spacing w:after="0" w:line="277" w:lineRule="auto"/>
        <w:tabs>
          <w:tab w:leader="none" w:pos="12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89"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or in respect of the shares, debentures or other obligations of the Company; or</w:t>
      </w:r>
    </w:p>
    <w:p>
      <w:pPr>
        <w:spacing w:after="0" w:line="158" w:lineRule="exact"/>
        <w:rPr>
          <w:sz w:val="20"/>
          <w:szCs w:val="20"/>
          <w:color w:val="auto"/>
        </w:rPr>
      </w:pPr>
    </w:p>
    <w:p>
      <w:pPr>
        <w:ind w:left="1720" w:right="479" w:hanging="431"/>
        <w:spacing w:after="0" w:line="277" w:lineRule="auto"/>
        <w:tabs>
          <w:tab w:leader="none" w:pos="1700" w:val="left"/>
        </w:tabs>
        <w:rPr>
          <w:sz w:val="20"/>
          <w:szCs w:val="20"/>
          <w:color w:val="auto"/>
        </w:rPr>
      </w:pPr>
      <w:r>
        <w:rPr>
          <w:rFonts w:ascii="Arial" w:cs="Arial" w:eastAsia="Arial" w:hAnsi="Arial"/>
          <w:sz w:val="18"/>
          <w:szCs w:val="18"/>
          <w:color w:val="auto"/>
        </w:rPr>
        <w:t>2.2</w:t>
        <w:tab/>
        <w:t>by way of the withholding in whole or part, of any relevant payment as defined in Section 6(3) of the Tax Concessions Law (2020 Revision).</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These concessions shall be for a period of 20 years from the date hereof.</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8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13" w:lineRule="exact"/>
        <w:rPr>
          <w:sz w:val="20"/>
          <w:szCs w:val="20"/>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56"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60" w:right="619" w:firstLine="432"/>
        <w:spacing w:after="0" w:line="30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76"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As used herein, the term “U.S. Holder” means a beneficial owner of units, Class A ordinary shares or warrants that is for U.S. federal income tax purposes: (i) an individual citizen or resident of the United States;</w:t>
      </w:r>
    </w:p>
    <w:p>
      <w:pPr>
        <w:ind w:left="460" w:right="499" w:hanging="6"/>
        <w:spacing w:after="0" w:line="290" w:lineRule="auto"/>
        <w:tabs>
          <w:tab w:leader="none" w:pos="72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96"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1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STATE, LOCAL, AND NON-UNITED STATES TAX LAWS.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Purchase Price and Characterization of a Unit</w:t>
      </w:r>
    </w:p>
    <w:p>
      <w:pPr>
        <w:spacing w:after="0" w:line="14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one-half of one warrant should constitute the shareholder’s initial tax basis in such share or warrant. Any disposition of a unit should be treated for U.S. federal income tax purposes as a disposition of the Class A ordinary share and one-half of one warrant comprising the unit, and the amount realized on the disposition should be allocated between the Class A ordinary share and one-half of one warrant based on their respective relative fair market values at the time of disposition. Neither the separation of the Class A ordinary share and the one-half of one warrant constituting a unit nor the combination of halves of warrants into a single warrant should be a taxable event for U.S. federal income tax purposes.</w:t>
      </w:r>
    </w:p>
    <w:p>
      <w:pPr>
        <w:spacing w:after="0" w:line="10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5" w:lineRule="exact"/>
        <w:rPr>
          <w:sz w:val="20"/>
          <w:szCs w:val="20"/>
          <w:color w:val="auto"/>
        </w:rPr>
      </w:pPr>
    </w:p>
    <w:p>
      <w:pPr>
        <w:ind w:left="460" w:right="115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0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44"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w:t>
      </w:r>
    </w:p>
    <w:p>
      <w:pPr>
        <w:ind w:left="460" w:right="499"/>
        <w:spacing w:after="0" w:line="253" w:lineRule="auto"/>
        <w:rPr>
          <w:sz w:val="20"/>
          <w:szCs w:val="20"/>
          <w:color w:val="auto"/>
        </w:rPr>
      </w:pPr>
      <w:r>
        <w:rPr>
          <w:rFonts w:ascii="Arial" w:cs="Arial" w:eastAsia="Arial" w:hAnsi="Arial"/>
          <w:sz w:val="18"/>
          <w:szCs w:val="18"/>
          <w:color w:val="auto"/>
        </w:rPr>
        <w:t>—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4" w:name="page135"/>
    <w:bookmarkEnd w:id="134"/>
    <w:p>
      <w:pPr>
        <w:ind w:left="460" w:right="479"/>
        <w:spacing w:after="0" w:line="288" w:lineRule="auto"/>
        <w:rPr>
          <w:sz w:val="20"/>
          <w:szCs w:val="20"/>
          <w:color w:val="auto"/>
        </w:rPr>
      </w:pPr>
      <w:r>
        <w:rPr>
          <w:rFonts w:ascii="Arial" w:cs="Arial" w:eastAsia="Arial" w:hAnsi="Arial"/>
          <w:sz w:val="16"/>
          <w:szCs w:val="16"/>
          <w:color w:val="auto"/>
        </w:rPr>
        <w:t>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87"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09"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8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right="519"/>
        <w:spacing w:after="0" w:line="301" w:lineRule="auto"/>
        <w:rPr>
          <w:sz w:val="20"/>
          <w:szCs w:val="20"/>
          <w:color w:val="auto"/>
        </w:rPr>
      </w:pPr>
      <w:r>
        <w:rPr>
          <w:rFonts w:ascii="Arial" w:cs="Arial" w:eastAsia="Arial" w:hAnsi="Arial"/>
          <w:sz w:val="16"/>
          <w:szCs w:val="16"/>
          <w:color w:val="auto"/>
        </w:rPr>
        <w:t>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1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Subject to the PFIC rules described below, if we redeem warrants for cash pursuant to the redemption provisions described in the section of this prospectus entitled “Description of Securities — Warrants — Public Shareholders’ Warrants — Redemption of warrants” or if we purchase warrants in an open market transaction, such redemption or purchase generally will be treated as a taxable disposition to the U.S. Holder, taxed as described above under “— Gain or Loss on Sale, Taxable Exchange or Other Taxable Disposition of Class A Ordinary Shares and Warrants.”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Public Shareholders’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right="519" w:firstLine="432"/>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8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89"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99"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right="499"/>
        <w:spacing w:after="0" w:line="287" w:lineRule="auto"/>
        <w:rPr>
          <w:sz w:val="20"/>
          <w:szCs w:val="20"/>
          <w:color w:val="auto"/>
        </w:rPr>
      </w:pPr>
      <w:r>
        <w:rPr>
          <w:rFonts w:ascii="Arial" w:cs="Arial" w:eastAsia="Arial" w:hAnsi="Arial"/>
          <w:sz w:val="16"/>
          <w:szCs w:val="16"/>
          <w:color w:val="auto"/>
        </w:rPr>
        <w:t>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9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0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00"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NYSE (on which we intend to list the Class A ordinary shares), or on a foreign exchange or market that the IRS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right="519"/>
        <w:spacing w:after="0" w:line="311" w:lineRule="auto"/>
        <w:rPr>
          <w:sz w:val="20"/>
          <w:szCs w:val="20"/>
          <w:color w:val="auto"/>
        </w:rPr>
      </w:pPr>
      <w:r>
        <w:rPr>
          <w:rFonts w:ascii="Arial" w:cs="Arial" w:eastAsia="Arial" w:hAnsi="Arial"/>
          <w:sz w:val="16"/>
          <w:szCs w:val="16"/>
          <w:color w:val="auto"/>
        </w:rPr>
        <w:t>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6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0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0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Reporting</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Potential investors are urged to consult their tax advisors regarding the foreign financial asset and other reporting obligations and their application to an investment in our Class A ordinary shares and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119" w:lineRule="exact"/>
        <w:rPr>
          <w:sz w:val="20"/>
          <w:szCs w:val="20"/>
          <w:color w:val="auto"/>
        </w:rPr>
      </w:pPr>
    </w:p>
    <w:p>
      <w:pPr>
        <w:ind w:left="1320" w:right="559" w:hanging="434"/>
        <w:spacing w:after="0" w:line="277" w:lineRule="auto"/>
        <w:tabs>
          <w:tab w:leader="none" w:pos="13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58"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8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right="479"/>
        <w:spacing w:after="0" w:line="257" w:lineRule="auto"/>
        <w:rPr>
          <w:sz w:val="20"/>
          <w:szCs w:val="20"/>
          <w:color w:val="auto"/>
        </w:rPr>
      </w:pPr>
      <w:r>
        <w:rPr>
          <w:rFonts w:ascii="Arial" w:cs="Arial" w:eastAsia="Arial" w:hAnsi="Arial"/>
          <w:sz w:val="18"/>
          <w:szCs w:val="18"/>
          <w:color w:val="auto"/>
        </w:rPr>
        <w:t>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0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w:t>
      </w:r>
    </w:p>
    <w:p>
      <w:pPr>
        <w:spacing w:after="0" w:line="1" w:lineRule="exact"/>
        <w:rPr>
          <w:sz w:val="20"/>
          <w:szCs w:val="20"/>
          <w:color w:val="auto"/>
        </w:rPr>
      </w:pPr>
    </w:p>
    <w:p>
      <w:pPr>
        <w:ind w:left="460" w:right="699"/>
        <w:spacing w:after="0" w:line="260" w:lineRule="auto"/>
        <w:rPr>
          <w:sz w:val="20"/>
          <w:szCs w:val="20"/>
          <w:color w:val="auto"/>
        </w:rPr>
      </w:pPr>
      <w:r>
        <w:rPr>
          <w:rFonts w:ascii="Arial" w:cs="Arial" w:eastAsia="Arial" w:hAnsi="Arial"/>
          <w:sz w:val="18"/>
          <w:szCs w:val="18"/>
          <w:color w:val="auto"/>
        </w:rPr>
        <w:t>Holder that is a corporation for U.S. federal income tax purposes, also may be subject to an additional branch profits tax at a 30% rate or a lower applicable tax treaty rate.</w:t>
      </w:r>
    </w:p>
    <w:p>
      <w:pPr>
        <w:spacing w:after="0" w:line="11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19"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Subject to the terms and conditions of the underwriting agreement, Citigroup Global Markets Inc. has agreed to purchase from us on a firm commitment basis the 30,000,000 units offered by this prospectus at a public offering price less the underwriting discounts and commissions set forth on the cover page of this prospectus.</w:t>
      </w:r>
    </w:p>
    <w:p>
      <w:pPr>
        <w:spacing w:after="0" w:line="106"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units included in this offering are subject to approval of legal matters by counsel and to other conditions. The underwriter is obligated to purchase all of the units (other than those covered by the over-allotment option described below) if it purchases any of the units.</w:t>
      </w:r>
    </w:p>
    <w:p>
      <w:pPr>
        <w:spacing w:after="0" w:line="119"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Units sold by the underwriter to the public will initially be offered at the initial public offering price set forth on the cover of this prospectus. If all of the units are not sold at the initial offering price, the underwriter may change the offering price and the other selling terms. Citigroup Global Markets Inc. has advised us that it does not intend to make sales to discretionary accounts.</w:t>
      </w:r>
    </w:p>
    <w:p>
      <w:pPr>
        <w:spacing w:after="0" w:line="11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If the underwriter sells more units than the total number set forth in the table above, we have granted to the underwriter an option, exercisable for 45 days from the date of this prospectus, to purchase up to 4,500,000 additional units at the public offering price less the underwriting discount. The underwriter may exercise this option solely for the purpose of covering over-allotments, if any, in connection with this offering. To the extent the option is exercised, the underwriter must purchase a number of additional units approximately proportionate to its initial purchase commitment. Any units issued or sold under the option will be issued and sold on the same terms and conditions as the other units that are the subject of this offering.</w:t>
      </w:r>
    </w:p>
    <w:p>
      <w:pPr>
        <w:spacing w:after="0" w:line="8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Citigroup Global Markets Inc., offer, sell, contract to sell, pledge or otherwise dispose of, directly or indirectly, any units, warrants, Class A ordinary shares or any other securities convertible into, or exercisable, or exchangeable for, Class A ordinary shares; provided, however, that we may (i) issue and sell the private placement warrants, (ii) issue and sell the additional units to cover our underwriter’s over-allotment option (if any), (iii) register with the SEC pursuant to an agreement to be entered into on or prior to the closing of this offering, the resale of the founder shares and the private placement warrants or the warrants and Class A ordinary shares issuable upon exercise of the warrants and (iv) issue securities in connection with an initial business combination. Citigroup Global Markets Inc. in its sole discretion may release any of the securities subject to these lock-up agreements at any time without notice.</w:t>
      </w:r>
    </w:p>
    <w:p>
      <w:pPr>
        <w:spacing w:after="0" w:line="11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(except as described herein under “Principal Shareholders — 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 — Transfers of Founder Shares and Private Placement Warrants”).</w:t>
      </w:r>
    </w:p>
    <w:p>
      <w:pPr>
        <w:spacing w:after="0" w:line="90"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w:t>
      </w:r>
    </w:p>
    <w:p>
      <w:pPr>
        <w:spacing w:after="0" w:line="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1" w:name="page142"/>
    <w:bookmarkEnd w:id="141"/>
    <w:p>
      <w:pPr>
        <w:ind w:left="460" w:right="539"/>
        <w:spacing w:after="0" w:line="257" w:lineRule="auto"/>
        <w:rPr>
          <w:sz w:val="20"/>
          <w:szCs w:val="20"/>
          <w:color w:val="auto"/>
        </w:rPr>
      </w:pPr>
      <w:r>
        <w:rPr>
          <w:rFonts w:ascii="Arial" w:cs="Arial" w:eastAsia="Arial" w:hAnsi="Arial"/>
          <w:sz w:val="18"/>
          <w:szCs w:val="18"/>
          <w:color w:val="auto"/>
        </w:rPr>
        <w:t>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07"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Our units have been approved for listing on the NYSE under the symbol “SOAC.U” commencing on or promptly after the date of this prospectus. We cannot guarantee that our securities will be approved for listing on the NYSE. Once the securities comprising the units begin separate trading, we expect that the Class A ordinary shares and warrants will be listed on the NYSE under the symbols “SOAC” and “SOAC WS”, respectively.</w:t>
      </w:r>
    </w:p>
    <w:p>
      <w:pPr>
        <w:spacing w:after="0" w:line="120"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 in connection with this offering. These amounts are shown assuming both no exercise and full exercise of the underwriter’s over-allotment option.</w:t>
      </w:r>
    </w:p>
    <w:p>
      <w:pPr>
        <w:spacing w:after="0" w:line="144" w:lineRule="exact"/>
        <w:rPr>
          <w:sz w:val="20"/>
          <w:szCs w:val="20"/>
          <w:color w:val="auto"/>
        </w:rPr>
      </w:pPr>
    </w:p>
    <w:p>
      <w:pPr>
        <w:jc w:val="center"/>
        <w:ind w:left="5600"/>
        <w:spacing w:after="0"/>
        <w:rPr>
          <w:sz w:val="20"/>
          <w:szCs w:val="20"/>
          <w:color w:val="auto"/>
        </w:rPr>
      </w:pPr>
      <w:r>
        <w:rPr>
          <w:rFonts w:ascii="Arial" w:cs="Arial" w:eastAsia="Arial" w:hAnsi="Arial"/>
          <w:sz w:val="15"/>
          <w:szCs w:val="15"/>
          <w:b w:val="1"/>
          <w:bCs w:val="1"/>
          <w:color w:val="auto"/>
        </w:rPr>
        <w:t>Paid by Sustainable Opportunities</w:t>
      </w:r>
    </w:p>
    <w:p>
      <w:pPr>
        <w:spacing w:after="0" w:line="38"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No Exercise</w:t>
            </w:r>
          </w:p>
        </w:tc>
        <w:tc>
          <w:tcPr>
            <w:tcW w:w="16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67" w:lineRule="exact"/>
        <w:rPr>
          <w:sz w:val="20"/>
          <w:szCs w:val="20"/>
          <w:color w:val="auto"/>
        </w:rPr>
      </w:pPr>
    </w:p>
    <w:p>
      <w:pPr>
        <w:ind w:left="880" w:right="599" w:hanging="426"/>
        <w:spacing w:after="0" w:line="273" w:lineRule="auto"/>
        <w:tabs>
          <w:tab w:leader="none" w:pos="8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w:t>
      </w:r>
    </w:p>
    <w:p>
      <w:pPr>
        <w:spacing w:after="0" w:line="117" w:lineRule="exact"/>
        <w:rPr>
          <w:sz w:val="20"/>
          <w:szCs w:val="20"/>
          <w:color w:val="auto"/>
        </w:rPr>
      </w:pPr>
    </w:p>
    <w:p>
      <w:pPr>
        <w:ind w:left="460" w:right="799" w:firstLine="432"/>
        <w:spacing w:after="0" w:line="296" w:lineRule="auto"/>
        <w:rPr>
          <w:sz w:val="20"/>
          <w:szCs w:val="20"/>
          <w:color w:val="auto"/>
        </w:rPr>
      </w:pPr>
      <w:r>
        <w:rPr>
          <w:rFonts w:ascii="Arial" w:cs="Arial" w:eastAsia="Arial" w:hAnsi="Arial"/>
          <w:sz w:val="16"/>
          <w:szCs w:val="16"/>
          <w:color w:val="auto"/>
        </w:rPr>
        <w:t>If we do not consummate an initial business combination within 18 months from the closing of this offering, the underwriter has agreed that (i) it will forfeit any rights or claims to its deferred underwriting discounts and commissions, including any accrued interest thereon, then in the trust account and (ii) that the deferred underwriter’s discounts and commissions will be distributed on a pro rata basis, together with any accrued interest thereon (which interest will be net of taxes paid or payable) to the public shareholders.</w:t>
      </w:r>
    </w:p>
    <w:p>
      <w:pPr>
        <w:spacing w:after="0" w:line="8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connection with the offering, the underwriter may purchase and sell units in the open market. Purchases and sales in the open market may include short sales, purchases to cover short positions, which may include purchases pursuant to the over-allotment option, and stabilizing purchases.</w:t>
      </w:r>
    </w:p>
    <w:p>
      <w:pPr>
        <w:spacing w:after="0" w:line="116" w:lineRule="exact"/>
        <w:rPr>
          <w:sz w:val="20"/>
          <w:szCs w:val="20"/>
          <w:color w:val="auto"/>
        </w:rPr>
      </w:pPr>
    </w:p>
    <w:p>
      <w:pPr>
        <w:ind w:left="1320" w:right="53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 of a greater number of units than it is required to purchase in the offering.</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02"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Covering transactions involve purchases of units either pursuant to the over-allotment option or in the open market after the distribution has been completed in order to cover short positions.</w:t>
      </w:r>
    </w:p>
    <w:p>
      <w:pPr>
        <w:spacing w:after="0" w:line="56" w:lineRule="exact"/>
        <w:rPr>
          <w:rFonts w:ascii="Arial" w:cs="Arial" w:eastAsia="Arial" w:hAnsi="Arial"/>
          <w:sz w:val="16"/>
          <w:szCs w:val="16"/>
          <w:color w:val="auto"/>
        </w:rPr>
      </w:pPr>
    </w:p>
    <w:p>
      <w:pPr>
        <w:ind w:left="1320" w:right="579" w:hanging="434"/>
        <w:spacing w:after="0" w:line="279" w:lineRule="auto"/>
        <w:tabs>
          <w:tab w:leader="none" w:pos="131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close a naked short position, the underwriter must purchase units in the open market after the distribution has been completed. A naked short position is more likely to be created if the underwriter is concerned that there may be downward pressure on the price of the units in the open market after pricing that could adversely affect investors who purchase in the offering.</w:t>
      </w:r>
    </w:p>
    <w:p>
      <w:pPr>
        <w:spacing w:after="0" w:line="90" w:lineRule="exact"/>
        <w:rPr>
          <w:rFonts w:ascii="Arial" w:cs="Arial" w:eastAsia="Arial" w:hAnsi="Arial"/>
          <w:sz w:val="17"/>
          <w:szCs w:val="17"/>
          <w:color w:val="auto"/>
        </w:rPr>
      </w:pPr>
    </w:p>
    <w:p>
      <w:pPr>
        <w:ind w:left="1320" w:right="479" w:hanging="434"/>
        <w:spacing w:after="0" w:line="25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close a covered short position, the underwriter must purchase units in the open market after the distribution has been completed or must exercise the over-allotment option. In determining the source of units to close the covered short position, the underwriter will consider, among other things, the price of units available for purchase in the open market as compared to the price at which it may purchase units through the over-allotment option.</w:t>
      </w:r>
    </w:p>
    <w:p>
      <w:pPr>
        <w:spacing w:after="0" w:line="120"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2" w:name="page143"/>
    <w:bookmarkEnd w:id="142"/>
    <w:p>
      <w:pPr>
        <w:ind w:left="460" w:right="479" w:firstLine="432"/>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accounts, may have the effect of preventing or retarding a decline in the market price of the units. They may also cause the price of the units to be higher than the price that would otherwise exist in the open market in the absence of these transactions. The underwriter may conduct these transactions in the over-the-counter market or otherwise. If the underwriter commences any of these transactions, it may discontinue them at any time.</w:t>
      </w:r>
    </w:p>
    <w:p>
      <w:pPr>
        <w:spacing w:after="0" w:line="111"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We estimate that the total expenses of this offering payable by us will be $1,000,000, excluding underwriting discounts and commissions.</w:t>
      </w:r>
    </w:p>
    <w:p>
      <w:pPr>
        <w:spacing w:after="0" w:line="103"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 We have also agreed to pay for the FINRA-related fees and expenses of the underwriter’s legal counsel, not to exceed $25,000.</w:t>
      </w:r>
    </w:p>
    <w:p>
      <w:pPr>
        <w:spacing w:after="0" w:line="119"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it is affiliated a finder’s fee or other compensation for services rendered to us in connection with the completion of a business combination.</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The units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Exemptions and Ongoing Registrant Obligations</w:t>
      </w:r>
      <w:r>
        <w:rPr>
          <w:rFonts w:ascii="Arial" w:cs="Arial" w:eastAsia="Arial" w:hAnsi="Arial"/>
          <w:sz w:val="18"/>
          <w:szCs w:val="18"/>
          <w:color w:val="auto"/>
        </w:rPr>
        <w:t>. Any resale of the units must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 exemption from, or in a transaction not subject to, the prospectus requirements of applicable securities laws.</w:t>
      </w:r>
    </w:p>
    <w:p>
      <w:pPr>
        <w:spacing w:after="0" w:line="12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or NI 33-105, the underwriter is not required to comply with the disclosure requirements of NI 33-105 regarding underwriter conflicts of interest in connection with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62"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to the public in that Relevant State prior to the publication of a prospectus in relation to the units which has been approved by the competent authority in that Relevant State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right="479"/>
        <w:spacing w:after="0" w:line="311" w:lineRule="auto"/>
        <w:rPr>
          <w:sz w:val="20"/>
          <w:szCs w:val="20"/>
          <w:color w:val="auto"/>
        </w:rPr>
      </w:pPr>
      <w:r>
        <w:rPr>
          <w:rFonts w:ascii="Arial" w:cs="Arial" w:eastAsia="Arial" w:hAnsi="Arial"/>
          <w:sz w:val="16"/>
          <w:szCs w:val="16"/>
          <w:color w:val="auto"/>
        </w:rPr>
        <w:t>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68" w:lineRule="exact"/>
        <w:rPr>
          <w:sz w:val="20"/>
          <w:szCs w:val="20"/>
          <w:color w:val="auto"/>
        </w:rPr>
      </w:pPr>
    </w:p>
    <w:p>
      <w:pPr>
        <w:ind w:left="1300" w:hanging="414"/>
        <w:spacing w:after="0"/>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69"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Citigroup Global Markets Inc. for any such offer;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460" w:right="89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us or the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16"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units has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6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67"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102" w:lineRule="exact"/>
        <w:rPr>
          <w:rFonts w:ascii="Arial" w:cs="Arial" w:eastAsia="Arial" w:hAnsi="Arial"/>
          <w:sz w:val="18"/>
          <w:szCs w:val="18"/>
          <w:color w:val="auto"/>
        </w:rPr>
      </w:pPr>
    </w:p>
    <w:p>
      <w:pPr>
        <w:ind w:left="1760" w:right="479" w:hanging="442"/>
        <w:spacing w:after="0" w:line="259" w:lineRule="auto"/>
        <w:tabs>
          <w:tab w:leader="none" w:pos="17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760" w:right="679" w:hanging="442"/>
        <w:spacing w:after="0" w:line="277" w:lineRule="auto"/>
        <w:tabs>
          <w:tab w:leader="none" w:pos="17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760" w:right="639" w:hanging="442"/>
        <w:spacing w:after="0" w:line="259" w:lineRule="auto"/>
        <w:tabs>
          <w:tab w:leader="none" w:pos="17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units and underlying Class A ordinary shares and warrants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will mean any person resident in Japan, including any corporation or other entity organized under the laws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units are subscribed or purchased under Section 275 of the SFA by a relevant person which is:</w:t>
      </w:r>
    </w:p>
    <w:p>
      <w:pPr>
        <w:spacing w:after="0" w:line="181" w:lineRule="exact"/>
        <w:rPr>
          <w:sz w:val="20"/>
          <w:szCs w:val="20"/>
          <w:color w:val="auto"/>
        </w:rPr>
      </w:pPr>
    </w:p>
    <w:p>
      <w:pPr>
        <w:ind w:left="1320" w:right="719" w:hanging="434"/>
        <w:spacing w:after="0" w:line="263"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03" w:lineRule="exact"/>
        <w:rPr>
          <w:sz w:val="20"/>
          <w:szCs w:val="20"/>
          <w:color w:val="auto"/>
        </w:rPr>
      </w:pPr>
    </w:p>
    <w:p>
      <w:pPr>
        <w:ind w:left="880" w:right="519"/>
        <w:spacing w:after="0" w:line="311"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will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20" w:right="539" w:hanging="434"/>
        <w:spacing w:after="0" w:line="272" w:lineRule="auto"/>
        <w:tabs>
          <w:tab w:leader="none" w:pos="131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96" w:lineRule="exact"/>
        <w:rPr>
          <w:rFonts w:ascii="Arial" w:cs="Arial" w:eastAsia="Arial" w:hAnsi="Arial"/>
          <w:sz w:val="17"/>
          <w:szCs w:val="17"/>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offer or invitation to subscribe for shares or units may be made to the public in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Davis Polk &amp; Wardwell LLP advised the underwriter in connection with the offering of the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financial statements of Sustainable Opportunities Acquisition Corp. as of December 31, 2019 and for the period from December 18, 2019 (inception) through December 31, 2019 appearing in this prospectus have been audited by Marcum LLP, independent registered public accounting firm, as set forth in their report thereon (which contains an explanatory paragraph relating to substantial doubt about the ability of Sustainable Opportunities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Audited Financial Statements for Sustainable Opportunities Acquisition Corp.:</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4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43"/>
        </w:trPr>
        <w:tc>
          <w:tcPr>
            <w:tcW w:w="75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Report of Independent Registered Public Accounting Firm</w:t>
              </w:r>
            </w:hyperlink>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540" w:type="dxa"/>
            <w:vAlign w:val="bottom"/>
            <w:gridSpan w:val="7"/>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Balance Sheet as of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75"/>
        </w:trPr>
        <w:tc>
          <w:tcPr>
            <w:tcW w:w="7540" w:type="dxa"/>
            <w:vAlign w:val="bottom"/>
            <w:gridSpan w:val="7"/>
            <w:shd w:val="clear" w:color="auto" w:fill="CCEEFF"/>
          </w:tcPr>
          <w:p>
            <w:pPr>
              <w:spacing w:after="0" w:line="176" w:lineRule="exact"/>
              <w:rPr>
                <w:rFonts w:ascii="Arial" w:cs="Arial" w:eastAsia="Arial" w:hAnsi="Arial"/>
                <w:sz w:val="18"/>
                <w:szCs w:val="18"/>
                <w:color w:val="0000EE"/>
                <w:w w:val="95"/>
              </w:rPr>
            </w:pPr>
            <w:hyperlink w:anchor="page151">
              <w:r>
                <w:rPr>
                  <w:rFonts w:ascii="Arial" w:cs="Arial" w:eastAsia="Arial" w:hAnsi="Arial"/>
                  <w:sz w:val="18"/>
                  <w:szCs w:val="18"/>
                  <w:color w:val="0000EE"/>
                  <w:w w:val="95"/>
                </w:rPr>
                <w:t>Statement of Operations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20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2019</w:t>
              </w:r>
            </w:hyperlink>
          </w:p>
        </w:tc>
        <w:tc>
          <w:tcPr>
            <w:tcW w:w="48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175"/>
        </w:trPr>
        <w:tc>
          <w:tcPr>
            <w:tcW w:w="7540" w:type="dxa"/>
            <w:vAlign w:val="bottom"/>
            <w:gridSpan w:val="7"/>
          </w:tcPr>
          <w:p>
            <w:pPr>
              <w:spacing w:after="0" w:line="176" w:lineRule="exact"/>
              <w:rPr>
                <w:rFonts w:ascii="Arial" w:cs="Arial" w:eastAsia="Arial" w:hAnsi="Arial"/>
                <w:sz w:val="18"/>
                <w:szCs w:val="18"/>
                <w:color w:val="0000EE"/>
                <w:w w:val="96"/>
              </w:rPr>
            </w:pPr>
            <w:hyperlink w:anchor="page152">
              <w:r>
                <w:rPr>
                  <w:rFonts w:ascii="Arial" w:cs="Arial" w:eastAsia="Arial" w:hAnsi="Arial"/>
                  <w:sz w:val="18"/>
                  <w:szCs w:val="18"/>
                  <w:color w:val="0000EE"/>
                  <w:w w:val="96"/>
                </w:rPr>
                <w:t>Statement of Changes in Shareholder’s Equity for the Period from December 18, 2019 (inception)</w:t>
              </w:r>
            </w:hyperlink>
          </w:p>
        </w:tc>
        <w:tc>
          <w:tcPr>
            <w:tcW w:w="56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through December 31, 2019</w:t>
              </w:r>
            </w:hyperlink>
          </w:p>
        </w:tc>
        <w:tc>
          <w:tcPr>
            <w:tcW w:w="5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4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7"/>
            <w:shd w:val="clear" w:color="auto" w:fill="CCEEFF"/>
          </w:tcPr>
          <w:p>
            <w:pPr>
              <w:spacing w:after="0" w:line="17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Statement Of Cash Flows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20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2019</w:t>
              </w:r>
            </w:hyperlink>
          </w:p>
        </w:tc>
        <w:tc>
          <w:tcPr>
            <w:tcW w:w="48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43"/>
        </w:trPr>
        <w:tc>
          <w:tcPr>
            <w:tcW w:w="7540" w:type="dxa"/>
            <w:vAlign w:val="bottom"/>
            <w:gridSpan w:val="7"/>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Notes to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46"/>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color w:val="auto"/>
              </w:rPr>
              <w:t>F-1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48" w:name="page149"/>
    <w:bookmarkEnd w:id="148"/>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99"/>
        <w:spacing w:after="0" w:line="291" w:lineRule="auto"/>
        <w:rPr>
          <w:sz w:val="20"/>
          <w:szCs w:val="20"/>
          <w:color w:val="auto"/>
        </w:rPr>
      </w:pPr>
      <w:r>
        <w:rPr>
          <w:rFonts w:ascii="Arial" w:cs="Arial" w:eastAsia="Arial" w:hAnsi="Arial"/>
          <w:sz w:val="16"/>
          <w:szCs w:val="16"/>
          <w:color w:val="auto"/>
        </w:rPr>
        <w:t>We have audited the accompanying balance sheet of Sustainable Opportunities Acquisition Corp. (the “Company”) as of December 31, 2019 and the related statements of operations, changes in shareholder’s equity and cash flows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December 18,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639"/>
        <w:spacing w:after="0" w:line="27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business plan is dependent on the completion of a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9" w:name="page150"/>
    <w:bookmarkEnd w:id="149"/>
    <w:tbl>
      <w:tblPr>
        <w:tblLayout w:type="fixed"/>
        <w:tblInd w:w="460" w:type="dxa"/>
        <w:tblCellMar>
          <w:top w:w="0" w:type="dxa"/>
          <w:left w:w="0" w:type="dxa"/>
          <w:bottom w:w="0" w:type="dxa"/>
          <w:right w:w="0" w:type="dxa"/>
        </w:tblCellMar>
      </w:tblP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80,600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1,000,000 shares authorized; none issued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none issued and</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1"/>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 8,625,000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1"/>
        </w:trPr>
        <w:tc>
          <w:tcPr>
            <w:tcW w:w="6860" w:type="dxa"/>
            <w:vAlign w:val="bottom"/>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w:t>
            </w:r>
          </w:p>
        </w:tc>
        <w:tc>
          <w:tcPr>
            <w:tcW w:w="32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excludes an aggregate of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Ordinary Shares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9"/>
                <w:szCs w:val="9"/>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Class A</w:t>
            </w:r>
          </w:p>
        </w:tc>
        <w:tc>
          <w:tcPr>
            <w:tcW w:w="1080" w:type="dxa"/>
            <w:vAlign w:val="bottom"/>
            <w:gridSpan w:val="3"/>
            <w:vMerge w:val="restart"/>
          </w:tcPr>
          <w:p>
            <w:pPr>
              <w:jc w:val="right"/>
              <w:ind w:right="13"/>
              <w:spacing w:after="0"/>
              <w:rPr>
                <w:sz w:val="20"/>
                <w:szCs w:val="20"/>
                <w:color w:val="auto"/>
              </w:rPr>
            </w:pPr>
            <w:r>
              <w:rPr>
                <w:rFonts w:ascii="Arial" w:cs="Arial" w:eastAsia="Arial" w:hAnsi="Arial"/>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Paid-in</w:t>
            </w:r>
          </w:p>
        </w:tc>
        <w:tc>
          <w:tcPr>
            <w:tcW w:w="1020" w:type="dxa"/>
            <w:vAlign w:val="bottom"/>
            <w:gridSpan w:val="4"/>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20"/>
                <w:szCs w:val="20"/>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2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2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December 18,</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w w:val="96"/>
              </w:rPr>
              <w:t>Issuance of Class B ordinary</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220" w:type="dxa"/>
            <w:vAlign w:val="bottom"/>
          </w:tcPr>
          <w:p>
            <w:pPr>
              <w:ind w:left="180"/>
              <w:spacing w:after="0"/>
              <w:rPr>
                <w:sz w:val="20"/>
                <w:szCs w:val="20"/>
                <w:color w:val="auto"/>
              </w:rPr>
            </w:pPr>
            <w:r>
              <w:rPr>
                <w:rFonts w:ascii="Arial" w:cs="Arial" w:eastAsia="Arial" w:hAnsi="Arial"/>
                <w:sz w:val="18"/>
                <w:szCs w:val="18"/>
                <w:color w:val="auto"/>
              </w:rPr>
              <w:t xml:space="preserve">shares to Sponsor </w:t>
            </w:r>
            <w:r>
              <w:rPr>
                <w:rFonts w:ascii="Arial" w:cs="Arial" w:eastAsia="Arial" w:hAnsi="Arial"/>
                <w:sz w:val="20"/>
                <w:szCs w:val="20"/>
                <w:color w:val="auto"/>
                <w:vertAlign w:val="superscript"/>
              </w:rPr>
              <w:t>(1)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8,625,000</w:t>
            </w:r>
          </w:p>
        </w:tc>
        <w:tc>
          <w:tcPr>
            <w:tcW w:w="24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24,137</w:t>
            </w:r>
          </w:p>
        </w:tc>
        <w:tc>
          <w:tcPr>
            <w:tcW w:w="18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178"/>
        </w:trPr>
        <w:tc>
          <w:tcPr>
            <w:tcW w:w="22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6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8,625,000</w:t>
            </w: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24,137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(9,039)</w:t>
            </w:r>
          </w:p>
        </w:tc>
        <w:tc>
          <w:tcPr>
            <w:tcW w:w="100" w:type="dxa"/>
            <w:vAlign w:val="bottom"/>
          </w:tcPr>
          <w:p>
            <w:pPr>
              <w:spacing w:after="0"/>
              <w:rPr>
                <w:sz w:val="22"/>
                <w:szCs w:val="22"/>
                <w:color w:val="auto"/>
              </w:rPr>
            </w:pP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15,961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8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2"/>
              </w:rPr>
              <w:t>General and administrative expenses paid by Sponsor in exchange for issuance of Class B</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686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3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40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offering costs included in accounts payable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expenses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8"/>
              </w:rPr>
              <w:t>Deferred offering costs paid by Sponsor in exchange for issuance of Class B ordinary</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shares to Sponsor</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bl>
    <w:p>
      <w:pPr>
        <w:spacing w:after="0" w:line="215"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9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of December 31, 2019, the Company had not commenced any operations. All activity for the period from December 18, 2019 (inception) through December 31, 2019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Company’s ability to commence operations is contingent upon obtaining adequate financial resources through a proposed public offering (the “Proposed Public Offering”) of 30,000,000 units (each, a “Unit” and collectively, the “Units”) at $10.00 per Unit (or 34,500,000 units if the underwriter’s over-allotment option is exercised in full), which is discussed in Note 3, and the sale of 9,500,000 warrants (each, a “Private Placement Warrant” and collectively, the “Private Placement Warrants”) at a price of $1.00 per Private Placement Warrant in a private placement to the Sponsor that will close simultaneously with the Proposed Public Offering.</w:t>
      </w:r>
    </w:p>
    <w:p>
      <w:pPr>
        <w:spacing w:after="0" w:line="12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Proposed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1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1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our Public Shares the right to have their shares redeemed in connection with our initial business combination or to redeem 100% of its Public Shares if the Company does not complete a Business Combination within 18 months from the closing of the Proposed Public Offering (the “Combination Period”) unless the Company provides the Public Shareholders with the opportunity to redeem their Class A ordinary shares in conjunction with any such amendment.</w:t>
      </w:r>
    </w:p>
    <w:p>
      <w:pPr>
        <w:spacing w:after="0" w:line="85"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As of December 31, 2019, the Company has no cash and a working capital deficit of approximately $88,000. As a result, the Company does not have sufficient liquidity to meet its anticipated obligations over the next year from the issuance date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consummate a Business Combination will be successful. The Company currently relies on the Sponsor to provide working capital needs until the consummation of the Proposed Public Offering.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color w:val="auto"/>
        </w:rPr>
        <w:t>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ordinary shares outstanding during the period. Weighted average shares were reduced for the effect of an aggregate of 1,125,000 ordinary shares that are subject to forfeiture if the over-allotment option is not exercised by the underwriters.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2019, the Company has not experienced losses on these accounts and management believes the Company is not exposed to significant risks on such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additional paid-in capital upon the completion of the Proposed Public Offering. Should the Proposed Public Offering prove to be unsuccessful, these deferred costs, as well as additional expenses to be incurred, will be charged to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December 18, 2019 (inception) through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and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Part I of this update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Also, entities must adjust their basic Earnings Per Share (“EPS”) calculation for the effect of the down round provision when triggered (that is, when the exercise price of the related equity-linked financial instrument is adjusted downward because of the down round feature). That effect is treated as a dividend and as a reduction of income available to common shareholders in basic EPS. An entity will also recognize the effect of the trigger within equity. The guidance is effective for fiscal years, and interim periods within those fiscal years, beginning after December 15, 2018. The Company adopted this guidance. The adoption of this guidance is not expected to have a material impact on the Company’s financial position, results of operations, cash flows or disclosures until a trigger event occurs.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are not expected to have an impact on the Company.</w:t>
      </w:r>
    </w:p>
    <w:p>
      <w:pPr>
        <w:spacing w:after="0" w:line="30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standards, if currently adopted, would have a material effect on the accompanying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2"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Pursuant to the Proposed Public Offering, the Company intends to offer for sale 30,000,000 Units at a price of $10.00 per Unit.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The forfeiture will be adjusted to the extent that the over-allotment option is not exercised in full by the underwriter so that the Founder Shares will represent 20.0% of the Company’s issued and outstanding shares after the Proposed Public Offering. If the Company increases or decreases the size of the Proposed Public Offering, the Company will effect a share dividend or share contribution back to capital, as applicable,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w:t>
      </w:r>
    </w:p>
    <w:p>
      <w:pPr>
        <w:spacing w:after="0" w:line="10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initial shareholders will agree,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Sponsor will agree to purchase an aggregate of 9,500,000 Private Placement Warrants at a price of $1.00 per Private Placement Warrant (or $9.5 million in the aggregate) in a private placement that will occur simultaneously with the closing of the Proposed Public Offering. Each Private Placement Warrant is exercisable for one whole Class A ordinary share at a price of $11.50 per share. A portion of the proceeds from the sale of the Private Placement Warrants will 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15"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Proposed Public Offering pursuant to a promissory note (the “Note”). This loan is non-interest bearing and payable on the earlier of June 30, 2020 or the completion of the Proposed Public Offering. As of December 31, 2019, the Company has not borrowed any amount under the Note.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2019, the Company has approximately $23,000 in accounts payable to related parties for certain offering costs and general and administrative expenses as presented in the accompanying balance sheet.</w:t>
      </w:r>
    </w:p>
    <w:p>
      <w:pPr>
        <w:spacing w:after="0" w:line="116"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To date, the Company had no borrowings under the Working Capital Loans.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The Company has agreed, commencing on the effective date of the Proposed Public Offering through the earlier of the Company’s consummation of a Business Combination and its liquidation, to reimburse an affiliate of the Sponsor a total of $10,000 per month for office space, secretarial and administrative services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4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to be signed upon consummation of the Proposed Public Offering.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will grant the underwriter a 45-day option from the date of the final prospectus relating to the Proposed Public Offering to purchase up to 4,500,000 additional Units to cover over-allotments, if any, at $10.00 per Unit, less the underwriting discounts and commissions.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underwriter will be entitled to an underwriting discount of $0.20 per unit, or $6.0 million in the aggregate (or approximately $6.9 million in the aggregate if the underwriter’s over-allotment option is exercised in full), payable upon the closing of the Proposed Public Offering. In addition, $0.35 per unit, or $10.5 million in the aggregate (or $12.075 million in the aggregate if the underwriter’s over-allotment option is exercised in full)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par value of $0.0001 per share. As of December 31, 2019, there were no Class A ordinary shares issued or outstanding.</w:t>
      </w:r>
    </w:p>
    <w:p>
      <w:pPr>
        <w:spacing w:after="0" w:line="103"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Of the 8,625,000 Class B ordinary shares outstanding,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97"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05"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1,000,000 preference shares with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December 31, 2019, there were no preference shares issued or outstanding.</w:t>
      </w:r>
    </w:p>
    <w:p>
      <w:pPr>
        <w:spacing w:after="0" w:line="81"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 issued upon separation of the Units and only whole Public Warrants will trade. The Public Warrants will become exercisable on the later of (a) 30 days after the completion of a Business Combination or</w:t>
      </w:r>
    </w:p>
    <w:p>
      <w:pPr>
        <w:spacing w:after="0" w:line="2" w:lineRule="exact"/>
        <w:rPr>
          <w:sz w:val="20"/>
          <w:szCs w:val="20"/>
          <w:color w:val="auto"/>
        </w:rPr>
      </w:pPr>
    </w:p>
    <w:p>
      <w:pPr>
        <w:ind w:left="460" w:right="519" w:hanging="6"/>
        <w:spacing w:after="0" w:line="282" w:lineRule="auto"/>
        <w:tabs>
          <w:tab w:leader="none" w:pos="7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12 months from the closing of the Proposed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103" w:lineRule="exact"/>
        <w:rPr>
          <w:sz w:val="20"/>
          <w:szCs w:val="20"/>
          <w:color w:val="auto"/>
        </w:rPr>
      </w:pPr>
    </w:p>
    <w:p>
      <w:pPr>
        <w:ind w:left="1300" w:hanging="41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57"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Management has evaluated subsequent events and transactions that occurred after the balance sheet date up to February 18, 2020, the date these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25400"/>
                    </a:xfrm>
                    <a:prstGeom prst="rect">
                      <a:avLst/>
                    </a:prstGeom>
                    <a:noFill/>
                  </pic:spPr>
                </pic:pic>
              </a:graphicData>
            </a:graphic>
          </wp:anchor>
        </w:drawing>
        <w:t>Sustainable Opportunities Acquisition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5, 2020</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Until May 30,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459740</wp:posOffset>
            </wp:positionV>
            <wp:extent cx="514350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502920</wp:posOffset>
            </wp:positionV>
            <wp:extent cx="514350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777240</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10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amp;"/>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lowerRoman"/>
      <w:start w:val="2"/>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Roman"/>
      <w:start w:val="2"/>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4"/>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lowerRoman"/>
      <w:start w:val="2"/>
    </w:lvl>
  </w:abstractNum>
  <w:abstractNum w:abstractNumId="47">
    <w:nsid w:val="6590700B"/>
    <w:multiLevelType w:val="hybridMultilevel"/>
    <w:lvl w:ilvl="0">
      <w:lvlJc w:val="left"/>
      <w:lvlText w:val="(%1)"/>
      <w:numFmt w:val="lowerRoman"/>
      <w:start w:val="1"/>
    </w:lvl>
  </w:abstractNum>
  <w:abstractNum w:abstractNumId="48">
    <w:nsid w:val="15014ACB"/>
    <w:multiLevelType w:val="hybridMultilevel"/>
    <w:lvl w:ilvl="0">
      <w:lvlJc w:val="left"/>
      <w:lvlText w:val="%1)"/>
      <w:numFmt w:val="upperLetter"/>
      <w:start w:val="30"/>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lowerRoman"/>
      <w:start w:val="10"/>
    </w:lvl>
  </w:abstractNum>
  <w:abstractNum w:abstractNumId="59">
    <w:nsid w:val="7BD3EE7B"/>
    <w:multiLevelType w:val="hybridMultilevel"/>
    <w:lvl w:ilvl="0">
      <w:lvlJc w:val="left"/>
      <w:lvlText w:val="(%1)"/>
      <w:numFmt w:val="lowerRoman"/>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Roman"/>
      <w:start w:val="2"/>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lowerLetter"/>
      <w:start w:val="25"/>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1)"/>
      <w:numFmt w:val="lowerRoman"/>
      <w:start w:val="2"/>
    </w:lvl>
  </w:abstractNum>
  <w:abstractNum w:abstractNumId="76">
    <w:nsid w:val="71EA1109"/>
    <w:multiLevelType w:val="hybridMultilevel"/>
    <w:lvl w:ilvl="0">
      <w:lvlJc w:val="left"/>
      <w:lvlText w:val="\emdash "/>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lvl w:ilvl="1">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lowerLetter"/>
      <w:start w:val="2"/>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2020-05-06T16:15:26Z</dcterms:created>
  <dcterms:modified xsi:type="dcterms:W3CDTF">2020-05-06T16:15:26Z</dcterms:modified>
</cp:coreProperties>
</file>