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Section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8, 2020 (May 5,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SUSTAINABLE OPPORTUNITIES ACQUISITION CORP.</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490" w:right="339" w:bottom="1440" w:gutter="0" w:footer="0" w:header="0"/>
        </w:sectPr>
      </w:pPr>
    </w:p>
    <w:p>
      <w:pPr>
        <w:spacing w:after="0" w:line="225" w:lineRule="exact"/>
        <w:rPr>
          <w:sz w:val="24"/>
          <w:szCs w:val="24"/>
          <w:color w:val="auto"/>
        </w:rPr>
      </w:pPr>
    </w:p>
    <w:p>
      <w:pPr>
        <w:ind w:left="800" w:right="720" w:firstLine="552"/>
        <w:spacing w:after="0" w:line="314" w:lineRule="auto"/>
        <w:rPr>
          <w:sz w:val="20"/>
          <w:szCs w:val="20"/>
          <w:color w:val="auto"/>
        </w:rPr>
      </w:pPr>
      <w:r>
        <w:rPr>
          <w:rFonts w:ascii="Arial" w:cs="Arial" w:eastAsia="Arial" w:hAnsi="Arial"/>
          <w:sz w:val="16"/>
          <w:szCs w:val="16"/>
          <w:b w:val="1"/>
          <w:bCs w:val="1"/>
          <w:color w:val="auto"/>
        </w:rPr>
        <w:t>Cayman Islands (State or other jurisdiction of incorporation or organization)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001-39281</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98-1523768</w:t>
      </w:r>
    </w:p>
    <w:p>
      <w:pPr>
        <w:spacing w:after="0" w:line="27"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Number)</w:t>
      </w:r>
    </w:p>
    <w:p>
      <w:pPr>
        <w:spacing w:after="0" w:line="229" w:lineRule="exact"/>
        <w:rPr>
          <w:sz w:val="24"/>
          <w:szCs w:val="24"/>
          <w:color w:val="auto"/>
        </w:rPr>
      </w:pPr>
    </w:p>
    <w:p>
      <w:pPr>
        <w:sectPr>
          <w:pgSz w:w="11900" w:h="16838" w:orient="portrait"/>
          <w:cols w:equalWidth="0" w:num="3">
            <w:col w:w="3860" w:space="720"/>
            <w:col w:w="3080" w:space="720"/>
            <w:col w:w="2860"/>
          </w:cols>
          <w:pgMar w:left="320" w:top="490" w:right="339" w:bottom="1440" w:gutter="0" w:footer="0" w:header="0"/>
          <w:type w:val="continuous"/>
        </w:sectPr>
      </w:pPr>
    </w:p>
    <w:p>
      <w:pPr>
        <w:jc w:val="center"/>
        <w:ind w:right="1660"/>
        <w:spacing w:after="0"/>
        <w:rPr>
          <w:sz w:val="20"/>
          <w:szCs w:val="20"/>
          <w:color w:val="auto"/>
        </w:rPr>
      </w:pPr>
      <w:r>
        <w:rPr>
          <w:rFonts w:ascii="Arial" w:cs="Arial" w:eastAsia="Arial" w:hAnsi="Arial"/>
          <w:sz w:val="18"/>
          <w:szCs w:val="18"/>
          <w:b w:val="1"/>
          <w:bCs w:val="1"/>
          <w:color w:val="auto"/>
        </w:rPr>
        <w:t>1601 Bryan Street, Suite 4141</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Dallas, Texas</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75201</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49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(952) 456-5304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70"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14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73"/>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60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87"/>
              </w:rPr>
              <w:t>Title of each class</w:t>
            </w:r>
          </w:p>
        </w:tc>
        <w:tc>
          <w:tcPr>
            <w:tcW w:w="304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on which registered</w:t>
            </w:r>
          </w:p>
        </w:tc>
      </w:tr>
      <w:tr>
        <w:trPr>
          <w:trHeight w:val="195"/>
        </w:trPr>
        <w:tc>
          <w:tcPr>
            <w:tcW w:w="3720" w:type="dxa"/>
            <w:vAlign w:val="bottom"/>
            <w:tcBorders>
              <w:top w:val="single" w:sz="8" w:color="auto"/>
            </w:tcBorders>
            <w:shd w:val="clear" w:color="auto" w:fill="CCEEFF"/>
          </w:tcPr>
          <w:p>
            <w:pPr>
              <w:jc w:val="center"/>
              <w:ind w:left="30"/>
              <w:spacing w:after="0" w:line="195" w:lineRule="exact"/>
              <w:rPr>
                <w:sz w:val="20"/>
                <w:szCs w:val="20"/>
                <w:color w:val="auto"/>
              </w:rPr>
            </w:pPr>
            <w:r>
              <w:rPr>
                <w:rFonts w:ascii="Arial" w:cs="Arial" w:eastAsia="Arial" w:hAnsi="Arial"/>
                <w:sz w:val="18"/>
                <w:szCs w:val="18"/>
                <w:color w:val="auto"/>
                <w:w w:val="91"/>
              </w:rPr>
              <w:t>Units, each consisting of one Class A Ordinary</w:t>
            </w: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spacing w:after="0"/>
              <w:rPr>
                <w:sz w:val="16"/>
                <w:szCs w:val="16"/>
                <w:color w:val="auto"/>
              </w:rPr>
            </w:pPr>
          </w:p>
        </w:tc>
      </w:tr>
      <w:tr>
        <w:trPr>
          <w:trHeight w:val="216"/>
        </w:trPr>
        <w:tc>
          <w:tcPr>
            <w:tcW w:w="4600" w:type="dxa"/>
            <w:vAlign w:val="bottom"/>
            <w:gridSpan w:val="3"/>
            <w:shd w:val="clear" w:color="auto" w:fill="CCEEFF"/>
          </w:tcPr>
          <w:p>
            <w:pPr>
              <w:jc w:val="center"/>
              <w:ind w:right="760"/>
              <w:spacing w:after="0"/>
              <w:rPr>
                <w:sz w:val="20"/>
                <w:szCs w:val="20"/>
                <w:color w:val="auto"/>
              </w:rPr>
            </w:pPr>
            <w:r>
              <w:rPr>
                <w:rFonts w:ascii="Arial" w:cs="Arial" w:eastAsia="Arial" w:hAnsi="Arial"/>
                <w:sz w:val="18"/>
                <w:szCs w:val="18"/>
                <w:color w:val="auto"/>
                <w:w w:val="89"/>
              </w:rPr>
              <w:t>Share, $0.0001 par value, and one-half of one</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0"/>
        </w:trPr>
        <w:tc>
          <w:tcPr>
            <w:tcW w:w="4600" w:type="dxa"/>
            <w:vAlign w:val="bottom"/>
            <w:gridSpan w:val="3"/>
            <w:shd w:val="clear" w:color="auto" w:fill="CCEEFF"/>
          </w:tcPr>
          <w:p>
            <w:pPr>
              <w:jc w:val="center"/>
              <w:ind w:right="780"/>
              <w:spacing w:after="0"/>
              <w:rPr>
                <w:sz w:val="20"/>
                <w:szCs w:val="20"/>
                <w:color w:val="auto"/>
              </w:rPr>
            </w:pPr>
            <w:r>
              <w:rPr>
                <w:rFonts w:ascii="Arial" w:cs="Arial" w:eastAsia="Arial" w:hAnsi="Arial"/>
                <w:sz w:val="18"/>
                <w:szCs w:val="18"/>
                <w:color w:val="auto"/>
                <w:w w:val="88"/>
              </w:rPr>
              <w:t>redeemable warrant</w:t>
            </w:r>
          </w:p>
        </w:tc>
        <w:tc>
          <w:tcPr>
            <w:tcW w:w="3040" w:type="dxa"/>
            <w:vAlign w:val="bottom"/>
            <w:gridSpan w:val="2"/>
            <w:shd w:val="clear" w:color="auto" w:fill="CCEEFF"/>
          </w:tcPr>
          <w:p>
            <w:pPr>
              <w:jc w:val="center"/>
              <w:ind w:right="740"/>
              <w:spacing w:after="0"/>
              <w:rPr>
                <w:sz w:val="20"/>
                <w:szCs w:val="20"/>
                <w:color w:val="auto"/>
              </w:rPr>
            </w:pPr>
            <w:r>
              <w:rPr>
                <w:rFonts w:ascii="Arial" w:cs="Arial" w:eastAsia="Arial" w:hAnsi="Arial"/>
                <w:sz w:val="18"/>
                <w:szCs w:val="18"/>
                <w:color w:val="auto"/>
                <w:w w:val="95"/>
              </w:rPr>
              <w:t>SOAC.U</w:t>
            </w:r>
          </w:p>
        </w:tc>
        <w:tc>
          <w:tcPr>
            <w:tcW w:w="36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The New York Stock Exchange</w:t>
            </w:r>
          </w:p>
        </w:tc>
      </w:tr>
      <w:tr>
        <w:trPr>
          <w:trHeight w:val="202"/>
        </w:trPr>
        <w:tc>
          <w:tcPr>
            <w:tcW w:w="4600" w:type="dxa"/>
            <w:vAlign w:val="bottom"/>
            <w:gridSpan w:val="3"/>
          </w:tcPr>
          <w:p>
            <w:pPr>
              <w:jc w:val="center"/>
              <w:ind w:right="760"/>
              <w:spacing w:after="0" w:line="201" w:lineRule="exact"/>
              <w:rPr>
                <w:sz w:val="20"/>
                <w:szCs w:val="20"/>
                <w:color w:val="auto"/>
              </w:rPr>
            </w:pPr>
            <w:r>
              <w:rPr>
                <w:rFonts w:ascii="Arial" w:cs="Arial" w:eastAsia="Arial" w:hAnsi="Arial"/>
                <w:sz w:val="18"/>
                <w:szCs w:val="18"/>
                <w:color w:val="auto"/>
                <w:w w:val="90"/>
              </w:rPr>
              <w:t>Class A Ordinary Shares included as part of the</w:t>
            </w: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230"/>
        </w:trPr>
        <w:tc>
          <w:tcPr>
            <w:tcW w:w="4600" w:type="dxa"/>
            <w:vAlign w:val="bottom"/>
            <w:gridSpan w:val="3"/>
          </w:tcPr>
          <w:p>
            <w:pPr>
              <w:jc w:val="center"/>
              <w:ind w:right="760"/>
              <w:spacing w:after="0"/>
              <w:rPr>
                <w:sz w:val="20"/>
                <w:szCs w:val="20"/>
                <w:color w:val="auto"/>
              </w:rPr>
            </w:pPr>
            <w:r>
              <w:rPr>
                <w:rFonts w:ascii="Arial" w:cs="Arial" w:eastAsia="Arial" w:hAnsi="Arial"/>
                <w:sz w:val="18"/>
                <w:szCs w:val="18"/>
                <w:color w:val="auto"/>
                <w:w w:val="94"/>
              </w:rPr>
              <w:t>units</w:t>
            </w:r>
          </w:p>
        </w:tc>
        <w:tc>
          <w:tcPr>
            <w:tcW w:w="3040" w:type="dxa"/>
            <w:vAlign w:val="bottom"/>
            <w:gridSpan w:val="2"/>
          </w:tcPr>
          <w:p>
            <w:pPr>
              <w:jc w:val="center"/>
              <w:ind w:right="760"/>
              <w:spacing w:after="0"/>
              <w:rPr>
                <w:sz w:val="20"/>
                <w:szCs w:val="20"/>
                <w:color w:val="auto"/>
              </w:rPr>
            </w:pPr>
            <w:r>
              <w:rPr>
                <w:rFonts w:ascii="Arial" w:cs="Arial" w:eastAsia="Arial" w:hAnsi="Arial"/>
                <w:sz w:val="18"/>
                <w:szCs w:val="18"/>
                <w:color w:val="auto"/>
                <w:w w:val="93"/>
              </w:rPr>
              <w:t>SOAC</w:t>
            </w:r>
          </w:p>
        </w:tc>
        <w:tc>
          <w:tcPr>
            <w:tcW w:w="3600" w:type="dxa"/>
            <w:vAlign w:val="bottom"/>
          </w:tcPr>
          <w:p>
            <w:pPr>
              <w:jc w:val="center"/>
              <w:ind w:left="30"/>
              <w:spacing w:after="0"/>
              <w:rPr>
                <w:sz w:val="20"/>
                <w:szCs w:val="20"/>
                <w:color w:val="auto"/>
              </w:rPr>
            </w:pPr>
            <w:r>
              <w:rPr>
                <w:rFonts w:ascii="Arial" w:cs="Arial" w:eastAsia="Arial" w:hAnsi="Arial"/>
                <w:sz w:val="18"/>
                <w:szCs w:val="18"/>
                <w:color w:val="auto"/>
                <w:w w:val="91"/>
              </w:rPr>
              <w:t>The New York Stock Exchange</w:t>
            </w:r>
          </w:p>
        </w:tc>
      </w:tr>
      <w:tr>
        <w:trPr>
          <w:trHeight w:val="202"/>
        </w:trPr>
        <w:tc>
          <w:tcPr>
            <w:tcW w:w="4600" w:type="dxa"/>
            <w:vAlign w:val="bottom"/>
            <w:gridSpan w:val="3"/>
            <w:shd w:val="clear" w:color="auto" w:fill="CCEEFF"/>
          </w:tcPr>
          <w:p>
            <w:pPr>
              <w:jc w:val="center"/>
              <w:ind w:right="780"/>
              <w:spacing w:after="0" w:line="201" w:lineRule="exact"/>
              <w:rPr>
                <w:sz w:val="20"/>
                <w:szCs w:val="20"/>
                <w:color w:val="auto"/>
              </w:rPr>
            </w:pPr>
            <w:r>
              <w:rPr>
                <w:rFonts w:ascii="Arial" w:cs="Arial" w:eastAsia="Arial" w:hAnsi="Arial"/>
                <w:sz w:val="18"/>
                <w:szCs w:val="18"/>
                <w:color w:val="auto"/>
                <w:w w:val="89"/>
              </w:rPr>
              <w:t>Warrants included as part of the units, each whole</w:t>
            </w:r>
          </w:p>
        </w:tc>
        <w:tc>
          <w:tcPr>
            <w:tcW w:w="2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r>
      <w:tr>
        <w:trPr>
          <w:trHeight w:val="216"/>
        </w:trPr>
        <w:tc>
          <w:tcPr>
            <w:tcW w:w="4600" w:type="dxa"/>
            <w:vAlign w:val="bottom"/>
            <w:gridSpan w:val="3"/>
            <w:shd w:val="clear" w:color="auto" w:fill="CCEEFF"/>
          </w:tcPr>
          <w:p>
            <w:pPr>
              <w:jc w:val="center"/>
              <w:ind w:right="780"/>
              <w:spacing w:after="0"/>
              <w:rPr>
                <w:sz w:val="20"/>
                <w:szCs w:val="20"/>
                <w:color w:val="auto"/>
              </w:rPr>
            </w:pPr>
            <w:r>
              <w:rPr>
                <w:rFonts w:ascii="Arial" w:cs="Arial" w:eastAsia="Arial" w:hAnsi="Arial"/>
                <w:sz w:val="18"/>
                <w:szCs w:val="18"/>
                <w:color w:val="auto"/>
                <w:w w:val="91"/>
              </w:rPr>
              <w:t>warrant exercisable for one Class A Ordinary</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0"/>
        </w:trPr>
        <w:tc>
          <w:tcPr>
            <w:tcW w:w="4600" w:type="dxa"/>
            <w:vAlign w:val="bottom"/>
            <w:gridSpan w:val="3"/>
            <w:shd w:val="clear" w:color="auto" w:fill="CCEEFF"/>
          </w:tcPr>
          <w:p>
            <w:pPr>
              <w:jc w:val="center"/>
              <w:ind w:right="760"/>
              <w:spacing w:after="0"/>
              <w:rPr>
                <w:sz w:val="20"/>
                <w:szCs w:val="20"/>
                <w:color w:val="auto"/>
              </w:rPr>
            </w:pPr>
            <w:r>
              <w:rPr>
                <w:rFonts w:ascii="Arial" w:cs="Arial" w:eastAsia="Arial" w:hAnsi="Arial"/>
                <w:sz w:val="18"/>
                <w:szCs w:val="18"/>
                <w:color w:val="auto"/>
                <w:w w:val="88"/>
              </w:rPr>
              <w:t>Share at an exercise price of $11.50</w:t>
            </w:r>
          </w:p>
        </w:tc>
        <w:tc>
          <w:tcPr>
            <w:tcW w:w="3040" w:type="dxa"/>
            <w:vAlign w:val="bottom"/>
            <w:gridSpan w:val="2"/>
            <w:shd w:val="clear" w:color="auto" w:fill="CCEEFF"/>
          </w:tcPr>
          <w:p>
            <w:pPr>
              <w:jc w:val="center"/>
              <w:ind w:right="760"/>
              <w:spacing w:after="0"/>
              <w:rPr>
                <w:sz w:val="20"/>
                <w:szCs w:val="20"/>
                <w:color w:val="auto"/>
              </w:rPr>
            </w:pPr>
            <w:r>
              <w:rPr>
                <w:rFonts w:ascii="Arial" w:cs="Arial" w:eastAsia="Arial" w:hAnsi="Arial"/>
                <w:sz w:val="18"/>
                <w:szCs w:val="18"/>
                <w:color w:val="auto"/>
                <w:w w:val="94"/>
              </w:rPr>
              <w:t>SOAC WS</w:t>
            </w:r>
          </w:p>
        </w:tc>
        <w:tc>
          <w:tcPr>
            <w:tcW w:w="36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The New York Stock Exchange</w:t>
            </w:r>
          </w:p>
        </w:tc>
      </w:tr>
    </w:tbl>
    <w:p>
      <w:pPr>
        <w:spacing w:after="0" w:line="202"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firstLine="1296"/>
        <w:spacing w:after="0" w:line="271" w:lineRule="auto"/>
        <w:rPr>
          <w:sz w:val="20"/>
          <w:szCs w:val="20"/>
          <w:color w:val="auto"/>
        </w:rPr>
      </w:pPr>
      <w:r>
        <w:rPr>
          <w:rFonts w:ascii="Arial" w:cs="Arial" w:eastAsia="Arial" w:hAnsi="Arial"/>
          <w:sz w:val="17"/>
          <w:szCs w:val="17"/>
          <w:color w:val="auto"/>
        </w:rPr>
        <w:t>On May 5, 2020, the Registration Statement on Form S-1 (File No. 333-237245) (the “Registration Statement”) relating to the initial public offering (the “IPO”) of Sustainable Opportunities Acquisition Corp. (the “Company”) was declared effective by the U.S. Securities and Exchange Commission. On May 8, 2020 the Company consummated the IPO of 30,000,000 units (the “Units”). Each Unit consists of one Class A ordinary share, $0.0001 par value per share (the “Class A Ordinary Shares”), and one-half of one redeemable warrant (the “Public Warrants”), each whole Public Warrant entitling the holder thereof to purchase one Class A Ordinary Share at an exercise price of $11.50 per share. The Units were sold at an offering price of $10.00 per Unit, generating gross proceeds of 300,000,000. The Company has granted the underwriter of the IPO a 45-day option to purchase up to an additional 4,500,000 Units at the initial public offering price to cover over-allotments, if any. Further, in connection with the IPO, the Company entered into the following agreements previously filed as exhibits to the Registration Statement:</w:t>
      </w:r>
    </w:p>
    <w:p>
      <w:pPr>
        <w:spacing w:after="0" w:line="178" w:lineRule="exact"/>
        <w:rPr>
          <w:sz w:val="20"/>
          <w:szCs w:val="20"/>
          <w:color w:val="auto"/>
        </w:rPr>
      </w:pPr>
    </w:p>
    <w:p>
      <w:pPr>
        <w:ind w:left="660" w:right="6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Underwriting Agreement, dated May 5, 2020, between the Company and Citigroup Global Markets Inc., as underwriter, which contains customary representations and warranties and indemnification of the underwriter by the Company;</w:t>
      </w:r>
    </w:p>
    <w:p>
      <w:pPr>
        <w:spacing w:after="0" w:line="170"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Private Placement Warrants Purchase Agreement, dated May 5, 2020, between the Company and Sustainable Opportunities Holdings LLC (the “Sponsor”), pursuant to which the Sponsor purchased 9,500,000 private placement warrants, each exercisable to purchase one Class A Ordinary Share at $11.50 per share, at a price of $1.00 per warrant (the “Private Placement Warrants” and, together with the Public Warrants, the “Warrants”);</w:t>
      </w:r>
    </w:p>
    <w:p>
      <w:pPr>
        <w:spacing w:after="0" w:line="186" w:lineRule="exact"/>
        <w:rPr>
          <w:rFonts w:ascii="Arial" w:cs="Arial" w:eastAsia="Arial" w:hAnsi="Arial"/>
          <w:sz w:val="18"/>
          <w:szCs w:val="18"/>
          <w:color w:val="auto"/>
        </w:rPr>
      </w:pPr>
    </w:p>
    <w:p>
      <w:pPr>
        <w:ind w:left="660" w:right="40" w:hanging="328"/>
        <w:spacing w:after="0" w:line="30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Warrant Agreement, dated May 8, 2020, between the Company and Continental Stock Transfer &amp; Trust Company, as warrant agent (the “Warrant Agreement”), which sets forth the expiration and exercise price of and procedure for exercising the Warrants; certain adjustment features of the terms of exercise; provisions relating to redemption and cashless exercise of the Warrants; certain registration rights of the holders of Warrants; provision for amendments to the Warrant Agreement; and indemnification of the warrant agent by the Company under the agreement;</w:t>
      </w:r>
    </w:p>
    <w:p>
      <w:pPr>
        <w:spacing w:after="0" w:line="157" w:lineRule="exact"/>
        <w:rPr>
          <w:rFonts w:ascii="Arial" w:cs="Arial" w:eastAsia="Arial" w:hAnsi="Arial"/>
          <w:sz w:val="16"/>
          <w:szCs w:val="16"/>
          <w:color w:val="auto"/>
        </w:rPr>
      </w:pPr>
    </w:p>
    <w:p>
      <w:pPr>
        <w:ind w:left="660" w:right="14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Investment Management Trust Agreement, dated May 8, 2020, between the Company and Continental Stock Transfer &amp; Trust Company, as trustee, which establishes the trust account that will hold the net proceeds of the IPO and certain of the proceeds of the sale of the Private Placement Warrants, and sets forth the responsibilities of the trustee; the procedures for withdrawal and direction of funds from the trust account; and indemnification of the trustee by the Company under the agreement;</w:t>
      </w:r>
    </w:p>
    <w:p>
      <w:pPr>
        <w:spacing w:after="0" w:line="186" w:lineRule="exact"/>
        <w:rPr>
          <w:rFonts w:ascii="Arial" w:cs="Arial" w:eastAsia="Arial" w:hAnsi="Arial"/>
          <w:sz w:val="18"/>
          <w:szCs w:val="18"/>
          <w:color w:val="auto"/>
        </w:rPr>
      </w:pPr>
    </w:p>
    <w:p>
      <w:pPr>
        <w:ind w:left="660" w:right="100" w:hanging="328"/>
        <w:spacing w:after="0" w:line="25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Registration and Shareholder Rights Agreement, dated May 8, 2020, between the Company, the Sponsor and certain equityholders of the Company, which provides for customary demand and piggy-back registration rights for the Sponsor, and customary piggy-back registration rights for such other equityholders, as well as certain transfer restrictions applicable to the Sponsor with respect to the Company’s securities, and, upon consummation of our initial business combination, the right of the Sponsor to nominate three individuals for election to the Company’s board of directors;</w:t>
      </w:r>
    </w:p>
    <w:p>
      <w:pPr>
        <w:spacing w:after="0" w:line="187" w:lineRule="exact"/>
        <w:rPr>
          <w:rFonts w:ascii="Arial" w:cs="Arial" w:eastAsia="Arial" w:hAnsi="Arial"/>
          <w:sz w:val="18"/>
          <w:szCs w:val="18"/>
          <w:color w:val="auto"/>
        </w:rPr>
      </w:pPr>
    </w:p>
    <w:p>
      <w:pPr>
        <w:ind w:left="660" w:right="160" w:hanging="328"/>
        <w:spacing w:after="0" w:line="25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Letter Agreements, dated May 8, 2020, by and between the Company and the Sponsor and each executive officer and director of the Company, pursuant to which the Sponsor and each executive officer and director of the Company has agreed to vote any Class A Ordinary Shares held by him, her or it in favor of the Company's initial business combination; to facilitate the liquidation and winding up of the Company if an initial business combination is not consummated within 18 months; to certain transfer restrictions with respect to the Company's securities; to certain indemnification obligations of the Sponsor; and the Company has agreed not to (i) enter into a definitive agreement regarding an initial business combination or (ii) or issue any equity securities of the Company prior to an initial Business Combination, in each case without the prior consent of the Sponsor; and</w:t>
      </w:r>
    </w:p>
    <w:p>
      <w:pPr>
        <w:spacing w:after="0" w:line="194"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Administrative Services Agreement, dated May 8, 2020, by and between the Company and the Sponsor, pursuant to which the Sponsor has agreed to make available office space and certain administrative and support services, as may be required by the Company from time to time, for $10,000 per month until the Company’s initial business combination or liquidation.</w:t>
      </w:r>
    </w:p>
    <w:p>
      <w:pPr>
        <w:spacing w:after="0" w:line="18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above descriptions are qualified in their entirety by reference to the full text of the applicable agreement, each of which is incorporated by reference herein and filed herewith as Exhibits 1.1, 10.1, 4.1, 10.2, 10.3, 10.4, 10.5 and 10.6, respectively.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 w:name="page3"/>
    <w:bookmarkEnd w:id="2"/>
    <w:p>
      <w:pPr>
        <w:spacing w:after="0"/>
        <w:tabs>
          <w:tab w:leader="none" w:pos="110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5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Simultaneous with the consummation of the IPO and the issuance and sale of the Units, the Company consummated the private placement of 9,500,000 Private Placement Warrants at a price of $1.00 per Private Placement Warrant, generating total proceeds of $9,500,000 (the “Private Placement”). The Private Placement Warrants, which were purchased by the Sponsor, are substantially similar to the Public Warrants, except that if held by the Sponsor or its permitted transferees, they (i) may be exercised for cash or on a cashless basis, (ii) are not subject to being called for redemption and (iii) subject to certain limited exceptions, will be subject to transfer restrictions until 30 days following the consummation of the Company’s initial business combination. If the Private Placement Warrants are held by holders other than the Sponsor or its permitted transferees, the Private Placement Warrants will be redeemable by the Company and exercisable by holders on the same basis as the Public Warrants. The Private Placement Warrants have been issued pursuant to, and are governed by the Warrant Agreement.</w:t>
      </w:r>
    </w:p>
    <w:p>
      <w:pPr>
        <w:spacing w:after="0" w:line="17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Memorandum and Articles of Association.</w:t>
      </w:r>
    </w:p>
    <w:p>
      <w:pPr>
        <w:spacing w:after="0" w:line="256"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On May 5, 2020 and in connection with the IPO, the Company adopted its Amended and Restated Memorandum and Articles of Association. The Amended and Restated Memorandum and Articles of Association is filed herewith as Exhibit 3.1 and is incorporated by reference herein.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280" w:type="dxa"/>
            <w:vAlign w:val="bottom"/>
            <w:gridSpan w:val="4"/>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960" w:type="dxa"/>
            <w:vAlign w:val="bottom"/>
          </w:tcPr>
          <w:p>
            <w:pPr>
              <w:ind w:left="400"/>
              <w:spacing w:after="0"/>
              <w:rPr>
                <w:sz w:val="20"/>
                <w:szCs w:val="20"/>
                <w:color w:val="auto"/>
              </w:rPr>
            </w:pPr>
            <w:r>
              <w:rPr>
                <w:rFonts w:ascii="Arial" w:cs="Arial" w:eastAsia="Arial" w:hAnsi="Arial"/>
                <w:sz w:val="18"/>
                <w:szCs w:val="18"/>
                <w:b w:val="1"/>
                <w:bCs w:val="1"/>
                <w:color w:val="auto"/>
              </w:rPr>
              <w:t>(d)</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80" w:type="dxa"/>
            <w:vAlign w:val="bottom"/>
            <w:gridSpan w:val="2"/>
          </w:tcPr>
          <w:p>
            <w:pPr>
              <w:ind w:left="4040"/>
              <w:spacing w:after="0"/>
              <w:rPr>
                <w:sz w:val="20"/>
                <w:szCs w:val="20"/>
                <w:color w:val="auto"/>
              </w:rPr>
            </w:pPr>
            <w:r>
              <w:rPr>
                <w:rFonts w:ascii="Arial" w:cs="Arial" w:eastAsia="Arial" w:hAnsi="Arial"/>
                <w:sz w:val="18"/>
                <w:szCs w:val="18"/>
                <w:b w:val="1"/>
                <w:bCs w:val="1"/>
                <w:color w:val="auto"/>
              </w:rPr>
              <w:t>Exhibits.</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9880" w:type="dxa"/>
            <w:vAlign w:val="bottom"/>
            <w:gridSpan w:val="3"/>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Underwriting Agreement between the Company and Citigroup Global Markets Inc., as underwriter</w:t>
              </w:r>
            </w:hyperlink>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9880" w:type="dxa"/>
            <w:vAlign w:val="bottom"/>
            <w:gridSpan w:val="3"/>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Amended and Restated Memorandum and Articles of Association</w:t>
              </w:r>
            </w:hyperlink>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9880" w:type="dxa"/>
            <w:vAlign w:val="bottom"/>
            <w:gridSpan w:val="3"/>
            <w:shd w:val="clear" w:color="auto" w:fill="CCEEFF"/>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Warrant Agreement between Continental Stock Transfer &amp; Trust Company and the Company</w:t>
              </w:r>
            </w:hyperlink>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8"/>
                <w:szCs w:val="18"/>
                <w:color w:val="auto"/>
              </w:rPr>
            </w:pPr>
          </w:p>
        </w:tc>
        <w:tc>
          <w:tcPr>
            <w:tcW w:w="9880" w:type="dxa"/>
            <w:vAlign w:val="bottom"/>
            <w:gridSpan w:val="3"/>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Private Placement Warrants Purchase Agreement between the Company and Sustainable Opportunities Holdings LLC</w:t>
              </w:r>
            </w:hyperlink>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10.2</w:t>
            </w:r>
          </w:p>
        </w:tc>
        <w:tc>
          <w:tcPr>
            <w:tcW w:w="400" w:type="dxa"/>
            <w:vAlign w:val="bottom"/>
            <w:shd w:val="clear" w:color="auto" w:fill="CCEEFF"/>
          </w:tcPr>
          <w:p>
            <w:pPr>
              <w:spacing w:after="0"/>
              <w:rPr>
                <w:sz w:val="18"/>
                <w:szCs w:val="18"/>
                <w:color w:val="auto"/>
              </w:rPr>
            </w:pPr>
          </w:p>
        </w:tc>
        <w:tc>
          <w:tcPr>
            <w:tcW w:w="9880" w:type="dxa"/>
            <w:vAlign w:val="bottom"/>
            <w:gridSpan w:val="3"/>
            <w:shd w:val="clear" w:color="auto" w:fill="CCEEFF"/>
          </w:tcPr>
          <w:p>
            <w:pPr>
              <w:spacing w:after="0"/>
              <w:rPr>
                <w:rFonts w:ascii="Arial" w:cs="Arial" w:eastAsia="Arial" w:hAnsi="Arial"/>
                <w:sz w:val="18"/>
                <w:szCs w:val="18"/>
                <w:u w:val="single" w:color="auto"/>
                <w:color w:val="0000EE"/>
                <w:w w:val="99"/>
              </w:rPr>
            </w:pPr>
            <w:hyperlink w:anchor="page117">
              <w:r>
                <w:rPr>
                  <w:rFonts w:ascii="Arial" w:cs="Arial" w:eastAsia="Arial" w:hAnsi="Arial"/>
                  <w:sz w:val="18"/>
                  <w:szCs w:val="18"/>
                  <w:u w:val="single" w:color="auto"/>
                  <w:color w:val="0000EE"/>
                  <w:w w:val="99"/>
                </w:rPr>
                <w:t>Investment Management Trust Account Agreement between Continental Stock Transfer &amp; Trust Company and the Company</w:t>
              </w:r>
            </w:hyperlink>
          </w:p>
        </w:tc>
      </w:tr>
      <w:tr>
        <w:trPr>
          <w:trHeight w:val="176"/>
        </w:trPr>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80" w:type="dxa"/>
            <w:vAlign w:val="bottom"/>
            <w:gridSpan w:val="3"/>
          </w:tcPr>
          <w:p>
            <w:pPr>
              <w:spacing w:after="0" w:line="176" w:lineRule="exact"/>
              <w:rPr>
                <w:rFonts w:ascii="Arial" w:cs="Arial" w:eastAsia="Arial" w:hAnsi="Arial"/>
                <w:sz w:val="18"/>
                <w:szCs w:val="18"/>
                <w:color w:val="0000EE"/>
                <w:w w:val="92"/>
              </w:rPr>
            </w:pPr>
            <w:hyperlink w:anchor="page132">
              <w:r>
                <w:rPr>
                  <w:rFonts w:ascii="Arial" w:cs="Arial" w:eastAsia="Arial" w:hAnsi="Arial"/>
                  <w:sz w:val="18"/>
                  <w:szCs w:val="18"/>
                  <w:color w:val="0000EE"/>
                  <w:w w:val="92"/>
                </w:rPr>
                <w:t>Registration and Shareholder Rights Agreement between the Company, Sustainable Opportunities Holdings LLC and the other parties</w:t>
              </w:r>
            </w:hyperlink>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400" w:type="dxa"/>
            <w:vAlign w:val="bottom"/>
          </w:tcPr>
          <w:p>
            <w:pPr>
              <w:spacing w:after="0"/>
              <w:rPr>
                <w:sz w:val="17"/>
                <w:szCs w:val="17"/>
                <w:color w:val="auto"/>
              </w:rPr>
            </w:pPr>
          </w:p>
        </w:tc>
        <w:tc>
          <w:tcPr>
            <w:tcW w:w="96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thereto</w:t>
              </w:r>
            </w:hyperlink>
          </w:p>
        </w:tc>
        <w:tc>
          <w:tcPr>
            <w:tcW w:w="240" w:type="dxa"/>
            <w:vAlign w:val="bottom"/>
          </w:tcPr>
          <w:p>
            <w:pPr>
              <w:spacing w:after="0"/>
              <w:rPr>
                <w:sz w:val="17"/>
                <w:szCs w:val="17"/>
                <w:color w:val="auto"/>
              </w:rPr>
            </w:pPr>
          </w:p>
        </w:tc>
      </w:tr>
      <w:tr>
        <w:trPr>
          <w:trHeight w:val="21"/>
        </w:trPr>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400" w:type="dxa"/>
            <w:vAlign w:val="bottom"/>
            <w:shd w:val="clear" w:color="auto" w:fill="CCEEFF"/>
          </w:tcPr>
          <w:p>
            <w:pPr>
              <w:spacing w:after="0"/>
              <w:rPr>
                <w:sz w:val="18"/>
                <w:szCs w:val="18"/>
                <w:color w:val="auto"/>
              </w:rPr>
            </w:pPr>
          </w:p>
        </w:tc>
        <w:tc>
          <w:tcPr>
            <w:tcW w:w="9880" w:type="dxa"/>
            <w:vAlign w:val="bottom"/>
            <w:gridSpan w:val="3"/>
            <w:shd w:val="clear" w:color="auto" w:fill="CCEEFF"/>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Letter Agreement between the Company and Sustainable Opportunities Holdings LLC</w:t>
              </w:r>
            </w:hyperlink>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18"/>
                <w:szCs w:val="18"/>
                <w:color w:val="auto"/>
              </w:rPr>
            </w:pPr>
          </w:p>
        </w:tc>
        <w:tc>
          <w:tcPr>
            <w:tcW w:w="9880" w:type="dxa"/>
            <w:vAlign w:val="bottom"/>
            <w:gridSpan w:val="3"/>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Letter Agreement between the Company and each of the executive officers and directors of the Company</w:t>
              </w:r>
            </w:hyperlink>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10.6</w:t>
            </w:r>
          </w:p>
        </w:tc>
        <w:tc>
          <w:tcPr>
            <w:tcW w:w="400" w:type="dxa"/>
            <w:vAlign w:val="bottom"/>
            <w:shd w:val="clear" w:color="auto" w:fill="CCEEFF"/>
          </w:tcPr>
          <w:p>
            <w:pPr>
              <w:spacing w:after="0"/>
              <w:rPr>
                <w:sz w:val="18"/>
                <w:szCs w:val="18"/>
                <w:color w:val="auto"/>
              </w:rPr>
            </w:pPr>
          </w:p>
        </w:tc>
        <w:tc>
          <w:tcPr>
            <w:tcW w:w="9880" w:type="dxa"/>
            <w:vAlign w:val="bottom"/>
            <w:gridSpan w:val="3"/>
            <w:shd w:val="clear" w:color="auto" w:fill="CCEEFF"/>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Administrative Services Agreement between the Company and Sustainable Opportunities Holdings LLC</w:t>
              </w:r>
            </w:hyperlink>
          </w:p>
        </w:tc>
      </w:tr>
      <w:tr>
        <w:trPr>
          <w:trHeight w:val="466"/>
        </w:trPr>
        <w:tc>
          <w:tcPr>
            <w:tcW w:w="9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gridSpan w:val="3"/>
          </w:tcPr>
          <w:p>
            <w:pPr>
              <w:jc w:val="right"/>
              <w:ind w:right="5230"/>
              <w:spacing w:after="0"/>
              <w:rPr>
                <w:sz w:val="20"/>
                <w:szCs w:val="20"/>
                <w:color w:val="auto"/>
              </w:rPr>
            </w:pPr>
            <w:r>
              <w:rPr>
                <w:rFonts w:ascii="Arial" w:cs="Arial" w:eastAsia="Arial" w:hAnsi="Arial"/>
                <w:sz w:val="22"/>
                <w:szCs w:val="22"/>
                <w:color w:val="auto"/>
              </w:rPr>
              <w:t>2</w:t>
            </w: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8, 2020</w:t>
      </w:r>
    </w:p>
    <w:p>
      <w:pPr>
        <w:spacing w:after="0" w:line="194"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9" w:lineRule="exact"/>
        <w:rPr>
          <w:sz w:val="20"/>
          <w:szCs w:val="20"/>
          <w:color w:val="auto"/>
        </w:rPr>
      </w:pPr>
    </w:p>
    <w:tbl>
      <w:tblPr>
        <w:tblLayout w:type="fixed"/>
        <w:tblInd w:w="65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Leonard</w:t>
            </w:r>
          </w:p>
        </w:tc>
      </w:tr>
      <w:tr>
        <w:trPr>
          <w:trHeight w:val="182"/>
        </w:trPr>
        <w:tc>
          <w:tcPr>
            <w:tcW w:w="80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82" w:lineRule="exact"/>
              <w:rPr>
                <w:sz w:val="20"/>
                <w:szCs w:val="20"/>
                <w:color w:val="auto"/>
              </w:rPr>
            </w:pPr>
            <w:r>
              <w:rPr>
                <w:rFonts w:ascii="Arial" w:cs="Arial" w:eastAsia="Arial" w:hAnsi="Arial"/>
                <w:sz w:val="18"/>
                <w:szCs w:val="18"/>
                <w:color w:val="auto"/>
              </w:rPr>
              <w:t>Scott Leonard</w:t>
            </w:r>
          </w:p>
        </w:tc>
      </w:tr>
      <w:tr>
        <w:trPr>
          <w:trHeight w:val="244"/>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30,000,000 Units</w:t>
      </w:r>
      <w:r>
        <w:rPr>
          <w:rFonts w:ascii="Arial" w:cs="Arial" w:eastAsia="Arial" w:hAnsi="Arial"/>
          <w:sz w:val="29"/>
          <w:szCs w:val="29"/>
          <w:b w:val="1"/>
          <w:bCs w:val="1"/>
          <w:color w:val="auto"/>
          <w:vertAlign w:val="superscript"/>
        </w:rPr>
        <w:t>1</w:t>
      </w: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5,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Sustainable Opportunities Acquisition Corp., a Cayman Islands exempted company (the “Company”), proposes to sell to the several underwriters named in Schedule I hereto (the “Underwriters”), for whom you (the “Representative”) are acting as representative, 30,000,000 units (the “Units”) of the Company (said Units to be issued and sold by the Company being hereinafter called the “Underwritten Securities”). The Company also proposes to grant to the Underwriters an option to purchase up to 4,500,000 additional units to cover over-allotments, if any (the “Option Securities”; the Option Securities, together with the Underwritten Securities, being hereinafter called the “Securities”). To the extent there are no additional Underwriters listed on Schedule I other than you, the term Representative as used herein shall mean you, as the Underwriter, and the term Underwriter shall mean either the singular or plural as the context requires. Certain capitalized terms used herein and not otherwise defined are defined in Section 21 hereof. As used herein, the term “Business Combination” (as described more fully in the Registration Statement) shall mean effecting a merger, share exchange, asset acquisition, share purchase, reorganization or similar business combination with one or more businesses involving the Company.</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Each Unit consists of one of the Company’s Class A ordinary shares, par value $0.0001 per share (the “Ordinary Shares”), and one half of one warrant, where each whole warrant entitles the holder to purchase one Ordinary Share (the “Warrant(s)”). The Ordinary Shares and the Warrants included</w:t>
      </w:r>
    </w:p>
    <w:p>
      <w:pPr>
        <w:jc w:val="both"/>
        <w:spacing w:after="0" w:line="239" w:lineRule="auto"/>
        <w:rPr>
          <w:sz w:val="20"/>
          <w:szCs w:val="20"/>
          <w:color w:val="auto"/>
        </w:rPr>
      </w:pPr>
      <w:r>
        <w:rPr>
          <w:rFonts w:ascii="Arial" w:cs="Arial" w:eastAsia="Arial" w:hAnsi="Arial"/>
          <w:sz w:val="18"/>
          <w:szCs w:val="18"/>
          <w:color w:val="auto"/>
        </w:rPr>
        <w:t>in the Units will not trade separately until the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day following the date of the Prospectus (unless the Representative informs the Company of its decision to allow earlier separate trading), subject to (a) the Company’s preparation of an audited balance sheet reflecting the receipt by the Company of the proceeds of the Offering (as defined herein), (b) the filing of such audited balance sheet with the Commission on a Current Report on Form 8-K or similar form by the Company that includes such audited balance sheet (the “Closing Form 8-K”), and (c) the Company having issued a press release announcing when such separate trading will begin. Each whole Warrant entitles its holder, upon exercise, to purchase one Ordinary Share for $11.50 during the period commencing on the later of thirty (30) days after the completion of an initial Business Combination or twelve (12) months from the date of the consummation of the Offering and terminating on the five-year anniversary of the date of the completion of such initial Business Combination or earlier upon redemption or liquidation;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pursuant to the Warrant Agreement (as defined below), no fractional Warrants will be issued upon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 Plus an option to purchase from the Company up to 4,500,000 additional Units to cover over-allotments.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660"/>
        <w:spacing w:after="0"/>
        <w:rPr>
          <w:sz w:val="20"/>
          <w:szCs w:val="20"/>
          <w:color w:val="auto"/>
        </w:rPr>
      </w:pPr>
      <w:r>
        <w:rPr>
          <w:rFonts w:ascii="Arial" w:cs="Arial" w:eastAsia="Arial" w:hAnsi="Arial"/>
          <w:sz w:val="16"/>
          <w:szCs w:val="16"/>
          <w:color w:val="auto"/>
        </w:rPr>
        <w:t>The Company will enter into an Investment Management Trust Agreement, to be effective as of the Closing Date, with Continental Stock Transfer</w:t>
      </w:r>
    </w:p>
    <w:p>
      <w:pPr>
        <w:spacing w:after="0" w:line="46" w:lineRule="exact"/>
        <w:rPr>
          <w:sz w:val="20"/>
          <w:szCs w:val="20"/>
          <w:color w:val="auto"/>
        </w:rPr>
      </w:pPr>
    </w:p>
    <w:p>
      <w:pPr>
        <w:jc w:val="both"/>
        <w:ind w:firstLine="8"/>
        <w:spacing w:after="0" w:line="253" w:lineRule="auto"/>
        <w:tabs>
          <w:tab w:leader="none" w:pos="1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Trust Company (“CST”), as trustee (the “Trustee”), in substantially the form filed as an exhibit to the Registration Statement (the “Trust Agreement”), pursuant to which certain proceeds from the sale of the Private Placement Warrants (as defined herein) and the proceeds of the Offering will be deposited and held in a U.S.-based trust account (the “Trust Account”) for the benefit of the Company, the Underwriters and the holders of the Underwritten Securities and the Option Securities, if and when issued.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will enter into a Warrant Agreement, to be effective as of the Closing Date hereof, with respect to the Warrants and the Private Placement Warrants with CST, as warrant agent, in substantially the form filed as an exhibit to the Registration Statement (the “Warrant Agreement”), pursuant to which CST will act as warrant agent in connection with the issuance, registration, transfer, exchange, redemption, and exercise of the Warrants and the Private Placement Warrants.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has entered into a Securities Subscription Agreement, effective as of December 31, 2019 (the “Founder’s Purchase Agreement”), with Sustainable Opportunities Holdings LLC, a Delaware limited liability company (the “Sponsor”), pursuant to which the Sponsor purchased an aggregate of 8,625,000 Class B ordinary shares, par value $0.0001 per share of the Company (the “Class B Shares”), for an aggregate purchase price of $25,000. After the closing of the Offering depending on the extent to which the underwriter’s over-allotment option is exercised, the Sponsor will surrender up to 1,125,000 Founder Shares to the Company for no consideration (the “Founder Forfeiture”). The Founder Shares are substantially similar to the Ordinary Shares included in the Units, except as described in the Registration Statement, the Statutory Prospectus and the Prospectus.</w:t>
      </w:r>
    </w:p>
    <w:p>
      <w:pPr>
        <w:spacing w:after="0" w:line="16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entered into a Private Placement Warrants Purchase Agreement, dated as of the date hereof (the “Warrant Subscription Agreement”), with the Sponsor, pursuant to which the Sponsor has agreed to purchase an aggregate of 9,500,000 warrants, each entitling the holder to purchase one Ordinary Share (the “Private Placement Warrants”) for $1.00 per Private Placement Warrant. The Private Placement Warrants are substantially similar to the Warrants included in the Units, except as described in the Registration Statement, the Statutory Prospectus and the Prospectus.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ind w:firstLine="648"/>
        <w:spacing w:after="0" w:line="257" w:lineRule="auto"/>
        <w:rPr>
          <w:sz w:val="20"/>
          <w:szCs w:val="20"/>
          <w:color w:val="auto"/>
        </w:rPr>
      </w:pPr>
      <w:r>
        <w:rPr>
          <w:rFonts w:ascii="Arial" w:cs="Arial" w:eastAsia="Arial" w:hAnsi="Arial"/>
          <w:sz w:val="18"/>
          <w:szCs w:val="18"/>
          <w:color w:val="auto"/>
        </w:rPr>
        <w:t>The Company will enter into a Registration and Shareholder Rights Agreement, to be effective as of the Closing Date, with the Sponsor and the other parties thereto, in substantially the form filed as an exhibit to the Registration Statement (the “Registration Rights Agreement”), pursuant to which the Company will grant certain registration and shareholder rights in respect of the Founder Shares, the Private Placement Warrants, the Ordinary Shares underlying the Private Placement Warrants and the warrants (which will be substantially similar to the Private Placement Warrants) that may be issued upon conversion of working capital loans.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will cause to be duly executed and delivered letter agreements by the Sponsor, and each of the Company’s officers, directors, and director nominees, in substantially the form filed as an exhibit to the Registration Statement (collectively, the “Insider Letters”).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will enter into an Administrative Services Agreement, to be effective as of the Closing Date (the “Services Agreement”), with the Sponsor, in substantially the form filed as an exhibit to the Registration Statement, pursuant to which the Company will, subject to the terms of the Services Agreement, pay to the Sponsor, an aggregate monthly fee of $10,000 for general and administrative services, including office space, secretarial support and administrative services from the date that the Units are first listed on the New York Stock Exchange until the earlier of (x) the consummation of an initial Business Combination and (y) the Liquidation.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each Underwriter as set forth below in this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11" w:lineRule="exact"/>
        <w:rPr>
          <w:sz w:val="20"/>
          <w:szCs w:val="20"/>
          <w:color w:val="auto"/>
        </w:rPr>
      </w:pPr>
    </w:p>
    <w:p>
      <w:pPr>
        <w:jc w:val="both"/>
        <w:ind w:left="660" w:firstLine="644"/>
        <w:spacing w:after="0" w:line="269" w:lineRule="auto"/>
        <w:tabs>
          <w:tab w:leader="none" w:pos="1581"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has prepared and filed with the Commission the Registration Statement (file number 333-237245) on Form S-1, including the related Preliminary Prospectus, for registration under the Act of the offering and sale of the Securities. Such Registration Statement, including any amendments thereto filed prior to the Execution Time, has become effective. The Company may have filed one or more amendments thereto, including the related Preliminary Prospectus, each of which has previously been furnished to you. The Company will file with the Commission the Prospectus in accordance with Rule 424(b). As filed, such Prospectus shall contain all information required by the Act and, except to the extent the Representative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 The Company has complied to the Commission’s satisfaction with all requests of the Commission for additional or supplemental information.</w:t>
      </w:r>
    </w:p>
    <w:p>
      <w:pPr>
        <w:spacing w:after="0" w:line="185" w:lineRule="exact"/>
        <w:rPr>
          <w:rFonts w:ascii="Arial" w:cs="Arial" w:eastAsia="Arial" w:hAnsi="Arial"/>
          <w:sz w:val="17"/>
          <w:szCs w:val="17"/>
          <w:color w:val="auto"/>
        </w:rPr>
      </w:pPr>
    </w:p>
    <w:p>
      <w:pPr>
        <w:jc w:val="both"/>
        <w:ind w:left="660" w:firstLine="644"/>
        <w:spacing w:after="0" w:line="287" w:lineRule="auto"/>
        <w:tabs>
          <w:tab w:leader="none" w:pos="1574"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On the Effective Date, the Registration Statement did, and when the Prospectus is first filed in accordance with Rule 424(b) and on the Closing Date (as defined herein) and on any date on which Option Securities are purchased, if such date is not the Closing Date (a “settlement date”), the Prospectus (and any supplement thereto) will, comply in all material respects with the applicable requirements of the Act; on the Effective Date and at the Execution Time,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each settlement date, the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 specifically for inclusion in the Registration Statement or the Prospectus (or any supplement thereto), it being understood and agreed that the only such information furnished by any Underwriter consists of the information described as such in Section 8(b) hereof.</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left="-460" w:firstLine="644"/>
        <w:spacing w:after="0" w:line="291" w:lineRule="auto"/>
        <w:tabs>
          <w:tab w:leader="none" w:pos="43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At the Execution Time, the Statutory Prospectus, each road show, when taken together as a whole with the Statutory Prospectus, and any individual Written Testing-the-Waters Communication (as defined below), when taken together as a whole with the Statutory Prospectus, does not contain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the information contained in or omitted from the Statutory Prospectus in reliance upon and in conformity with written information furnished to the Company by or on behalf of any Underwriter through the Representative specifically for use therein, it being understood and agreed that the only such information furnished by or on behalf of any Underwriter consists of the information described as such in Section 8(b) hereof.</w:t>
      </w:r>
    </w:p>
    <w:p>
      <w:pPr>
        <w:spacing w:after="0" w:line="166" w:lineRule="exact"/>
        <w:rPr>
          <w:rFonts w:ascii="Arial" w:cs="Arial" w:eastAsia="Arial" w:hAnsi="Arial"/>
          <w:sz w:val="16"/>
          <w:szCs w:val="16"/>
          <w:color w:val="auto"/>
        </w:rPr>
      </w:pPr>
    </w:p>
    <w:p>
      <w:pPr>
        <w:jc w:val="both"/>
        <w:ind w:left="-460" w:firstLine="644"/>
        <w:spacing w:after="0" w:line="257" w:lineRule="auto"/>
        <w:tabs>
          <w:tab w:leader="none" w:pos="4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filed with the Commission a Form 8-A (file number 001-39281) providing for the registration under the Exchange Act of the Securities, the Ordinary Shares included as part of the Securities and the Warrants included as part of the Securities, which registration is currently effective on the date hereof. The Securities have been authorized for listing, subject to official notice of issuance and evidence of satisfactory distribution, on the New York Stock Exchange, and the Company knows of no reason or set of facts that is likely to adversely affect such authorization.</w:t>
      </w:r>
    </w:p>
    <w:p>
      <w:pPr>
        <w:spacing w:after="0" w:line="187" w:lineRule="exact"/>
        <w:rPr>
          <w:rFonts w:ascii="Arial" w:cs="Arial" w:eastAsia="Arial" w:hAnsi="Arial"/>
          <w:sz w:val="18"/>
          <w:szCs w:val="18"/>
          <w:color w:val="auto"/>
        </w:rPr>
      </w:pPr>
    </w:p>
    <w:p>
      <w:pPr>
        <w:jc w:val="both"/>
        <w:ind w:left="-460" w:firstLine="644"/>
        <w:spacing w:after="0" w:line="259" w:lineRule="auto"/>
        <w:tabs>
          <w:tab w:leader="none" w:pos="442" w:val="left"/>
        </w:tabs>
        <w:numPr>
          <w:ilvl w:val="0"/>
          <w:numId w:val="5"/>
        </w:numPr>
        <w:rPr>
          <w:rFonts w:ascii="Arial" w:cs="Arial" w:eastAsia="Arial" w:hAnsi="Arial"/>
          <w:sz w:val="18"/>
          <w:szCs w:val="18"/>
          <w:color w:val="auto"/>
        </w:rPr>
      </w:pPr>
      <w:r>
        <w:rPr>
          <w:rFonts w:ascii="Arial" w:cs="Arial" w:eastAsia="Arial" w:hAnsi="Arial"/>
          <w:sz w:val="18"/>
          <w:szCs w:val="18"/>
          <w:color w:val="auto"/>
        </w:rPr>
        <w:t>Neither the Commission nor, to the Company’s knowledge, any state regulatory authority has issued any order or, to the Company’s knowledge, threatened to issue any order preventing or suspending the effectiveness of the Registration Statement or the use of any Preliminary Prospectus, the Prospectus or any part thereof, or has instituted or, to the Company’s knowledge, threatened to institute any proceedings with respect to such an order.</w:t>
      </w:r>
    </w:p>
    <w:p>
      <w:pPr>
        <w:spacing w:after="0" w:line="186" w:lineRule="exact"/>
        <w:rPr>
          <w:rFonts w:ascii="Arial" w:cs="Arial" w:eastAsia="Arial" w:hAnsi="Arial"/>
          <w:sz w:val="18"/>
          <w:szCs w:val="18"/>
          <w:color w:val="auto"/>
        </w:rPr>
      </w:pPr>
    </w:p>
    <w:p>
      <w:pPr>
        <w:ind w:left="-460" w:right="20" w:firstLine="644"/>
        <w:spacing w:after="0" w:line="277" w:lineRule="auto"/>
        <w:tabs>
          <w:tab w:leader="none" w:pos="422" w:val="left"/>
        </w:tabs>
        <w:numPr>
          <w:ilvl w:val="0"/>
          <w:numId w:val="5"/>
        </w:numPr>
        <w:rPr>
          <w:rFonts w:ascii="Arial" w:cs="Arial" w:eastAsia="Arial" w:hAnsi="Arial"/>
          <w:sz w:val="18"/>
          <w:szCs w:val="18"/>
          <w:color w:val="auto"/>
        </w:rPr>
      </w:pPr>
      <w:r>
        <w:rPr>
          <w:rFonts w:ascii="Arial" w:cs="Arial" w:eastAsia="Arial" w:hAnsi="Arial"/>
          <w:sz w:val="18"/>
          <w:szCs w:val="18"/>
          <w:color w:val="auto"/>
        </w:rPr>
        <w:t>(i) At the time of filing the Registration Statement and (ii) as of the Execution Time (with such date being used as the determination date for purposes of this clause (ii)), the Company was and is an Ineligible Issuer (as defined in Rule 405).</w:t>
      </w:r>
    </w:p>
    <w:p>
      <w:pPr>
        <w:spacing w:after="0" w:line="170" w:lineRule="exact"/>
        <w:rPr>
          <w:rFonts w:ascii="Arial" w:cs="Arial" w:eastAsia="Arial" w:hAnsi="Arial"/>
          <w:sz w:val="18"/>
          <w:szCs w:val="18"/>
          <w:color w:val="auto"/>
        </w:rPr>
      </w:pPr>
    </w:p>
    <w:p>
      <w:pPr>
        <w:ind w:left="440" w:hanging="25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not prepared or used a Free Writing Prospectus.</w:t>
      </w:r>
    </w:p>
    <w:p>
      <w:pPr>
        <w:spacing w:after="0" w:line="200" w:lineRule="exact"/>
        <w:rPr>
          <w:sz w:val="20"/>
          <w:szCs w:val="20"/>
          <w:color w:val="auto"/>
        </w:rPr>
      </w:pPr>
    </w:p>
    <w:p>
      <w:pPr>
        <w:spacing w:after="0" w:line="23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 w:name="page9"/>
    <w:bookmarkEnd w:id="8"/>
    <w:p>
      <w:pPr>
        <w:jc w:val="both"/>
        <w:ind w:firstLine="644"/>
        <w:spacing w:after="0" w:line="272" w:lineRule="auto"/>
        <w:tabs>
          <w:tab w:leader="none" w:pos="917"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has been duly incorporated and is validly existing as an exempted company in good standing under the laws of the Cayman Islands with full corporate power and authority to own or lease, as the case may be, and to operate its properties and conduct its business as described in the Statutory Prospectus and the Prospectus, and to enter into this Agreement, the Trust Agreement, the Warrant Agreement, the Founder’s Purchase Agreement, the Warrant Subscription Agreement, the Registration Rights Agreement, the Insider Letters and the Services Agreement and to carry out the transactions contemplated hereby and thereby, and, except where the failure to so qualify would not reasonably be expected to have a material adverse effect on the Company, is duly qualified to do business as a foreign corporation and is in good standing under the laws of each jurisdiction that requires such qualification.</w:t>
      </w:r>
    </w:p>
    <w:p>
      <w:pPr>
        <w:spacing w:after="0" w:line="177" w:lineRule="exact"/>
        <w:rPr>
          <w:rFonts w:ascii="Arial" w:cs="Arial" w:eastAsia="Arial" w:hAnsi="Arial"/>
          <w:sz w:val="17"/>
          <w:szCs w:val="17"/>
          <w:color w:val="auto"/>
        </w:rPr>
      </w:pPr>
    </w:p>
    <w:p>
      <w:pPr>
        <w:jc w:val="both"/>
        <w:ind w:firstLine="644"/>
        <w:spacing w:after="0" w:line="270" w:lineRule="auto"/>
        <w:tabs>
          <w:tab w:leader="none" w:pos="87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agreements and documents described in the Statutory Prospectus, the Registration Statement and the Prospectus conform in all material respects to the descriptions thereof contained therein. There is no franchise, contract or other document of a character required to be described in the Registration Statement or Prospectus, or to be filed as an exhibit thereto, which is not described or filed as required (and the Statutory Prospectus contains in all material respects the same description of the foregoing matters contained in the Prospectus); and the statements in the Statutory Prospectus and the Prospectus under the headings “Principal Shareholders,” “Certain Relationships and Related Party Transactions,” and “Description of Securities” insofar as such statements summarize legal matters, agreements, documents or proceedings discussed therein, are in all material respects accurate and fair summaries of such legal matters, agreements, documents or proceedings. There are no business relationships or related party transactions involving the Company or any other person required by the Act to be described in the Registration Statement or Prospectus that have not been described as required.</w:t>
      </w:r>
    </w:p>
    <w:p>
      <w:pPr>
        <w:spacing w:after="0" w:line="180" w:lineRule="exact"/>
        <w:rPr>
          <w:rFonts w:ascii="Arial" w:cs="Arial" w:eastAsia="Arial" w:hAnsi="Arial"/>
          <w:sz w:val="17"/>
          <w:szCs w:val="17"/>
          <w:color w:val="auto"/>
        </w:rPr>
      </w:pPr>
    </w:p>
    <w:p>
      <w:pPr>
        <w:ind w:left="900" w:hanging="256"/>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Company’s authorized equity capitalization is as set forth in the Statutory Prospectus, the Registration Statement and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Prospectus.</w:t>
      </w:r>
    </w:p>
    <w:p>
      <w:pPr>
        <w:spacing w:after="0" w:line="210" w:lineRule="exact"/>
        <w:rPr>
          <w:rFonts w:ascii="Arial" w:cs="Arial" w:eastAsia="Arial" w:hAnsi="Arial"/>
          <w:sz w:val="17"/>
          <w:szCs w:val="17"/>
          <w:color w:val="auto"/>
        </w:rPr>
      </w:pPr>
    </w:p>
    <w:p>
      <w:pPr>
        <w:jc w:val="both"/>
        <w:ind w:firstLine="644"/>
        <w:spacing w:after="0" w:line="289" w:lineRule="auto"/>
        <w:tabs>
          <w:tab w:leader="none" w:pos="923"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issued and outstanding securities of the Company have been duly and validly authorized and issued and are fully paid and nonassessable; and none of such securities were issued in violation of the preemptive rights of any holders of any security of the Company or similar contractual rights granted by the Company. The offers and sales of the outstanding Ordinary Shares and warrants were at all relevant times either registered under the Act, the applicable state securities and blue sky laws or, based in part on the representations and warranties of the purchasers of such Ordinary Shares and warrants, exempt from such registration requirements. The holders of outstanding securities of the Company are not entitled to preemptive or other rights to subscribe for the Securities arising by operation of law or under the Amended and Restated Memorandum and Articles of Association of the Company (the “Charter”); and, except as set forth in the Registration Statement, the Statutory Prospectus and the Prospectus, no options, warrants or other rights to purchase, agreements or other obligations to issue, or rights to convert any obligations into or exchange any securities for, shares or ownership interests in the Company are outstanding.</w:t>
      </w:r>
    </w:p>
    <w:p>
      <w:pPr>
        <w:spacing w:after="0" w:line="166" w:lineRule="exact"/>
        <w:rPr>
          <w:rFonts w:ascii="Arial" w:cs="Arial" w:eastAsia="Arial" w:hAnsi="Arial"/>
          <w:sz w:val="16"/>
          <w:szCs w:val="16"/>
          <w:color w:val="auto"/>
        </w:rPr>
      </w:pPr>
    </w:p>
    <w:p>
      <w:pPr>
        <w:ind w:right="20" w:firstLine="644"/>
        <w:spacing w:after="0" w:line="277"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Securities have been duly authorized and when issued and delivered against payment therefor by the Underwriters pursuant to this Agreement, will be validly issued.</w:t>
      </w:r>
    </w:p>
    <w:p>
      <w:pPr>
        <w:spacing w:after="0" w:line="170" w:lineRule="exact"/>
        <w:rPr>
          <w:rFonts w:ascii="Arial" w:cs="Arial" w:eastAsia="Arial" w:hAnsi="Arial"/>
          <w:sz w:val="18"/>
          <w:szCs w:val="18"/>
          <w:color w:val="auto"/>
        </w:rPr>
      </w:pPr>
    </w:p>
    <w:p>
      <w:pPr>
        <w:ind w:firstLine="64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Ordinary Shares included in the Units have been duly authorized and, when issued and delivered against payment for the Securities by the Underwriters pursuant to this Agreement, will be validly issued, fully paid and non-assessable.</w:t>
      </w:r>
    </w:p>
    <w:p>
      <w:pPr>
        <w:spacing w:after="0" w:line="170" w:lineRule="exact"/>
        <w:rPr>
          <w:rFonts w:ascii="Arial" w:cs="Arial" w:eastAsia="Arial" w:hAnsi="Arial"/>
          <w:sz w:val="18"/>
          <w:szCs w:val="18"/>
          <w:color w:val="auto"/>
        </w:rPr>
      </w:pPr>
    </w:p>
    <w:p>
      <w:pPr>
        <w:jc w:val="both"/>
        <w:ind w:firstLine="644"/>
        <w:spacing w:after="0" w:line="257" w:lineRule="auto"/>
        <w:tabs>
          <w:tab w:leader="none" w:pos="90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Warrants included in the Units, when issued and delivered in the manner set forth in the Warrant Agreement against payment for the Securities by the Underwriters pursuant to this Agreement, will be duly issued and delivered,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87" w:lineRule="exact"/>
        <w:rPr>
          <w:rFonts w:ascii="Arial" w:cs="Arial" w:eastAsia="Arial" w:hAnsi="Arial"/>
          <w:sz w:val="18"/>
          <w:szCs w:val="18"/>
          <w:color w:val="auto"/>
        </w:rPr>
      </w:pPr>
    </w:p>
    <w:p>
      <w:pPr>
        <w:jc w:val="both"/>
        <w:ind w:firstLine="644"/>
        <w:spacing w:after="0" w:line="272" w:lineRule="auto"/>
        <w:tabs>
          <w:tab w:leader="none" w:pos="903"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Ordinary Shares issuable upon exercise of the Warrants included in the Units and the Private Placement Warrants have been duly authorized and reserved for issuance upon exercise thereof and, when issued and delivered against payment therefor pursuant to the Warrants and the Private Placement Warrants, as applicable, and the Warrant Agreement, will be validly issued, fully paid and non-assessable. The holders of such Ordinary Shares are not and will not be subject to personal liability by reason of being such holders; such Ordinary Shares are not and will not be subject to any preemptive or other similar contractual rights granted by the Company; and all corporate action required to be taken for the authorization, issuance and sale of such Ordinary Shares (other than such execution (if applicable), countersignature (if applicable) and delivery at the time of issuance) has been duly and validly taken.</w:t>
      </w:r>
    </w:p>
    <w:p>
      <w:pPr>
        <w:spacing w:after="0" w:line="177" w:lineRule="exact"/>
        <w:rPr>
          <w:rFonts w:ascii="Arial" w:cs="Arial" w:eastAsia="Arial" w:hAnsi="Arial"/>
          <w:sz w:val="17"/>
          <w:szCs w:val="17"/>
          <w:color w:val="auto"/>
        </w:rPr>
      </w:pPr>
    </w:p>
    <w:p>
      <w:pPr>
        <w:jc w:val="both"/>
        <w:ind w:firstLine="644"/>
        <w:spacing w:after="0" w:line="311" w:lineRule="auto"/>
        <w:tabs>
          <w:tab w:leader="none" w:pos="924"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the Statutory Prospectus and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148" w:lineRule="exact"/>
        <w:rPr>
          <w:rFonts w:ascii="Arial" w:cs="Arial" w:eastAsia="Arial" w:hAnsi="Arial"/>
          <w:sz w:val="16"/>
          <w:szCs w:val="16"/>
          <w:color w:val="auto"/>
        </w:rPr>
      </w:pPr>
    </w:p>
    <w:p>
      <w:pPr>
        <w:jc w:val="both"/>
        <w:ind w:firstLine="644"/>
        <w:spacing w:after="0" w:line="263" w:lineRule="auto"/>
        <w:tabs>
          <w:tab w:leader="none" w:pos="921"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securities of the Company have been sold by the Company or by or on behalf of, or for the benefit of, any person or persons controlling, controlled by, or under common control with the Company from its inception through and including the date hereof, except as disclosed in the Registration Statement, the Statutory Prospectus and the Prospectus.</w:t>
      </w:r>
    </w:p>
    <w:p>
      <w:pPr>
        <w:spacing w:after="0" w:line="183" w:lineRule="exact"/>
        <w:rPr>
          <w:rFonts w:ascii="Arial" w:cs="Arial" w:eastAsia="Arial" w:hAnsi="Arial"/>
          <w:sz w:val="18"/>
          <w:szCs w:val="18"/>
          <w:color w:val="auto"/>
        </w:rPr>
      </w:pPr>
    </w:p>
    <w:p>
      <w:pPr>
        <w:ind w:firstLine="644"/>
        <w:spacing w:after="0" w:line="308" w:lineRule="auto"/>
        <w:tabs>
          <w:tab w:leader="none" w:pos="878" w:val="left"/>
        </w:tabs>
        <w:numPr>
          <w:ilvl w:val="0"/>
          <w:numId w:val="6"/>
        </w:numPr>
        <w:rPr>
          <w:rFonts w:ascii="Arial" w:cs="Arial" w:eastAsia="Arial" w:hAnsi="Arial"/>
          <w:sz w:val="17"/>
          <w:szCs w:val="17"/>
          <w:color w:val="auto"/>
        </w:rPr>
      </w:pPr>
      <w:r>
        <w:rPr>
          <w:rFonts w:ascii="Arial" w:cs="Arial" w:eastAsia="Arial" w:hAnsi="Arial"/>
          <w:sz w:val="17"/>
          <w:szCs w:val="17"/>
          <w:color w:val="auto"/>
        </w:rPr>
        <w:t>Neither the Company nor any of its affiliates has, prior to the date hereof, made any offer or sale of any securities that are required to be “integrated” pursuant to the Act with the offer and sale of the Underwritten Securities pursuant to the Registration Statement.</w:t>
      </w:r>
    </w:p>
    <w:p>
      <w:pPr>
        <w:spacing w:after="0" w:line="146" w:lineRule="exact"/>
        <w:rPr>
          <w:rFonts w:ascii="Arial" w:cs="Arial" w:eastAsia="Arial" w:hAnsi="Arial"/>
          <w:sz w:val="17"/>
          <w:szCs w:val="17"/>
          <w:color w:val="auto"/>
        </w:rPr>
      </w:pPr>
    </w:p>
    <w:p>
      <w:pPr>
        <w:ind w:left="880" w:hanging="236"/>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Founder Shares are duly authorized, validly issued, fully paid and non-assessable.</w:t>
      </w:r>
    </w:p>
    <w:p>
      <w:pPr>
        <w:spacing w:after="0" w:line="200" w:lineRule="exact"/>
        <w:rPr>
          <w:sz w:val="20"/>
          <w:szCs w:val="20"/>
          <w:color w:val="auto"/>
        </w:rPr>
      </w:pPr>
    </w:p>
    <w:p>
      <w:pPr>
        <w:spacing w:after="0" w:line="23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079" w:gutter="0" w:footer="0" w:header="0"/>
        </w:sectPr>
      </w:pPr>
    </w:p>
    <w:bookmarkStart w:id="9" w:name="page10"/>
    <w:bookmarkEnd w:id="9"/>
    <w:p>
      <w:pPr>
        <w:jc w:val="both"/>
        <w:ind w:left="-460" w:firstLine="644"/>
        <w:spacing w:after="0" w:line="259" w:lineRule="auto"/>
        <w:tabs>
          <w:tab w:leader="none" w:pos="40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Private Placement Warrants, when delivered upon the consummation of the Offering, will be duly issued,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460" w:firstLine="644"/>
        <w:spacing w:after="0" w:line="286" w:lineRule="auto"/>
        <w:tabs>
          <w:tab w:leader="none" w:pos="46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65" w:lineRule="exact"/>
        <w:rPr>
          <w:rFonts w:ascii="Arial" w:cs="Arial" w:eastAsia="Arial" w:hAnsi="Arial"/>
          <w:sz w:val="17"/>
          <w:szCs w:val="17"/>
          <w:color w:val="auto"/>
        </w:rPr>
      </w:pPr>
    </w:p>
    <w:p>
      <w:pPr>
        <w:jc w:val="both"/>
        <w:ind w:left="-460" w:firstLine="644"/>
        <w:spacing w:after="0" w:line="259" w:lineRule="auto"/>
        <w:tabs>
          <w:tab w:leader="none" w:pos="46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 Agreement, when executed, will be duly authorized, executed and delivered by the Company, and will be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Warrant Agreement, when executed, will be duly authorized, executed and delivered by the Company and will be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44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Founder’s Purchase Agreement has been duly authorized, executed and delivered by the Company and the 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45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Warrant Subscription Agreement has been duly authorized, executed and delivered by the Company and the 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44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Services Agreement, when executed, will be duly authorized, executed and delivered by the Company and will be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39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 w:name="page11"/>
    <w:bookmarkEnd w:id="10"/>
    <w:p>
      <w:pPr>
        <w:jc w:val="both"/>
        <w:ind w:left="4" w:firstLine="644"/>
        <w:spacing w:after="0" w:line="259" w:lineRule="auto"/>
        <w:tabs>
          <w:tab w:leader="none" w:pos="982"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Registration Rights Agreement, when executed, will be duly authorized, executed and delivered by the Company and will be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4" w:firstLine="644"/>
        <w:spacing w:after="0" w:line="272" w:lineRule="auto"/>
        <w:tabs>
          <w:tab w:leader="none" w:pos="1000" w:val="left"/>
        </w:tabs>
        <w:numPr>
          <w:ilvl w:val="1"/>
          <w:numId w:val="8"/>
        </w:numPr>
        <w:rPr>
          <w:rFonts w:ascii="Arial" w:cs="Arial" w:eastAsia="Arial" w:hAnsi="Arial"/>
          <w:sz w:val="17"/>
          <w:szCs w:val="17"/>
          <w:color w:val="auto"/>
        </w:rPr>
      </w:pPr>
      <w:r>
        <w:rPr>
          <w:rFonts w:ascii="Arial" w:cs="Arial" w:eastAsia="Arial" w:hAnsi="Arial"/>
          <w:sz w:val="17"/>
          <w:szCs w:val="17"/>
          <w:color w:val="auto"/>
        </w:rPr>
        <w:t>Each of the Insider Letters to be executed by the Company, the Sponsor and each executive officer, director and director nominee of the Company, when executed, will be duly authorized, executed and delivered by the Company, the Sponsor, and, to the Company’s knowledge, each such executive officer, director and director nominee, respectively, and will be a valid and binding agreement of the Company, the Sponsor and, to the Company’s knowledge, each such executive officer, director and director nominee, respectively, enforceable against the Company, the Sponsor and, to the Company’s knowledge, each such executive officer director and director nominee, respectively,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7" w:lineRule="exact"/>
        <w:rPr>
          <w:rFonts w:ascii="Arial" w:cs="Arial" w:eastAsia="Arial" w:hAnsi="Arial"/>
          <w:sz w:val="17"/>
          <w:szCs w:val="17"/>
          <w:color w:val="auto"/>
        </w:rPr>
      </w:pPr>
    </w:p>
    <w:p>
      <w:pPr>
        <w:jc w:val="both"/>
        <w:ind w:left="4" w:firstLine="644"/>
        <w:spacing w:after="0" w:line="263" w:lineRule="auto"/>
        <w:tabs>
          <w:tab w:leader="none" w:pos="983"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as described in the Registration Statement, the Statutory Prospectus and the Prospectus, will not be an “investment company” as defined in the Investment Company Act of 1940, as amended.</w:t>
      </w:r>
    </w:p>
    <w:p>
      <w:pPr>
        <w:spacing w:after="0" w:line="183" w:lineRule="exact"/>
        <w:rPr>
          <w:rFonts w:ascii="Arial" w:cs="Arial" w:eastAsia="Arial" w:hAnsi="Arial"/>
          <w:sz w:val="18"/>
          <w:szCs w:val="18"/>
          <w:color w:val="auto"/>
        </w:rPr>
      </w:pPr>
    </w:p>
    <w:p>
      <w:pPr>
        <w:jc w:val="both"/>
        <w:ind w:left="4" w:firstLine="644"/>
        <w:spacing w:after="0" w:line="255" w:lineRule="auto"/>
        <w:tabs>
          <w:tab w:leader="none" w:pos="999" w:val="left"/>
        </w:tabs>
        <w:numPr>
          <w:ilvl w:val="1"/>
          <w:numId w:val="8"/>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court or governmental agency or body is required in connection with the transactions contemplated herein or in the Trust Agreement, the Warrant Agreement, the Founder’s Purchase Agreement, the Warrant Subscription Agreement, the Services Agreement, the Registration Rights Agreement or the Insider Letters, except for the registration under the Act and the Exchange Act of the Securities and such as may be required under state securities or blue sky laws of any jurisdiction in connection with the purchase and distribution of the Securities by the Underwriters in the manner contemplated herein and in the Registration Statement, the Statutory Prospectus and the Prospectus.</w:t>
      </w:r>
    </w:p>
    <w:p>
      <w:pPr>
        <w:spacing w:after="0" w:line="192" w:lineRule="exact"/>
        <w:rPr>
          <w:rFonts w:ascii="Arial" w:cs="Arial" w:eastAsia="Arial" w:hAnsi="Arial"/>
          <w:sz w:val="18"/>
          <w:szCs w:val="18"/>
          <w:color w:val="auto"/>
        </w:rPr>
      </w:pPr>
    </w:p>
    <w:p>
      <w:pPr>
        <w:jc w:val="both"/>
        <w:ind w:left="4" w:firstLine="644"/>
        <w:spacing w:after="0" w:line="286" w:lineRule="auto"/>
        <w:tabs>
          <w:tab w:leader="none" w:pos="1001"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Company is not in violation or default of (i) any provision of the Charter, (ii) the terms of any indenture, contract, lease, mortgage, deed of trust, note agreement, loan agreement or other agreement, obligation, condition, covenant or instrument to which it is a party or bound or to which its property is subject, or (iii) any (x) statute, law, rule, regulation, or (y) judgment, order or decree of any court, regulatory body, administrative agency, governmental body, arbitrator or other authority having jurisdiction over the Company; except in the case of clauses</w:t>
      </w:r>
    </w:p>
    <w:p>
      <w:pPr>
        <w:spacing w:after="0" w:line="1" w:lineRule="exact"/>
        <w:rPr>
          <w:rFonts w:ascii="Arial" w:cs="Arial" w:eastAsia="Arial" w:hAnsi="Arial"/>
          <w:sz w:val="16"/>
          <w:szCs w:val="16"/>
          <w:color w:val="auto"/>
        </w:rPr>
      </w:pPr>
    </w:p>
    <w:p>
      <w:pPr>
        <w:jc w:val="both"/>
        <w:ind w:left="4" w:hanging="4"/>
        <w:spacing w:after="0" w:line="255" w:lineRule="auto"/>
        <w:tabs>
          <w:tab w:leader="none" w:pos="28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and (iii) above for any such conflict, breach or violation that would not, individually or in the aggregate, be reasonably expected to have a material adverse effect on the condition (financial or otherwise), prospects, earnings, business or properties of the Company, taken as a whole, whether or not arising from transactions in the ordinary course of business (a “Material Adverse Effect”).</w:t>
      </w:r>
    </w:p>
    <w:p>
      <w:pPr>
        <w:spacing w:after="0" w:line="399"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1" w:name="page12"/>
    <w:bookmarkEnd w:id="11"/>
    <w:p>
      <w:pPr>
        <w:jc w:val="both"/>
        <w:ind w:left="-460" w:firstLine="644"/>
        <w:spacing w:after="0" w:line="269" w:lineRule="auto"/>
        <w:tabs>
          <w:tab w:leader="none" w:pos="498"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Neither the issue and sale of the Securities nor the consummation of any other of the transactions herein contemplated nor the fulfillment of the terms hereof or of the Trust Agreement, the Warrant Agreement, the Founder’s Purchase Agreement, the Warrant Subscription Agreement, the Services Agreement, the Registration Rights Agreement, or the Insider Letters will conflict with, result in a breach or violation of, or imposition of any lien, charge or encumbrance upon any property or assets of the Company pursuant to, (i) the Charter, (ii) the terms of any indenture, contract, lease, mortgage, deed of trust, note agreement, loan agreement or other agreement, obligation, condition, covenant or instrument to which the Company is a party or bound or to which the Company’s property is subject, or (iii) any statute, law, rule, or regulation, judgment, order or decree applicable to the Company of any court, regulatory body, administrative agency, governmental body, arbitrator or other authority having jurisdiction over the Company or any of its respective properties; except in the case of clause (iii) above for any such conflict, breach or violation that would not, individually or in the aggregate, be reasonably expected to have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conflict, breach or violation would also not materially adversely affect the ability of the Underwriters to consummate the transactions contemplated by this Agreement.</w:t>
      </w:r>
    </w:p>
    <w:p>
      <w:pPr>
        <w:spacing w:after="0" w:line="181" w:lineRule="exact"/>
        <w:rPr>
          <w:rFonts w:ascii="Arial" w:cs="Arial" w:eastAsia="Arial" w:hAnsi="Arial"/>
          <w:sz w:val="17"/>
          <w:szCs w:val="17"/>
          <w:color w:val="auto"/>
        </w:rPr>
      </w:pPr>
    </w:p>
    <w:p>
      <w:pPr>
        <w:ind w:left="-460" w:firstLine="644"/>
        <w:spacing w:after="0" w:line="277" w:lineRule="auto"/>
        <w:tabs>
          <w:tab w:leader="none" w:pos="5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holders of securities of the Company have rights to the registration of such securities under the Registration Statement, except as filed as an exhibit to the Registration Statement.</w:t>
      </w:r>
    </w:p>
    <w:p>
      <w:pPr>
        <w:spacing w:after="0" w:line="170" w:lineRule="exact"/>
        <w:rPr>
          <w:rFonts w:ascii="Arial" w:cs="Arial" w:eastAsia="Arial" w:hAnsi="Arial"/>
          <w:sz w:val="18"/>
          <w:szCs w:val="18"/>
          <w:color w:val="auto"/>
        </w:rPr>
      </w:pPr>
    </w:p>
    <w:p>
      <w:pPr>
        <w:jc w:val="both"/>
        <w:ind w:left="-460" w:firstLine="644"/>
        <w:spacing w:after="0" w:line="286" w:lineRule="auto"/>
        <w:tabs>
          <w:tab w:leader="none" w:pos="5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historical financial statements, including the notes thereto and the supporting schedules, if any, of the Company included in the Statutory Prospectus, the Prospectus and the Registration Statement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applied on a consistent basis throughout the periods involved (except as otherwise noted therein). The summary financial data set forth under the caption “Summary Financial Data” in the Statutory Prospectus, Prospectus and Registration Statement fairly present, on the basis stated in the Statutory Prospectus, Prospectus and Registration Statement, the information included therein. There are no pro forma or as adjusted financial statements that are required to be included in the Statutory Prospectus, the Prospectus and the Registration Statement in accordance with Regulation S-X that have not been included as so required. The Company is not party to any off-balance sheet transactions, arrangements, obligations (including contingent obligations), or other relationships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The statistical, industry-related and market-related data included in the Registration Statement, the Statutory Prospectus and the Prospectus are based on or derived from sources that the Company reasonably and in good faith believes are reliable and accurate, and such data agree with the sources from which they are derived.</w:t>
      </w:r>
    </w:p>
    <w:p>
      <w:pPr>
        <w:spacing w:after="0" w:line="37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 w:name="page13"/>
    <w:bookmarkEnd w:id="12"/>
    <w:p>
      <w:pPr>
        <w:jc w:val="both"/>
        <w:ind w:left="-460" w:firstLine="644"/>
        <w:spacing w:after="0" w:line="273" w:lineRule="auto"/>
        <w:tabs>
          <w:tab w:leader="none" w:pos="482"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action, suit or proceeding by or before any court or governmental agency, authority or body or any arbitrator involving the Company or the Sponsor, or, to the Company’s knowledge, any officer, director or director nominee of the Company (in their capacities as such), or the property of any of them is pending or, to the knowledge of the Company, threatened that (i) could reasonably be expected to have a material adverse effect on the performance of this Agreement or the consummation of any of the transactions contemplated hereby by the Company or (ii) could reasonably be expected to have a Material Adverse Effect, except as set forth in or contemplated in the Registration Statement, the Statutory Prospectus and the Prospectus (exclusive of any supplement thereto).</w:t>
      </w:r>
    </w:p>
    <w:p>
      <w:pPr>
        <w:spacing w:after="0" w:line="177" w:lineRule="exact"/>
        <w:rPr>
          <w:rFonts w:ascii="Arial" w:cs="Arial" w:eastAsia="Arial" w:hAnsi="Arial"/>
          <w:sz w:val="17"/>
          <w:szCs w:val="17"/>
          <w:color w:val="auto"/>
        </w:rPr>
      </w:pPr>
    </w:p>
    <w:p>
      <w:pPr>
        <w:ind w:left="-460" w:firstLine="644"/>
        <w:spacing w:after="0" w:line="277"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owns or leases all such properties as are necessary to the conduct of its operations as presently conducted, or has such properties available to it pursuant to the Services Agreement.</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5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Marcum LLP (“Marcum”), who have certified certain financial statements of the Company and delivered their report with respect to the audited financial statements and schedules included in the Registration Statement, Statutory Prospectus and the Prospectus, is a registered public accounting firm that is independent with respect to the Company within the meaning of the Act and the Exchange Act and the applicable published rules and regulations thereunder.</w:t>
      </w:r>
    </w:p>
    <w:p>
      <w:pPr>
        <w:spacing w:after="0" w:line="186" w:lineRule="exact"/>
        <w:rPr>
          <w:rFonts w:ascii="Arial" w:cs="Arial" w:eastAsia="Arial" w:hAnsi="Arial"/>
          <w:sz w:val="18"/>
          <w:szCs w:val="18"/>
          <w:color w:val="auto"/>
        </w:rPr>
      </w:pPr>
    </w:p>
    <w:p>
      <w:pPr>
        <w:ind w:left="-460" w:firstLine="644"/>
        <w:spacing w:after="0" w:line="277" w:lineRule="auto"/>
        <w:tabs>
          <w:tab w:leader="none" w:pos="4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maintains effective “disclosure controls and procedures” (as defined under Rule 13a-15(e) under the Exchange Act) to the extent required by such rule.</w:t>
      </w:r>
    </w:p>
    <w:p>
      <w:pPr>
        <w:spacing w:after="0" w:line="170" w:lineRule="exact"/>
        <w:rPr>
          <w:rFonts w:ascii="Arial" w:cs="Arial" w:eastAsia="Arial" w:hAnsi="Arial"/>
          <w:sz w:val="18"/>
          <w:szCs w:val="18"/>
          <w:color w:val="auto"/>
        </w:rPr>
      </w:pPr>
    </w:p>
    <w:p>
      <w:pPr>
        <w:jc w:val="both"/>
        <w:ind w:left="-460" w:firstLine="644"/>
        <w:spacing w:after="0" w:line="279" w:lineRule="auto"/>
        <w:tabs>
          <w:tab w:leader="none" w:pos="677" w:val="left"/>
        </w:tabs>
        <w:numPr>
          <w:ilvl w:val="0"/>
          <w:numId w:val="11"/>
        </w:numPr>
        <w:rPr>
          <w:rFonts w:ascii="Arial" w:cs="Arial" w:eastAsia="Arial" w:hAnsi="Arial"/>
          <w:sz w:val="17"/>
          <w:szCs w:val="17"/>
          <w:color w:val="auto"/>
        </w:rPr>
      </w:pPr>
      <w:r>
        <w:rPr>
          <w:rFonts w:ascii="Arial" w:cs="Arial" w:eastAsia="Arial" w:hAnsi="Arial"/>
          <w:sz w:val="17"/>
          <w:szCs w:val="17"/>
          <w:color w:val="auto"/>
        </w:rPr>
        <w:t>Solely to the extent that the Sarbanes-Oxley Act of 2002, as amended, and the rules and regulations promulgated by the Commission thereunder (the “Sarbanes-Oxley Act”) have been applicable to the Company, there is and has been no failure on the part of the Company to comply with any applicable provision of the Sarbanes-Oxley Act. The Company has taken all necessary actions to ensure that it is in compliance with all provisions of the Sarbanes-Oxley Act that are in effect and with which the Company is required to comply.</w:t>
      </w:r>
    </w:p>
    <w:p>
      <w:pPr>
        <w:spacing w:after="0" w:line="171" w:lineRule="exact"/>
        <w:rPr>
          <w:rFonts w:ascii="Arial" w:cs="Arial" w:eastAsia="Arial" w:hAnsi="Arial"/>
          <w:sz w:val="17"/>
          <w:szCs w:val="17"/>
          <w:color w:val="auto"/>
        </w:rPr>
      </w:pPr>
    </w:p>
    <w:p>
      <w:pPr>
        <w:jc w:val="both"/>
        <w:ind w:left="-460" w:firstLine="644"/>
        <w:spacing w:after="0" w:line="272" w:lineRule="auto"/>
        <w:tabs>
          <w:tab w:leader="none" w:pos="53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There is and has been no failure on the part of the Company or, to the knowledge of the Company, any of the Company’s officers or directors, in their capacities as such, to comply with (as and when applicable), and immediately following the Effective Date the Company will be in compliance with, the requirements of Section 303A of the New York Stock Exchange Listed Company Manual (taking into account any applicable phase-in requirements). Further, there is and has been no failure on the part of the Company or, to the knowledge of the Company, any of the Company’s officers or directors, in their capacities as such, to comply with (as and when applicable), and immediately following the Effective Date the Company will be in compliance with, the phase-in requirements and all other provisions of the New York Stock Exchange corporate governance requirements set forth in the New York Stock Exchange’s Listing Standards.</w:t>
      </w:r>
    </w:p>
    <w:p>
      <w:pPr>
        <w:spacing w:after="0" w:line="38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 w:name="page14"/>
    <w:bookmarkEnd w:id="13"/>
    <w:p>
      <w:pPr>
        <w:jc w:val="both"/>
        <w:ind w:left="-460" w:firstLine="644"/>
        <w:spacing w:after="0" w:line="263" w:lineRule="auto"/>
        <w:tabs>
          <w:tab w:leader="none" w:pos="5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no transfer, stamp, issue, registration, documentary taxes or other similar duties, fees or charges under U.S. federal law or the laws of any state, or any political subdivision thereof, or under the laws of any non-U.S. jurisdiction, required to be paid in connection with the execution and delivery of this Agreement or the issuance or sale by the Company of the Securities.</w:t>
      </w:r>
    </w:p>
    <w:p>
      <w:pPr>
        <w:spacing w:after="0" w:line="183" w:lineRule="exact"/>
        <w:rPr>
          <w:rFonts w:ascii="Arial" w:cs="Arial" w:eastAsia="Arial" w:hAnsi="Arial"/>
          <w:sz w:val="18"/>
          <w:szCs w:val="18"/>
          <w:color w:val="auto"/>
        </w:rPr>
      </w:pPr>
    </w:p>
    <w:p>
      <w:pPr>
        <w:jc w:val="both"/>
        <w:ind w:left="-460" w:firstLine="644"/>
        <w:spacing w:after="0" w:line="293" w:lineRule="auto"/>
        <w:tabs>
          <w:tab w:leader="none" w:pos="53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has filed all tax returns (including U.S. federal, state and non-U.S.) that are required to be filed by it or has requested extensions thereof (except in any case in which the failure so to file would not have a Material Adverse Effect) through the date hereof and has paid all taxes required to be paid by it and any other assessment, fine or penalty levied against it, to the extent that any of the foregoing is due and payable, except for any such assessment, fine or penalty that is currently being contested in good faith and for which adequate reserves required by generally accepted accounting principles have been created with respect thereto or as would not have a Material Adverse Effect, except as set forth in or contemplated in the Registration Statement, Statutory Prospectus and the Prospectus (exclusive of any supplement thereto).</w:t>
      </w:r>
    </w:p>
    <w:p>
      <w:pPr>
        <w:spacing w:after="0" w:line="164" w:lineRule="exact"/>
        <w:rPr>
          <w:rFonts w:ascii="Arial" w:cs="Arial" w:eastAsia="Arial" w:hAnsi="Arial"/>
          <w:sz w:val="16"/>
          <w:szCs w:val="16"/>
          <w:color w:val="auto"/>
        </w:rPr>
      </w:pPr>
    </w:p>
    <w:p>
      <w:pPr>
        <w:jc w:val="both"/>
        <w:ind w:left="-460" w:firstLine="644"/>
        <w:spacing w:after="0" w:line="257" w:lineRule="auto"/>
        <w:tabs>
          <w:tab w:leader="none" w:pos="5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possesses all licenses, certificates, permits and other authorizations issued by the appropriate federal, state or foreign regulatory authorities necessary to conduct its business, and the Company has not received any notice of proceedings relating to the revocation or modification of any such license, certificate, authorization or permit that, singly or in the aggregate, if the subject of an unfavorable decision, ruling or finding, would have a Material Adverse Effect, except as set forth in or contemplated in the Registration Statement, the Statutory Prospectus and the Prospectus (exclusive of any supplement thereto).</w:t>
      </w:r>
    </w:p>
    <w:p>
      <w:pPr>
        <w:spacing w:after="0" w:line="187" w:lineRule="exact"/>
        <w:rPr>
          <w:rFonts w:ascii="Arial" w:cs="Arial" w:eastAsia="Arial" w:hAnsi="Arial"/>
          <w:sz w:val="18"/>
          <w:szCs w:val="18"/>
          <w:color w:val="auto"/>
        </w:rPr>
      </w:pPr>
    </w:p>
    <w:p>
      <w:pPr>
        <w:jc w:val="both"/>
        <w:ind w:left="-460" w:firstLine="644"/>
        <w:spacing w:after="0" w:line="268" w:lineRule="auto"/>
        <w:tabs>
          <w:tab w:leader="none" w:pos="477"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None of the Company, the Sponsor, or, to the knowledge of the Company, any director, director nominee, officer, agent, employee or affiliate of the Company (i) has used any corporate funds for any unlawful contribution, gift, entertainment or other unlawful expense relating to political activity; (ii) has made any direct or indirect unlawful contribution or payment to any official of, or candidate for, or any employee of, any federal, state or foreign office from corporate funds; (iii) has made any bribe, unlawful rebate, payoff, influence payment, kickback or other unlawful payment; or (iv) is aware of or has taken any action, directly or indirectly, that would result in a violation by the Company or, to the knowledge of the Company, such other persons, of the OECD Convention on Bribery of Foreign Public Officials in International Business Transactions, the Foreign Corrupt Practices Act of 1977, as amended, and the rules and regulations thereunder (collectively,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the Sponsor and, to the knowledge of the Company, its directors, director nominees, officers, agents, employees and affiliates have conducted the businesses of the Company in compliance with the FCPA and the Company and the Sponsor have instituted and maintain policies and procedures designed to ensure, and that are reasonably expected to continue to ensure, continued compliance therewith.</w:t>
      </w:r>
    </w:p>
    <w:p>
      <w:pPr>
        <w:spacing w:after="0" w:line="39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 w:name="page15"/>
    <w:bookmarkEnd w:id="14"/>
    <w:p>
      <w:pPr>
        <w:jc w:val="both"/>
        <w:ind w:left="-460" w:firstLine="644"/>
        <w:spacing w:after="0" w:line="255" w:lineRule="auto"/>
        <w:tabs>
          <w:tab w:leader="none" w:pos="4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operations of the Company are and have been conducted at all times in compliance with applicable financial recordkeeping and reporting requirements of the Currency and Foreign Transactions Reporting Act of 1970, as amended, the applicable money laundering statutes and the applicable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with respect to the Money Laundering Laws is pending or, to the knowledge of the Company, threatened.</w:t>
      </w:r>
    </w:p>
    <w:p>
      <w:pPr>
        <w:spacing w:after="0" w:line="192" w:lineRule="exact"/>
        <w:rPr>
          <w:rFonts w:ascii="Arial" w:cs="Arial" w:eastAsia="Arial" w:hAnsi="Arial"/>
          <w:sz w:val="18"/>
          <w:szCs w:val="18"/>
          <w:color w:val="auto"/>
        </w:rPr>
      </w:pPr>
    </w:p>
    <w:p>
      <w:pPr>
        <w:jc w:val="both"/>
        <w:ind w:left="-460" w:firstLine="644"/>
        <w:spacing w:after="0" w:line="293" w:lineRule="auto"/>
        <w:tabs>
          <w:tab w:leader="none" w:pos="461"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None of the Company, the Sponsor or to the knowledge of the Company, any director, director nominee, officer, agent or affiliate of the Company is currently subject to any sanctions administered by the Office of Foreign Assets Control of the U.S. Treasury Department (“OFAC”) or any similar sanctions imposed by any other body, governmental or other, to which any of such persons is subject (collectively, “other economic sanctions”); and the Company (either directly or through the Trust Account) will not directly or indirectly use the proceeds of the Offering, or lend, contribute or otherwise make available such proceeds to any subsidiary, joint venture partner or other person or entity, for the purpose of financing the activities of any person currently subject to any sanctions administered by OFAC or other economic sanctions.</w:t>
      </w:r>
    </w:p>
    <w:p>
      <w:pPr>
        <w:spacing w:after="0" w:line="164" w:lineRule="exact"/>
        <w:rPr>
          <w:rFonts w:ascii="Arial" w:cs="Arial" w:eastAsia="Arial" w:hAnsi="Arial"/>
          <w:sz w:val="16"/>
          <w:szCs w:val="16"/>
          <w:color w:val="auto"/>
        </w:rPr>
      </w:pPr>
    </w:p>
    <w:p>
      <w:pPr>
        <w:jc w:val="both"/>
        <w:ind w:left="-460" w:firstLine="644"/>
        <w:spacing w:after="0" w:line="259" w:lineRule="auto"/>
        <w:tabs>
          <w:tab w:leader="none" w:pos="5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 of the Company, the Sponsor or to the knowledge of the Company, any officer, director or director nominee of the Company has violated: (a) the Bank Secrecy Act, as amended, (b) the Money Laundering Laws or (c) the Uniting and Strengthening of America by Providing Appropriate Tools Required to Intercept and Obstruct Terrorism (USA PATRIOT ACT) Act of 2001, and/or the rules and regulations promulgated under any such law, or any successor law.</w:t>
      </w:r>
    </w:p>
    <w:p>
      <w:pPr>
        <w:spacing w:after="0" w:line="186" w:lineRule="exact"/>
        <w:rPr>
          <w:rFonts w:ascii="Arial" w:cs="Arial" w:eastAsia="Arial" w:hAnsi="Arial"/>
          <w:sz w:val="18"/>
          <w:szCs w:val="18"/>
          <w:color w:val="auto"/>
        </w:rPr>
      </w:pPr>
    </w:p>
    <w:p>
      <w:pPr>
        <w:jc w:val="both"/>
        <w:ind w:left="-460" w:firstLine="644"/>
        <w:spacing w:after="0" w:line="286" w:lineRule="auto"/>
        <w:tabs>
          <w:tab w:leader="none" w:pos="542"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Statutory Prospectus and the Prospectus, the Company (i) does not have any material lending or other relationship with any bank or lending affiliate of any of the Underwriters and (ii) does not intend to use any of the proceeds from the sale of the Securities hereunder to repay any outstanding debt owed to any affiliate of any of the Underwriters.</w:t>
      </w:r>
    </w:p>
    <w:p>
      <w:pPr>
        <w:spacing w:after="0" w:line="165" w:lineRule="exact"/>
        <w:rPr>
          <w:rFonts w:ascii="Arial" w:cs="Arial" w:eastAsia="Arial" w:hAnsi="Arial"/>
          <w:sz w:val="17"/>
          <w:szCs w:val="17"/>
          <w:color w:val="auto"/>
        </w:rPr>
      </w:pPr>
    </w:p>
    <w:p>
      <w:pPr>
        <w:jc w:val="both"/>
        <w:ind w:left="-460" w:firstLine="644"/>
        <w:spacing w:after="0" w:line="279" w:lineRule="auto"/>
        <w:tabs>
          <w:tab w:leader="none" w:pos="627"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information contained in the questionnaires (the “Questionnaires”) completed by the Sponsor and, to the knowledge of the Company, the Company’s officers, directors and director nominees and provided to the Representative, is true and correct in all material respects and the Company has not become aware of any information that would cause the information disclosed in the Questionnaires completed by the Sponsor, and the Company’s officers, directors and director nominees to become inaccurate and incorrect.</w:t>
      </w:r>
    </w:p>
    <w:p>
      <w:pPr>
        <w:spacing w:after="0" w:line="38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 w:name="page16"/>
    <w:bookmarkEnd w:id="15"/>
    <w:p>
      <w:pPr>
        <w:jc w:val="both"/>
        <w:ind w:left="-460" w:firstLine="644"/>
        <w:spacing w:after="0" w:line="286" w:lineRule="auto"/>
        <w:tabs>
          <w:tab w:leader="none" w:pos="533"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Statutory Prospectus and the Prospectus, prior to the date hereof, the Company has not selected any business combination target and it has not, nor has anyone on its behalf, engaged in any substantive discussions, directly or indirectly, with any business combination target with respect to an initial business combination with the Company.</w:t>
      </w:r>
    </w:p>
    <w:p>
      <w:pPr>
        <w:spacing w:after="0" w:line="165" w:lineRule="exact"/>
        <w:rPr>
          <w:rFonts w:ascii="Arial" w:cs="Arial" w:eastAsia="Arial" w:hAnsi="Arial"/>
          <w:sz w:val="17"/>
          <w:szCs w:val="17"/>
          <w:color w:val="auto"/>
        </w:rPr>
      </w:pPr>
    </w:p>
    <w:p>
      <w:pPr>
        <w:jc w:val="both"/>
        <w:ind w:left="-460" w:firstLine="644"/>
        <w:spacing w:after="0" w:line="255" w:lineRule="auto"/>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Statutory Prospectus and the Prospectus, there are no claims, payments, arrangements, contracts, agreements or understandings relating to the payment of a brokerage commission or finder’s, consulting, origination or similar fee by the Company, the Sponsor or any officer, director or director nominee of the Company with respect to the sale of the Securities hereunder or any other arrangements, agreements or understandings of the Company, the Sponsor or any such officer, director or director nominee, or their respective affiliates, that may affect the Underwriters’ compensation, as determined by the Financial Industry Regulatory Authority (“FINRA”).</w:t>
      </w:r>
    </w:p>
    <w:p>
      <w:pPr>
        <w:spacing w:after="0" w:line="192" w:lineRule="exact"/>
        <w:rPr>
          <w:rFonts w:ascii="Arial" w:cs="Arial" w:eastAsia="Arial" w:hAnsi="Arial"/>
          <w:sz w:val="18"/>
          <w:szCs w:val="18"/>
          <w:color w:val="auto"/>
        </w:rPr>
      </w:pPr>
    </w:p>
    <w:p>
      <w:pPr>
        <w:jc w:val="both"/>
        <w:ind w:left="-460" w:firstLine="644"/>
        <w:spacing w:after="0" w:line="254" w:lineRule="auto"/>
        <w:tabs>
          <w:tab w:leader="none" w:pos="5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Statutory Prospectus and the Prospectus, the Company has not made any direct or indirect payments (in cash, securities or any other “item of value” as defined in Rule 5110(c)(3) of FINRA’s Conduct Rules): (i) to any person, as a finder’s fee, consulting fee or otherwise, in consideration of such person raising capital for the Company or introducing to the Company persons who raised or provided capital to the Company; (ii) to any person that, to the Company’s knowledge, has been accepted by FINRA as a member of FINRA (a “Member”); or (iii) to any person or entity that, to the Company’s knowledge, has any direct or indirect affiliation or association with any Member, within the twelve months prior to the Effective Date, other than payments to the Underwriters pursuant to this Agreement.</w:t>
      </w:r>
    </w:p>
    <w:p>
      <w:pPr>
        <w:spacing w:after="0" w:line="195" w:lineRule="exact"/>
        <w:rPr>
          <w:sz w:val="20"/>
          <w:szCs w:val="20"/>
          <w:color w:val="auto"/>
        </w:rPr>
      </w:pPr>
    </w:p>
    <w:p>
      <w:pPr>
        <w:jc w:val="both"/>
        <w:ind w:left="-460" w:firstLine="644"/>
        <w:spacing w:after="0" w:line="286" w:lineRule="auto"/>
        <w:tabs>
          <w:tab w:leader="none" w:pos="61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Statutory Prospectus and the Prospectus, during the period beginning 180 days prior to the initial filing of the Registration Statement and ending on the Effective Date, no Member and/or any person associated or affiliated with a Member has provided any investment banking, financial advisory and/or consulting services to the Company.</w:t>
      </w:r>
    </w:p>
    <w:p>
      <w:pPr>
        <w:spacing w:after="0" w:line="165" w:lineRule="exact"/>
        <w:rPr>
          <w:rFonts w:ascii="Arial" w:cs="Arial" w:eastAsia="Arial" w:hAnsi="Arial"/>
          <w:sz w:val="17"/>
          <w:szCs w:val="17"/>
          <w:color w:val="auto"/>
        </w:rPr>
      </w:pPr>
    </w:p>
    <w:p>
      <w:pPr>
        <w:jc w:val="both"/>
        <w:ind w:left="-460" w:firstLine="644"/>
        <w:spacing w:after="0" w:line="259" w:lineRule="auto"/>
        <w:tabs>
          <w:tab w:leader="none" w:pos="626"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disclosed in the FINRA questionnaires provided to the Representative, to the Company’s knowledge, no officer, director, or beneficial owner of any class of the Company’s securities (whether debt or equity, registered or unregistered, regardless of the time acquired or the source from which derived) (any such individual or entity, a “Company Affiliate”) is a Member or a person associated or affiliated with a Member.</w:t>
      </w:r>
    </w:p>
    <w:p>
      <w:pPr>
        <w:spacing w:after="0" w:line="186" w:lineRule="exact"/>
        <w:rPr>
          <w:rFonts w:ascii="Arial" w:cs="Arial" w:eastAsia="Arial" w:hAnsi="Arial"/>
          <w:sz w:val="18"/>
          <w:szCs w:val="18"/>
          <w:color w:val="auto"/>
        </w:rPr>
      </w:pPr>
    </w:p>
    <w:p>
      <w:pPr>
        <w:ind w:left="-460" w:firstLine="644"/>
        <w:spacing w:after="0" w:line="277"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disclosed in the FINRA questionnaires provided to the Representative, to the Company’s knowledge, no Company Affiliate is an owner of stock or other securities of any Member (other than securities purchased on the open market).</w:t>
      </w:r>
    </w:p>
    <w:p>
      <w:pPr>
        <w:spacing w:after="0" w:line="170" w:lineRule="exact"/>
        <w:rPr>
          <w:rFonts w:ascii="Arial" w:cs="Arial" w:eastAsia="Arial" w:hAnsi="Arial"/>
          <w:sz w:val="18"/>
          <w:szCs w:val="18"/>
          <w:color w:val="auto"/>
        </w:rPr>
      </w:pPr>
    </w:p>
    <w:p>
      <w:pPr>
        <w:ind w:left="620" w:hanging="436"/>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Company Affiliate has made a subordinated loan to any Member.</w:t>
      </w:r>
    </w:p>
    <w:p>
      <w:pPr>
        <w:spacing w:after="0" w:line="200" w:lineRule="exact"/>
        <w:rPr>
          <w:sz w:val="20"/>
          <w:szCs w:val="20"/>
          <w:color w:val="auto"/>
        </w:rPr>
      </w:pPr>
    </w:p>
    <w:p>
      <w:pPr>
        <w:spacing w:after="0" w:line="23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6" w:name="page17"/>
    <w:bookmarkEnd w:id="16"/>
    <w:p>
      <w:pPr>
        <w:jc w:val="both"/>
        <w:ind w:left="-460" w:firstLine="644"/>
        <w:spacing w:after="0" w:line="263" w:lineRule="auto"/>
        <w:tabs>
          <w:tab w:leader="none" w:pos="609"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Statutory Prospectus and the Prospectus, no proceeds from the sale of the Underwritten Securities (excluding underwriting compensation as disclosed in the Registration Statement, Statutory Prospectus and the Prospectus) will be paid by the Company to any Member, or any persons associated or affiliated with a Member.</w:t>
      </w:r>
    </w:p>
    <w:p>
      <w:pPr>
        <w:spacing w:after="0" w:line="183" w:lineRule="exact"/>
        <w:rPr>
          <w:rFonts w:ascii="Arial" w:cs="Arial" w:eastAsia="Arial" w:hAnsi="Arial"/>
          <w:sz w:val="18"/>
          <w:szCs w:val="18"/>
          <w:color w:val="auto"/>
        </w:rPr>
      </w:pPr>
    </w:p>
    <w:p>
      <w:pPr>
        <w:jc w:val="both"/>
        <w:ind w:left="-460" w:firstLine="644"/>
        <w:spacing w:after="0" w:line="263" w:lineRule="auto"/>
        <w:tabs>
          <w:tab w:leader="none" w:pos="5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w:t>
      </w:r>
    </w:p>
    <w:p>
      <w:pPr>
        <w:spacing w:after="0" w:line="183" w:lineRule="exact"/>
        <w:rPr>
          <w:rFonts w:ascii="Arial" w:cs="Arial" w:eastAsia="Arial" w:hAnsi="Arial"/>
          <w:sz w:val="18"/>
          <w:szCs w:val="18"/>
          <w:color w:val="auto"/>
        </w:rPr>
      </w:pPr>
    </w:p>
    <w:p>
      <w:pPr>
        <w:jc w:val="both"/>
        <w:ind w:left="-460" w:firstLine="644"/>
        <w:spacing w:after="0" w:line="263" w:lineRule="auto"/>
        <w:tabs>
          <w:tab w:leader="none" w:pos="6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person to whom securities of the Company have been privately issued within the 180-day period prior to the initial filing date of the Registration Statement has, to the Company’s knowledge, any affiliation or association with any Member intending to participate in the Offering.</w:t>
      </w:r>
    </w:p>
    <w:p>
      <w:pPr>
        <w:spacing w:after="0" w:line="183" w:lineRule="exact"/>
        <w:rPr>
          <w:rFonts w:ascii="Arial" w:cs="Arial" w:eastAsia="Arial" w:hAnsi="Arial"/>
          <w:sz w:val="18"/>
          <w:szCs w:val="18"/>
          <w:color w:val="auto"/>
        </w:rPr>
      </w:pPr>
    </w:p>
    <w:p>
      <w:pPr>
        <w:jc w:val="both"/>
        <w:ind w:left="-460" w:firstLine="644"/>
        <w:spacing w:after="0" w:line="269" w:lineRule="auto"/>
        <w:tabs>
          <w:tab w:leader="none" w:pos="62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the Company’s knowledge, no Member intending to participate in the Offering has a conflict of interest with the Company. For this purpose, a “conflict of interest” means, if at the time of the Member’s participation in the Offering, any of the following applies: (A) the securities are to be issued by the Member; (B) the Company controls, is controlled by or is under common control with the Member or the Member’s associated persons; (C) at least 5% of the net offering proceeds, not including underwriting compensation, are intended to be: (i) used to reduce or retire the balance of a loan or credit facility extended by the Member, its affiliates and its associated persons, in the aggregate; or (ii) otherwise directed to the Member, its affiliates and associated persons, in the aggregate; or (D) as a result of the Offering and any transactions contemplated at the time of the Offering: (i) the Member will be an affiliate of the Company; (ii) the Member will become publicly owned; or (iii) the Company will become a Member or form a broker-dealer subsidiary. “Member intending to participate in the Offering” includes any associated person of a Member that is participating in the Offering, any members of such associated person’s immediate family, and any affiliate of a Member that is participating in the Offering.</w:t>
      </w:r>
    </w:p>
    <w:p>
      <w:pPr>
        <w:spacing w:after="0" w:line="185" w:lineRule="exact"/>
        <w:rPr>
          <w:rFonts w:ascii="Arial" w:cs="Arial" w:eastAsia="Arial" w:hAnsi="Arial"/>
          <w:sz w:val="17"/>
          <w:szCs w:val="17"/>
          <w:color w:val="auto"/>
        </w:rPr>
      </w:pPr>
    </w:p>
    <w:p>
      <w:pPr>
        <w:jc w:val="both"/>
        <w:ind w:left="-460" w:firstLine="644"/>
        <w:spacing w:after="0" w:line="311" w:lineRule="auto"/>
        <w:tabs>
          <w:tab w:leader="none" w:pos="5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Except as described in the Statutory Prospectus and the Prospectus, to the Company’s knowledge, none of the Sponsor, directors or officers of the Company is subject to a non-competition agreement or non-solicitation agreement with any employer or prior employer that could materially affect its, his or her ability to be and act in the capacity of shareholder, officer or director of the Company, as applicable.</w:t>
      </w:r>
    </w:p>
    <w:p>
      <w:pPr>
        <w:spacing w:after="0" w:line="148" w:lineRule="exact"/>
        <w:rPr>
          <w:rFonts w:ascii="Arial" w:cs="Arial" w:eastAsia="Arial" w:hAnsi="Arial"/>
          <w:sz w:val="16"/>
          <w:szCs w:val="16"/>
          <w:color w:val="auto"/>
        </w:rPr>
      </w:pPr>
    </w:p>
    <w:p>
      <w:pPr>
        <w:jc w:val="both"/>
        <w:ind w:left="-460" w:firstLine="644"/>
        <w:spacing w:after="0" w:line="263" w:lineRule="auto"/>
        <w:tabs>
          <w:tab w:leader="none" w:pos="5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83" w:lineRule="exact"/>
        <w:rPr>
          <w:rFonts w:ascii="Arial" w:cs="Arial" w:eastAsia="Arial" w:hAnsi="Arial"/>
          <w:sz w:val="18"/>
          <w:szCs w:val="18"/>
          <w:color w:val="auto"/>
        </w:rPr>
      </w:pPr>
    </w:p>
    <w:p>
      <w:pPr>
        <w:ind w:left="620" w:hanging="436"/>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does not own an interest in any corporation, partnership, limited liability company, joint venture, trust or other entity.</w:t>
      </w:r>
    </w:p>
    <w:p>
      <w:pPr>
        <w:spacing w:after="0" w:line="200" w:lineRule="exact"/>
        <w:rPr>
          <w:sz w:val="20"/>
          <w:szCs w:val="20"/>
          <w:color w:val="auto"/>
        </w:rPr>
      </w:pPr>
    </w:p>
    <w:p>
      <w:pPr>
        <w:spacing w:after="0" w:line="25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 w:name="page18"/>
    <w:bookmarkEnd w:id="17"/>
    <w:p>
      <w:pPr>
        <w:jc w:val="both"/>
        <w:ind w:left="-460" w:firstLine="644"/>
        <w:spacing w:after="0" w:line="271" w:lineRule="auto"/>
        <w:tabs>
          <w:tab w:leader="none" w:pos="514"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 relationship, direct or indirect, exists between or among any of the Company or any affiliate of the Company, on the one hand, and the Sponsor or any director, director nominee, officer, shareholder, special advisor, customer or supplier of the Company or any affiliate of the Company, on the other hand, which is required by the Act or the Exchange Act to be described in the Registration Statement, Statutory Prospectus or the Prospectus that is not described as required. There are no outstanding loans, advances (except normal advances for business expenses in the ordinary course of business) or guarantees of indebtedness by the Company to or for the benefit of any of the officers, directors or director nominees of the Company or any of their respective family members, except as disclosed in the Registration Statement, Statutory Prospectus and the Prospectus. The Company has not extended or maintained credit, arranged for the extension of credit, or renewed an extension of credit, in the form of a personal loan to or for any director or officer of the Company.</w:t>
      </w:r>
    </w:p>
    <w:p>
      <w:pPr>
        <w:spacing w:after="0" w:line="178" w:lineRule="exact"/>
        <w:rPr>
          <w:rFonts w:ascii="Arial" w:cs="Arial" w:eastAsia="Arial" w:hAnsi="Arial"/>
          <w:sz w:val="17"/>
          <w:szCs w:val="17"/>
          <w:color w:val="auto"/>
        </w:rPr>
      </w:pPr>
    </w:p>
    <w:p>
      <w:pPr>
        <w:jc w:val="both"/>
        <w:ind w:left="-460" w:firstLine="644"/>
        <w:spacing w:after="0" w:line="259" w:lineRule="auto"/>
        <w:tabs>
          <w:tab w:leader="none" w:pos="78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has not offered, or caused the Underwriters to offer, the Underwritten Securities to any person or entity with the intention of unlawfully influencing: (a) a customer or supplier of the Company or any affiliate of the Company to alter the customer’s or supplier’s level or type of business with the Company or such affiliate or (b) a journalist or publication to write or publish favorable information about the Company or any such affiliate.</w:t>
      </w:r>
    </w:p>
    <w:p>
      <w:pPr>
        <w:spacing w:after="0" w:line="186" w:lineRule="exact"/>
        <w:rPr>
          <w:rFonts w:ascii="Arial" w:cs="Arial" w:eastAsia="Arial" w:hAnsi="Arial"/>
          <w:sz w:val="18"/>
          <w:szCs w:val="18"/>
          <w:color w:val="auto"/>
        </w:rPr>
      </w:pPr>
    </w:p>
    <w:p>
      <w:pPr>
        <w:jc w:val="both"/>
        <w:ind w:left="-460" w:firstLine="644"/>
        <w:spacing w:after="0" w:line="263" w:lineRule="auto"/>
        <w:tabs>
          <w:tab w:leader="none" w:pos="638"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delivery and payment for the Units on the Closing Date and the filing of the Closing Form 8-K, the Company will not be subject to Rule 419 under the Act and none of the Company’s outstanding securities will be deemed to be a “penny stock” as defined in Rule 3a51-1 under the Exchange Act.</w:t>
      </w:r>
    </w:p>
    <w:p>
      <w:pPr>
        <w:spacing w:after="0" w:line="183" w:lineRule="exact"/>
        <w:rPr>
          <w:rFonts w:ascii="Arial" w:cs="Arial" w:eastAsia="Arial" w:hAnsi="Arial"/>
          <w:sz w:val="18"/>
          <w:szCs w:val="18"/>
          <w:color w:val="auto"/>
        </w:rPr>
      </w:pPr>
    </w:p>
    <w:p>
      <w:pPr>
        <w:jc w:val="both"/>
        <w:ind w:left="-460" w:firstLine="644"/>
        <w:spacing w:after="0" w:line="257" w:lineRule="auto"/>
        <w:tabs>
          <w:tab w:leader="none" w:pos="6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From the time of the initial confidential submission of the Registration Statement to the Commission (or, if earlier, the first date on which the Company engaged, directly or through any Person authorized to act on its behalf, in any Testing-the-Waters Communication) through the Execution Time, the Company has been and is an “emerging growth company,” as defined in Section 2(a) of the Act (an “Emerging Growth Company”). “Testing-the-Waters Communication” means any oral or written communication with potential investors undertaken in reliance on Section 5(d) of the Act.</w:t>
      </w:r>
    </w:p>
    <w:p>
      <w:pPr>
        <w:spacing w:after="0" w:line="187" w:lineRule="exact"/>
        <w:rPr>
          <w:rFonts w:ascii="Arial" w:cs="Arial" w:eastAsia="Arial" w:hAnsi="Arial"/>
          <w:sz w:val="18"/>
          <w:szCs w:val="18"/>
          <w:color w:val="auto"/>
        </w:rPr>
      </w:pPr>
    </w:p>
    <w:p>
      <w:pPr>
        <w:jc w:val="both"/>
        <w:ind w:left="-460" w:firstLine="644"/>
        <w:spacing w:after="0" w:line="272" w:lineRule="auto"/>
        <w:tabs>
          <w:tab w:leader="none" w:pos="6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(i) has not alone engaged in any Testing-the-Waters Communication other than Testing-the-Waters Communications with the consent of the Representative with entities that are qualified institutional buyers within the meaning of Rule 144A under the Act or institutions that are accredited investors within the meaning of Rule 501 under the Act and (ii) has not authorized anyone other than the Representative to engage in Testing-the-Waters Communications. The Company reconfirms that the Representative has been authorized to act on its behalf in undertaking Testing-the-Waters Communications. The Company has not distributed any Written Testing-the-Waters Communications other than those listed on Schedule III hereto. “Written Testing-the-Waters Communication” means any Testing-the-Waters Communication that is a written communication within the meaning of Rule 405 under the Act.</w:t>
      </w:r>
    </w:p>
    <w:p>
      <w:pPr>
        <w:spacing w:after="0" w:line="38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 w:name="page19"/>
    <w:bookmarkEnd w:id="18"/>
    <w:p>
      <w:pPr>
        <w:ind w:firstLine="648"/>
        <w:spacing w:after="0" w:line="308" w:lineRule="auto"/>
        <w:rPr>
          <w:sz w:val="20"/>
          <w:szCs w:val="20"/>
          <w:color w:val="auto"/>
        </w:rPr>
      </w:pPr>
      <w:r>
        <w:rPr>
          <w:rFonts w:ascii="Arial" w:cs="Arial" w:eastAsia="Arial" w:hAnsi="Arial"/>
          <w:sz w:val="17"/>
          <w:szCs w:val="17"/>
          <w:color w:val="auto"/>
        </w:rPr>
        <w:t>Any certificate signed by any officer of the Company and delivered to the Representative or counsel for the Underwriters in connection with the Offering shall be deemed a representation and warranty by the Company, as to matters covered thereby, to each Underwriter.</w:t>
      </w:r>
    </w:p>
    <w:p>
      <w:pPr>
        <w:spacing w:after="0" w:line="146" w:lineRule="exact"/>
        <w:rPr>
          <w:sz w:val="20"/>
          <w:szCs w:val="20"/>
          <w:color w:val="auto"/>
        </w:rPr>
      </w:pPr>
    </w:p>
    <w:p>
      <w:pPr>
        <w:jc w:val="both"/>
        <w:ind w:firstLine="656"/>
        <w:spacing w:after="0" w:line="286" w:lineRule="auto"/>
        <w:tabs>
          <w:tab w:leader="none" w:pos="828"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Purchase and Sale</w:t>
      </w:r>
      <w:r>
        <w:rPr>
          <w:rFonts w:ascii="Arial" w:cs="Arial" w:eastAsia="Arial" w:hAnsi="Arial"/>
          <w:sz w:val="17"/>
          <w:szCs w:val="17"/>
          <w:color w:val="auto"/>
        </w:rPr>
        <w:t>. (a) Subject to the terms and conditions and in reliance upon the representations and warranties herein set forth, the Company agrees to sell to each Underwriter, and each Underwriter agrees, severally and not jointly, to purchase from the Company, at a purchase price of $9.80 per Unit, the amount of the Underwritten Securities set forth opposite such Underwriter’s name in Schedule I hereto.</w:t>
      </w:r>
    </w:p>
    <w:p>
      <w:pPr>
        <w:spacing w:after="0" w:line="165" w:lineRule="exact"/>
        <w:rPr>
          <w:rFonts w:ascii="Arial" w:cs="Arial" w:eastAsia="Arial" w:hAnsi="Arial"/>
          <w:sz w:val="17"/>
          <w:szCs w:val="17"/>
          <w:color w:val="auto"/>
        </w:rPr>
      </w:pPr>
    </w:p>
    <w:p>
      <w:pPr>
        <w:jc w:val="both"/>
        <w:ind w:left="660" w:firstLine="644"/>
        <w:spacing w:after="0" w:line="270" w:lineRule="auto"/>
        <w:tabs>
          <w:tab w:leader="none" w:pos="1583" w:val="left"/>
        </w:tabs>
        <w:numPr>
          <w:ilvl w:val="1"/>
          <w:numId w:val="18"/>
        </w:numPr>
        <w:rPr>
          <w:rFonts w:ascii="Arial" w:cs="Arial" w:eastAsia="Arial" w:hAnsi="Arial"/>
          <w:sz w:val="17"/>
          <w:szCs w:val="17"/>
          <w:color w:val="auto"/>
        </w:rPr>
      </w:pPr>
      <w:r>
        <w:rPr>
          <w:rFonts w:ascii="Arial" w:cs="Arial" w:eastAsia="Arial" w:hAnsi="Arial"/>
          <w:sz w:val="17"/>
          <w:szCs w:val="17"/>
          <w:color w:val="auto"/>
        </w:rPr>
        <w:t>Subject to the terms and conditions and in reliance upon the representations and warranties set forth herein, the Company hereby grants an option to the several Underwriters to purchase, severally and not jointly, up to 4,500,000 Option Securities at the same purchase price per Unit as the Underwriters shall pay for the Underwritten Securities. Said option may be exercised only to cover over-allotments in the sale of the Underwritten Securities by the Underwriters. Said option may be exercised in whole or in part at any time on or before the 45th day after the date of the Prospectus upon written notice by the Representative to the Company setting forth the number of Option Securities as to which the several Underwriters are exercising the option and the settlement date. The number of Option Securities to be purchased by each Underwriter shall be based upon the same percentage of the total number of the Option Securities to be purchased by the several Underwriters as such Underwriter is purchasing of the Underwritten Securities, subject to such adjustments as the Representative in its absolute discretion shall make to eliminate any fractional shares.</w:t>
      </w:r>
    </w:p>
    <w:p>
      <w:pPr>
        <w:spacing w:after="0" w:line="180" w:lineRule="exact"/>
        <w:rPr>
          <w:rFonts w:ascii="Arial" w:cs="Arial" w:eastAsia="Arial" w:hAnsi="Arial"/>
          <w:sz w:val="17"/>
          <w:szCs w:val="17"/>
          <w:color w:val="auto"/>
        </w:rPr>
      </w:pPr>
    </w:p>
    <w:p>
      <w:pPr>
        <w:ind w:left="1560" w:hanging="256"/>
        <w:spacing w:after="0"/>
        <w:tabs>
          <w:tab w:leader="none" w:pos="15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 addition to the discount from the public offering price represented by the purchase price set forth in the first sentence of Section 2</w:t>
      </w:r>
    </w:p>
    <w:p>
      <w:pPr>
        <w:spacing w:after="0" w:line="46" w:lineRule="exact"/>
        <w:rPr>
          <w:rFonts w:ascii="Arial" w:cs="Arial" w:eastAsia="Arial" w:hAnsi="Arial"/>
          <w:sz w:val="16"/>
          <w:szCs w:val="16"/>
          <w:color w:val="auto"/>
        </w:rPr>
      </w:pPr>
    </w:p>
    <w:p>
      <w:pPr>
        <w:jc w:val="both"/>
        <w:ind w:left="660"/>
        <w:spacing w:after="0" w:line="288" w:lineRule="auto"/>
        <w:rPr>
          <w:rFonts w:ascii="Arial" w:cs="Arial" w:eastAsia="Arial" w:hAnsi="Arial"/>
          <w:sz w:val="16"/>
          <w:szCs w:val="16"/>
          <w:color w:val="auto"/>
        </w:rPr>
      </w:pPr>
      <w:r>
        <w:rPr>
          <w:rFonts w:ascii="Arial" w:cs="Arial" w:eastAsia="Arial" w:hAnsi="Arial"/>
          <w:sz w:val="16"/>
          <w:szCs w:val="16"/>
          <w:color w:val="auto"/>
        </w:rPr>
        <w:t>(a) of this Agreement, the Company hereby agrees to pay to the Underwriters a deferred discount of $0.35 per Unit (for both Underwritten Securities and Option Securities) purchased hereunder (the “Deferred Discount”). The Deferred Discount will be paid directly to the Representative, on behalf of the Underwriters, by the Trustee from amounts on deposit in the Trust Account by wire transfer if and when the Company consummates an initial Business Combination. The Underwriters hereby agree that if no Business Combination is consummated within the time period provided in the Charter and the funds held under the Trust Agreement are distributed to the holders of the Ordinary Shares included in the Securities sold pursuant to this Agreement (the “Public Shareholders”), (i) the Underwriters will forfeit any rights or claims to the Deferred Discount and (ii) the Trustee is authorized to distribute the Deferred Discount to the Public Shareholders on a pro rata basis.</w:t>
      </w:r>
    </w:p>
    <w:p>
      <w:pPr>
        <w:spacing w:after="0" w:line="168" w:lineRule="exact"/>
        <w:rPr>
          <w:rFonts w:ascii="Arial" w:cs="Arial" w:eastAsia="Arial" w:hAnsi="Arial"/>
          <w:sz w:val="16"/>
          <w:szCs w:val="16"/>
          <w:color w:val="auto"/>
        </w:rPr>
      </w:pPr>
    </w:p>
    <w:p>
      <w:pPr>
        <w:jc w:val="both"/>
        <w:ind w:firstLine="656"/>
        <w:spacing w:after="0" w:line="270" w:lineRule="auto"/>
        <w:tabs>
          <w:tab w:leader="none" w:pos="841"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(a) Delivery of and payment for the Underwritten Securities and the Option Securities (if the option provided for in Section 2(a) hereof shall have been exercised on or before the third Business Day immediately preceding the Closing Date) shall be made at 10:00 a.m., New York City time, on May 8, 2020, or at such time on such later date not more than three Business Days after the foregoing date as the Representative shall designate, which date and time may be postponed by agreement between the Representative and the Company or as provided in Section 9 hereof (such date and time of delivery and payment for the Securities being herein called the “Closing Date”). Delivery of the Securities shall be made to the Representative for the respective accounts of the several Underwriters against payment by the several Underwriters through the Representative of the purchase price thereof by wire transfer payable in same-day funds to an account specified by the Company and to the Trust Account as described below in this Section 3. Delivery of the Underwritten Securities and the Option Securities shall be made through the facilities of The Depository Trust Company (“DTC”) unless the Representative shall otherwise instruct.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left="-460" w:firstLine="644"/>
        <w:spacing w:after="0" w:line="287" w:lineRule="auto"/>
        <w:tabs>
          <w:tab w:leader="none" w:pos="458" w:val="left"/>
        </w:tabs>
        <w:numPr>
          <w:ilvl w:val="0"/>
          <w:numId w:val="19"/>
        </w:numPr>
        <w:rPr>
          <w:rFonts w:ascii="Arial" w:cs="Arial" w:eastAsia="Arial" w:hAnsi="Arial"/>
          <w:sz w:val="16"/>
          <w:szCs w:val="16"/>
          <w:color w:val="auto"/>
        </w:rPr>
      </w:pPr>
      <w:r>
        <w:rPr>
          <w:rFonts w:ascii="Arial" w:cs="Arial" w:eastAsia="Arial" w:hAnsi="Arial"/>
          <w:sz w:val="16"/>
          <w:szCs w:val="16"/>
          <w:color w:val="auto"/>
        </w:rPr>
        <w:t>Payment for the Underwritten Securities shall be made as follows: $294,000,000 of the proceeds received by the Company for the Underwritten Securities, including $10,500,000 of the Deferred Discount, shall be deposited in the Trust Account pursuant to the terms of the Trust Agreement along with such portion of the gross proceeds of the Private Placement Warrants in order for the Trust Account to equal the product of the number of Units sold and the public offering price per unit as set forth on the cover of the Prospectus upon delivery to the Representative of the Underwritten Securities through the facilities of DTC or, if the Representative has otherwise instructed, upon delivery to the Representative of certificates (in form and substance satisfactory to the Representative) representing the Underwritten Securities, in each case for the account of the Underwriters. The Underwritten Securities shall be registered in such name or names and in such authorized denominations as the Representative may request in writing at least two Business Days prior to the Closing Date. If delivery is not made through the facilities of DTC, the Company will permit the Representative to examine and package the Underwritten Securities for delivery, at least one Business Day prior to the Closing Date. The Company shall not be obligated to sell or deliver the Underwritten Securities except upon tender of payment by the Representative for all the Underwritten Securities. Payment by the Underwriters for the Underwritten Securities is contingent on the payment by the Sponsor to the Trust Account for the Private Placement Warrants at least one Business Day prior to the Closing Date.</w:t>
      </w:r>
    </w:p>
    <w:p>
      <w:pPr>
        <w:spacing w:after="0" w:line="167" w:lineRule="exact"/>
        <w:rPr>
          <w:rFonts w:ascii="Arial" w:cs="Arial" w:eastAsia="Arial" w:hAnsi="Arial"/>
          <w:sz w:val="16"/>
          <w:szCs w:val="16"/>
          <w:color w:val="auto"/>
        </w:rPr>
      </w:pPr>
    </w:p>
    <w:p>
      <w:pPr>
        <w:jc w:val="both"/>
        <w:ind w:left="-460" w:firstLine="644"/>
        <w:spacing w:after="0" w:line="269" w:lineRule="auto"/>
        <w:tabs>
          <w:tab w:leader="none" w:pos="461"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Payment for the Option Securities shall be made as follows: $9.80 per Option Security (including $0.35 per Option Security of Deferred Discount) shall be deposited in the Trust Account pursuant to the terms of the Trust Agreement along with such portion of the gross proceeds of the Private Placement Warrants in order for the Trust Account to equal the product of the number of Units sold and the public offering price per Unit as set forth on the cover of the Prospectus upon delivery to the Representative of the Option Securities through the facilities of DTC or, if the Representative has otherwise instructed, upon delivery to the Representative of certificates (in form and substance satisfactory to the Representative) representing the Option Securities (or through the facilities of DTC) for the account of the Underwriters. The Option Securities shall be registered in such name or names and in such authorized denominations as the Representative may request in writing at least two Business Days prior to the Closing Date. If delivery is not made through the facilities of DTC, the Company will permit the Representative to examine and package the Option Securities for delivery, at least one Business Day prior to the Closing Date. The Company shall not be obligated to sell or deliver the Option Securities except upon tender of payment by the Representative for all the Option Securities. Payment by the Underwriters for the Option Securities is contingent on the payment by the Sponsor to the Trust Account for the Private Placement Warrants at least one Business Day prior to the applicable settlement date.</w:t>
      </w:r>
    </w:p>
    <w:p>
      <w:pPr>
        <w:spacing w:after="0" w:line="38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 w:name="page21"/>
    <w:bookmarkEnd w:id="20"/>
    <w:p>
      <w:pPr>
        <w:jc w:val="both"/>
        <w:ind w:firstLine="648"/>
        <w:spacing w:after="0" w:line="254" w:lineRule="auto"/>
        <w:rPr>
          <w:sz w:val="20"/>
          <w:szCs w:val="20"/>
          <w:color w:val="auto"/>
        </w:rPr>
      </w:pPr>
      <w:r>
        <w:rPr>
          <w:rFonts w:ascii="Arial" w:cs="Arial" w:eastAsia="Arial" w:hAnsi="Arial"/>
          <w:sz w:val="18"/>
          <w:szCs w:val="18"/>
          <w:color w:val="auto"/>
        </w:rPr>
        <w:t>If the option provided for in Section 2(b) hereof is exercised after the second Business Day prior to the Closing Date, the Company will deliver the Option Securities (at the expense of the Company) to the Representative, at c/o Citigroup Global Markets Inc., 388 Greenwich Street, New York, New York on the date specified by the Representative (which shall be at least two Business Days after exercise of said option) for the respective accounts of the several Underwriters, against payment by the several Underwriters through the Representative of the purchase price thereof to the Trust Account as described above in Section 3(c). If settlement for the Option Securities occurs after the Closing Date, the Company will deliver to the Representative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6 hereof.</w:t>
      </w:r>
    </w:p>
    <w:p>
      <w:pPr>
        <w:spacing w:after="0" w:line="192" w:lineRule="exact"/>
        <w:rPr>
          <w:sz w:val="20"/>
          <w:szCs w:val="20"/>
          <w:color w:val="auto"/>
        </w:rPr>
      </w:pPr>
    </w:p>
    <w:p>
      <w:pPr>
        <w:ind w:right="20" w:firstLine="656"/>
        <w:spacing w:after="0" w:line="277"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Offering by the Underwriters</w:t>
      </w:r>
      <w:r>
        <w:rPr>
          <w:rFonts w:ascii="Arial" w:cs="Arial" w:eastAsia="Arial" w:hAnsi="Arial"/>
          <w:sz w:val="18"/>
          <w:szCs w:val="18"/>
          <w:color w:val="auto"/>
        </w:rPr>
        <w:t>. It is understood that the several Underwriters propose to offer the Securities for sale to the public as set forth in the Prospectus (the “Offering”).</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the several Underwriters that:</w:t>
      </w:r>
    </w:p>
    <w:p>
      <w:pPr>
        <w:spacing w:after="0" w:line="225" w:lineRule="exact"/>
        <w:rPr>
          <w:rFonts w:ascii="Arial" w:cs="Arial" w:eastAsia="Arial" w:hAnsi="Arial"/>
          <w:sz w:val="18"/>
          <w:szCs w:val="18"/>
          <w:color w:val="auto"/>
        </w:rPr>
      </w:pPr>
    </w:p>
    <w:p>
      <w:pPr>
        <w:jc w:val="both"/>
        <w:ind w:left="660" w:firstLine="644"/>
        <w:spacing w:after="0" w:line="267" w:lineRule="auto"/>
        <w:tabs>
          <w:tab w:leader="none" w:pos="1569" w:val="left"/>
        </w:tabs>
        <w:numPr>
          <w:ilvl w:val="1"/>
          <w:numId w:val="20"/>
        </w:numPr>
        <w:rPr>
          <w:rFonts w:ascii="Arial" w:cs="Arial" w:eastAsia="Arial" w:hAnsi="Arial"/>
          <w:sz w:val="17"/>
          <w:szCs w:val="17"/>
          <w:color w:val="auto"/>
        </w:rPr>
      </w:pPr>
      <w:r>
        <w:rPr>
          <w:rFonts w:ascii="Arial" w:cs="Arial" w:eastAsia="Arial" w:hAnsi="Arial"/>
          <w:sz w:val="17"/>
          <w:szCs w:val="17"/>
          <w:color w:val="auto"/>
        </w:rPr>
        <w:t>Prior to the termination of Offering, the Company will not file any amendment of the Registration Statement or supplement to the Prospectus or any Rule 462(b) Registration Statement unless the Company has furnished you a copy for your review prior to filing and will not file any such proposed amendment, supplement or Rule 462(b) Registration Statement to which you reasonably object. The Company will cause the Prospectus, properly completed, and any supplement thereto to be filed in a form approved by the Representative with the Commission pursuant to the applicable paragraph of Rule 424(b) within the time period prescribed and will provide evidence satisfactory to the Representative of such timely filing. The Company will promptly advise the Representative (i) when the Prospectus, and any supplement thereto, shall have been filed (if required) with the Commission pursuant to Rule 424(b) or when any Rule 462(b) Registration Statement or any Written Testing-the-Waters Communication shall have been filed with the Commission, (ii) when, prior to termination of the Offering, any amendment to the Registration Statement shall have been filed or become effective, (iii) of any request by the Commission or its staff for any amendment of the Registration Statement, or any Rule 462(b) Registration Statement or any Written Testing-the-Waters Communication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best efforts to have such amendment or new registration statement declared effective as soon as practicable.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left="-460" w:firstLine="644"/>
        <w:spacing w:after="0" w:line="296" w:lineRule="auto"/>
        <w:tabs>
          <w:tab w:leader="none" w:pos="468"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at any time prior to the filing of the Prospectus pursuant to Rule 424(b), any event occurs as a result of which the Statutory Prospectus would include any untrue statement of a material fact or omit to state any material fact necessary to make the statements therein in the light of the circumstances under which they were made at such time not misleading, the Company will (i) notify promptly the Representative so that any use of the Statutory Prospectus may cease until it is amended or supplemented; (ii) amend or supplement the Statutory Prospectus to correct such statement or omission; and (iii) supply any amendment or supplement to you in such quantities as you may reasonably request.</w:t>
      </w:r>
    </w:p>
    <w:p>
      <w:pPr>
        <w:spacing w:after="0" w:line="161" w:lineRule="exact"/>
        <w:rPr>
          <w:rFonts w:ascii="Arial" w:cs="Arial" w:eastAsia="Arial" w:hAnsi="Arial"/>
          <w:sz w:val="16"/>
          <w:szCs w:val="16"/>
          <w:color w:val="auto"/>
        </w:rPr>
      </w:pPr>
    </w:p>
    <w:p>
      <w:pPr>
        <w:jc w:val="both"/>
        <w:ind w:left="-460" w:firstLine="644"/>
        <w:spacing w:after="0" w:line="254" w:lineRule="auto"/>
        <w:tabs>
          <w:tab w:leader="none" w:pos="4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at any time when a prospectus relating to the Securities is required to be delivered under the Act (including in circumstances where such requirement may be satisfied pursuant to Rule 172),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or supplement the Prospectus to comply with the Act or the rules thereunder, the Company promptly will (i) notify the Representative of any such event; (ii) prepare and file with the Commission, subject to the second sentence of paragraph (a) of this Section 5, an amendment or supplement that will correct such statement or omission or effect such compliance; and (iii) supply any supplemented Prospectus to you in such quantities as you may reasonably request.</w:t>
      </w:r>
    </w:p>
    <w:p>
      <w:pPr>
        <w:spacing w:after="0" w:line="191" w:lineRule="exact"/>
        <w:rPr>
          <w:rFonts w:ascii="Arial" w:cs="Arial" w:eastAsia="Arial" w:hAnsi="Arial"/>
          <w:sz w:val="18"/>
          <w:szCs w:val="18"/>
          <w:color w:val="auto"/>
        </w:rPr>
      </w:pPr>
    </w:p>
    <w:p>
      <w:pPr>
        <w:ind w:left="-460" w:firstLine="644"/>
        <w:spacing w:after="0" w:line="308" w:lineRule="auto"/>
        <w:tabs>
          <w:tab w:leader="none" w:pos="459"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 soon as practicable, the Company will make generally available to its security holders and to the Representative an earnings statement or statements of the Company and its subsidiaries that will satisfy the provisions of Section 11(a) of the Act and Rule 158.</w:t>
      </w:r>
    </w:p>
    <w:p>
      <w:pPr>
        <w:spacing w:after="0" w:line="146" w:lineRule="exact"/>
        <w:rPr>
          <w:rFonts w:ascii="Arial" w:cs="Arial" w:eastAsia="Arial" w:hAnsi="Arial"/>
          <w:sz w:val="17"/>
          <w:szCs w:val="17"/>
          <w:color w:val="auto"/>
        </w:rPr>
      </w:pPr>
    </w:p>
    <w:p>
      <w:pPr>
        <w:ind w:left="-460" w:firstLine="644"/>
        <w:spacing w:after="0" w:line="277" w:lineRule="auto"/>
        <w:tabs>
          <w:tab w:leader="none" w:pos="4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will not make any offer relating to the Units that constitutes or would constitute a Free Writing Prospectus or a portion thereof required to be filed by the Company with the Commission or retained by the Company under Rule 433 of the Act.</w:t>
      </w:r>
    </w:p>
    <w:p>
      <w:pPr>
        <w:spacing w:after="0" w:line="170" w:lineRule="exact"/>
        <w:rPr>
          <w:rFonts w:ascii="Arial" w:cs="Arial" w:eastAsia="Arial" w:hAnsi="Arial"/>
          <w:sz w:val="18"/>
          <w:szCs w:val="18"/>
          <w:color w:val="auto"/>
        </w:rPr>
      </w:pPr>
    </w:p>
    <w:p>
      <w:pPr>
        <w:jc w:val="both"/>
        <w:ind w:left="-460" w:firstLine="644"/>
        <w:spacing w:after="0" w:line="296" w:lineRule="auto"/>
        <w:tabs>
          <w:tab w:leader="none" w:pos="42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will furnish to the Representative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as many copies of each Preliminary Prospectus, the Prospectus and any supplement thereto as the Representative may reasonably request. The Company will pay the expenses of printing or other production of all documents relating to the Offering.</w:t>
      </w:r>
    </w:p>
    <w:p>
      <w:pPr>
        <w:spacing w:after="0" w:line="37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2" w:name="page23"/>
    <w:bookmarkEnd w:id="22"/>
    <w:p>
      <w:pPr>
        <w:jc w:val="both"/>
        <w:ind w:left="4" w:firstLine="644"/>
        <w:spacing w:after="0" w:line="284" w:lineRule="auto"/>
        <w:tabs>
          <w:tab w:leader="none" w:pos="907"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The Company will not, without the prior written consent of the Representative, offer, sell, contract to sell, pledge, hedge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other Units, Ordinary Shares, warrants or any securities convertible into, or exercisable, or exchangeable for, Ordinary Shares or publicly announce an intention to effect any such transaction during the period commencing on the date hereof and ending 180 days after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w:t>
      </w:r>
    </w:p>
    <w:p>
      <w:pPr>
        <w:jc w:val="both"/>
        <w:ind w:left="4" w:hanging="4"/>
        <w:spacing w:after="0" w:line="253" w:lineRule="auto"/>
        <w:tabs>
          <w:tab w:leader="none" w:pos="2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and sell the Private Placement Warrants, (2) issue and sell the Option Securities on exercise of the option provided for in Section 2(b) hereof, (3) issue shares or any securities convertible into, or exchangeable for, Ordinary Shares in connection with the initial Business Combination and (4) register with the Commission pursuant to the Registration Rights Agreement, in accordance with the terms of the Registration Rights Agreement, the resale of the Founder Shares, the Private Placement Warrants and the Ordinary Shares issuable upon exercise thereof.</w:t>
      </w:r>
    </w:p>
    <w:p>
      <w:pPr>
        <w:spacing w:after="0" w:line="190" w:lineRule="exact"/>
        <w:rPr>
          <w:rFonts w:ascii="Arial" w:cs="Arial" w:eastAsia="Arial" w:hAnsi="Arial"/>
          <w:sz w:val="18"/>
          <w:szCs w:val="18"/>
          <w:color w:val="auto"/>
        </w:rPr>
      </w:pPr>
    </w:p>
    <w:p>
      <w:pPr>
        <w:jc w:val="both"/>
        <w:ind w:left="4" w:firstLine="644"/>
        <w:spacing w:after="0" w:line="263" w:lineRule="auto"/>
        <w:tabs>
          <w:tab w:leader="none" w:pos="904"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83" w:lineRule="exact"/>
        <w:rPr>
          <w:rFonts w:ascii="Arial" w:cs="Arial" w:eastAsia="Arial" w:hAnsi="Arial"/>
          <w:sz w:val="18"/>
          <w:szCs w:val="18"/>
          <w:color w:val="auto"/>
        </w:rPr>
      </w:pPr>
    </w:p>
    <w:p>
      <w:pPr>
        <w:jc w:val="both"/>
        <w:ind w:left="4" w:firstLine="644"/>
        <w:spacing w:after="0" w:line="286" w:lineRule="auto"/>
        <w:tabs>
          <w:tab w:leader="none" w:pos="871"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amendment or supplement to any of them; (ii) the printing (or reproduction) and delivery (including postage, air freight charges and charges for counting and packaging) of such copies of the Registration Statement, each Preliminary Prospectus, the Prospectus and all amendments or supplements to any of them, as may, in each case, be reasonably requested for use in connection with the offering and sale of the Securities; (iii) the preparation, printing, authentication, issuance and delivery of certificates, if any, for the Securities, including any stamp or transfer taxes in connection with the original issuance and sale of the Securities; (iv) the printing (or reproduction) and delivery of this Agreement and all other agreements or documents printed (or reproduced) and delivered in connection with the offering of the Securities; (v) the registration of the Securities under the Exchange Act and the listing of the Securities on the New York Stock Exchange; (vi) the printing and delivery of a preliminary blue sky memorandum, any registration or qualification of the Securities for offer and sale under the securities or blue sky laws of the several states and any filings required to be made with FINRA (including the reasonable and documented FINRA-related fees and expenses of counsel for the Underwriters not to exceed $25,000); (vii) the transportation and other expenses incurred by or on behalf of the Company (and not the Underwriters) in connection with presentations to prospective purchasers of the Securities; (viii) the fees and expenses of the Company’s accountants and the fees and expenses of counsel (including U.S. and Cayman Islands counsel and any other local and special counsel) for the Company; and (ix) all other costs and expenses incident to the performance by the Company of its obligations hereunder.</w:t>
      </w:r>
    </w:p>
    <w:p>
      <w:pPr>
        <w:spacing w:after="0" w:line="376"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3" w:name="page24"/>
    <w:bookmarkEnd w:id="23"/>
    <w:p>
      <w:pPr>
        <w:jc w:val="both"/>
        <w:ind w:left="-460" w:firstLine="644"/>
        <w:spacing w:after="0" w:line="296" w:lineRule="auto"/>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a period commencing on the Effective Date and ending at least five (5) years from the date of the consummation of the initial Business Combination or until such earlier time at which the Liquidation occurs, the Company will use its best efforts to maintain the registration of the Ordinary Shares under the provisions of the Exchange Act, except after giving effect to a going private transaction after the completion of an initial Business Combination. The Company will not deregister the Ordinary Shares under the Exchange Act (except in connection with a going private transaction after the completion of an initial Business Combination) without the prior written consent of the Representative.</w:t>
      </w:r>
    </w:p>
    <w:p>
      <w:pPr>
        <w:spacing w:after="0" w:line="161" w:lineRule="exact"/>
        <w:rPr>
          <w:rFonts w:ascii="Arial" w:cs="Arial" w:eastAsia="Arial" w:hAnsi="Arial"/>
          <w:sz w:val="16"/>
          <w:szCs w:val="16"/>
          <w:color w:val="auto"/>
        </w:rPr>
      </w:pPr>
    </w:p>
    <w:p>
      <w:pPr>
        <w:jc w:val="both"/>
        <w:ind w:left="-460" w:firstLine="644"/>
        <w:spacing w:after="0" w:line="254" w:lineRule="auto"/>
        <w:tabs>
          <w:tab w:leader="none" w:pos="46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shall, on the date hereof, retain its independent registered public accounting firm to audit the balance sheet of the Company as of the Closing Date (the “Audited Balance Sheet”) reflecting the receipt by the Company of the proceeds of the Offering on the Closing Date. As soon as the Audited Balance Sheet becomes available, the Company shall promptly, but not later than four Business Days after the Closing Date, file the Closing Form 8-K with the Commission, which report shall contain the Company’s Audited Balance Sheet. Additionally, if not disclosed on the Closing Form 8-K, upon the Company’s receipt of the proceeds from the exercise of all or any portion of the option provided for in Section 2(b) hereof, the Company shall promptly, but not later than four Business Days after the receipt of such proceeds, file a Current Report on Form 8-K with the Commission, which Report shall disclose the Company’s sale of the Option Securities and its receipt of the proceeds therefrom.</w:t>
      </w:r>
    </w:p>
    <w:p>
      <w:pPr>
        <w:spacing w:after="0" w:line="191" w:lineRule="exact"/>
        <w:rPr>
          <w:rFonts w:ascii="Arial" w:cs="Arial" w:eastAsia="Arial" w:hAnsi="Arial"/>
          <w:sz w:val="18"/>
          <w:szCs w:val="18"/>
          <w:color w:val="auto"/>
        </w:rPr>
      </w:pPr>
    </w:p>
    <w:p>
      <w:pPr>
        <w:jc w:val="both"/>
        <w:ind w:left="-460" w:firstLine="644"/>
        <w:spacing w:after="0" w:line="275" w:lineRule="auto"/>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 a period commencing on the Effective Date and ending at least five (5) years from the date of the consummation of the initial Business Combination or until such earlier time at which the Liquidation occurs or the Ordinary Shares and Warrants cease to be publicly traded, the Company, at its expense, shall cause its regularly engaged independent registered public accounting firm to review (but not audit) the Company’s financial statements for each of the first three fiscal quarters prior to the announcement of quarterly financial information, the filing of the Company’s Form 10-Q quarterly report and the mailing, if any, of quarterly financial information to shareholders.</w:t>
      </w:r>
    </w:p>
    <w:p>
      <w:pPr>
        <w:spacing w:after="0" w:line="176" w:lineRule="exact"/>
        <w:rPr>
          <w:rFonts w:ascii="Arial" w:cs="Arial" w:eastAsia="Arial" w:hAnsi="Arial"/>
          <w:sz w:val="17"/>
          <w:szCs w:val="17"/>
          <w:color w:val="auto"/>
        </w:rPr>
      </w:pPr>
    </w:p>
    <w:p>
      <w:pPr>
        <w:jc w:val="both"/>
        <w:ind w:left="-460" w:firstLine="644"/>
        <w:spacing w:after="0" w:line="275" w:lineRule="auto"/>
        <w:tabs>
          <w:tab w:leader="none" w:pos="494"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 a period of five (5) years from the Effective Date or until such earlier time that the Liquidation occurs or the Ordinary Shares and Warrants cease to be publicly traded, the Company will furnish to the Representative such copies of financial statements and other periodic and special reports as the Company from time to time furnishes generally to holders of any class of its securities and such additional documents and information with respect to the Company as the Representative may from time to time reasonably request. Any financial statements and reports filed on the Commission’s EDGAR website will be considered furnished for purposes of this Section 5.</w:t>
      </w:r>
    </w:p>
    <w:p>
      <w:pPr>
        <w:spacing w:after="0" w:line="38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4" w:name="page25"/>
    <w:bookmarkEnd w:id="24"/>
    <w:p>
      <w:pPr>
        <w:jc w:val="both"/>
        <w:ind w:left="-460" w:firstLine="644"/>
        <w:spacing w:after="0" w:line="263" w:lineRule="auto"/>
        <w:tabs>
          <w:tab w:leader="none" w:pos="4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a period commencing on the Effective Date and ending at least five (5) years from the date of the consummation of the initial Business Combination or until such earlier time at which the Liquidation occurs or the Ordinary Shares and Warrants cease to be publicly traded, the Company shall retain a transfer and warrant agent.</w:t>
      </w:r>
    </w:p>
    <w:p>
      <w:pPr>
        <w:spacing w:after="0" w:line="183" w:lineRule="exact"/>
        <w:rPr>
          <w:rFonts w:ascii="Arial" w:cs="Arial" w:eastAsia="Arial" w:hAnsi="Arial"/>
          <w:sz w:val="18"/>
          <w:szCs w:val="18"/>
          <w:color w:val="auto"/>
        </w:rPr>
      </w:pPr>
    </w:p>
    <w:p>
      <w:pPr>
        <w:jc w:val="both"/>
        <w:ind w:left="-460" w:firstLine="644"/>
        <w:spacing w:after="0" w:line="263" w:lineRule="auto"/>
        <w:tabs>
          <w:tab w:leader="none" w:pos="4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no event will the amounts payable by the Company under the Services Agreement be more than $10,000 per month in the aggregate for office space, secretarial support and administrative services until the earlier of the date of the consummation of the initial Business Combination or the Liquidation.</w:t>
      </w:r>
    </w:p>
    <w:p>
      <w:pPr>
        <w:spacing w:after="0" w:line="183" w:lineRule="exact"/>
        <w:rPr>
          <w:rFonts w:ascii="Arial" w:cs="Arial" w:eastAsia="Arial" w:hAnsi="Arial"/>
          <w:sz w:val="18"/>
          <w:szCs w:val="18"/>
          <w:color w:val="auto"/>
        </w:rPr>
      </w:pPr>
    </w:p>
    <w:p>
      <w:pPr>
        <w:jc w:val="both"/>
        <w:ind w:left="-460" w:firstLine="644"/>
        <w:spacing w:after="0" w:line="272" w:lineRule="auto"/>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Other than payments made pursuant to the terms of the Services Agreement and except as set forth in this subsection or the Registration Statement, the Statutory Prospectus and the Prospectus, the Company shall not pay the Sponsor or any of the Company’s executive officers, directors or any of their respective affiliates any fees or compensation of any kind (including finder’s fees and consulting fees) for services rendered to the Company prior to, or in connection with, the consummation of an initial Business Combination;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officers, directors and affiliates (i) may receive reimbursement for out-of-pocket expenses incurred by them in connection with activities on the Company’s behalf to the extent that such expenses do not exceed the amount of available proceeds not deposited in the Trust Account and (ii) may be repaid loans and advances as described in the Registration Statement.</w:t>
      </w:r>
    </w:p>
    <w:p>
      <w:pPr>
        <w:spacing w:after="0" w:line="177" w:lineRule="exact"/>
        <w:rPr>
          <w:rFonts w:ascii="Arial" w:cs="Arial" w:eastAsia="Arial" w:hAnsi="Arial"/>
          <w:sz w:val="17"/>
          <w:szCs w:val="17"/>
          <w:color w:val="auto"/>
        </w:rPr>
      </w:pPr>
    </w:p>
    <w:p>
      <w:pPr>
        <w:jc w:val="both"/>
        <w:ind w:left="-460" w:firstLine="644"/>
        <w:spacing w:after="0" w:line="263" w:lineRule="auto"/>
        <w:tabs>
          <w:tab w:leader="none" w:pos="44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will apply the net proceeds from the Offering and the sale of the Private Placement Warrants received by it in a manner consistent in all material respects with the applications described under the caption “Use of Proceeds” in the Statutory Prospectus and the Prospectus.</w:t>
      </w:r>
    </w:p>
    <w:p>
      <w:pPr>
        <w:spacing w:after="0" w:line="183" w:lineRule="exact"/>
        <w:rPr>
          <w:rFonts w:ascii="Arial" w:cs="Arial" w:eastAsia="Arial" w:hAnsi="Arial"/>
          <w:sz w:val="18"/>
          <w:szCs w:val="18"/>
          <w:color w:val="auto"/>
        </w:rPr>
      </w:pPr>
    </w:p>
    <w:p>
      <w:pPr>
        <w:jc w:val="both"/>
        <w:ind w:left="-460" w:firstLine="644"/>
        <w:spacing w:after="0" w:line="253" w:lineRule="auto"/>
        <w:tabs>
          <w:tab w:leader="none" w:pos="441"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a period of 90 days following the Effective Date, in the event any person or entity (regardless of any FINRA affiliation or association) is engaged to assist the Company in its search for a merger candidate or to provide any other merger and acquisition services, or has provided or will provide any investment banking, financial, advisory and/or consulting services to the Company, the Company agrees that it shall promptly provide to FINRA (via a FINRA submission), the Representative and its counsel a notification prior to entering into the agreement or transaction relating to a potential Business Combination: (i) the identity of the person or entity providing any such services; (ii) complete details of all such services and copies of all agreements governing such services; and (iii) justification as to why the value received by any person or entity for such services is not underwriting compensation for the Offering. The Company also agrees that proper disclosure of such arrangement or potential arrangement will be made in the tender offer materials or proxy statement, as applicable, which the Company may file in connection with the initial Business Combination for purposes of offering redemption of shares held by its shareholders or for soliciting shareholder approval, as applicable.</w:t>
      </w:r>
    </w:p>
    <w:p>
      <w:pPr>
        <w:spacing w:after="0" w:line="194" w:lineRule="exact"/>
        <w:rPr>
          <w:rFonts w:ascii="Arial" w:cs="Arial" w:eastAsia="Arial" w:hAnsi="Arial"/>
          <w:sz w:val="18"/>
          <w:szCs w:val="18"/>
          <w:color w:val="auto"/>
        </w:rPr>
      </w:pPr>
    </w:p>
    <w:p>
      <w:pPr>
        <w:ind w:left="-460" w:right="20" w:firstLine="644"/>
        <w:spacing w:after="0" w:line="277" w:lineRule="auto"/>
        <w:tabs>
          <w:tab w:leader="none" w:pos="4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shall advise FINRA, the Representative and its counsel if it is aware that any 5% or greater shareholder of the Company becomes an affiliate or associated person of a Member participating in the distribution of the Company’s Securities.</w:t>
      </w:r>
    </w:p>
    <w:p>
      <w:pPr>
        <w:spacing w:after="0" w:line="37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 w:name="page26"/>
    <w:bookmarkEnd w:id="25"/>
    <w:p>
      <w:pPr>
        <w:jc w:val="both"/>
        <w:ind w:left="-460" w:firstLine="644"/>
        <w:spacing w:after="0" w:line="255" w:lineRule="auto"/>
        <w:tabs>
          <w:tab w:leader="none" w:pos="4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shall cause the proceeds of the Offering and the portion of proceeds from the sale of the Private Placement Warrants to be held in the Trust Account to be invested only in United States government treasury bills with a maturity of 185 days or less or in money market funds meeting certain conditions under Rule 2a-7 under the Investment Company Act as set forth in the Trust Agreement and disclosed in the Statutory Prospectus and the Prospectus. The Company will otherwise conduct its business in a manner so that it will not become subject to the Investment Company Act. Furthermore, once the Company consummates an initial Business Combination, it will not be required to register as an investment company under the Investment Company Act.</w:t>
      </w:r>
    </w:p>
    <w:p>
      <w:pPr>
        <w:spacing w:after="0" w:line="192" w:lineRule="exact"/>
        <w:rPr>
          <w:rFonts w:ascii="Arial" w:cs="Arial" w:eastAsia="Arial" w:hAnsi="Arial"/>
          <w:sz w:val="18"/>
          <w:szCs w:val="18"/>
          <w:color w:val="auto"/>
        </w:rPr>
      </w:pPr>
    </w:p>
    <w:p>
      <w:pPr>
        <w:jc w:val="both"/>
        <w:ind w:left="-460" w:firstLine="644"/>
        <w:spacing w:after="0" w:line="269" w:lineRule="auto"/>
        <w:tabs>
          <w:tab w:leader="none" w:pos="443"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During the period prior to the Company’s initial Business Combination, the Company may instruct the Trustee to release interest from the Trust Account in the amounts necessary (i) to pay income tax obligations and (ii) to Public Shareholders who properly redeem their Public Shares (as defined herein) in connection with a vote to approve an amendment to the Charter that would affect the substance or timing of the Company’s obligation to provide for the redemption of the Public Shares in connection with an initial Business Combination or to redeem 100% of the Public Shares if the Company does not consummate an initial Business Combination within eighteen (18) months after the Closing of the Offering. Otherwise, all funds held in the Trust Account (including any interest income earned on the amounts held in the Trust Account (net of taxes payable thereon)) will remain in the Trust Account until the earlier of the consummation of the Company’s initial Business Combination or the Liquidation;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of the Liquidation, up to $100,000 of interest income may be released to the Company if the proceeds of the Offering held outside of the Trust Account are not sufficient to cover the costs and expenses associated with implementing the Company’s plan of dissolution.</w:t>
      </w:r>
    </w:p>
    <w:p>
      <w:pPr>
        <w:spacing w:after="0" w:line="185" w:lineRule="exact"/>
        <w:rPr>
          <w:rFonts w:ascii="Arial" w:cs="Arial" w:eastAsia="Arial" w:hAnsi="Arial"/>
          <w:sz w:val="17"/>
          <w:szCs w:val="17"/>
          <w:color w:val="auto"/>
        </w:rPr>
      </w:pPr>
    </w:p>
    <w:p>
      <w:pPr>
        <w:jc w:val="both"/>
        <w:ind w:left="-460" w:firstLine="644"/>
        <w:spacing w:after="0" w:line="273" w:lineRule="auto"/>
        <w:tabs>
          <w:tab w:leader="none" w:pos="44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 shall not enter into an initial Business Combination with a target business that is affiliated with the Sponsor or any of the Company’s officers, directors or director nominees, unless the Company, or a committee of its independent directors, obtains an opinion from an independent investment banking firm or an accounting firm that the initial Business Combination is fair to the Company from a financial point of view. For purposes of this paragraph (v), the requirements in the immediately preceding sentence shall not be applicable to a target business or company in which the Sponsor or any of the Company’s officers, directors, director nominees, special advisors or their affiliates holds a non-controlling interest in such entity consisting of debt securities or other debt obligations of such entity.</w:t>
      </w:r>
    </w:p>
    <w:p>
      <w:pPr>
        <w:spacing w:after="0" w:line="177" w:lineRule="exact"/>
        <w:rPr>
          <w:rFonts w:ascii="Arial" w:cs="Arial" w:eastAsia="Arial" w:hAnsi="Arial"/>
          <w:sz w:val="17"/>
          <w:szCs w:val="17"/>
          <w:color w:val="auto"/>
        </w:rPr>
      </w:pPr>
    </w:p>
    <w:p>
      <w:pPr>
        <w:ind w:left="-460" w:firstLine="644"/>
        <w:spacing w:after="0" w:line="342" w:lineRule="auto"/>
        <w:tabs>
          <w:tab w:leader="none" w:pos="488"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will reserve and keep available that maximum number of its authorized but unissued securities that are issuable upon the exercise of any of the Warrants and the Private Placement Warrants outstanding from time to time and the conversion of the Founder Shares.</w:t>
      </w:r>
    </w:p>
    <w:p>
      <w:pPr>
        <w:spacing w:after="0" w:line="33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 w:name="page27"/>
    <w:bookmarkEnd w:id="26"/>
    <w:p>
      <w:pPr>
        <w:jc w:val="both"/>
        <w:ind w:firstLine="644"/>
        <w:spacing w:after="0" w:line="286" w:lineRule="auto"/>
        <w:tabs>
          <w:tab w:leader="none" w:pos="912"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Prior to the consummation of an initial Business Combination or the Liquidation, the Company shall not issue any Ordinary Shares, warrants or any options or other securities convertible into Ordinary Shares, or any preferred shares, in each case, that participate in any manner in the Trust Account or that vote as a class with the Ordinary Shares on an initial Business Combination.</w:t>
      </w:r>
    </w:p>
    <w:p>
      <w:pPr>
        <w:spacing w:after="0" w:line="165" w:lineRule="exact"/>
        <w:rPr>
          <w:rFonts w:ascii="Arial" w:cs="Arial" w:eastAsia="Arial" w:hAnsi="Arial"/>
          <w:sz w:val="17"/>
          <w:szCs w:val="17"/>
          <w:color w:val="auto"/>
        </w:rPr>
      </w:pPr>
    </w:p>
    <w:p>
      <w:pPr>
        <w:jc w:val="both"/>
        <w:ind w:firstLine="644"/>
        <w:spacing w:after="0" w:line="286" w:lineRule="auto"/>
        <w:tabs>
          <w:tab w:leader="none" w:pos="919"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Prior to the consummation of the initial Business Combination or the Liquidation, the Company shall cause its audit committee to review and approve all payments made to the Sponsor, any of the Company’s directors or officers, any special advisor, or any of the Company’s or their respective affiliates, other than those approved by the Company’s Board of Directors in connection with the Offering.</w:t>
      </w:r>
    </w:p>
    <w:p>
      <w:pPr>
        <w:spacing w:after="0" w:line="165" w:lineRule="exact"/>
        <w:rPr>
          <w:rFonts w:ascii="Arial" w:cs="Arial" w:eastAsia="Arial" w:hAnsi="Arial"/>
          <w:sz w:val="17"/>
          <w:szCs w:val="17"/>
          <w:color w:val="auto"/>
        </w:rPr>
      </w:pPr>
    </w:p>
    <w:p>
      <w:pPr>
        <w:jc w:val="both"/>
        <w:ind w:firstLine="644"/>
        <w:spacing w:after="0" w:line="259" w:lineRule="auto"/>
        <w:tabs>
          <w:tab w:leader="none" w:pos="9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agrees that it will use commercially reasonable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87" w:lineRule="exact"/>
        <w:rPr>
          <w:sz w:val="20"/>
          <w:szCs w:val="20"/>
          <w:color w:val="auto"/>
        </w:rPr>
      </w:pPr>
    </w:p>
    <w:p>
      <w:pPr>
        <w:jc w:val="both"/>
        <w:ind w:firstLine="644"/>
        <w:spacing w:after="0" w:line="272" w:lineRule="auto"/>
        <w:tabs>
          <w:tab w:leader="none" w:pos="977"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the extent required by Rule 13a-15(e) under the Exchange Act, the Company will maintain “disclosure controls and procedures” (as defined under Rule 13a-15(e) under the Exchange Act) and, to the extent required by Rule 13a-15(f) under the Exchange Act,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7" w:lineRule="exact"/>
        <w:rPr>
          <w:rFonts w:ascii="Arial" w:cs="Arial" w:eastAsia="Arial" w:hAnsi="Arial"/>
          <w:sz w:val="17"/>
          <w:szCs w:val="17"/>
          <w:color w:val="auto"/>
        </w:rPr>
      </w:pPr>
    </w:p>
    <w:p>
      <w:pPr>
        <w:jc w:val="both"/>
        <w:ind w:firstLine="644"/>
        <w:spacing w:after="0" w:line="254" w:lineRule="auto"/>
        <w:tabs>
          <w:tab w:leader="none" w:pos="9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will use commercially reasonable efforts to effect and, for a period commencing on the Effective Date (i) and ending at least five (5) years from the date of the consummation of the initial Business Combination or until such earlier time at which the Liquidation occurs or the Ordinary Shares and Warrants cease to be publicly traded, maintain the listing of the Ordinary Shares and (ii) ending on the date of the consummation of the initial Business Combination or until such earlier time at which the Liquidation occurs and the Ordinary Shares and Warrants cease to be publicly traded, maintain the listing of the Securities and Warrants on the New York Stock Exchange (or another national securities exchange); however if all of the outstanding Securities separate into their component parts, the Company will no longer be required to maintain the listing of the Securities.</w:t>
      </w:r>
    </w:p>
    <w:p>
      <w:pPr>
        <w:spacing w:after="0" w:line="194" w:lineRule="exact"/>
        <w:rPr>
          <w:rFonts w:ascii="Arial" w:cs="Arial" w:eastAsia="Arial" w:hAnsi="Arial"/>
          <w:sz w:val="18"/>
          <w:szCs w:val="18"/>
          <w:color w:val="auto"/>
        </w:rPr>
      </w:pPr>
    </w:p>
    <w:p>
      <w:pPr>
        <w:jc w:val="both"/>
        <w:ind w:firstLine="644"/>
        <w:spacing w:after="0" w:line="286" w:lineRule="auto"/>
        <w:tabs>
          <w:tab w:leader="none" w:pos="97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As soon as legally required to do so, the Company and its directors and officers, in their capacities as such, have taken or shall take all actions necessary to comply with any applicable provisions of the Sarbanes-Oxley Act, including Section 402 related to loans and Sections 302 and 906 related to certifications, and to comply with the requirements of the New York Stock Exchange’s Listing Standards.</w:t>
      </w:r>
    </w:p>
    <w:p>
      <w:pPr>
        <w:spacing w:after="0" w:line="165" w:lineRule="exact"/>
        <w:rPr>
          <w:rFonts w:ascii="Arial" w:cs="Arial" w:eastAsia="Arial" w:hAnsi="Arial"/>
          <w:sz w:val="17"/>
          <w:szCs w:val="17"/>
          <w:color w:val="auto"/>
        </w:rPr>
      </w:pPr>
    </w:p>
    <w:p>
      <w:pPr>
        <w:ind w:left="1000" w:hanging="356"/>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shall not take any action or omit to take any action that would cause the Company to be in breach or violation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Charter.</w:t>
      </w:r>
    </w:p>
    <w:p>
      <w:pPr>
        <w:spacing w:after="0" w:line="200" w:lineRule="exact"/>
        <w:rPr>
          <w:sz w:val="20"/>
          <w:szCs w:val="20"/>
          <w:color w:val="auto"/>
        </w:rPr>
      </w:pPr>
    </w:p>
    <w:p>
      <w:pPr>
        <w:spacing w:after="0" w:line="22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7" w:name="page28"/>
    <w:bookmarkEnd w:id="27"/>
    <w:p>
      <w:pPr>
        <w:jc w:val="both"/>
        <w:ind w:left="-460" w:firstLine="644"/>
        <w:spacing w:after="0" w:line="255" w:lineRule="auto"/>
        <w:tabs>
          <w:tab w:leader="none" w:pos="5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will seek to have vendors, service providers (other than independent accountants), prospective target businesses or other entities with which it does business enter into agreements waiving any right, title, interest or claim of any kind in or to any monies held in the Trust Account for the benefit of the Public Shareholders. If a prospective target business or vendors, service providers or third party were to refuse to enter into such a waiver, the Company will consider whether competitive alternatives are reasonably available to the Company, and will only enter into an agreement with such target business or engage such third party if the Company determines that doing so would be in the best interests of the Company under the circumstances.</w:t>
      </w:r>
    </w:p>
    <w:p>
      <w:pPr>
        <w:spacing w:after="0" w:line="192" w:lineRule="exact"/>
        <w:rPr>
          <w:rFonts w:ascii="Arial" w:cs="Arial" w:eastAsia="Arial" w:hAnsi="Arial"/>
          <w:sz w:val="18"/>
          <w:szCs w:val="18"/>
          <w:color w:val="auto"/>
        </w:rPr>
      </w:pPr>
    </w:p>
    <w:p>
      <w:pPr>
        <w:jc w:val="both"/>
        <w:ind w:left="-460" w:firstLine="644"/>
        <w:spacing w:after="0" w:line="283" w:lineRule="auto"/>
        <w:tabs>
          <w:tab w:leader="none" w:pos="503"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 Company may consummate the initial Business Combination and conduct redemptions of Ordinary Shares for cash upon consummation of such Business Combination without a shareholder vote pursuant to Rule 13e-4 and Regulation 14E of the Exchange Act, including the filing of tender offer documents with the Commission. Such tender offer documents will contain substantially the same financial and other information about the initial Business Combination and the redemption rights as is required under the Commission’s proxy rules and will provide each shareholder of the Company with the opportunity prior to the consummation of the initial Business Combination to redeem the Ordinary Shares held by such shareholder for an amount of cash equal to (A) the aggregate amount then on deposit in the Trust Account as of two Business Days prior to the consummation of the initial Business Combination representing (x) the proceeds held in the Trust Account from the Offering and certain of the proceeds from the sale of the Private Placement Warrants and (y) any interest income earned on the funds held in the Trust Account not released to the Company to pay income taxes payable, divided by (B) the total number of Ordinary Shares sold as part of the Units in the Offering (the “Public Shares”) then outstanding. If,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elects not to file such tender offer documents, a shareholder vote is required by law or applicable stock exchange rule in connection with the initial Business Combination, or the Company decides to hold a shareholder vote for business or other legal reasons, the Company will submit such Business Combination to the Company’s shareholders for their approval (“Business Combination Vote”). With respect to the initial Business Combination Vote, if any, the Sponsor has agreed to vote all of its Founder Shares and any applicable shares purchased during or after the Offering and the members of the Company’s management team have agreed to vote all of their Ordinary Shares purchased during or after the Offering, in favor of the Company’s initial Business Combination. If the Company seeks shareholder approval of the initial Business Combination, the Company will offer to each Public Shareholder holding Ordinary Shares the right to have its shares redeemed in conjunction with a proxy solicitation pursuant to the proxy rules of the Commission at a per share redemption price (the “Redemption Price”) equal to (I) the aggregate amount then on deposit in the Trust Account as of two Business Days prior to the consummation of the initial Business Combination representing (1) the proceeds held in the Trust Account from the Offering and certain of the proceeds from the sale of the Private Placement Warrants and (2) any interest income earned on the funds held in the Trust Account not previously released to pay its income taxes payable, divided by (II) the total number of Public Shares then outstanding. If the Company seeks shareholder approval of the initial Business Combination, the Company may proceed with such Business Combination only if a majority of the shares voted are voted to approve such Business Combination. If, after seeking and receiving such shareholder approval, the Company elects to so proceed, it will redeem Public Shares, at the Redemption Price, from those Public Shareholders who affirmatively requested such redemption. Only Public Shareholders holding Ordinary Shares who properly exercise their redemption rights, in accordance with the applicable tender offer or proxy materials related to such Business Combination, shall be entitled to receive distributions from the Trust Account in connection with an initial Business Combination, and the Company shall pay no distributions with respect to any other holders or shares of equity interests in the Company in connection therewith. In the event that the Company does not effect an initial Business Combination by eighteen (18) months from the closing of the Offering (or such dated as extended), the Company will (i) cease all operations except for the purpose of winding up, (ii) as promptly as reasonably possible but not more than ten (10) Business Days thereafter, redeem the Public Shares, at a per-share price, payable in cash, equal to the aggregate amount then on deposit in the Trust Account, including interest (less up to $100,000 of interest to pay dissolution expenses and net of taxes payable)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the Company’s board of directors, dissolve and liquidate, subject in each case to the Company’s obligations under Cayman Islands law to provide for claims of creditors and the requirements of other applicable law. Only Public Shareholders holding Ordinary Shares included in the Securities or Units shall be entitled to receive such redemption amounts and the Company shall pay no such redemption amounts or any distributions in liquidation with respect to any other shares of equity interests of the Company. The Company will not propose any amendment to the Charter that would affect the substance or timing of the Company’s obligation to provide for the redemption of the Public Shares in connection with an initial Business Combination or to redeem 100% of the outstanding Public Shares if the Company has not consummated an initial Business Combination within eighteen (18) months from the closing of the Offering, unless the Company offers to redeem the Public Shares in connection with such amendment, as described in the Statutory Prospectus and Prospectus, subject to Article 49 of the Charter.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8" w:name="page29"/>
    <w:bookmarkEnd w:id="28"/>
    <w:p>
      <w:pPr>
        <w:jc w:val="both"/>
        <w:ind w:left="-460" w:firstLine="644"/>
        <w:spacing w:after="0" w:line="254" w:lineRule="auto"/>
        <w:tabs>
          <w:tab w:leader="none" w:pos="5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that the Company desires or is required by an applicable law or regulation to cause an announcement (“Business Combination Announcement”) to be placed in The Wall Street Journal, The New York Times or any other news or media publication or outlet or to be made via a public filing with the Commission announcing the consummation of the initial Business Combination that indicates that the Underwriters were the underwriters in the Offering, the Company shall supply the Representative with a draft of the Business Combination Announcement and provide the Representative with a reasonable advance opportunity to comment thereon, subject to the agreement of the Underwriters to keep confidential such draft announcement in accordance with the Representative’s standard policies regarding confidential information.</w:t>
      </w:r>
    </w:p>
    <w:p>
      <w:pPr>
        <w:spacing w:after="0" w:line="194" w:lineRule="exact"/>
        <w:rPr>
          <w:rFonts w:ascii="Arial" w:cs="Arial" w:eastAsia="Arial" w:hAnsi="Arial"/>
          <w:sz w:val="18"/>
          <w:szCs w:val="18"/>
          <w:color w:val="auto"/>
        </w:rPr>
      </w:pPr>
    </w:p>
    <w:p>
      <w:pPr>
        <w:jc w:val="both"/>
        <w:ind w:left="-460" w:firstLine="644"/>
        <w:spacing w:after="0" w:line="254" w:lineRule="auto"/>
        <w:tabs>
          <w:tab w:leader="none" w:pos="5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the consummation of the initial Business Combination, the Company will cause the Trustee to pay to the Representative, on behalf of the Underwriters, the Deferred Discount. Payment of the Deferred Discount will be made out of the proceeds of the Offering held in the Trust Account. The Underwriters shall have no claim to payment of any interest earned on the portion of the proceeds held in the Trust Account representing the Deferred Discount. If the Company fails to consummate its initial Business Combination within the time period prescribed in the Charter, the Deferred Discount will not be paid to the Representative and will, instead, be included in the Liquidation distribution of the proceeds held in the Trust Account made to the Public Shareholders. In connection with any such Liquidation, the Underwriters will forfeit any rights or claims to the Deferred Discount.</w:t>
      </w:r>
    </w:p>
    <w:p>
      <w:pPr>
        <w:spacing w:after="0" w:line="194" w:lineRule="exact"/>
        <w:rPr>
          <w:rFonts w:ascii="Arial" w:cs="Arial" w:eastAsia="Arial" w:hAnsi="Arial"/>
          <w:sz w:val="18"/>
          <w:szCs w:val="18"/>
          <w:color w:val="auto"/>
        </w:rPr>
      </w:pPr>
    </w:p>
    <w:p>
      <w:pPr>
        <w:jc w:val="both"/>
        <w:ind w:left="-460" w:firstLine="644"/>
        <w:spacing w:after="0" w:line="288" w:lineRule="auto"/>
        <w:tabs>
          <w:tab w:leader="none" w:pos="459"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Company will endeavor in good faith, in cooperation with the Representative, at or prior to the time the Registration Statement becomes effective, to qualify the Securities for offering and sale under the securities laws of such jurisdictions as the Representative may reasonably designate and will maintain such qualifications in effect so long as required for the distribution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qualification shall be required in any jurisdiction where, as a result thereof, the Company would be subject to service of general process or to taxation as a foreign corporation doing business in such jurisdiction. Until the earliest of (i) the date on which all Underwriters shall have ceased to engage in market-making activities in respect of the Securities, (ii) the date on which the Securities are listed on the New York Stock Exchange (or any successor thereto), (iii) a going private transaction after the completion of an initial Business Combination, and (iv) the date of the liquidation of the Company, in each jurisdiction where such qualification shall be effected, the Company will, unless the Representative agrees that such action is not at the time necessary or advisable, use all reasonable efforts to file and make such statements or reports at such times as are or may be required to qualify the Securities for offering and sale under the securities laws of such jurisdiction.</w:t>
      </w:r>
    </w:p>
    <w:p>
      <w:pPr>
        <w:spacing w:after="0" w:line="168" w:lineRule="exact"/>
        <w:rPr>
          <w:rFonts w:ascii="Arial" w:cs="Arial" w:eastAsia="Arial" w:hAnsi="Arial"/>
          <w:sz w:val="16"/>
          <w:szCs w:val="16"/>
          <w:color w:val="auto"/>
        </w:rPr>
      </w:pPr>
    </w:p>
    <w:p>
      <w:pPr>
        <w:jc w:val="both"/>
        <w:ind w:left="-460" w:firstLine="644"/>
        <w:spacing w:after="0" w:line="293" w:lineRule="auto"/>
        <w:tabs>
          <w:tab w:leader="none" w:pos="453"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at any time following the distribution of any Written Testing-the-Waters Communication, any event occurs as a result of which such Written Testing-the-Waters Communication would include any untrue statement of a material fact or omit to state any material fact necessary to make the statements therein in the light of the circumstances under which they were made at such time, not misleading, the Company will promptly (i) notify the Representative so that use of the Written Testing-the-Waters Communication may cease until it is amended or supplemented; (ii) amend or supplement, at its own expense, such Written Testing-the-Waters Communication to eliminate or correct such statement or omission; and (iii) supply any amendment or supplement to the Representative in such quantities as may be reasonably requested.</w:t>
      </w:r>
    </w:p>
    <w:p>
      <w:pPr>
        <w:spacing w:after="0" w:line="37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9" w:name="page30"/>
    <w:bookmarkEnd w:id="29"/>
    <w:p>
      <w:pPr>
        <w:jc w:val="both"/>
        <w:ind w:left="660" w:firstLine="644"/>
        <w:spacing w:after="0" w:line="263" w:lineRule="auto"/>
        <w:tabs>
          <w:tab w:leader="none" w:pos="1653"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 if the Company ceases to be an Emerging Growth Company at any time prior to the later of (i) completion of the distribution of the Securities within the meaning of the Act and (ii) completion of the 180-day restricted period referred to in paragraph (g) hereof.</w:t>
      </w:r>
    </w:p>
    <w:p>
      <w:pPr>
        <w:spacing w:after="0" w:line="183" w:lineRule="exact"/>
        <w:rPr>
          <w:rFonts w:ascii="Arial" w:cs="Arial" w:eastAsia="Arial" w:hAnsi="Arial"/>
          <w:sz w:val="18"/>
          <w:szCs w:val="18"/>
          <w:color w:val="auto"/>
        </w:rPr>
      </w:pPr>
    </w:p>
    <w:p>
      <w:pPr>
        <w:ind w:left="660" w:firstLine="644"/>
        <w:spacing w:after="0" w:line="342" w:lineRule="auto"/>
        <w:tabs>
          <w:tab w:leader="none" w:pos="1594"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Company will deliver to the Representative executed copies of the Trust Agreement, the Warrant Agreement, the Founder’s Purchase Agreement, the Warrant Subscription Agreement, the Services Agreement, the Registration Rights Agreement and the Insider Letters.</w:t>
      </w:r>
    </w:p>
    <w:p>
      <w:pPr>
        <w:spacing w:after="0" w:line="123" w:lineRule="exact"/>
        <w:rPr>
          <w:rFonts w:ascii="Arial" w:cs="Arial" w:eastAsia="Arial" w:hAnsi="Arial"/>
          <w:sz w:val="16"/>
          <w:szCs w:val="16"/>
          <w:color w:val="auto"/>
        </w:rPr>
      </w:pPr>
    </w:p>
    <w:p>
      <w:pPr>
        <w:jc w:val="both"/>
        <w:ind w:firstLine="656"/>
        <w:spacing w:after="0" w:line="301" w:lineRule="auto"/>
        <w:tabs>
          <w:tab w:leader="none" w:pos="828"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Conditions to the Obligations of the Underwriters</w:t>
      </w:r>
      <w:r>
        <w:rPr>
          <w:rFonts w:ascii="Arial" w:cs="Arial" w:eastAsia="Arial" w:hAnsi="Arial"/>
          <w:sz w:val="16"/>
          <w:szCs w:val="16"/>
          <w:color w:val="auto"/>
        </w:rPr>
        <w:t>. The obligations of the Underwriters to purchase the Underwritten Securities and the Option Securities, as the case may be, shall be subject to the accuracy of the representations and warranties on the part of the Company contained herein as of the Execution Time, the Closing Date and any settlement date pursuant to Section 3 hereof, to the accuracy of the statements of the Company made in any certificates pursuant to the provisions hereof, to the performance by the Company of its obligations hereunder and to the following additional conditions:</w:t>
      </w:r>
    </w:p>
    <w:p>
      <w:pPr>
        <w:spacing w:after="0" w:line="157" w:lineRule="exact"/>
        <w:rPr>
          <w:rFonts w:ascii="Arial" w:cs="Arial" w:eastAsia="Arial" w:hAnsi="Arial"/>
          <w:sz w:val="16"/>
          <w:szCs w:val="16"/>
          <w:color w:val="auto"/>
        </w:rPr>
      </w:pPr>
    </w:p>
    <w:p>
      <w:pPr>
        <w:jc w:val="both"/>
        <w:ind w:left="660" w:firstLine="644"/>
        <w:spacing w:after="0" w:line="263" w:lineRule="auto"/>
        <w:tabs>
          <w:tab w:leader="none" w:pos="1559"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Prospectus, and any supplement thereto, have been filed in the manner and within the time period required by Rule 424(b); and no stop order suspending the effectiveness of the Registration Statement or any notice objecting to its use shall have been issued and no proceedings for that purpose shall have been instituted or threatened.</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612"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Company shall have requested and caused Kirkland &amp; Ellis LLP, counsel for the Company, to have furnished to the Representative its opinions (including negative assurance statements) dated the Closing Date and addressed to the Representative in form and substance acceptable to the Representative.</w:t>
      </w:r>
    </w:p>
    <w:p>
      <w:pPr>
        <w:spacing w:after="0" w:line="183" w:lineRule="exact"/>
        <w:rPr>
          <w:rFonts w:ascii="Arial" w:cs="Arial" w:eastAsia="Arial" w:hAnsi="Arial"/>
          <w:sz w:val="18"/>
          <w:szCs w:val="18"/>
          <w:color w:val="auto"/>
        </w:rPr>
      </w:pPr>
    </w:p>
    <w:p>
      <w:pPr>
        <w:ind w:left="660" w:firstLine="644"/>
        <w:spacing w:after="0" w:line="342" w:lineRule="auto"/>
        <w:tabs>
          <w:tab w:leader="none" w:pos="1551"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Company shall have requested and caused Maples and Calder, Cayman Islands counsel for the Company, to have furnished to the Representative its opinions dated the Closing Date and addressed to the Representative in form and substance acceptable to the Representative.</w:t>
      </w:r>
    </w:p>
    <w:p>
      <w:pPr>
        <w:spacing w:after="0" w:line="123" w:lineRule="exact"/>
        <w:rPr>
          <w:rFonts w:ascii="Arial" w:cs="Arial" w:eastAsia="Arial" w:hAnsi="Arial"/>
          <w:sz w:val="16"/>
          <w:szCs w:val="16"/>
          <w:color w:val="auto"/>
        </w:rPr>
      </w:pPr>
    </w:p>
    <w:p>
      <w:pPr>
        <w:jc w:val="both"/>
        <w:ind w:left="660" w:firstLine="644"/>
        <w:spacing w:after="0" w:line="257" w:lineRule="auto"/>
        <w:tabs>
          <w:tab w:leader="none" w:pos="1561"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Representative shall have received from Davis Polk &amp; Wardwell LLP, counsel for the Underwriters, such opinion or opinions and negative assurance letter, dated the Closing Date and addressed to the Representative, with respect to the issuance and sale of the Securities, the Registration Statement, the Statutory Prospectus, the Prospectus (together with any supplement thereto) and other related matters as the Representative may reasonably require, and the Company shall have furnished to such counsel such documents as they request for the purpose of enabling them to pass upon such matters.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left="-460" w:firstLine="644"/>
        <w:spacing w:after="0" w:line="259" w:lineRule="auto"/>
        <w:tabs>
          <w:tab w:leader="none" w:pos="43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 a certificate of the Company, signed by the Chief Executive Officer or Chief Financial Officer of the Company, dated the Closing Date, to the effect that the signer of such certificate has carefully examined the Registration Statement each Preliminary Prospectus, the Prospectus and any amendment or supplement thereto, as well as each road show used in connection with the Offering, and this Agreement and that:</w:t>
      </w:r>
    </w:p>
    <w:p>
      <w:pPr>
        <w:spacing w:after="0" w:line="186" w:lineRule="exact"/>
        <w:rPr>
          <w:rFonts w:ascii="Arial" w:cs="Arial" w:eastAsia="Arial" w:hAnsi="Arial"/>
          <w:sz w:val="18"/>
          <w:szCs w:val="18"/>
          <w:color w:val="auto"/>
        </w:rPr>
      </w:pPr>
    </w:p>
    <w:p>
      <w:pPr>
        <w:jc w:val="both"/>
        <w:ind w:left="840" w:firstLine="721"/>
        <w:spacing w:after="0" w:line="263" w:lineRule="auto"/>
        <w:tabs>
          <w:tab w:leader="none" w:pos="17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83" w:lineRule="exact"/>
        <w:rPr>
          <w:rFonts w:ascii="Arial" w:cs="Arial" w:eastAsia="Arial" w:hAnsi="Arial"/>
          <w:sz w:val="18"/>
          <w:szCs w:val="18"/>
          <w:color w:val="auto"/>
        </w:rPr>
      </w:pPr>
    </w:p>
    <w:p>
      <w:pPr>
        <w:ind w:left="840" w:firstLine="721"/>
        <w:spacing w:after="0" w:line="342" w:lineRule="auto"/>
        <w:tabs>
          <w:tab w:leader="none" w:pos="1836" w:val="left"/>
        </w:tabs>
        <w:numPr>
          <w:ilvl w:val="1"/>
          <w:numId w:val="33"/>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123" w:lineRule="exact"/>
        <w:rPr>
          <w:rFonts w:ascii="Arial" w:cs="Arial" w:eastAsia="Arial" w:hAnsi="Arial"/>
          <w:sz w:val="16"/>
          <w:szCs w:val="16"/>
          <w:color w:val="auto"/>
        </w:rPr>
      </w:pPr>
    </w:p>
    <w:p>
      <w:pPr>
        <w:jc w:val="both"/>
        <w:ind w:left="840" w:firstLine="721"/>
        <w:spacing w:after="0" w:line="263" w:lineRule="auto"/>
        <w:tabs>
          <w:tab w:leader="none" w:pos="1908" w:val="left"/>
        </w:tabs>
        <w:numPr>
          <w:ilvl w:val="1"/>
          <w:numId w:val="33"/>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in the Statutory Prospectus and the Prospectus (exclusive of any supplement thereto), there has been no Material Adverse Effect, except as set forth in or contemplated in the Statutory Prospectus and the Prospectus (exclusive of any supplement thereto).</w:t>
      </w:r>
    </w:p>
    <w:p>
      <w:pPr>
        <w:spacing w:after="0" w:line="183" w:lineRule="exact"/>
        <w:rPr>
          <w:rFonts w:ascii="Arial" w:cs="Arial" w:eastAsia="Arial" w:hAnsi="Arial"/>
          <w:sz w:val="18"/>
          <w:szCs w:val="18"/>
          <w:color w:val="auto"/>
        </w:rPr>
      </w:pPr>
    </w:p>
    <w:p>
      <w:pPr>
        <w:jc w:val="both"/>
        <w:ind w:left="-460" w:firstLine="644"/>
        <w:spacing w:after="0" w:line="257" w:lineRule="auto"/>
        <w:tabs>
          <w:tab w:leader="none" w:pos="4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 a certificate signed by the Secretary of the Company, dated the Closing Date, certifying (i) that the Charter is true and complete, has not been modified and is in full force and effect, (ii) that the resolutions relating to the Offering contemplated by this Agreement are in full force and effect and have not been modified, (iii) copies of all correspondence between the Company or its counsel and the Commission, and (iv) as to the incumbency of the officers of the Company. The documents referred to in such certificate shall be attached to such certificate.</w:t>
      </w:r>
    </w:p>
    <w:p>
      <w:pPr>
        <w:spacing w:after="0" w:line="187" w:lineRule="exact"/>
        <w:rPr>
          <w:rFonts w:ascii="Arial" w:cs="Arial" w:eastAsia="Arial" w:hAnsi="Arial"/>
          <w:sz w:val="18"/>
          <w:szCs w:val="18"/>
          <w:color w:val="auto"/>
        </w:rPr>
      </w:pPr>
    </w:p>
    <w:p>
      <w:pPr>
        <w:jc w:val="both"/>
        <w:ind w:left="-460" w:firstLine="644"/>
        <w:spacing w:after="0" w:line="254" w:lineRule="auto"/>
        <w:tabs>
          <w:tab w:leader="none" w:pos="4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Company shall have requested and caused Marcum to have furnished to the Representative, at the Execution Time and at the Closing Date, letters, dated respectively as of the Execution Time and as of the Closing Date, in form and substance satisfactory to the Representative, confirming that they are a registered public accounting firm that is independent with respect to the Company within the meaning of the Act and the Exchange Act and the applicable rules and regulations adopted by the Commission thereunder and that they have performed a review of the audited financial statements of the Company for the period from December 18, 2019 (inception) through December 31, 2020,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cutoff date shall not be more than two Business Days prior to such Execution Time or Closing Date, as applicable, and stating in effect that:</w:t>
      </w:r>
    </w:p>
    <w:p>
      <w:pPr>
        <w:spacing w:after="0" w:line="194" w:lineRule="exact"/>
        <w:rPr>
          <w:rFonts w:ascii="Arial" w:cs="Arial" w:eastAsia="Arial" w:hAnsi="Arial"/>
          <w:sz w:val="18"/>
          <w:szCs w:val="18"/>
          <w:color w:val="auto"/>
        </w:rPr>
      </w:pPr>
    </w:p>
    <w:p>
      <w:pPr>
        <w:jc w:val="both"/>
        <w:ind w:left="840" w:firstLine="721"/>
        <w:spacing w:after="0" w:line="311" w:lineRule="auto"/>
        <w:tabs>
          <w:tab w:leader="none" w:pos="1812"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 their opinion the audited financial statements and financial statement schedules included in the Registration Statement, the Statutory Prospectus and the Prospectus and reported on by them comply as to form in all material respects with the applicable accounting requirements of the Act and the related rules and regulations adopted by the Commission; and</w:t>
      </w:r>
    </w:p>
    <w:p>
      <w:pPr>
        <w:spacing w:after="0" w:line="148" w:lineRule="exact"/>
        <w:rPr>
          <w:rFonts w:ascii="Arial" w:cs="Arial" w:eastAsia="Arial" w:hAnsi="Arial"/>
          <w:sz w:val="16"/>
          <w:szCs w:val="16"/>
          <w:color w:val="auto"/>
        </w:rPr>
      </w:pPr>
    </w:p>
    <w:p>
      <w:pPr>
        <w:jc w:val="both"/>
        <w:ind w:left="840" w:firstLine="721"/>
        <w:spacing w:after="0" w:line="255" w:lineRule="auto"/>
        <w:tabs>
          <w:tab w:leader="none" w:pos="1885"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set forth in the Registration Statement, the Statutory Prospectus and the Prospectus, including the information set forth under the captions “Dilution” and “Capitalization” in the Statutory Prospectus and the Prospectus, agrees with the accounting records of the Company, excluding any questions of legal interpretation.</w:t>
      </w: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References to the Prospectus in this paragraph (g) include any supplement thereto at the date of the letter.</w:t>
      </w:r>
    </w:p>
    <w:p>
      <w:pPr>
        <w:spacing w:after="0" w:line="225" w:lineRule="exact"/>
        <w:rPr>
          <w:sz w:val="20"/>
          <w:szCs w:val="20"/>
          <w:color w:val="auto"/>
        </w:rPr>
      </w:pPr>
    </w:p>
    <w:p>
      <w:pPr>
        <w:jc w:val="both"/>
        <w:ind w:firstLine="644"/>
        <w:spacing w:after="0" w:line="253" w:lineRule="auto"/>
        <w:tabs>
          <w:tab w:leader="none" w:pos="907"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Subsequent to the Execution Time or, if earlier, the dates as of which information is given in the Registration Statement (exclusive of any amendment thereof), the Statutory Prospectus and the Prospectus (exclusive of any supplement thereto), there shall not have been (i) any change or decrease specified in the letter or letters referred to in paragraph (g) of this Section 6 or (ii) any change, or any development involving a prospective change, in or affecting the condition (financial or otherwise), earnings, business or properties of the Company, whether or not arising from transactions in the ordinary course of business, except as set forth in or contemplated in the Statutory Prospectus and the Prospectus (exclusive of any supplement thereto) the effect of which, in any case referred to in clause (i) or (ii) above, is, in the sole judgment of the Representative, so material and adverse as to make it impractical or inadvisable to proceed with the offering or delivery of the Securities as contemplated by the Registration Statement (exclusive of any amendment thereof), the Statutory Prospectus and the Prospectus (exclusive of any supplement thereto).</w:t>
      </w:r>
    </w:p>
    <w:p>
      <w:pPr>
        <w:spacing w:after="0" w:line="196" w:lineRule="exact"/>
        <w:rPr>
          <w:rFonts w:ascii="Arial" w:cs="Arial" w:eastAsia="Arial" w:hAnsi="Arial"/>
          <w:sz w:val="18"/>
          <w:szCs w:val="18"/>
          <w:color w:val="auto"/>
        </w:rPr>
      </w:pPr>
    </w:p>
    <w:p>
      <w:pPr>
        <w:ind w:right="20" w:firstLine="644"/>
        <w:spacing w:after="0" w:line="277" w:lineRule="auto"/>
        <w:tabs>
          <w:tab w:leader="none" w:pos="867"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FINRA shall not have raised any objection with respect to the fairness or reasonableness of the underwriting or other arrangements of the transactions contemplated hereby.</w:t>
      </w:r>
    </w:p>
    <w:p>
      <w:pPr>
        <w:spacing w:after="0" w:line="170" w:lineRule="exact"/>
        <w:rPr>
          <w:rFonts w:ascii="Arial" w:cs="Arial" w:eastAsia="Arial" w:hAnsi="Arial"/>
          <w:sz w:val="18"/>
          <w:szCs w:val="18"/>
          <w:color w:val="auto"/>
        </w:rPr>
      </w:pPr>
    </w:p>
    <w:p>
      <w:pPr>
        <w:ind w:firstLine="644"/>
        <w:spacing w:after="0" w:line="277" w:lineRule="auto"/>
        <w:tabs>
          <w:tab w:leader="none" w:pos="8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Securities shall be duly listed subject to notice of issuance on the New York Stock Exchange, satisfactory evidence of which shall have been provided to the Representative.</w:t>
      </w:r>
    </w:p>
    <w:p>
      <w:pPr>
        <w:spacing w:after="0" w:line="170" w:lineRule="exact"/>
        <w:rPr>
          <w:rFonts w:ascii="Arial" w:cs="Arial" w:eastAsia="Arial" w:hAnsi="Arial"/>
          <w:sz w:val="18"/>
          <w:szCs w:val="18"/>
          <w:color w:val="auto"/>
        </w:rPr>
      </w:pPr>
    </w:p>
    <w:p>
      <w:pPr>
        <w:jc w:val="both"/>
        <w:ind w:firstLine="644"/>
        <w:spacing w:after="0" w:line="263" w:lineRule="auto"/>
        <w:tabs>
          <w:tab w:leader="none" w:pos="9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the Effective Date, the Company shall have delivered to the Representative executed copies of the Trust Agreement, the Warrant Agreement, the Founder’s Purchase Agreement, the Registration Rights Agreement, the Services Agreement, the Warrant Subscription Agreement and the Insider Letters.</w:t>
      </w:r>
    </w:p>
    <w:p>
      <w:pPr>
        <w:spacing w:after="0" w:line="183" w:lineRule="exact"/>
        <w:rPr>
          <w:rFonts w:ascii="Arial" w:cs="Arial" w:eastAsia="Arial" w:hAnsi="Arial"/>
          <w:sz w:val="18"/>
          <w:szCs w:val="18"/>
          <w:color w:val="auto"/>
        </w:rPr>
      </w:pPr>
    </w:p>
    <w:p>
      <w:pPr>
        <w:ind w:firstLine="644"/>
        <w:spacing w:after="0" w:line="277" w:lineRule="auto"/>
        <w:tabs>
          <w:tab w:leader="none" w:pos="8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least one (1) Business Day prior to the Closing Date, the Sponsor shall have caused certain proceeds from the sale of the Private Placement Warrants to be deposited into the Trust Account.</w:t>
      </w:r>
    </w:p>
    <w:p>
      <w:pPr>
        <w:spacing w:after="0" w:line="170" w:lineRule="exact"/>
        <w:rPr>
          <w:rFonts w:ascii="Arial" w:cs="Arial" w:eastAsia="Arial" w:hAnsi="Arial"/>
          <w:sz w:val="18"/>
          <w:szCs w:val="18"/>
          <w:color w:val="auto"/>
        </w:rPr>
      </w:pPr>
    </w:p>
    <w:p>
      <w:pPr>
        <w:ind w:firstLine="644"/>
        <w:spacing w:after="0" w:line="342" w:lineRule="auto"/>
        <w:tabs>
          <w:tab w:leader="none" w:pos="956"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 order preventing or suspending the sale of the Units in any jurisdiction designated by the Representative pursuant to Section 5(ii) hereof shall have been issued as of the Closing Date, and no proceedings for that purpose shall have been instituted or shall have been threatened.</w:t>
      </w:r>
    </w:p>
    <w:p>
      <w:pPr>
        <w:spacing w:after="0" w:line="33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2" w:name="page33"/>
    <w:bookmarkEnd w:id="32"/>
    <w:p>
      <w:pPr>
        <w:jc w:val="both"/>
        <w:ind w:firstLine="648"/>
        <w:spacing w:after="0" w:line="301" w:lineRule="auto"/>
        <w:rPr>
          <w:sz w:val="20"/>
          <w:szCs w:val="20"/>
          <w:color w:val="auto"/>
        </w:rPr>
      </w:pPr>
      <w:r>
        <w:rPr>
          <w:rFonts w:ascii="Arial" w:cs="Arial" w:eastAsia="Arial" w:hAnsi="Arial"/>
          <w:sz w:val="16"/>
          <w:szCs w:val="16"/>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 and counsel for the Underwriters, this Agreement and all obligations of the Underwriters hereunder may be canceled at, or at any time prior to, the Closing Date by the Representative. Notice of such cancellation shall be given to the Company in writing or by telephone or facsimile confirmed in writing.</w:t>
      </w:r>
    </w:p>
    <w:p>
      <w:pPr>
        <w:spacing w:after="0" w:line="15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documents required to be delivered by this Section 6 shall be delivered at the office of Davis Polk &amp; Wardwell LLP, counsel for the Underwriters, at 450 Lexington Avenue, New York, New York 10017, unless otherwise indicated herein, on the Closing Date.</w:t>
      </w:r>
    </w:p>
    <w:p>
      <w:pPr>
        <w:spacing w:after="0" w:line="170" w:lineRule="exact"/>
        <w:rPr>
          <w:sz w:val="20"/>
          <w:szCs w:val="20"/>
          <w:color w:val="auto"/>
        </w:rPr>
      </w:pPr>
    </w:p>
    <w:p>
      <w:pPr>
        <w:jc w:val="both"/>
        <w:ind w:firstLine="656"/>
        <w:spacing w:after="0" w:line="255" w:lineRule="auto"/>
        <w:tabs>
          <w:tab w:leader="none" w:pos="82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Reimbursement of Underwriters’ Expenses</w:t>
      </w:r>
      <w:r>
        <w:rPr>
          <w:rFonts w:ascii="Arial" w:cs="Arial" w:eastAsia="Arial" w:hAnsi="Arial"/>
          <w:sz w:val="18"/>
          <w:szCs w:val="18"/>
          <w:color w:val="auto"/>
        </w:rPr>
        <w:t>. If the sale of the Securities provided for herein is not consummated because any condition to the obligations of the Underwriters set forth in Section 6 hereof is not satisfied, because of any termination pursuant to Section 10 hereof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 on demand for all reasonable out-of-pocket expenses (including reasonable fees and disbursements of Underwriters’ counsel) that shall have been incurred by them in connection with the proposed purchase and sale of the Securities.</w:t>
      </w:r>
    </w:p>
    <w:p>
      <w:pPr>
        <w:spacing w:after="0" w:line="192" w:lineRule="exact"/>
        <w:rPr>
          <w:rFonts w:ascii="Arial" w:cs="Arial" w:eastAsia="Arial" w:hAnsi="Arial"/>
          <w:sz w:val="18"/>
          <w:szCs w:val="18"/>
          <w:color w:val="auto"/>
        </w:rPr>
      </w:pPr>
    </w:p>
    <w:p>
      <w:pPr>
        <w:jc w:val="both"/>
        <w:ind w:firstLine="656"/>
        <w:spacing w:after="0" w:line="286" w:lineRule="auto"/>
        <w:tabs>
          <w:tab w:leader="none" w:pos="868"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 xml:space="preserve">. (a) The Company agrees to indemnify and hold harmless each Underwriter, the directors, officers, employees, affiliates and agents of each Underwriter, each person who controls any Underwriter within the meaning of either the Act or the Exchange Act and each affiliate of each Underwriter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any Preliminary Prospectus, the Statutory Prospectus, the Prospectus, any “road show” as defined in Section 433(h) of the Act or any Written Testing-the-Waters Communication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 specifically for inclusion therein, it being understood and agreed that the only such information furnished by any Underwriter consists of the information described in the last sentence of Section (b) hereof. This indemnity agreement will be in addition to any liability that the Company may otherwise have.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left="-460" w:firstLine="644"/>
        <w:spacing w:after="0" w:line="269" w:lineRule="auto"/>
        <w:tabs>
          <w:tab w:leader="none" w:pos="464" w:val="left"/>
        </w:tabs>
        <w:numPr>
          <w:ilvl w:val="0"/>
          <w:numId w:val="36"/>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the Company, each of its directors, each of its officers who signs the Registration Statement, and each person who controls the Company within the meaning of either the Act or the Exchange Act, to the same extent as the foregoing indemnity from the Company to each Underwriter, but only with reference to written information relating to such Underwriter furnished to the Company by or on behalf of such Underwriter through the Representative specifically for inclusion in the documents referred to in the foregoing indemnity. This indemnity agreement will be in addition to any liability that any Underwriter may otherwise have. The Company acknowledges that the statements set forth (i) in the last paragraph of the cover page regarding delivery of the Securities and (ii) under the heading “Underwriting” (x) the list of Underwriters and their respective roles and participation in the sale of the Securities, (y) the third sentence in the third paragraph and (z) the thirteenth and fourteenth paragraphs, in the Preliminary Prospectus and the Prospectus constitute the only information furnished in writing by or on behalf of the several Underwriters for inclusion in the Preliminary Prospectus, the Statutory Prospectus or the Prospectus.</w:t>
      </w:r>
    </w:p>
    <w:p>
      <w:pPr>
        <w:spacing w:after="0" w:line="185" w:lineRule="exact"/>
        <w:rPr>
          <w:rFonts w:ascii="Arial" w:cs="Arial" w:eastAsia="Arial" w:hAnsi="Arial"/>
          <w:sz w:val="17"/>
          <w:szCs w:val="17"/>
          <w:color w:val="auto"/>
        </w:rPr>
      </w:pPr>
    </w:p>
    <w:p>
      <w:pPr>
        <w:jc w:val="both"/>
        <w:ind w:left="-460" w:firstLine="644"/>
        <w:spacing w:after="0" w:line="284" w:lineRule="auto"/>
        <w:tabs>
          <w:tab w:leader="none" w:pos="442"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one counsel of the indemnifying party’s choice at the indemnifying party’s expense to represent all indemnified parties in any action for which indemnification is sought (in which case the indemnifying party shall not thereafter be responsible for the fees and expenses of any separate counsel retained by the indemnified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reasonably satisfactory to the indemnified parties. Notwithstanding the indemnifying party’s election to appoint one counsel to represent all indemnified parties in an action, the indemnified parties shall have the right to employ one separate counsel (including one local counsel), and the indemnifying party shall bear the reasonable fees, costs and expenses of such separate counsel if (i) the use of counsel chosen by the indemnifying party to represent the indemnified parties would present such counsel with a conflict of interest, (ii) the actual or potential defendants in, or targets of, any such action include both the indemnified parties and the indemnifying party and the indemnified parties shall have reasonably concluded that there may be legal defenses available to it and/or other indemnified parties that are different from or additional to those available to the indemnifying party, (iii) the indemnifying party shall not have employed counsel satisfactory to the indemnified parties to represent the indemnified parties within a reasonable time after notice of the institution of such action or (iv) the indemnifying party shall authorize the indemnified parties to employ separate counsel at the expense of the indemnifying party. An indemnifying party will not, without the prior written consent of the indemnified parties (which consent shall not be unreasonably withheld, delayed or conditioned),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an admission of fault.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4" w:name="page35"/>
    <w:bookmarkEnd w:id="34"/>
    <w:p>
      <w:pPr>
        <w:jc w:val="both"/>
        <w:ind w:left="-460" w:firstLine="644"/>
        <w:spacing w:after="0" w:line="284" w:lineRule="auto"/>
        <w:tabs>
          <w:tab w:leader="none" w:pos="45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In the event that the indemnity provided in paragraph (a) or (b) of this Section 8 is unavailable to or insufficient to hold harmless an indemnified party for any reason, the Company and the Underwriters severally agree to contribute to the aggregate losses, claims, damages and liabilities (including legal or other expenses reasonably incurred in connection with investigating or defending the same) (collectively “Losses”) to which the Company and one or more of the Underwriters may be subject in such proportion as is appropriate to reflect the relative benefits received by the Company on the one hand and by the Underwriters on the other from the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shall any Underwriter (except as may be provided in any agreement among underwriters relating to the Offering) be responsible for any amount in excess of the underwriting discount or commission received by such Underwriter applicable to the Securities purchased by such Underwriter hereunder. If the allocation provided by the immediately preceding sentence is unavailable for any reason,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that resulted in such Losses as well as any other relevant equitable considerations. Benefits received by the Company shall be deemed to be equal to the total net proceeds from the Offering (before deducting expenses) received by it, and benefits received by the Underwriters shall be deemed to be equal to the total underwriting discounts and commissions received,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that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an Underwriter within the meaning of either the Act or the Exchange Act and each director, officer, employee, affiliate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38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5" w:name="page36"/>
    <w:bookmarkEnd w:id="35"/>
    <w:p>
      <w:pPr>
        <w:jc w:val="both"/>
        <w:ind w:firstLine="656"/>
        <w:spacing w:after="0" w:line="286" w:lineRule="auto"/>
        <w:tabs>
          <w:tab w:leader="none" w:pos="828"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Default by an Underwriter</w:t>
      </w:r>
      <w:r>
        <w:rPr>
          <w:rFonts w:ascii="Arial" w:cs="Arial" w:eastAsia="Arial" w:hAnsi="Arial"/>
          <w:sz w:val="16"/>
          <w:szCs w:val="16"/>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that the amount of Securities set forth opposite their names in Schedule I hereto bears to the aggregate amount of Securities set forth opposite the names of all the remaining Underwriters) the Securities that the defaulting Underwriter or Underwriters agreed but failed to purchase;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aggregate amount of Securities that the defaulting Underwriter or Underwriters agreed but failed to purchase shall exceed 10% of the underwritten Securities, the remaining Underwriters shall have the right to purchase all, but shall not be under any obligation to purchase any, of the Securities. If within one Business Day after such default relating to more than 10% of the Underwritten Securities the remaining Underwriters do not arrange for the purchase of such Underwritten Securities, then the Company shall be entitled to a further period of one Business Day within which to procure another party or parties reasonably satisfactory to you to purchase said Underwritten Securities. In the event that neither the remaining Underwriters nor the Company purchase or arrange for the purchase of all of the Underwritten Securities to which a default relates as provided in this Section 9, this Agreement will terminate without liability to any nondefaulting Underwriter or the Company. In the event of a default by any Underwriter as set forth in this Section 9, the Closing Date shall be postponed for such period, not exceeding five Business Days, as the Representative shall determine in order that the required changes in the Registration Statement and the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67" w:lineRule="exact"/>
        <w:rPr>
          <w:rFonts w:ascii="Arial" w:cs="Arial" w:eastAsia="Arial" w:hAnsi="Arial"/>
          <w:sz w:val="16"/>
          <w:szCs w:val="16"/>
          <w:color w:val="auto"/>
        </w:rPr>
      </w:pPr>
    </w:p>
    <w:p>
      <w:pPr>
        <w:jc w:val="both"/>
        <w:ind w:firstLine="656"/>
        <w:spacing w:after="0" w:line="288" w:lineRule="auto"/>
        <w:tabs>
          <w:tab w:leader="none" w:pos="918"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be subject to termination in the absolute discretion of the Representative, by notice given to the Company prior to delivery of and payment for the Securities, if at any time prior to such delivery and payment (i) trading in the Company’s Units, Ordinary Shares or Warrants shall have been suspended by the Commission, the Company shall not have obtained authorization for quotation of the Ordinary Share, Warrants or Units on the New York Stock Exchange or successor trading market or trading in securities generally on the New York Stock Exchange or the Nasdaq Capital Market (or successor trading market) shall have been suspended or limited or minimum prices shall have been established on such exchange or trading market, (ii) a banking moratorium shall have been declared either by Federal or New York State authorities, (iii) there shall have occurred a material disruption in commercial banking or securities settlement or clearance services or (iv) there shall have occurred any outbreak or escalation of hostilities, declaration by the United States of a national emergency or war, or other national or international calamity or crisis the effect of which on financial markets is such as to make it, in the sole judgment of the Representative, impractical or inadvisable to proceed with the offering or delivery of the Securities as contemplated by the Statutory Prospectus or the Prospectus (exclusive of any supplement thereto).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656"/>
        <w:spacing w:after="0" w:line="257" w:lineRule="auto"/>
        <w:tabs>
          <w:tab w:leader="none" w:pos="92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or its officers and of the Underwriters set forth in or made pursuant to this Agreement will remain in full force and effect, regardless of any investigation made by or on behalf of any Underwriter or the Company or any of the officers, directors, employees, agents, affiliates or controlling persons referred to in Section 8 hereof, and will survive delivery of and payment for the Securities. The provisions of Sections 7 and 8 hereof shall survive the termination or cancellation of this Agreement.</w:t>
      </w:r>
    </w:p>
    <w:p>
      <w:pPr>
        <w:spacing w:after="0" w:line="187" w:lineRule="exact"/>
        <w:rPr>
          <w:rFonts w:ascii="Arial" w:cs="Arial" w:eastAsia="Arial" w:hAnsi="Arial"/>
          <w:sz w:val="18"/>
          <w:szCs w:val="18"/>
          <w:color w:val="auto"/>
        </w:rPr>
      </w:pPr>
    </w:p>
    <w:p>
      <w:pPr>
        <w:jc w:val="both"/>
        <w:ind w:firstLine="656"/>
        <w:spacing w:after="0" w:line="257" w:lineRule="auto"/>
        <w:tabs>
          <w:tab w:leader="none" w:pos="93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Representative, will be mailed, delivered or telefaxed to: Citigroup Global Markets Inc., at 388 Greenwich Street, New York, New York 10013, fax no.: (646) 291-1469, Attention: General Counsel; or, if sent to the Company, will be mailed or delivered to 1601 Bryan Street, Suite 4141, Dallas, Texas 75201, Attention: Chief Executive Officer, and confirmed to the Company’s counsel at Kirkland &amp; Ellis LLP, 601 Lexington Avenue, New York, New York 10022, Attention: Christian O. Nagler and Peter S. Seligson.</w:t>
      </w:r>
    </w:p>
    <w:p>
      <w:pPr>
        <w:spacing w:after="0" w:line="187" w:lineRule="exact"/>
        <w:rPr>
          <w:rFonts w:ascii="Arial" w:cs="Arial" w:eastAsia="Arial" w:hAnsi="Arial"/>
          <w:sz w:val="18"/>
          <w:szCs w:val="18"/>
          <w:color w:val="auto"/>
        </w:rPr>
      </w:pPr>
    </w:p>
    <w:p>
      <w:pPr>
        <w:ind w:right="20" w:firstLine="656"/>
        <w:spacing w:after="0" w:line="342" w:lineRule="auto"/>
        <w:tabs>
          <w:tab w:leader="none" w:pos="918"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23" w:lineRule="exact"/>
        <w:rPr>
          <w:rFonts w:ascii="Arial" w:cs="Arial" w:eastAsia="Arial" w:hAnsi="Arial"/>
          <w:sz w:val="16"/>
          <w:szCs w:val="16"/>
          <w:color w:val="auto"/>
        </w:rPr>
      </w:pPr>
    </w:p>
    <w:p>
      <w:pPr>
        <w:ind w:left="920" w:hanging="264"/>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561"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1598"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As used in this Section 14,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and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656"/>
        <w:spacing w:after="0" w:line="291" w:lineRule="auto"/>
        <w:tabs>
          <w:tab w:leader="none" w:pos="918"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No Fiduciary Duty</w:t>
      </w:r>
      <w:r>
        <w:rPr>
          <w:rFonts w:ascii="Arial" w:cs="Arial" w:eastAsia="Arial" w:hAnsi="Arial"/>
          <w:sz w:val="16"/>
          <w:szCs w:val="16"/>
          <w:color w:val="auto"/>
        </w:rPr>
        <w:t>. The Company hereby acknowledges that (a) the purchase and sale of the Securities pursuant to this Agreement is an arm’s-length commercial transaction between the Company, on the one hand, and the Underwriters and any affiliate through which it may be acting, on the other,</w:t>
      </w:r>
    </w:p>
    <w:p>
      <w:pPr>
        <w:jc w:val="both"/>
        <w:ind w:firstLine="8"/>
        <w:spacing w:after="0" w:line="252" w:lineRule="auto"/>
        <w:tabs>
          <w:tab w:leader="none" w:pos="2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Underwriters are acting as principal and not as an agent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w:t>
      </w:r>
    </w:p>
    <w:p>
      <w:pPr>
        <w:spacing w:after="0" w:line="193" w:lineRule="exact"/>
        <w:rPr>
          <w:rFonts w:ascii="Arial" w:cs="Arial" w:eastAsia="Arial" w:hAnsi="Arial"/>
          <w:sz w:val="18"/>
          <w:szCs w:val="18"/>
          <w:color w:val="auto"/>
        </w:rPr>
      </w:pPr>
    </w:p>
    <w:p>
      <w:pPr>
        <w:ind w:right="20" w:firstLine="656"/>
        <w:spacing w:after="0" w:line="277" w:lineRule="auto"/>
        <w:tabs>
          <w:tab w:leader="none" w:pos="931"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Company and the Underwriters, or any of them, with respect to the subject matter hereof.</w:t>
      </w:r>
    </w:p>
    <w:p>
      <w:pPr>
        <w:spacing w:after="0" w:line="170" w:lineRule="exact"/>
        <w:rPr>
          <w:rFonts w:ascii="Arial" w:cs="Arial" w:eastAsia="Arial" w:hAnsi="Arial"/>
          <w:sz w:val="18"/>
          <w:szCs w:val="18"/>
          <w:color w:val="auto"/>
        </w:rPr>
      </w:pPr>
    </w:p>
    <w:p>
      <w:pPr>
        <w:ind w:right="20" w:firstLine="656"/>
        <w:spacing w:after="0" w:line="277" w:lineRule="auto"/>
        <w:tabs>
          <w:tab w:leader="none" w:pos="931"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66" w:lineRule="exact"/>
        <w:rPr>
          <w:rFonts w:ascii="Arial" w:cs="Arial" w:eastAsia="Arial" w:hAnsi="Arial"/>
          <w:sz w:val="18"/>
          <w:szCs w:val="18"/>
          <w:color w:val="auto"/>
        </w:rPr>
      </w:pPr>
    </w:p>
    <w:p>
      <w:pPr>
        <w:jc w:val="both"/>
        <w:ind w:right="180" w:firstLine="656"/>
        <w:spacing w:after="0" w:line="266" w:lineRule="auto"/>
        <w:tabs>
          <w:tab w:leader="none" w:pos="918" w:val="left"/>
        </w:tabs>
        <w:numPr>
          <w:ilvl w:val="1"/>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THE COMPANY HEREBY IRREVOCABLY WAIVES, TO THE FULLEST EXTENT PERMITTED BY APPLICABLE LAW, ANY AND ALL RIGHT TO TRIAL BY JURY IN ANY LEGAL PROCEEDING ARISING OUT OF OR RELATING TO THIS AGREEMENT OR THE TRANSACTIONS CONTEMPLATED HEREBY.</w:t>
      </w:r>
    </w:p>
    <w:p>
      <w:pPr>
        <w:spacing w:after="0" w:line="179" w:lineRule="exact"/>
        <w:rPr>
          <w:rFonts w:ascii="Arial" w:cs="Arial" w:eastAsia="Arial" w:hAnsi="Arial"/>
          <w:sz w:val="18"/>
          <w:szCs w:val="18"/>
          <w:color w:val="auto"/>
        </w:rPr>
      </w:pPr>
    </w:p>
    <w:p>
      <w:pPr>
        <w:ind w:firstLine="656"/>
        <w:spacing w:after="0" w:line="277" w:lineRule="auto"/>
        <w:tabs>
          <w:tab w:leader="none" w:pos="918"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 shall mean the Securities Act of 1933, as amended, and the rules and regulations of the Commission promulgated thereunder.</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“Commission” shall mean the U.S. Securities and Exchange Commission.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648"/>
        <w:spacing w:after="0" w:line="277" w:lineRule="auto"/>
        <w:rPr>
          <w:sz w:val="20"/>
          <w:szCs w:val="20"/>
          <w:color w:val="auto"/>
        </w:rPr>
      </w:pPr>
      <w:r>
        <w:rPr>
          <w:rFonts w:ascii="Arial" w:cs="Arial" w:eastAsia="Arial" w:hAnsi="Arial"/>
          <w:sz w:val="18"/>
          <w:szCs w:val="18"/>
          <w:color w:val="auto"/>
        </w:rPr>
        <w:t>“Effective Date” shall mean each date and time that the Registration Statement, any post-effective amendment or amendments thereto and any Rule 462(b) Registration Statement became or becomes effective.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“Execution Time” shall mean the date and time that this Agreement is executed and delivered by the parties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“Free Writing Prospectus” shall mean a free writing prospectus, as defined in Rule 405.</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“Liquidation” shall mean the distributions of the Trust Account to the Public Shareholders in connection with the redemption of Ordinary Shares held by the Public Shareholders pursuant to the terms of the Charter if the Company fails to consummate an initial Business Combination.</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“Preliminary Prospectus” shall mean any preliminary prospectus referred to in paragraph 1(a) above and any preliminary prospectus included in the Registration Statement at the Effective Date that omits Rule 430A Information.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“Prospectus” shall mean the prospectus relating to the Securities that is first filed pursuant to Rule 424(b) after the Execution Time.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“Registration Statement” shall mean the registration statement referred to in paragraph 1(a) above, including exhibits and financial statements and any prospectus and prospectus supplement relating to the Securities that is filed with the Commission pursuant to Rule 424(b) and deemed part of such registration statement pursuant to Rule 430A, as amended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“Rule 158”, “Rule 172”, “Rule 405”, “Rule 419”, “Rule 424”, “Rule 430A”, “Rule 433” and “Rule 462” refer to such rules under the Act.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“Rule 430A Information” shall mean information with respect to the Securities and the offering thereof permitted to be omitted from the Registration Statement when it becomes effective pursuant to Rule 430A.</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“Statutory Prospectus” shall mean (i) the Preliminary Prospectus dated May 1, 2020, relating to the Securities and (ii) the Time of Delivery Information, if any, set forth on Schedule II hereto.</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3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Sustainable Opportunities Acquisition Corp.</w:t>
      </w:r>
    </w:p>
    <w:p>
      <w:pPr>
        <w:spacing w:after="0" w:line="23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tabs>
          <w:tab w:leader="none" w:pos="7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Scott Leonard</w:t>
      </w:r>
    </w:p>
    <w:p>
      <w:pPr>
        <w:spacing w:after="0" w:line="23" w:lineRule="exact"/>
        <w:rPr>
          <w:sz w:val="20"/>
          <w:szCs w:val="20"/>
          <w:color w:val="auto"/>
        </w:rPr>
      </w:pPr>
    </w:p>
    <w:p>
      <w:pPr>
        <w:ind w:left="7200"/>
        <w:spacing w:after="0"/>
        <w:tabs>
          <w:tab w:leader="none" w:pos="7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Pavan Bellur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25628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Pavan Bellur</w:t>
      </w:r>
    </w:p>
    <w:p>
      <w:pPr>
        <w:spacing w:after="0" w:line="2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Title:</w:t>
        <w:tab/>
        <w:t>Managing Director</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0" w:name="page41"/>
    <w:bookmarkEnd w:id="40"/>
    <w:p>
      <w:pPr>
        <w:jc w:val="right"/>
        <w:ind w:right="3240"/>
        <w:spacing w:after="0"/>
        <w:rPr>
          <w:sz w:val="20"/>
          <w:szCs w:val="20"/>
          <w:color w:val="auto"/>
        </w:rPr>
      </w:pPr>
      <w:r>
        <w:rPr>
          <w:rFonts w:ascii="Arial" w:cs="Arial" w:eastAsia="Arial" w:hAnsi="Arial"/>
          <w:sz w:val="18"/>
          <w:szCs w:val="18"/>
          <w:u w:val="single" w:color="auto"/>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97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32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Underwritten</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Securities to</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be Purchased</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40640</wp:posOffset>
            </wp:positionV>
            <wp:extent cx="7029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30,000,000</w:t>
      </w:r>
    </w:p>
    <w:p>
      <w:pPr>
        <w:sectPr>
          <w:pgSz w:w="11900" w:h="16838" w:orient="portrait"/>
          <w:cols w:equalWidth="0" w:num="2">
            <w:col w:w="9380" w:space="720"/>
            <w:col w:w="1040"/>
          </w:cols>
          <w:pgMar w:left="320" w:top="800" w:right="4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u w:val="single" w:color="auto"/>
          <w:color w:val="auto"/>
        </w:rPr>
        <w:t>SCHEDULE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TIME OF DELIVERY INFORMATION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Sustainable Opportunities Acquisition Corp. priced 30,000,000 units at $10.00 per unit plus an additional 4,500,000 units if the underwriters exercise their over-allotment option in full.</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u w:val="single" w:color="auto"/>
          <w:color w:val="auto"/>
        </w:rPr>
        <w:t>SCHEDULE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OF WRITTEN TESTING-THE-WATERS COMMUNICATIONS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Reference is made to the materials used in the testing the waters presentation made to potential investors by the Company, to the extent such materials are deemed to be a “written communication” within the meaning of Rule 405 under the Securities Act.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THE COMPANIES LAW (2020 REVISION)</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COMPANY LIMITED BY SHARES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00" w:lineRule="exact"/>
        <w:rPr>
          <w:sz w:val="20"/>
          <w:szCs w:val="20"/>
          <w:color w:val="auto"/>
        </w:rPr>
      </w:pPr>
    </w:p>
    <w:p>
      <w:pPr>
        <w:spacing w:after="0" w:line="22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241"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(ADOPTED BY SPECIAL RESOLUTION DATED 5 MAY 2020 AND EFFECTIVE ON 5 MAY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973455</wp:posOffset>
            </wp:positionV>
            <wp:extent cx="1208405" cy="13290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340"/>
        <w:spacing w:after="0"/>
        <w:rPr>
          <w:sz w:val="20"/>
          <w:szCs w:val="20"/>
          <w:color w:val="auto"/>
        </w:rPr>
      </w:pPr>
      <w:r>
        <w:rPr>
          <w:rFonts w:ascii="Arial" w:cs="Arial" w:eastAsia="Arial" w:hAnsi="Arial"/>
          <w:sz w:val="18"/>
          <w:szCs w:val="18"/>
          <w:i w:val="1"/>
          <w:iCs w:val="1"/>
          <w:color w:val="auto"/>
        </w:rPr>
        <w:t>www.verify.gov.ky File#: 358424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306070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THE COMPANIES LAW (2020 REVISION)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MEMORANDUM OF ASSOCIATION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(ADOPTED BY SPECIAL RESOLUTION DATED 5 MAY 2020 AND EFFECTIVE ON 5 MAY 2020)</w:t>
      </w:r>
    </w:p>
    <w:p>
      <w:pPr>
        <w:spacing w:after="0" w:line="207"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name of the Company is </w:t>
      </w:r>
      <w:r>
        <w:rPr>
          <w:rFonts w:ascii="Arial" w:cs="Arial" w:eastAsia="Arial" w:hAnsi="Arial"/>
          <w:sz w:val="18"/>
          <w:szCs w:val="18"/>
          <w:b w:val="1"/>
          <w:bCs w:val="1"/>
          <w:color w:val="auto"/>
        </w:rPr>
        <w:t>Sustainable Opportunities Acquisition Corp.</w:t>
      </w:r>
    </w:p>
    <w:p>
      <w:pPr>
        <w:spacing w:after="0" w:line="229" w:lineRule="exact"/>
        <w:rPr>
          <w:sz w:val="20"/>
          <w:szCs w:val="20"/>
          <w:color w:val="auto"/>
        </w:rPr>
      </w:pPr>
    </w:p>
    <w:p>
      <w:pPr>
        <w:ind w:left="66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Registered Office of the Company shall be at the offices of Maples Corporate Services Limited, PO Box 309, Ugland House, Grand Cayman, KY1-1104, Cayman Islands, or at such other place within the Cayman Islands as the Directors may decide.</w:t>
      </w:r>
    </w:p>
    <w:p>
      <w:pPr>
        <w:spacing w:after="0" w:line="170" w:lineRule="exact"/>
        <w:rPr>
          <w:sz w:val="20"/>
          <w:szCs w:val="20"/>
          <w:color w:val="auto"/>
        </w:rPr>
      </w:pPr>
    </w:p>
    <w:p>
      <w:pPr>
        <w:ind w:left="660" w:hanging="652"/>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 unrestricted and the Company shall have full power and authority to carry out any object not prohibited by the laws of the Cayman Islands.</w:t>
      </w:r>
    </w:p>
    <w:p>
      <w:pPr>
        <w:spacing w:after="0" w:line="170"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unpaid on such Member’s shares.</w:t>
      </w:r>
    </w:p>
    <w:p>
      <w:pPr>
        <w:spacing w:after="0" w:line="225" w:lineRule="exact"/>
        <w:rPr>
          <w:sz w:val="20"/>
          <w:szCs w:val="20"/>
          <w:color w:val="auto"/>
        </w:rPr>
      </w:pPr>
    </w:p>
    <w:p>
      <w:pPr>
        <w:ind w:left="66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share capital of the Company is US$33,100 divided into 300,000,000 Class A ordinary shares of a par value of US$0.0001 each, 30,000,000 Class B ordinary shares of a par value of US$0.0001 each and 1,000,000 preference shares of a par value of US$0.0001 each.</w:t>
      </w:r>
    </w:p>
    <w:p>
      <w:pPr>
        <w:spacing w:after="0" w:line="146" w:lineRule="exact"/>
        <w:rPr>
          <w:sz w:val="20"/>
          <w:szCs w:val="20"/>
          <w:color w:val="auto"/>
        </w:rPr>
      </w:pPr>
    </w:p>
    <w:p>
      <w:pPr>
        <w:ind w:left="660" w:hanging="652"/>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170" w:lineRule="exact"/>
        <w:rPr>
          <w:sz w:val="20"/>
          <w:szCs w:val="20"/>
          <w:color w:val="auto"/>
        </w:rPr>
      </w:pPr>
    </w:p>
    <w:p>
      <w:pPr>
        <w:ind w:left="66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Capitalised terms that are not defined in this Memorandum of Association bear the respective meanings given to them in the Articles of Association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117475</wp:posOffset>
            </wp:positionV>
            <wp:extent cx="1208405" cy="13290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THE COMPANIES LAW (2020 REVISION)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BY SPECIAL RESOLUTION DATED 5 MAY 2020 AND EFFECTIVE ON 5 MAY 2020)</w:t>
      </w:r>
    </w:p>
    <w:p>
      <w:pPr>
        <w:spacing w:after="0" w:line="207"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the Articles Table A in the First Schedule to the Statute does not apply and, unless there is something in the subject or context inconsistent therewith:</w:t>
      </w:r>
    </w:p>
    <w:p>
      <w:pPr>
        <w:sectPr>
          <w:pgSz w:w="11900" w:h="16838" w:orient="portrait"/>
          <w:cols w:equalWidth="0" w:num="1">
            <w:col w:w="11240"/>
          </w:cols>
          <w:pgMar w:left="320" w:top="904" w:right="339" w:bottom="1440" w:gutter="0" w:footer="0" w:header="0"/>
        </w:sectPr>
      </w:pP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“Affiliate”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respect of a person, means any other person that, directly or indirectly, through one or more intermediaries, controls, is controlled by, or is under common control with, such person, and (a) in the case of a natural person, shall include, without limitation, such person’s spouse, parents, children, siblings, mother-in-law and father-in-law and brothers and sisters-in-law, whether by blood, marriage or adoption or anyone residing in such person’s home, a trust for the benefit of any of the foregoing, a company, partnership or any natural person or entity wholly or jointly owned by any of the foregoing and (b) in the case of an entity, shall include a partnership, a corporation or any natural person or entity which directly, or indirectly through one or more intermediaries, controls, is controlled by, or is under common control with, such entity.</w:t>
      </w:r>
    </w:p>
    <w:p>
      <w:pPr>
        <w:spacing w:after="0" w:line="162" w:lineRule="exact"/>
        <w:rPr>
          <w:sz w:val="20"/>
          <w:szCs w:val="20"/>
          <w:color w:val="auto"/>
        </w:rPr>
      </w:pPr>
    </w:p>
    <w:p>
      <w:pPr>
        <w:sectPr>
          <w:pgSz w:w="11900" w:h="16838" w:orient="portrait"/>
          <w:cols w:equalWidth="0" w:num="2">
            <w:col w:w="3520" w:space="720"/>
            <w:col w:w="7000"/>
          </w:cols>
          <w:pgMar w:left="320" w:top="904" w:right="339" w:bottom="1440" w:gutter="0" w:footer="0" w:header="0"/>
          <w:type w:val="continuous"/>
        </w:sectPr>
      </w:pPr>
    </w:p>
    <w:p>
      <w:pPr>
        <w:ind w:left="660"/>
        <w:spacing w:after="0"/>
        <w:rPr>
          <w:sz w:val="20"/>
          <w:szCs w:val="20"/>
          <w:color w:val="auto"/>
        </w:rPr>
      </w:pPr>
      <w:r>
        <w:rPr>
          <w:rFonts w:ascii="Arial" w:cs="Arial" w:eastAsia="Arial" w:hAnsi="Arial"/>
          <w:sz w:val="16"/>
          <w:szCs w:val="16"/>
          <w:b w:val="1"/>
          <w:bCs w:val="1"/>
          <w:color w:val="auto"/>
        </w:rPr>
        <w:t>“Applicable Law”</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means, with respect to any person, all provisions of laws, statutes, ordinances, rules, regulations, permits, certificates, judgments, decisions, decrees or orders of any governmental authority applicable to such person.</w:t>
      </w:r>
    </w:p>
    <w:p>
      <w:pPr>
        <w:spacing w:after="0" w:line="180" w:lineRule="exact"/>
        <w:rPr>
          <w:sz w:val="20"/>
          <w:szCs w:val="20"/>
          <w:color w:val="auto"/>
        </w:rPr>
      </w:pPr>
    </w:p>
    <w:p>
      <w:pPr>
        <w:sectPr>
          <w:pgSz w:w="11900" w:h="16838" w:orient="portrait"/>
          <w:cols w:equalWidth="0" w:num="2">
            <w:col w:w="3520" w:space="720"/>
            <w:col w:w="7000"/>
          </w:cols>
          <w:pgMar w:left="320" w:top="904" w:right="339" w:bottom="1440" w:gutter="0" w:footer="0" w:header="0"/>
          <w:type w:val="continuous"/>
        </w:sectPr>
      </w:pPr>
    </w:p>
    <w:p>
      <w:pPr>
        <w:ind w:left="660"/>
        <w:spacing w:after="0"/>
        <w:rPr>
          <w:sz w:val="20"/>
          <w:szCs w:val="20"/>
          <w:color w:val="auto"/>
        </w:rPr>
      </w:pPr>
      <w:r>
        <w:rPr>
          <w:rFonts w:ascii="Arial" w:cs="Arial" w:eastAsia="Arial" w:hAnsi="Arial"/>
          <w:sz w:val="16"/>
          <w:szCs w:val="16"/>
          <w:b w:val="1"/>
          <w:bCs w:val="1"/>
          <w:color w:val="auto"/>
        </w:rPr>
        <w:t>“Articles”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these articles of association of the Company.</w:t>
      </w:r>
    </w:p>
    <w:p>
      <w:pPr>
        <w:spacing w:after="0" w:line="207" w:lineRule="exact"/>
        <w:rPr>
          <w:sz w:val="20"/>
          <w:szCs w:val="20"/>
          <w:color w:val="auto"/>
        </w:rPr>
      </w:pPr>
    </w:p>
    <w:p>
      <w:pPr>
        <w:sectPr>
          <w:pgSz w:w="11900" w:h="16838" w:orient="portrait"/>
          <w:cols w:equalWidth="0" w:num="2">
            <w:col w:w="3520" w:space="720"/>
            <w:col w:w="7000"/>
          </w:cols>
          <w:pgMar w:left="320" w:top="904" w:right="3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“Audit Committee”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means the audit committee of the board of directors of the Company established pursuant to the Articles, or any successor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117475</wp:posOffset>
            </wp:positionV>
            <wp:extent cx="1208405" cy="13290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7000"/>
          </w:cols>
          <w:pgMar w:left="320" w:top="9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www.verify.gov.ky File#: 358424</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person for the time being performing the duties of auditor of the Company (if any).</w:t>
      </w:r>
    </w:p>
    <w:p>
      <w:pPr>
        <w:spacing w:after="0" w:line="207" w:lineRule="exact"/>
        <w:rPr>
          <w:sz w:val="20"/>
          <w:szCs w:val="20"/>
          <w:color w:val="auto"/>
        </w:rPr>
      </w:pPr>
    </w:p>
    <w:p>
      <w:pPr>
        <w:sectPr>
          <w:pgSz w:w="11900" w:h="16838" w:orient="portrait"/>
          <w:cols w:equalWidth="0" w:num="2">
            <w:col w:w="2860" w:space="720"/>
            <w:col w:w="7000"/>
          </w:cols>
          <w:pgMar w:left="980" w:top="904" w:right="33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means a merger, amalgamation, share exchange, asset acquisition, share purchase, reorganisation or similar business combination involving the Company, with one or more businesses or entities (the “</w:t>
      </w:r>
      <w:r>
        <w:rPr>
          <w:rFonts w:ascii="Arial" w:cs="Arial" w:eastAsia="Arial" w:hAnsi="Arial"/>
          <w:sz w:val="17"/>
          <w:szCs w:val="17"/>
          <w:b w:val="1"/>
          <w:bCs w:val="1"/>
          <w:color w:val="auto"/>
        </w:rPr>
        <w:t>target business</w:t>
      </w:r>
      <w:r>
        <w:rPr>
          <w:rFonts w:ascii="Arial" w:cs="Arial" w:eastAsia="Arial" w:hAnsi="Arial"/>
          <w:sz w:val="17"/>
          <w:szCs w:val="17"/>
          <w:color w:val="auto"/>
        </w:rPr>
        <w:t>”), which Business Combination: (a) as long as the Company’s securities are listed on the Designated Stock Exchange, must occur with one or more target businesses that together have an aggregate fair market value of at least 80 per cent of the assets held in the Trust Account (excluding the deferred underwriting commissions and taxes payable on the income earned on the Trust Account) at the time of the agreement to enter into such Business Combination; and (b) must not be effectuated solely with another blank cheque company or a similar company with nominal operations.</w:t>
      </w:r>
    </w:p>
    <w:p>
      <w:pPr>
        <w:spacing w:after="0" w:line="177"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“business day”</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means any day other than a Saturday, a Sunday or a legal holiday or a day on which banking institutions or trust companies are authorised or obligated by law to close in New York City.</w:t>
      </w:r>
    </w:p>
    <w:p>
      <w:pPr>
        <w:spacing w:after="0" w:line="120"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“Clearing House”</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means a clearing house recognised by the laws of the jurisdiction in which the Shares (or depositary receipts therefor) are listed or quoted on a stock exchange or interdealer quotation system in such jurisdiction.</w:t>
      </w:r>
    </w:p>
    <w:p>
      <w:pPr>
        <w:spacing w:after="0" w:line="180"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“Class A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class A ordinary share of a par value of US$0.0001 in the share capital of the Company.</w:t>
      </w:r>
    </w:p>
    <w:p>
      <w:pPr>
        <w:spacing w:after="0" w:line="200"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B Share”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means a class B ordinary share of a par value of US$0.0001 in the share capital of the Company.</w:t>
      </w:r>
    </w:p>
    <w:p>
      <w:pPr>
        <w:spacing w:after="0" w:line="200"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means the above named company.</w:t>
      </w:r>
    </w:p>
    <w:p>
      <w:pPr>
        <w:spacing w:after="0" w:line="207"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“Company’s Website”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means the website of the Company and/or its web-address or domain name (if any).</w:t>
      </w:r>
    </w:p>
    <w:p>
      <w:pPr>
        <w:spacing w:after="0" w:line="200"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means the compensation committee of the board of directors of the Company established pursuant to the Articles, or any successor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117475</wp:posOffset>
            </wp:positionV>
            <wp:extent cx="1208405" cy="13290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40"/>
        <w:spacing w:after="0"/>
        <w:rPr>
          <w:sz w:val="20"/>
          <w:szCs w:val="20"/>
          <w:color w:val="auto"/>
        </w:rPr>
      </w:pPr>
      <w:r>
        <w:rPr>
          <w:rFonts w:ascii="Arial" w:cs="Arial" w:eastAsia="Arial" w:hAnsi="Arial"/>
          <w:sz w:val="16"/>
          <w:szCs w:val="16"/>
          <w:i w:val="1"/>
          <w:iCs w:val="1"/>
          <w:color w:val="auto"/>
        </w:rPr>
        <w:t>www.verify.gov.ky File#: 358424</w:t>
      </w:r>
    </w:p>
    <w:p>
      <w:pPr>
        <w:spacing w:after="0" w:line="24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5"/>
          <w:szCs w:val="15"/>
          <w:b w:val="1"/>
          <w:bCs w:val="1"/>
          <w:color w:val="auto"/>
        </w:rPr>
        <w:t>“Designated Stock Exchange”</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means any United States national securities exchange on which the securities of the Company are listed for trading, including the New York Stock Exchange.</w:t>
      </w:r>
    </w:p>
    <w:p>
      <w:pPr>
        <w:spacing w:after="0" w:line="166" w:lineRule="exact"/>
        <w:rPr>
          <w:sz w:val="20"/>
          <w:szCs w:val="20"/>
          <w:color w:val="auto"/>
        </w:rPr>
      </w:pPr>
    </w:p>
    <w:p>
      <w:pPr>
        <w:sectPr>
          <w:pgSz w:w="11900" w:h="16838" w:orient="portrait"/>
          <w:cols w:equalWidth="0" w:num="2">
            <w:col w:w="2860" w:space="720"/>
            <w:col w:w="7000"/>
          </w:cols>
          <w:pgMar w:left="980" w:top="904" w:right="339" w:bottom="1440" w:gutter="0" w:footer="0" w:header="0"/>
        </w:sectPr>
      </w:pPr>
    </w:p>
    <w:p>
      <w:pPr>
        <w:spacing w:after="0"/>
        <w:rPr>
          <w:sz w:val="20"/>
          <w:szCs w:val="20"/>
          <w:color w:val="auto"/>
        </w:rPr>
      </w:pPr>
      <w:r>
        <w:rPr>
          <w:rFonts w:ascii="Arial" w:cs="Arial" w:eastAsia="Arial" w:hAnsi="Arial"/>
          <w:sz w:val="16"/>
          <w:szCs w:val="16"/>
          <w:b w:val="1"/>
          <w:bCs w:val="1"/>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directors for the time being of the Company.</w:t>
      </w:r>
    </w:p>
    <w:p>
      <w:pPr>
        <w:spacing w:after="0" w:line="200"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means any dividend (whether interim or final) resolved to be paid on Shares pursuant to the Articles.</w:t>
      </w:r>
    </w:p>
    <w:p>
      <w:pPr>
        <w:spacing w:after="0" w:line="166"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“Electronic Communication”</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means a communication sent by electronic means, including electronic posting to the Company’s Website, transmission to any number, address or internet website (including the website of the Securities and Exchange Commission) or other electronic delivery methods as otherwise decided and approved by the Directors.</w:t>
      </w:r>
    </w:p>
    <w:p>
      <w:pPr>
        <w:spacing w:after="0" w:line="183"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“Electronic Record”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same meaning as in the Electronic Transactions Law.</w:t>
      </w:r>
    </w:p>
    <w:p>
      <w:pPr>
        <w:spacing w:after="0" w:line="200"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Transactions Law”</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1260"/>
        <w:spacing w:after="0"/>
        <w:rPr>
          <w:sz w:val="20"/>
          <w:szCs w:val="20"/>
          <w:color w:val="auto"/>
        </w:rPr>
      </w:pPr>
      <w:r>
        <w:rPr>
          <w:rFonts w:ascii="Arial" w:cs="Arial" w:eastAsia="Arial" w:hAnsi="Arial"/>
          <w:sz w:val="16"/>
          <w:szCs w:val="16"/>
          <w:color w:val="auto"/>
        </w:rPr>
        <w:t>means the Electronic Transactions Law (2003 Revision) of the Cayman Islands.</w:t>
      </w:r>
    </w:p>
    <w:p>
      <w:pPr>
        <w:spacing w:after="0" w:line="200"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“Equity-linked Securities”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means any debt or equity securities that are convertible, exercisable or exchangeable for Class A Shares issued in a financing transaction in connection with a Business Combination, including but not limited to a private placement of equity or debt.</w:t>
      </w:r>
    </w:p>
    <w:p>
      <w:pPr>
        <w:spacing w:after="0" w:line="180"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“Exchange Act”</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means the United States Securities Exchange Act of 1934, as amended, or any similar U.S. federal statute and the rules and regulations of the Securities and Exchange Commission thereunder, all as the same shall be in effect at the time.</w:t>
      </w:r>
    </w:p>
    <w:p>
      <w:pPr>
        <w:spacing w:after="0" w:line="180"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“Founders”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all Members immediately prior to the consummation of the IPO.</w:t>
      </w:r>
    </w:p>
    <w:p>
      <w:pPr>
        <w:spacing w:after="0" w:line="200"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Director”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has the same meaning as in the rules and regulations of the Designated Stock Exchange or in Rule 10A-3 under the Exchange Act, as the case may be.</w:t>
      </w:r>
    </w:p>
    <w:p>
      <w:pPr>
        <w:spacing w:after="0" w:line="166"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“IPO”</w:t>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Arial" w:cs="Arial" w:eastAsia="Arial" w:hAnsi="Arial"/>
          <w:sz w:val="16"/>
          <w:szCs w:val="16"/>
          <w:color w:val="auto"/>
        </w:rPr>
        <w:t>means the Company’s initial public offering of securities.</w:t>
      </w:r>
    </w:p>
    <w:p>
      <w:pPr>
        <w:spacing w:after="0" w:line="218"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“Member”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has the same meaning as in the Statute.</w:t>
      </w:r>
    </w:p>
    <w:p>
      <w:pPr>
        <w:spacing w:after="0" w:line="218"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“Memorandum”</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means the memorandum of association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166370</wp:posOffset>
            </wp:positionV>
            <wp:extent cx="1208405" cy="13290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640"/>
        <w:spacing w:after="0"/>
        <w:rPr>
          <w:sz w:val="20"/>
          <w:szCs w:val="20"/>
          <w:color w:val="auto"/>
        </w:rPr>
      </w:pPr>
      <w:r>
        <w:rPr>
          <w:rFonts w:ascii="Arial" w:cs="Arial" w:eastAsia="Arial" w:hAnsi="Arial"/>
          <w:sz w:val="16"/>
          <w:szCs w:val="16"/>
          <w:i w:val="1"/>
          <w:iCs w:val="1"/>
          <w:color w:val="auto"/>
        </w:rPr>
        <w:t>www.verify.gov.ky File#: 358424</w:t>
      </w:r>
    </w:p>
    <w:p>
      <w:pPr>
        <w:spacing w:after="0" w:line="24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type w:val="continuous"/>
        </w:sectPr>
      </w:pPr>
    </w:p>
    <w:bookmarkStart w:id="48" w:name="page49"/>
    <w:bookmarkEnd w:id="48"/>
    <w:p>
      <w:pPr>
        <w:spacing w:after="0" w:line="282" w:lineRule="auto"/>
        <w:rPr>
          <w:sz w:val="20"/>
          <w:szCs w:val="20"/>
          <w:color w:val="auto"/>
        </w:rPr>
      </w:pPr>
      <w:r>
        <w:rPr>
          <w:rFonts w:ascii="Arial" w:cs="Arial" w:eastAsia="Arial" w:hAnsi="Arial"/>
          <w:sz w:val="18"/>
          <w:szCs w:val="18"/>
          <w:b w:val="1"/>
          <w:bCs w:val="1"/>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the nominating and corporate governance committee of the board of directors of the Company established pursuant to the Articles, or any successor committee.</w:t>
      </w:r>
    </w:p>
    <w:p>
      <w:pPr>
        <w:spacing w:after="0" w:line="166" w:lineRule="exact"/>
        <w:rPr>
          <w:sz w:val="20"/>
          <w:szCs w:val="20"/>
          <w:color w:val="auto"/>
        </w:rPr>
      </w:pPr>
    </w:p>
    <w:p>
      <w:pPr>
        <w:sectPr>
          <w:pgSz w:w="11900" w:h="16838" w:orient="portrait"/>
          <w:cols w:equalWidth="0" w:num="2">
            <w:col w:w="3140" w:space="440"/>
            <w:col w:w="7000"/>
          </w:cols>
          <w:pgMar w:left="980" w:top="904" w:right="339" w:bottom="1440" w:gutter="0" w:footer="0" w:header="0"/>
        </w:sectPr>
      </w:pPr>
    </w:p>
    <w:p>
      <w:pPr>
        <w:spacing w:after="0"/>
        <w:rPr>
          <w:sz w:val="20"/>
          <w:szCs w:val="20"/>
          <w:color w:val="auto"/>
        </w:rPr>
      </w:pPr>
      <w:r>
        <w:rPr>
          <w:rFonts w:ascii="Arial" w:cs="Arial" w:eastAsia="Arial" w:hAnsi="Arial"/>
          <w:sz w:val="17"/>
          <w:szCs w:val="17"/>
          <w:b w:val="1"/>
          <w:bCs w:val="1"/>
          <w:color w:val="auto"/>
        </w:rPr>
        <w:t>“Officer”</w:t>
      </w:r>
    </w:p>
    <w:p>
      <w:pPr>
        <w:spacing w:after="0" w:line="20" w:lineRule="exact"/>
        <w:rPr>
          <w:sz w:val="20"/>
          <w:szCs w:val="20"/>
          <w:color w:val="auto"/>
        </w:rPr>
      </w:pPr>
      <w:r>
        <w:rPr>
          <w:sz w:val="20"/>
          <w:szCs w:val="20"/>
          <w:color w:val="auto"/>
        </w:rPr>
        <w:br w:type="column"/>
      </w:r>
    </w:p>
    <w:p>
      <w:pPr>
        <w:jc w:val="center"/>
        <w:ind w:right="2680"/>
        <w:spacing w:after="0"/>
        <w:rPr>
          <w:sz w:val="20"/>
          <w:szCs w:val="20"/>
          <w:color w:val="auto"/>
        </w:rPr>
      </w:pPr>
      <w:r>
        <w:rPr>
          <w:rFonts w:ascii="Arial" w:cs="Arial" w:eastAsia="Arial" w:hAnsi="Arial"/>
          <w:sz w:val="16"/>
          <w:szCs w:val="16"/>
          <w:color w:val="auto"/>
        </w:rPr>
        <w:t>means a person appointed to hold an office in the Company.</w:t>
      </w:r>
    </w:p>
    <w:p>
      <w:pPr>
        <w:spacing w:after="0" w:line="207"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“Ordinary Resolution”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means a resolution passed by a simple majority of the Members as, being entitled to do so, vote in person or, where proxies are allowed, by proxy at a general meeting, and includes a unanimous written resolution. In computing the majority when a poll is demanded regard shall be had to the number of votes to which each Member is entitled by the Articles.</w:t>
      </w:r>
    </w:p>
    <w:p>
      <w:pPr>
        <w:spacing w:after="0" w:line="167"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“Over-Allotment Option”</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means the option of the Underwriters to purchase up to an additional 15 per cent of the units (as described in the Articles) sold in the IPO at a price equal to US$10 per unit, less underwriting discounts and commissions.</w:t>
      </w:r>
    </w:p>
    <w:p>
      <w:pPr>
        <w:spacing w:after="0" w:line="180"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“Preference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preference share of a par value of US$0.0001 in the share capital of the Company.</w:t>
      </w:r>
    </w:p>
    <w:p>
      <w:pPr>
        <w:spacing w:after="0" w:line="200"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“Public Share”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means a Class A Share issued as part of the units (as described in the Articles) issued in the IPO.</w:t>
      </w:r>
    </w:p>
    <w:p>
      <w:pPr>
        <w:spacing w:after="0" w:line="200"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 Notice”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means a notice in a form approved by the Company by which a holder of Public Shares is entitled to require the Company to redeem its Public Shares, subject to the condition contained therein.</w:t>
      </w:r>
    </w:p>
    <w:p>
      <w:pPr>
        <w:spacing w:after="0" w:line="180"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“Register of Members”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the register of Members maintained in accordance with the Statute and includes (except where otherwise stated) any branch or duplicate register of Members.</w:t>
      </w:r>
    </w:p>
    <w:p>
      <w:pPr>
        <w:spacing w:after="0" w:line="166"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“Registered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registered office for the time being of the Company.</w:t>
      </w:r>
    </w:p>
    <w:p>
      <w:pPr>
        <w:spacing w:after="0" w:line="200"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“Representative”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means a representative of the Underwriters.</w:t>
      </w:r>
    </w:p>
    <w:p>
      <w:pPr>
        <w:spacing w:after="0" w:line="200"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means the common seal of the Company and includes every duplicate seal.</w:t>
      </w:r>
    </w:p>
    <w:p>
      <w:pPr>
        <w:spacing w:after="0" w:line="200" w:lineRule="exact"/>
        <w:rPr>
          <w:sz w:val="20"/>
          <w:szCs w:val="20"/>
          <w:color w:val="auto"/>
        </w:rPr>
      </w:pPr>
    </w:p>
    <w:p>
      <w:pPr>
        <w:sectPr>
          <w:pgSz w:w="11900" w:h="16838" w:orient="portrait"/>
          <w:cols w:equalWidth="0" w:num="2">
            <w:col w:w="2860" w:space="720"/>
            <w:col w:w="7000"/>
          </w:cols>
          <w:pgMar w:left="980" w:top="904"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and Exchange Commission”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means the United States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173990</wp:posOffset>
            </wp:positionV>
            <wp:extent cx="1208405" cy="13290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3060" w:space="520"/>
            <w:col w:w="7000"/>
          </w:cols>
          <w:pgMar w:left="980" w:top="9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40"/>
        <w:spacing w:after="0"/>
        <w:rPr>
          <w:sz w:val="20"/>
          <w:szCs w:val="20"/>
          <w:color w:val="auto"/>
        </w:rPr>
      </w:pPr>
      <w:r>
        <w:rPr>
          <w:rFonts w:ascii="Arial" w:cs="Arial" w:eastAsia="Arial" w:hAnsi="Arial"/>
          <w:sz w:val="16"/>
          <w:szCs w:val="16"/>
          <w:i w:val="1"/>
          <w:iCs w:val="1"/>
          <w:color w:val="auto"/>
        </w:rPr>
        <w:t>www.verify.gov.ky File#: 358424</w:t>
      </w:r>
    </w:p>
    <w:p>
      <w:pPr>
        <w:spacing w:after="0" w:line="24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20"/>
        </w:trPr>
        <w:tc>
          <w:tcPr>
            <w:tcW w:w="440" w:type="dxa"/>
            <w:vAlign w:val="bottom"/>
          </w:tcPr>
          <w:p>
            <w:pPr>
              <w:spacing w:after="0"/>
              <w:rPr>
                <w:sz w:val="19"/>
                <w:szCs w:val="19"/>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b w:val="1"/>
                <w:bCs w:val="1"/>
                <w:color w:val="auto"/>
              </w:rPr>
              <w:t>“Share”</w:t>
            </w:r>
          </w:p>
        </w:tc>
        <w:tc>
          <w:tcPr>
            <w:tcW w:w="8000" w:type="dxa"/>
            <w:vAlign w:val="bottom"/>
          </w:tcPr>
          <w:p>
            <w:pPr>
              <w:ind w:left="1000"/>
              <w:spacing w:after="0"/>
              <w:rPr>
                <w:sz w:val="20"/>
                <w:szCs w:val="20"/>
                <w:color w:val="auto"/>
              </w:rPr>
            </w:pPr>
            <w:r>
              <w:rPr>
                <w:rFonts w:ascii="Arial" w:cs="Arial" w:eastAsia="Arial" w:hAnsi="Arial"/>
                <w:sz w:val="18"/>
                <w:szCs w:val="18"/>
                <w:color w:val="auto"/>
                <w:w w:val="88"/>
              </w:rPr>
              <w:t>means a Class A Share, a Class B Share, or a Preference Share and includes a fraction of a share</w:t>
            </w:r>
          </w:p>
        </w:tc>
      </w:tr>
      <w:tr>
        <w:trPr>
          <w:trHeight w:val="230"/>
        </w:trPr>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00" w:type="dxa"/>
            <w:vAlign w:val="bottom"/>
          </w:tcPr>
          <w:p>
            <w:pPr>
              <w:ind w:left="1000"/>
              <w:spacing w:after="0"/>
              <w:rPr>
                <w:sz w:val="20"/>
                <w:szCs w:val="20"/>
                <w:color w:val="auto"/>
              </w:rPr>
            </w:pPr>
            <w:r>
              <w:rPr>
                <w:rFonts w:ascii="Arial" w:cs="Arial" w:eastAsia="Arial" w:hAnsi="Arial"/>
                <w:sz w:val="18"/>
                <w:szCs w:val="18"/>
                <w:color w:val="auto"/>
              </w:rPr>
              <w:t>in the Company.</w:t>
            </w:r>
          </w:p>
        </w:tc>
      </w:tr>
      <w:tr>
        <w:trPr>
          <w:trHeight w:val="418"/>
        </w:trPr>
        <w:tc>
          <w:tcPr>
            <w:tcW w:w="440" w:type="dxa"/>
            <w:vAlign w:val="bottom"/>
          </w:tcPr>
          <w:p>
            <w:pPr>
              <w:spacing w:after="0"/>
              <w:rPr>
                <w:sz w:val="24"/>
                <w:szCs w:val="24"/>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b w:val="1"/>
                <w:bCs w:val="1"/>
                <w:color w:val="auto"/>
              </w:rPr>
              <w:t>“Special Resolution”</w:t>
            </w:r>
          </w:p>
        </w:tc>
        <w:tc>
          <w:tcPr>
            <w:tcW w:w="8000" w:type="dxa"/>
            <w:vAlign w:val="bottom"/>
          </w:tcPr>
          <w:p>
            <w:pPr>
              <w:ind w:left="1000"/>
              <w:spacing w:after="0"/>
              <w:rPr>
                <w:sz w:val="20"/>
                <w:szCs w:val="20"/>
                <w:color w:val="auto"/>
              </w:rPr>
            </w:pPr>
            <w:r>
              <w:rPr>
                <w:rFonts w:ascii="Arial" w:cs="Arial" w:eastAsia="Arial" w:hAnsi="Arial"/>
                <w:sz w:val="18"/>
                <w:szCs w:val="18"/>
                <w:color w:val="auto"/>
                <w:w w:val="89"/>
              </w:rPr>
              <w:t>subject to Article 29.4, has the same meaning as in the Statute, and includes a unanimous written</w:t>
            </w:r>
          </w:p>
        </w:tc>
      </w:tr>
      <w:tr>
        <w:trPr>
          <w:trHeight w:val="230"/>
        </w:trPr>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00" w:type="dxa"/>
            <w:vAlign w:val="bottom"/>
          </w:tcPr>
          <w:p>
            <w:pPr>
              <w:ind w:left="1000"/>
              <w:spacing w:after="0"/>
              <w:rPr>
                <w:sz w:val="20"/>
                <w:szCs w:val="20"/>
                <w:color w:val="auto"/>
              </w:rPr>
            </w:pPr>
            <w:r>
              <w:rPr>
                <w:rFonts w:ascii="Arial" w:cs="Arial" w:eastAsia="Arial" w:hAnsi="Arial"/>
                <w:sz w:val="18"/>
                <w:szCs w:val="18"/>
                <w:color w:val="auto"/>
              </w:rPr>
              <w:t>resolution.</w:t>
            </w:r>
          </w:p>
        </w:tc>
      </w:tr>
      <w:tr>
        <w:trPr>
          <w:trHeight w:val="418"/>
        </w:trPr>
        <w:tc>
          <w:tcPr>
            <w:tcW w:w="440" w:type="dxa"/>
            <w:vAlign w:val="bottom"/>
          </w:tcPr>
          <w:p>
            <w:pPr>
              <w:spacing w:after="0"/>
              <w:rPr>
                <w:sz w:val="24"/>
                <w:szCs w:val="24"/>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b w:val="1"/>
                <w:bCs w:val="1"/>
                <w:color w:val="auto"/>
              </w:rPr>
              <w:t>“Sponsor”</w:t>
            </w:r>
          </w:p>
        </w:tc>
        <w:tc>
          <w:tcPr>
            <w:tcW w:w="8000" w:type="dxa"/>
            <w:vAlign w:val="bottom"/>
          </w:tcPr>
          <w:p>
            <w:pPr>
              <w:ind w:left="1000"/>
              <w:spacing w:after="0"/>
              <w:rPr>
                <w:sz w:val="20"/>
                <w:szCs w:val="20"/>
                <w:color w:val="auto"/>
              </w:rPr>
            </w:pPr>
            <w:r>
              <w:rPr>
                <w:rFonts w:ascii="Arial" w:cs="Arial" w:eastAsia="Arial" w:hAnsi="Arial"/>
                <w:sz w:val="18"/>
                <w:szCs w:val="18"/>
                <w:color w:val="auto"/>
                <w:w w:val="94"/>
              </w:rPr>
              <w:t>means Sustainable Opportunities Holdings LLC, a Delaware limited liability company, and its</w:t>
            </w:r>
          </w:p>
        </w:tc>
      </w:tr>
      <w:tr>
        <w:trPr>
          <w:trHeight w:val="230"/>
        </w:trPr>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00" w:type="dxa"/>
            <w:vAlign w:val="bottom"/>
          </w:tcPr>
          <w:p>
            <w:pPr>
              <w:ind w:left="1000"/>
              <w:spacing w:after="0"/>
              <w:rPr>
                <w:sz w:val="20"/>
                <w:szCs w:val="20"/>
                <w:color w:val="auto"/>
              </w:rPr>
            </w:pPr>
            <w:r>
              <w:rPr>
                <w:rFonts w:ascii="Arial" w:cs="Arial" w:eastAsia="Arial" w:hAnsi="Arial"/>
                <w:sz w:val="18"/>
                <w:szCs w:val="18"/>
                <w:color w:val="auto"/>
              </w:rPr>
              <w:t>successors or assigns.</w:t>
            </w:r>
          </w:p>
        </w:tc>
      </w:tr>
      <w:tr>
        <w:trPr>
          <w:trHeight w:val="432"/>
        </w:trPr>
        <w:tc>
          <w:tcPr>
            <w:tcW w:w="440" w:type="dxa"/>
            <w:vAlign w:val="bottom"/>
          </w:tcPr>
          <w:p>
            <w:pPr>
              <w:spacing w:after="0"/>
              <w:rPr>
                <w:sz w:val="24"/>
                <w:szCs w:val="24"/>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b w:val="1"/>
                <w:bCs w:val="1"/>
                <w:color w:val="auto"/>
              </w:rPr>
              <w:t>“Statute”</w:t>
            </w:r>
          </w:p>
        </w:tc>
        <w:tc>
          <w:tcPr>
            <w:tcW w:w="8000" w:type="dxa"/>
            <w:vAlign w:val="bottom"/>
          </w:tcPr>
          <w:p>
            <w:pPr>
              <w:ind w:left="1000"/>
              <w:spacing w:after="0"/>
              <w:rPr>
                <w:sz w:val="20"/>
                <w:szCs w:val="20"/>
                <w:color w:val="auto"/>
              </w:rPr>
            </w:pPr>
            <w:r>
              <w:rPr>
                <w:rFonts w:ascii="Arial" w:cs="Arial" w:eastAsia="Arial" w:hAnsi="Arial"/>
                <w:sz w:val="18"/>
                <w:szCs w:val="18"/>
                <w:color w:val="auto"/>
              </w:rPr>
              <w:t>means the Companies Law (2020 Revision) of the Cayman Islands.</w:t>
            </w:r>
          </w:p>
        </w:tc>
      </w:tr>
      <w:tr>
        <w:trPr>
          <w:trHeight w:val="418"/>
        </w:trPr>
        <w:tc>
          <w:tcPr>
            <w:tcW w:w="440" w:type="dxa"/>
            <w:vAlign w:val="bottom"/>
          </w:tcPr>
          <w:p>
            <w:pPr>
              <w:spacing w:after="0"/>
              <w:rPr>
                <w:sz w:val="24"/>
                <w:szCs w:val="24"/>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b w:val="1"/>
                <w:bCs w:val="1"/>
                <w:color w:val="auto"/>
              </w:rPr>
              <w:t>“Treasury Share”</w:t>
            </w:r>
          </w:p>
        </w:tc>
        <w:tc>
          <w:tcPr>
            <w:tcW w:w="8000" w:type="dxa"/>
            <w:vAlign w:val="bottom"/>
          </w:tcPr>
          <w:p>
            <w:pPr>
              <w:ind w:left="1000"/>
              <w:spacing w:after="0"/>
              <w:rPr>
                <w:sz w:val="20"/>
                <w:szCs w:val="20"/>
                <w:color w:val="auto"/>
              </w:rPr>
            </w:pPr>
            <w:r>
              <w:rPr>
                <w:rFonts w:ascii="Arial" w:cs="Arial" w:eastAsia="Arial" w:hAnsi="Arial"/>
                <w:sz w:val="18"/>
                <w:szCs w:val="18"/>
                <w:color w:val="auto"/>
                <w:w w:val="94"/>
              </w:rPr>
              <w:t>means a Share held in the name of the Company as a treasury share in accordance with the</w:t>
            </w:r>
          </w:p>
        </w:tc>
      </w:tr>
      <w:tr>
        <w:trPr>
          <w:trHeight w:val="230"/>
        </w:trPr>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00" w:type="dxa"/>
            <w:vAlign w:val="bottom"/>
          </w:tcPr>
          <w:p>
            <w:pPr>
              <w:ind w:left="1000"/>
              <w:spacing w:after="0"/>
              <w:rPr>
                <w:sz w:val="20"/>
                <w:szCs w:val="20"/>
                <w:color w:val="auto"/>
              </w:rPr>
            </w:pPr>
            <w:r>
              <w:rPr>
                <w:rFonts w:ascii="Arial" w:cs="Arial" w:eastAsia="Arial" w:hAnsi="Arial"/>
                <w:sz w:val="18"/>
                <w:szCs w:val="18"/>
                <w:color w:val="auto"/>
              </w:rPr>
              <w:t>Statute.</w:t>
            </w:r>
          </w:p>
        </w:tc>
      </w:tr>
      <w:tr>
        <w:trPr>
          <w:trHeight w:val="418"/>
        </w:trPr>
        <w:tc>
          <w:tcPr>
            <w:tcW w:w="440" w:type="dxa"/>
            <w:vAlign w:val="bottom"/>
          </w:tcPr>
          <w:p>
            <w:pPr>
              <w:spacing w:after="0"/>
              <w:rPr>
                <w:sz w:val="24"/>
                <w:szCs w:val="24"/>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b w:val="1"/>
                <w:bCs w:val="1"/>
                <w:color w:val="auto"/>
              </w:rPr>
              <w:t>“Trust Account”</w:t>
            </w:r>
          </w:p>
        </w:tc>
        <w:tc>
          <w:tcPr>
            <w:tcW w:w="8000" w:type="dxa"/>
            <w:vAlign w:val="bottom"/>
          </w:tcPr>
          <w:p>
            <w:pPr>
              <w:ind w:left="1000"/>
              <w:spacing w:after="0"/>
              <w:rPr>
                <w:sz w:val="20"/>
                <w:szCs w:val="20"/>
                <w:color w:val="auto"/>
              </w:rPr>
            </w:pPr>
            <w:r>
              <w:rPr>
                <w:rFonts w:ascii="Arial" w:cs="Arial" w:eastAsia="Arial" w:hAnsi="Arial"/>
                <w:sz w:val="18"/>
                <w:szCs w:val="18"/>
                <w:color w:val="auto"/>
                <w:w w:val="90"/>
              </w:rPr>
              <w:t>means the trust account established by the Company upon the consummation of its IPO and into</w:t>
            </w: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00" w:type="dxa"/>
            <w:vAlign w:val="bottom"/>
          </w:tcPr>
          <w:p>
            <w:pPr>
              <w:ind w:left="1000"/>
              <w:spacing w:after="0"/>
              <w:rPr>
                <w:sz w:val="20"/>
                <w:szCs w:val="20"/>
                <w:color w:val="auto"/>
              </w:rPr>
            </w:pPr>
            <w:r>
              <w:rPr>
                <w:rFonts w:ascii="Arial" w:cs="Arial" w:eastAsia="Arial" w:hAnsi="Arial"/>
                <w:sz w:val="18"/>
                <w:szCs w:val="18"/>
                <w:color w:val="auto"/>
                <w:w w:val="95"/>
              </w:rPr>
              <w:t>which a certain amount of the net proceeds of the IPO, together with a certain amount of the</w:t>
            </w: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00" w:type="dxa"/>
            <w:vAlign w:val="bottom"/>
          </w:tcPr>
          <w:p>
            <w:pPr>
              <w:ind w:left="1000"/>
              <w:spacing w:after="0"/>
              <w:rPr>
                <w:sz w:val="20"/>
                <w:szCs w:val="20"/>
                <w:color w:val="auto"/>
              </w:rPr>
            </w:pPr>
            <w:r>
              <w:rPr>
                <w:rFonts w:ascii="Arial" w:cs="Arial" w:eastAsia="Arial" w:hAnsi="Arial"/>
                <w:sz w:val="18"/>
                <w:szCs w:val="18"/>
                <w:color w:val="auto"/>
                <w:w w:val="91"/>
              </w:rPr>
              <w:t>proceeds of a private placement of warrants simultaneously with the closing date of the IPO, will</w:t>
            </w:r>
          </w:p>
        </w:tc>
      </w:tr>
      <w:tr>
        <w:trPr>
          <w:trHeight w:val="230"/>
        </w:trPr>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00" w:type="dxa"/>
            <w:vAlign w:val="bottom"/>
          </w:tcPr>
          <w:p>
            <w:pPr>
              <w:ind w:left="1000"/>
              <w:spacing w:after="0"/>
              <w:rPr>
                <w:sz w:val="20"/>
                <w:szCs w:val="20"/>
                <w:color w:val="auto"/>
              </w:rPr>
            </w:pPr>
            <w:r>
              <w:rPr>
                <w:rFonts w:ascii="Arial" w:cs="Arial" w:eastAsia="Arial" w:hAnsi="Arial"/>
                <w:sz w:val="18"/>
                <w:szCs w:val="18"/>
                <w:color w:val="auto"/>
              </w:rPr>
              <w:t>be deposited.</w:t>
            </w:r>
          </w:p>
        </w:tc>
      </w:tr>
      <w:tr>
        <w:trPr>
          <w:trHeight w:val="432"/>
        </w:trPr>
        <w:tc>
          <w:tcPr>
            <w:tcW w:w="440" w:type="dxa"/>
            <w:vAlign w:val="bottom"/>
          </w:tcPr>
          <w:p>
            <w:pPr>
              <w:spacing w:after="0"/>
              <w:rPr>
                <w:sz w:val="24"/>
                <w:szCs w:val="24"/>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b w:val="1"/>
                <w:bCs w:val="1"/>
                <w:color w:val="auto"/>
              </w:rPr>
              <w:t>“Underwriter”</w:t>
            </w:r>
          </w:p>
        </w:tc>
        <w:tc>
          <w:tcPr>
            <w:tcW w:w="8000" w:type="dxa"/>
            <w:vAlign w:val="bottom"/>
          </w:tcPr>
          <w:p>
            <w:pPr>
              <w:ind w:left="1000"/>
              <w:spacing w:after="0"/>
              <w:rPr>
                <w:sz w:val="20"/>
                <w:szCs w:val="20"/>
                <w:color w:val="auto"/>
              </w:rPr>
            </w:pPr>
            <w:r>
              <w:rPr>
                <w:rFonts w:ascii="Arial" w:cs="Arial" w:eastAsia="Arial" w:hAnsi="Arial"/>
                <w:sz w:val="18"/>
                <w:szCs w:val="18"/>
                <w:color w:val="auto"/>
              </w:rPr>
              <w:t>means an underwriter of the IPO from time to time and any successor underwriter.</w:t>
            </w:r>
          </w:p>
        </w:tc>
      </w:tr>
      <w:tr>
        <w:trPr>
          <w:trHeight w:val="432"/>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1.2</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In the Articles:</w:t>
            </w:r>
          </w:p>
        </w:tc>
        <w:tc>
          <w:tcPr>
            <w:tcW w:w="800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(a)</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words importing the singular number include the plural number and vice versa;</w:t>
            </w:r>
          </w:p>
        </w:tc>
      </w:tr>
      <w:tr>
        <w:trPr>
          <w:trHeight w:val="432"/>
        </w:trPr>
        <w:tc>
          <w:tcPr>
            <w:tcW w:w="44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(b)</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words importing the masculine gender include the feminine gender;</w:t>
            </w:r>
          </w:p>
        </w:tc>
      </w:tr>
      <w:tr>
        <w:trPr>
          <w:trHeight w:val="432"/>
        </w:trPr>
        <w:tc>
          <w:tcPr>
            <w:tcW w:w="44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(c)</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words importing persons include corporations as well as any other legal or natural person;</w:t>
            </w:r>
          </w:p>
        </w:tc>
      </w:tr>
      <w:tr>
        <w:trPr>
          <w:trHeight w:val="418"/>
        </w:trPr>
        <w:tc>
          <w:tcPr>
            <w:tcW w:w="44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(d)</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w w:val="97"/>
              </w:rPr>
              <w:t>“written” and “in writing” include all modes of representing or reproducing words in visible form, including in the form of an Electronic</w:t>
            </w:r>
          </w:p>
        </w:tc>
      </w:tr>
      <w:tr>
        <w:trPr>
          <w:trHeight w:val="230"/>
        </w:trPr>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tcPr>
          <w:p>
            <w:pPr>
              <w:ind w:left="60"/>
              <w:spacing w:after="0"/>
              <w:rPr>
                <w:sz w:val="20"/>
                <w:szCs w:val="20"/>
                <w:color w:val="auto"/>
              </w:rPr>
            </w:pPr>
            <w:r>
              <w:rPr>
                <w:rFonts w:ascii="Arial" w:cs="Arial" w:eastAsia="Arial" w:hAnsi="Arial"/>
                <w:sz w:val="18"/>
                <w:szCs w:val="18"/>
                <w:color w:val="auto"/>
              </w:rPr>
              <w:t>Record;</w:t>
            </w:r>
          </w:p>
        </w:tc>
        <w:tc>
          <w:tcPr>
            <w:tcW w:w="800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(e)</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“shall” shall be construed as imperative and “may” shall be construed as permissive;</w:t>
            </w:r>
          </w:p>
        </w:tc>
      </w:tr>
      <w:tr>
        <w:trPr>
          <w:trHeight w:val="418"/>
        </w:trPr>
        <w:tc>
          <w:tcPr>
            <w:tcW w:w="44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(f)</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w w:val="92"/>
              </w:rPr>
              <w:t>references to provisions of any law or regulation shall be construed as references to those provisions as amended, modified, re-enacted or</w:t>
            </w:r>
          </w:p>
        </w:tc>
      </w:tr>
      <w:tr>
        <w:trPr>
          <w:trHeight w:val="230"/>
        </w:trPr>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tcPr>
          <w:p>
            <w:pPr>
              <w:ind w:left="60"/>
              <w:spacing w:after="0"/>
              <w:rPr>
                <w:sz w:val="20"/>
                <w:szCs w:val="20"/>
                <w:color w:val="auto"/>
              </w:rPr>
            </w:pPr>
            <w:r>
              <w:rPr>
                <w:rFonts w:ascii="Arial" w:cs="Arial" w:eastAsia="Arial" w:hAnsi="Arial"/>
                <w:sz w:val="18"/>
                <w:szCs w:val="18"/>
                <w:color w:val="auto"/>
              </w:rPr>
              <w:t>replaced;</w:t>
            </w:r>
          </w:p>
        </w:tc>
        <w:tc>
          <w:tcPr>
            <w:tcW w:w="8000" w:type="dxa"/>
            <w:vAlign w:val="bottom"/>
          </w:tcPr>
          <w:p>
            <w:pPr>
              <w:spacing w:after="0"/>
              <w:rPr>
                <w:sz w:val="20"/>
                <w:szCs w:val="20"/>
                <w:color w:val="auto"/>
              </w:rPr>
            </w:pPr>
          </w:p>
        </w:tc>
      </w:tr>
      <w:tr>
        <w:trPr>
          <w:trHeight w:val="418"/>
        </w:trPr>
        <w:tc>
          <w:tcPr>
            <w:tcW w:w="44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(g)</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w w:val="92"/>
              </w:rPr>
              <w:t>any phrase introduced by the terms “including”, “include”, “in particular” or any similar expression shall be construed as illustrative and shall</w:t>
            </w:r>
          </w:p>
        </w:tc>
      </w:tr>
      <w:tr>
        <w:trPr>
          <w:trHeight w:val="230"/>
        </w:trPr>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not limit the sense of the words preceding those terms;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137160</wp:posOffset>
            </wp:positionV>
            <wp:extent cx="1208405" cy="13290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left="980" w:hanging="324"/>
        <w:spacing w:after="0" w:line="263"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headings are inserted for reference only and shall be ignored in construing the Articles;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requirements as to delivery under the Articles include delivery in the form of an Electronic Record;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requirements as to execution or signature under the Articles including the execution of the Articles themselves can be satisfied in the form of an electronic signature as defined in the Electronic Transactions Law;</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sections 8 and 19(3) of the Electronic Transactions Law shall not apply;</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 “clear days” in relation to the period of a notice means that period excluding the day when the notice is received or deemed to be received and the day for which it is given or on which it is to take effect;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term “holder” in relation to a Share means a person whose name is entered in the Register of Members as the holder of such Share.</w:t>
      </w:r>
    </w:p>
    <w:p>
      <w:pPr>
        <w:spacing w:after="0" w:line="233"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of Business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business of the Company may be commenced as soon after incorporation of the Company as the Directors shall see fit.</w:t>
      </w:r>
    </w:p>
    <w:p>
      <w:pPr>
        <w:spacing w:after="0" w:line="225"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166"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Issue of Shares and other Securities</w:t>
      </w:r>
    </w:p>
    <w:p>
      <w:pPr>
        <w:spacing w:after="0" w:line="229"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Subject to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Class B Share Conversion set out in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122555</wp:posOffset>
            </wp:positionV>
            <wp:extent cx="1208405" cy="13290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184"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The Company may issue units of securities in the Company, which may be comprised of whole or fractional Shares, rights, options, warrants or convertible securities or securities of similar nature conferring the right upon the holders thereof to subscribe for, purchase or receive any class of Shares or other securities in the Company, upon such terms as the Directors may from time to time determine.</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The Company shall not issue Shares to bearer.</w:t>
      </w:r>
    </w:p>
    <w:p>
      <w:pPr>
        <w:spacing w:after="0" w:line="221"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Members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Company shall maintain or cause to be maintained the Register of Members in accordance with the Statute.</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180"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Closing Register of Members or Fixing Record Date</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after notice has been given by advertisement in an appointed newspaper or any other newspaper or by any other means in accordance with the rules and regulations of the Designated Stock Exchange, the Securities and Exchange Commission and/or any other competent regulatory authority or otherwise under Applicable Law, provide that the Register of Members shall be closed for transfers for a stated period which shall not in any case exceed forty days.</w:t>
      </w:r>
    </w:p>
    <w:p>
      <w:pPr>
        <w:spacing w:after="0" w:line="19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127635</wp:posOffset>
            </wp:positionV>
            <wp:extent cx="1208405" cy="13290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184"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 for Shares</w:t>
      </w:r>
    </w:p>
    <w:p>
      <w:pPr>
        <w:spacing w:after="0" w:line="229"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16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17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18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170"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Share certificates shall be issued within the relevant time limit as prescribed by the Statute, if applicable, or as the rules and regulations of the Designated Stock Exchange, the Securities and Exchange Commission and/or any other competent regulatory authority or otherwise under Applicable Law may from time to time determine, whichever is shorter, after the allotment or, except in the case of a Share transfer which the Company is for the time being entitled to refuse to register and does not register, after lodgement of a Share transfer with the Company.</w:t>
      </w:r>
    </w:p>
    <w:p>
      <w:pPr>
        <w:spacing w:after="0" w:line="153"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Subject to the terms of the Articles, any Member may transfer all or any of his Shares by an instrument of transfer provided that such transfer complies with the rules and regulations of the Designated Stock Exchange, the Securities and Exchange Commission and/or any other competent regulatory authority or otherwise under Applicable Law. If the Shares in question were issued in conjunction with rights, options or warrants issued pursuant to the Articles on terms that one cannot be transferred without the other, the Directors shall refuse to register the transfer of any such Share without evidence satisfactory to them of the like transfer of such option or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120650</wp:posOffset>
            </wp:positionV>
            <wp:extent cx="1208405" cy="13290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instrument of transfer of any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p>
      <w:pPr>
        <w:spacing w:after="0" w:line="160"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Repurchase and Surrender of Shares</w:t>
      </w:r>
    </w:p>
    <w:p>
      <w:pPr>
        <w:spacing w:after="0" w:line="229"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issue Shares that are to be redeemed or are liable to be redeemed at the option of the Member or the Company. The redemption of such Shares, except Public Shares, shall be effected in such manner and upon such other terms as the Company may, by Special Resolution, determine before the issue of such Shares. With respect to redeeming or repurchasing the Shares:</w:t>
      </w:r>
    </w:p>
    <w:p>
      <w:pPr>
        <w:spacing w:after="0" w:line="188" w:lineRule="exact"/>
        <w:rPr>
          <w:sz w:val="20"/>
          <w:szCs w:val="20"/>
          <w:color w:val="auto"/>
        </w:rPr>
      </w:pPr>
    </w:p>
    <w:p>
      <w:pPr>
        <w:ind w:left="98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Members who hold Public Shares are entitled to request the redemption of such Shares in the circumstances described in the Business Combination Article hereof;</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Class B Shares held by the Founders shall be surrendered by the Founders for no consideration to the extent that the Over-Allotment Option is not exercised in full so that the Founders will own 20 per cent of the Company’s issued Shares after the IPO (exclusive of any securities purchased in a private placement simultaneously with the IPO);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Public Shares shall be repurchased by way of tender offer in the circumstances set out in the Business Combination Article hereof.</w:t>
      </w:r>
    </w:p>
    <w:p>
      <w:pPr>
        <w:spacing w:after="0" w:line="237"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purchase its own Shares (including any redeemable Shares) in such manner and on such other terms as the Directors may agree with the relevant Member. For the avoidance of doubt, redemptions, repurchases and surrenders of Shares in the circumstances described in the Article above shall not require further approval of the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128270</wp:posOffset>
            </wp:positionV>
            <wp:extent cx="1208405" cy="13290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Company may make a payment in respect of the redemption or purchase of its own Shares in any manner permitted by the Statute, including out of capital.</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Directors may accept the surrender for no consideration of any fully paid Share.</w:t>
      </w:r>
    </w:p>
    <w:p>
      <w:pPr>
        <w:spacing w:after="0" w:line="221"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Shares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Directors may, prior to the purchase, redemption or surrender of any Share, determine that such Share shall be held as a Treasury Share.</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Directors may determine to cancel a Treasury Share or transfer a Treasury Share on such terms as they think proper (including, without limitation, for nil consideration).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Variation of Rights of Shares</w:t>
      </w:r>
    </w:p>
    <w:p>
      <w:pPr>
        <w:spacing w:after="0" w:line="229"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 xml:space="preserve">Subject to Article 3.1,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(other than with respect to a waiver of the provisions of the Class B Share Conversion Article hereof, which as stated therein shall only require the consent in writing of the holders of a majority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except that the necessary quorum shall be one person holding or representing by proxy at least one third of the issued Shares of the class and that any holder of Shares of the class present in person or by proxy may demand a poll.</w:t>
      </w:r>
    </w:p>
    <w:p>
      <w:pPr>
        <w:spacing w:after="0" w:line="172"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p>
      <w:pPr>
        <w:spacing w:after="0" w:line="18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 or Shares issued with preferred or other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125730</wp:posOffset>
            </wp:positionV>
            <wp:extent cx="1208405" cy="13284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8405"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Commission on Sale of Shares</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182" w:lineRule="exact"/>
        <w:rPr>
          <w:rFonts w:ascii="Arial" w:cs="Arial" w:eastAsia="Arial" w:hAnsi="Arial"/>
          <w:sz w:val="18"/>
          <w:szCs w:val="18"/>
          <w:b w:val="1"/>
          <w:bCs w:val="1"/>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Non Recognition of Trusts</w:t>
      </w:r>
    </w:p>
    <w:p>
      <w:pPr>
        <w:spacing w:after="0" w:line="229" w:lineRule="exact"/>
        <w:rPr>
          <w:rFonts w:ascii="Arial" w:cs="Arial" w:eastAsia="Arial" w:hAnsi="Arial"/>
          <w:sz w:val="18"/>
          <w:szCs w:val="18"/>
          <w:b w:val="1"/>
          <w:bCs w:val="1"/>
          <w:color w:val="auto"/>
        </w:rPr>
      </w:pPr>
    </w:p>
    <w:p>
      <w:pPr>
        <w:jc w:val="both"/>
        <w:ind w:left="66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179" w:lineRule="exact"/>
        <w:rPr>
          <w:rFonts w:ascii="Arial" w:cs="Arial" w:eastAsia="Arial" w:hAnsi="Arial"/>
          <w:sz w:val="18"/>
          <w:szCs w:val="18"/>
          <w:b w:val="1"/>
          <w:bCs w:val="1"/>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Lien on Shares</w:t>
      </w:r>
    </w:p>
    <w:p>
      <w:pPr>
        <w:spacing w:after="0" w:line="229"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176"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18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18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125730</wp:posOffset>
            </wp:positionV>
            <wp:extent cx="1208405" cy="13290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Call on Shares</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A call shall be deemed to have been made at the time when the resolution of the Directors authorising such call was passed.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The joint holders of a Share shall be jointly and severally liable to pay all calls in respect thereof.</w:t>
      </w:r>
    </w:p>
    <w:p>
      <w:pPr>
        <w:spacing w:after="0" w:line="225"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14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The Directors may issue Shares with different terms as to the amount and times of payment of calls, or the interest to be paid.</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184"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7"/>
          <w:szCs w:val="17"/>
          <w:color w:val="auto"/>
        </w:rPr>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Forfeiture of Shares</w:t>
      </w:r>
    </w:p>
    <w:p>
      <w:pPr>
        <w:spacing w:after="0" w:line="229"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7"/>
          <w:szCs w:val="17"/>
          <w:color w:val="auto"/>
        </w:rPr>
        <w:t>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117475</wp:posOffset>
            </wp:positionV>
            <wp:extent cx="1208405" cy="13290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187"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157"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A certificate in writing under the hand of one Director or Officer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188"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8"/>
          <w:szCs w:val="18"/>
          <w:color w:val="auto"/>
        </w:rPr>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Transmission of Shares</w:t>
      </w:r>
    </w:p>
    <w:p>
      <w:pPr>
        <w:spacing w:after="0" w:line="22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184"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121920</wp:posOffset>
            </wp:positionV>
            <wp:extent cx="1208405" cy="13290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left="660" w:hanging="647"/>
        <w:spacing w:after="0" w:line="269" w:lineRule="auto"/>
        <w:tabs>
          <w:tab w:leader="none" w:pos="6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7"/>
          <w:szCs w:val="17"/>
          <w:color w:val="auto"/>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Class B Share Conversion</w:t>
      </w:r>
    </w:p>
    <w:p>
      <w:pPr>
        <w:spacing w:after="0" w:line="229"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7"/>
          <w:szCs w:val="17"/>
          <w:color w:val="auto"/>
        </w:rPr>
        <w:t xml:space="preserve">The rights attaching to all Shares shall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all respects, and the Class A Shares and Class B Shares shall vote together as a single class on all matters (subject to the Variation of Rights of Shares Article and the Appointment and Removal of Directors Article hereof) with the exception that the holder of a Class B Share shall have the Conversion Rights referred to in this Article.</w:t>
      </w:r>
    </w:p>
    <w:p>
      <w:pPr>
        <w:spacing w:after="0" w:line="161" w:lineRule="exact"/>
        <w:rPr>
          <w:sz w:val="20"/>
          <w:szCs w:val="20"/>
          <w:color w:val="auto"/>
        </w:rPr>
      </w:pPr>
    </w:p>
    <w:p>
      <w:pPr>
        <w:jc w:val="both"/>
        <w:ind w:left="660" w:right="20" w:hanging="647"/>
        <w:spacing w:after="0" w:line="312" w:lineRule="auto"/>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Class B Shares shall automatically convert into Class A Shares on a one-for-one basis (the “</w:t>
      </w:r>
      <w:r>
        <w:rPr>
          <w:rFonts w:ascii="Arial" w:cs="Arial" w:eastAsia="Arial" w:hAnsi="Arial"/>
          <w:sz w:val="17"/>
          <w:szCs w:val="17"/>
          <w:b w:val="1"/>
          <w:bCs w:val="1"/>
          <w:color w:val="auto"/>
        </w:rPr>
        <w:t>Initial Conversion Ratio</w:t>
      </w:r>
      <w:r>
        <w:rPr>
          <w:rFonts w:ascii="Arial" w:cs="Arial" w:eastAsia="Arial" w:hAnsi="Arial"/>
          <w:sz w:val="17"/>
          <w:szCs w:val="17"/>
          <w:color w:val="auto"/>
        </w:rPr>
        <w:t>”): (a) at any time and from time to time at the option of the holder thereof; and (b) automatically on the day of the closing of a Business Combination.</w:t>
      </w:r>
    </w:p>
    <w:p>
      <w:pPr>
        <w:spacing w:after="0" w:line="144"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Notwithstanding the Initial Conversion Ratio, in the case that additional Class A Shares or any other Equity-linked Securities, are issued, or deemed issued, by the Company in excess of the amounts offered in the IPO and related to the closing of a Business Combination, all Class B Shares in issue shall automatically convert into Class A Shares at the time of the closing of a Business Combination at an adjusted ratio so that the number of Class A Shares issuable upon conversion of all Class B Shares will equal, in the aggregate, 20 per cent of the sum of all Class A Shares and Class B Shares in issue upon completion of the IPO plus all Class A Shares and Equity-linked Securities issued, or deemed issued, in connection with a Business Combination, excluding any Shares or Equity-linked Securities issued, or to be issued, to any seller in a Business Combination and any private placement warrants issued to the Sponsor or an affiliate of the Sponsor or certain of the Officers and Directors upon conversion of working capital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130810</wp:posOffset>
            </wp:positionV>
            <wp:extent cx="1208405" cy="13284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8405"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Notwithstanding anything to the contrary contained herein, the foregoing adjustment to the Initial Conversion Ratio may be waived as to any particular issuance, or deemed issuance, of additional Class A Shares or Equity-linked Securities by the written consent or agreement of holders of a majority of the Class B Shares then in issue consenting or agreeing separately as a separate class in the manner provided in the Variation of Rights of Shares Article hereof.</w:t>
      </w:r>
    </w:p>
    <w:p>
      <w:pPr>
        <w:spacing w:after="0" w:line="187"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8"/>
          <w:szCs w:val="18"/>
          <w:color w:val="auto"/>
        </w:rPr>
        <w:t>The foregoing conversion ratio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spacing w:after="0" w:line="188"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color w:val="auto"/>
        </w:rPr>
        <w:t>Each Class B Share shall convert into its pro rata number of Class A Shares pursuant to this Article.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Class B Shares in issue shall be converted pursuant to this Article and the denominator of which shall be the total number of Class B Shares in issue at the time of conversion.</w:t>
      </w:r>
    </w:p>
    <w:p>
      <w:pPr>
        <w:spacing w:after="0" w:line="153" w:lineRule="exact"/>
        <w:rPr>
          <w:sz w:val="20"/>
          <w:szCs w:val="20"/>
          <w:color w:val="auto"/>
        </w:rPr>
      </w:pPr>
    </w:p>
    <w:p>
      <w:pPr>
        <w:jc w:val="both"/>
        <w:ind w:left="660" w:hanging="647"/>
        <w:spacing w:after="0" w:line="298" w:lineRule="auto"/>
        <w:tabs>
          <w:tab w:leader="none" w:pos="64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color w:val="auto"/>
        </w:rPr>
        <w:t>References in this Article to “</w:t>
      </w:r>
      <w:r>
        <w:rPr>
          <w:rFonts w:ascii="Arial" w:cs="Arial" w:eastAsia="Arial" w:hAnsi="Arial"/>
          <w:sz w:val="16"/>
          <w:szCs w:val="16"/>
          <w:b w:val="1"/>
          <w:bCs w:val="1"/>
          <w:color w:val="auto"/>
        </w:rPr>
        <w:t>converted</w:t>
      </w:r>
      <w:r>
        <w:rPr>
          <w:rFonts w:ascii="Arial" w:cs="Arial" w:eastAsia="Arial" w:hAnsi="Arial"/>
          <w:sz w:val="16"/>
          <w:szCs w:val="16"/>
          <w:color w:val="auto"/>
        </w:rPr>
        <w:t>”, “</w:t>
      </w:r>
      <w:r>
        <w:rPr>
          <w:rFonts w:ascii="Arial" w:cs="Arial" w:eastAsia="Arial" w:hAnsi="Arial"/>
          <w:sz w:val="16"/>
          <w:szCs w:val="16"/>
          <w:b w:val="1"/>
          <w:bCs w:val="1"/>
          <w:color w:val="auto"/>
        </w:rPr>
        <w:t>conversion</w:t>
      </w:r>
      <w:r>
        <w:rPr>
          <w:rFonts w:ascii="Arial" w:cs="Arial" w:eastAsia="Arial" w:hAnsi="Arial"/>
          <w:sz w:val="16"/>
          <w:szCs w:val="16"/>
          <w:color w:val="auto"/>
        </w:rPr>
        <w:t>” or “</w:t>
      </w:r>
      <w:r>
        <w:rPr>
          <w:rFonts w:ascii="Arial" w:cs="Arial" w:eastAsia="Arial" w:hAnsi="Arial"/>
          <w:sz w:val="16"/>
          <w:szCs w:val="16"/>
          <w:b w:val="1"/>
          <w:bCs w:val="1"/>
          <w:color w:val="auto"/>
        </w:rPr>
        <w:t>exchange</w:t>
      </w:r>
      <w:r>
        <w:rPr>
          <w:rFonts w:ascii="Arial" w:cs="Arial" w:eastAsia="Arial" w:hAnsi="Arial"/>
          <w:sz w:val="16"/>
          <w:szCs w:val="16"/>
          <w:color w:val="auto"/>
        </w:rPr>
        <w:t>”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158"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color w:val="auto"/>
        </w:rPr>
        <w:t>Notwithstanding anything to the contrary in this Article, in no event may any Class B Share convert into Class A Shares at a ratio that is less than one-for-one.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Amendments of Memorandum and Articles of Association and Alteration of Capital</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The Company may by Ordinary Resolution:</w:t>
      </w:r>
    </w:p>
    <w:p>
      <w:pPr>
        <w:spacing w:after="0" w:line="225" w:lineRule="exact"/>
        <w:rPr>
          <w:sz w:val="20"/>
          <w:szCs w:val="20"/>
          <w:color w:val="auto"/>
        </w:rPr>
      </w:pPr>
    </w:p>
    <w:p>
      <w:pPr>
        <w:ind w:left="980" w:right="20" w:hanging="324"/>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increase its share capital by such sum as the Ordinary Resolution shall prescribe and with such rights, priorities and privileges annexed thereto, as the Company in general meeting may determine;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151765</wp:posOffset>
            </wp:positionV>
            <wp:extent cx="1208405" cy="13284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8405"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convert all or any of its paid-up Shares into stock, and reconvert that stock into paid-up Shares of any denomination;</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by subdivision of its existing Shares or any of them divide the whole or any part of its share capital into Shares of smaller amount than is fixed by the Memorandum or into Shares without par value;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170" w:lineRule="exact"/>
        <w:rPr>
          <w:sz w:val="20"/>
          <w:szCs w:val="20"/>
          <w:color w:val="auto"/>
        </w:rPr>
      </w:pPr>
    </w:p>
    <w:p>
      <w:pPr>
        <w:ind w:left="660" w:hanging="647"/>
        <w:spacing w:after="0" w:line="308" w:lineRule="auto"/>
        <w:tabs>
          <w:tab w:leader="none" w:pos="6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Subject to the provisions of the Statute, the provisions of the Articles as regards the matters to be dealt with by Ordinary Resolution and Article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29.4, the Company may by Special Resolution:</w:t>
      </w:r>
    </w:p>
    <w:p>
      <w:pPr>
        <w:spacing w:after="0" w:line="211" w:lineRule="exact"/>
        <w:rPr>
          <w:sz w:val="20"/>
          <w:szCs w:val="20"/>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 its name;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alter or add to the Articles (subject to Article 29.4);</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alter or add to the Memorandum with respect to any objects, powers or other matters specified therein;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reduce its share capital or any capital redemption reserve fund.</w:t>
      </w:r>
    </w:p>
    <w:p>
      <w:pPr>
        <w:spacing w:after="0" w:line="221"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Offices and Places of Business</w:t>
      </w:r>
    </w:p>
    <w:p>
      <w:pPr>
        <w:spacing w:after="0" w:line="229"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General Meetings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All general meetings other than annual general meetings shall be called extraordinary general meetings.</w:t>
      </w:r>
    </w:p>
    <w:p>
      <w:pPr>
        <w:spacing w:after="0" w:line="225"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7"/>
          <w:szCs w:val="17"/>
          <w:color w:val="auto"/>
        </w:rPr>
        <w:t>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and if no other time and place is prescribed by them, it shall be held at the Registered Office on the second Wednesday in December of each year at ten o’clock in the morning. At these meetings the report of the Directors (if any) shall be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117475</wp:posOffset>
            </wp:positionV>
            <wp:extent cx="1208405" cy="13290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The Directors, the chief executive officer or the chairman of the board of Directors may call general meetings, and, for the avoidance of doubt, Members shall not have the ability to call general meetings.</w:t>
      </w:r>
    </w:p>
    <w:p>
      <w:pPr>
        <w:spacing w:after="0" w:line="17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8"/>
          <w:szCs w:val="18"/>
          <w:color w:val="auto"/>
        </w:rPr>
        <w:t>Members seeking to bring business before the annual general meeting or to nominate candidates for appointment as Directors at the annual general meeting must deliver notice to the principal executive offices of the Company not later than the close of business on the 90th day nor earlier than the close of business on the 120th day prior to the scheduled date of the annual general meeting.</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Notice of General Meetings</w:t>
      </w:r>
    </w:p>
    <w:p>
      <w:pPr>
        <w:spacing w:after="0" w:line="229"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188" w:lineRule="exact"/>
        <w:rPr>
          <w:sz w:val="20"/>
          <w:szCs w:val="20"/>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case of an annual general meeting, by all of the Members entitled to attend and vote thereat;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case of an extraordinary general meeting, by a majority in number of the Members having a right to attend and vote at the meeting, together holding not less than ninety-five per cent in par value of the Shares giving that right.</w:t>
      </w:r>
    </w:p>
    <w:p>
      <w:pPr>
        <w:spacing w:after="0" w:line="170"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The accidental omission to give notice of a general meeting to, or the non receipt of notice of a general meeting by, any person entitled to receive such notice shall not invalidate the proceedings of that general meeting.</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Proceedings at General Meetings</w:t>
      </w:r>
    </w:p>
    <w:p>
      <w:pPr>
        <w:spacing w:after="0" w:line="229" w:lineRule="exact"/>
        <w:rPr>
          <w:sz w:val="20"/>
          <w:szCs w:val="20"/>
          <w:color w:val="auto"/>
        </w:rPr>
      </w:pPr>
    </w:p>
    <w:p>
      <w:pPr>
        <w:jc w:val="both"/>
        <w:ind w:left="660" w:right="20" w:hanging="647"/>
        <w:spacing w:after="0" w:line="342" w:lineRule="auto"/>
        <w:tabs>
          <w:tab w:leader="none" w:pos="6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No business shall be transacted at any general meeting unless a quorum is present. The holders of a majority of the Shares being individuals present in person or by proxy or if a corporation or other non-natural person by its duly authorised representative or proxy shall be a quorum.</w:t>
      </w:r>
    </w:p>
    <w:p>
      <w:pPr>
        <w:spacing w:after="0" w:line="12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127635</wp:posOffset>
            </wp:positionV>
            <wp:extent cx="1208405" cy="13290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If a quorum is not present within half an hour from the time appointed for the meeting to commence or if during such a meeting a quorum ceases to be present, the meeting, if convened upon a Members’ requisition, shall be dissolved and in any other case it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188"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The Directors may, at any time prior to the time appointed for the meeting to commence, appoint any person to act as chairman of a general meeting of the Company or, if the Directors do not make any such appointment, the chairman, if any, of the board of Directors shall preside as chairman at such general meeting. If there is no such chairman, or if he shall not be present within fifteen minutes after the time appointed for the meeting to commence, or is unwilling to act, the Directors present shall elect one of their number to be chairman of the meeting.</w:t>
      </w:r>
    </w:p>
    <w:p>
      <w:pPr>
        <w:spacing w:after="0" w:line="15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If no Director is willing to act as chairman or if no Director is present within fifteen minutes after the time appointed for the meeting to commence, the Members present shall choose one of their number to be chairman of the meeting.</w:t>
      </w:r>
    </w:p>
    <w:p>
      <w:pPr>
        <w:spacing w:after="0" w:line="17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8"/>
          <w:szCs w:val="18"/>
          <w:color w:val="auto"/>
        </w:rPr>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When a general meeting is adjourned for thirty days or more, notice of the adjourned meeting shall be given as in the case of an original meeting.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Otherwise it shall not be necessary to give any such notice of an adjourned meeting.</w:t>
      </w:r>
    </w:p>
    <w:p>
      <w:pPr>
        <w:spacing w:after="0" w:line="21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8"/>
          <w:szCs w:val="18"/>
          <w:color w:val="auto"/>
        </w:rPr>
        <w:t>If, prior to a Business Combination, a notice is issued in respect of a general meeting and the Directors, in their absolute discretion, consider that it is impractical or undesirable for any reason to hold that general meeting at the place, the day and the hour specified in the notice calling such general meeting, the Directors may postpone the general meeting to another place, day and/or hour provided that notice of the place, the day and the hour of the rearranged general meeting is promptly given to all Members. No business shall be transacted at any postponed meeting other than the business specified in the notice of the original meeting.</w:t>
      </w:r>
    </w:p>
    <w:p>
      <w:pPr>
        <w:spacing w:after="0" w:line="188"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22.10</w:t>
      </w:r>
      <w:r>
        <w:rPr>
          <w:sz w:val="20"/>
          <w:szCs w:val="20"/>
          <w:color w:val="auto"/>
        </w:rPr>
        <w:tab/>
      </w:r>
      <w:r>
        <w:rPr>
          <w:rFonts w:ascii="Arial" w:cs="Arial" w:eastAsia="Arial" w:hAnsi="Arial"/>
          <w:sz w:val="16"/>
          <w:szCs w:val="16"/>
          <w:color w:val="auto"/>
        </w:rPr>
        <w:t>When a general meeting is postponed for thirty days or more, notice of the postponed meeting shall be given as in the case of an original meeting. Otherwise it shall not be necessary to give any such notice of a postponed meeting. All proxy forms submitted for the original general meeting shall remain valid for the postponed meeting. The Directors may postpone a general meeting which has already been postponed.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103505</wp:posOffset>
            </wp:positionV>
            <wp:extent cx="1208405" cy="13284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8405"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spacing w:after="0"/>
        <w:tabs>
          <w:tab w:leader="none" w:pos="64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6"/>
          <w:szCs w:val="16"/>
          <w:color w:val="auto"/>
        </w:rPr>
        <w:t>A resolution put to the vote of the meeting shall be decided on a poll.</w:t>
      </w:r>
    </w:p>
    <w:p>
      <w:pPr>
        <w:spacing w:after="0" w:line="225"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22.12</w:t>
        <w:tab/>
        <w:t>A poll shall be taken as the chairman directs, and the result of the poll shall be deemed to be the resolution of the general meeting at which the poll was demanded.</w:t>
      </w:r>
    </w:p>
    <w:p>
      <w:pPr>
        <w:spacing w:after="0" w:line="170"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22.13</w:t>
        <w:tab/>
        <w:t>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22.14</w:t>
      </w:r>
      <w:r>
        <w:rPr>
          <w:sz w:val="20"/>
          <w:szCs w:val="20"/>
          <w:color w:val="auto"/>
        </w:rPr>
        <w:tab/>
      </w:r>
      <w:r>
        <w:rPr>
          <w:rFonts w:ascii="Arial" w:cs="Arial" w:eastAsia="Arial" w:hAnsi="Arial"/>
          <w:sz w:val="16"/>
          <w:szCs w:val="16"/>
          <w:color w:val="auto"/>
        </w:rPr>
        <w:t>In the case of an equality of votes the chairman shall be entitled to a second or casting vote.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Votes of Members</w:t>
      </w:r>
    </w:p>
    <w:p>
      <w:pPr>
        <w:spacing w:after="0" w:line="229"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Subject to any rights or restrictions attached to any Shares, including as set out at Article 29.4, every Member present in any such manner shall have one vote for every Share of which he is the holder.</w:t>
      </w:r>
    </w:p>
    <w:p>
      <w:pPr>
        <w:spacing w:after="0" w:line="170"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16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8"/>
          <w:szCs w:val="18"/>
          <w:color w:val="auto"/>
        </w:rPr>
        <w:t>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w:t>
      </w:r>
    </w:p>
    <w:p>
      <w:pPr>
        <w:spacing w:after="0" w:line="18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color w:val="auto"/>
        </w:rPr>
        <w:t>No person shall be entitled to vote at any general meeting unless he is registered as a Member on the record date for such meeting nor unless all calls or other monies then payable by him in respect of Shares have been paid.</w:t>
      </w:r>
    </w:p>
    <w:p>
      <w:pPr>
        <w:spacing w:after="0" w:line="170"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8"/>
          <w:szCs w:val="18"/>
          <w:color w:val="auto"/>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8"/>
          <w:szCs w:val="18"/>
          <w:color w:val="auto"/>
        </w:rPr>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127635</wp:posOffset>
            </wp:positionV>
            <wp:extent cx="1208405" cy="13290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8"/>
          <w:szCs w:val="18"/>
          <w:color w:val="auto"/>
        </w:rPr>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Proxies</w:t>
      </w:r>
    </w:p>
    <w:p>
      <w:pPr>
        <w:spacing w:after="0" w:line="22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p>
      <w:pPr>
        <w:spacing w:after="0" w:line="184"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 trument proposes to vote.</w:t>
      </w:r>
    </w:p>
    <w:p>
      <w:pPr>
        <w:spacing w:after="0" w:line="16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18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127635</wp:posOffset>
            </wp:positionV>
            <wp:extent cx="1208405" cy="13290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Corporate Members</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187" w:lineRule="exact"/>
        <w:rPr>
          <w:sz w:val="20"/>
          <w:szCs w:val="20"/>
          <w:color w:val="auto"/>
        </w:rPr>
      </w:pPr>
    </w:p>
    <w:p>
      <w:pPr>
        <w:jc w:val="both"/>
        <w:ind w:left="660" w:hanging="647"/>
        <w:spacing w:after="0" w:line="296" w:lineRule="auto"/>
        <w:tabs>
          <w:tab w:leader="none" w:pos="64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157"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Shares that May Not be Voted</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8"/>
          <w:szCs w:val="18"/>
          <w:color w:val="auto"/>
        </w:rPr>
        <w:t>There shall be a board of Directors consisting of not less than one person provided however that the Company may by Ordinary Resolution increase or reduce the limits in the number of Directors.</w:t>
      </w:r>
    </w:p>
    <w:p>
      <w:pPr>
        <w:spacing w:after="0" w:line="170"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6"/>
          <w:szCs w:val="16"/>
          <w:color w:val="auto"/>
        </w:rPr>
        <w:t>The Directors shall be divided into three classes: Class I, Class II and Class III. The number of Directors in each class shall be as nearly equal as possible. Upon the adoption of the Articles, the existing Directors shall by resolution classify themselves as Class I, Class II or Class III Directors. The Class I Directors shall stand elected for a term expiring at the Company’s first annual general meeting, the Class II Directors shall stand elected for a term expiring at the Company’s second annual general meeting and the Class III Directors shall stand elected for a term expiring at the Company’s third annual general meeting. Commencing at the Company’s first annual general meeting, and at each annual general meeting thereafter, Directors elected to succeed those Directors whose terms expire shall be elected for a term of office to expire at the third succeeding annual general meeting after their election. Except as the Statute or other Applicable Law may otherwise require, in the interim between annual general meetings or extraordinary general meetings called for the election of Directors and/or the removal of one or more Directors and the filling of any vacancy in that connection, additional Directors and any vacancies in the board of Directors, including unfilled vacancies resulting from the removal of Directors for cause, may be filled by the vote of a majority of the remaining Directors then in office, although less than a quorum (as defined in the Articles), or by the sole remaining Director. All Directors shall hold office until the expiration of their respective terms of office and until their successors shall have been elected and qualified. A Director elected to fill a vacancy resulting from the death, resignation or removal of a Director shall serve for the remainder of the full term of the Director whose death, resignation or removal shall have created such vacancy and until his successor shall have been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117475</wp:posOffset>
            </wp:positionV>
            <wp:extent cx="1208405" cy="13290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spacing w:after="0"/>
        <w:tabs>
          <w:tab w:leader="none" w:pos="6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Powers of Directors</w:t>
      </w:r>
    </w:p>
    <w:p>
      <w:pPr>
        <w:spacing w:after="0" w:line="229"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6"/>
          <w:szCs w:val="16"/>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15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8"/>
          <w:szCs w:val="18"/>
          <w:color w:val="auto"/>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18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8"/>
          <w:szCs w:val="18"/>
          <w:color w:val="auto"/>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18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8"/>
          <w:szCs w:val="18"/>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Appointment and Removal of Directors</w:t>
      </w:r>
    </w:p>
    <w:p>
      <w:pPr>
        <w:spacing w:after="0" w:line="229"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Prior to the closing of a Business Combination, the Company may by Ordinary Resolution of the holders of the Class B Shares appoint any person to be a Director or may by Ordinary Resolution of the holders of the Class B Shares remove any Director. For the avoidance of doubt, prior to the closing of a Business Combination, holders of Class A Shares shall have no right to vote on the appointment or removal of any Director.</w:t>
      </w:r>
    </w:p>
    <w:p>
      <w:pPr>
        <w:spacing w:after="0" w:line="149"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6"/>
          <w:szCs w:val="16"/>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12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8"/>
          <w:szCs w:val="18"/>
          <w:color w:val="auto"/>
        </w:rPr>
        <w:t>After the closing of a Business Combination, the Company may by Ordinary Resolution appoint any person to be a Director or may by Ordinary Resolution remove any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117475</wp:posOffset>
            </wp:positionV>
            <wp:extent cx="1208405" cy="13284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8405"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7"/>
          <w:szCs w:val="17"/>
          <w:color w:val="auto"/>
        </w:rPr>
        <w:t>Prior to the closing of a Business Combination, Article 29.1 may only be amended by a Special Resolution passed by at least 90 per cent of such Members as, being entitled to do so, vote in person or, where proxies are allowed, by proxy at a general meeting of which notice specifying the intention to propose the resolution as a special resolution has been given, or by way of unanimous written resolution.</w:t>
      </w:r>
    </w:p>
    <w:p>
      <w:pPr>
        <w:spacing w:after="0" w:line="161"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of Office of Director</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office of a Director shall be vacated if:</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Director gives notice in writing to the Company that he resigns the office of Director; or</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Director absents himself (for the avoidance of doubt, without being represented by proxy) from three consecutive meetings of the board of Directors without special leave of absence from the Directors, and the Directors pass a resolution that he has by reason of such absence vacated office; or</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Director dies, becomes bankrupt or makes any arrangement or composition with his creditors generally;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Director is found to be or becomes of unsound mind; or</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of Directors</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The quorum for the transaction of the business of the Directors may be fixed by the Directors, and unless so fixed shall be two if there are two or more Directors, and shall be one if there is only one Director.</w:t>
      </w:r>
    </w:p>
    <w:p>
      <w:pPr>
        <w:spacing w:after="0" w:line="170" w:lineRule="exact"/>
        <w:rPr>
          <w:sz w:val="20"/>
          <w:szCs w:val="20"/>
          <w:color w:val="auto"/>
        </w:rPr>
      </w:pPr>
    </w:p>
    <w:p>
      <w:pPr>
        <w:jc w:val="both"/>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w:t>
      </w:r>
    </w:p>
    <w:p>
      <w:pPr>
        <w:spacing w:after="0" w:line="146"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117475</wp:posOffset>
            </wp:positionV>
            <wp:extent cx="1208405" cy="13290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p>
      <w:pPr>
        <w:spacing w:after="0" w:line="18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 xml:space="preserve">A Director may, or other Officer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Arial" w:cs="Arial" w:eastAsia="Arial" w:hAnsi="Arial"/>
          <w:sz w:val="18"/>
          <w:szCs w:val="18"/>
          <w:i w:val="1"/>
          <w:iCs w:val="1"/>
          <w:color w:val="auto"/>
        </w:rPr>
        <w:t>mutatis mutandis.</w:t>
      </w:r>
    </w:p>
    <w:p>
      <w:pPr>
        <w:spacing w:after="0" w:line="18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18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8"/>
          <w:szCs w:val="18"/>
          <w:color w:val="auto"/>
        </w:rPr>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p>
      <w:pPr>
        <w:spacing w:after="0" w:line="187"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8"/>
          <w:szCs w:val="18"/>
          <w:color w:val="auto"/>
        </w:rPr>
        <w:t>A Director may be represented at any meetings of the board of Directors by a proxy appointed in writing by him. The proxy shall count towards the quorum and the vote of the proxy shall for all purposes be deemed to be that of the appointing Director.</w:t>
      </w:r>
    </w:p>
    <w:p>
      <w:pPr>
        <w:spacing w:after="0" w:line="166"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 of Assent</w:t>
      </w:r>
    </w:p>
    <w:p>
      <w:pPr>
        <w:spacing w:after="0" w:line="229"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128270</wp:posOffset>
            </wp:positionV>
            <wp:extent cx="1208405" cy="13290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spacing w:after="0"/>
        <w:tabs>
          <w:tab w:leader="none" w:pos="6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Directors’ Interests</w:t>
      </w:r>
    </w:p>
    <w:p>
      <w:pPr>
        <w:spacing w:after="0" w:line="229"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170"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color w:val="auto"/>
        </w:rPr>
        <w:t>A Director may act by himself or by, through or on behalf of his firm in a professional capacity for the Company and he or his firm shall be entitled to remuneration for professional services as if he were not a Director.</w:t>
      </w:r>
    </w:p>
    <w:p>
      <w:pPr>
        <w:spacing w:after="0" w:line="170"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7"/>
          <w:szCs w:val="17"/>
          <w:color w:val="auto"/>
        </w:rPr>
        <w:t>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w:t>
      </w:r>
    </w:p>
    <w:p>
      <w:pPr>
        <w:spacing w:after="0" w:line="16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8"/>
          <w:szCs w:val="18"/>
          <w:color w:val="auto"/>
        </w:rPr>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w:t>
      </w:r>
    </w:p>
    <w:p>
      <w:pPr>
        <w:spacing w:after="0" w:line="19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color w:val="auto"/>
        </w:rPr>
        <w:t>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183"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Minutes</w:t>
      </w:r>
    </w:p>
    <w:p>
      <w:pPr>
        <w:spacing w:after="0" w:line="229"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spacing w:after="0" w:line="179" w:lineRule="exact"/>
        <w:rPr>
          <w:rFonts w:ascii="Arial" w:cs="Arial" w:eastAsia="Arial" w:hAnsi="Arial"/>
          <w:sz w:val="18"/>
          <w:szCs w:val="18"/>
          <w:b w:val="1"/>
          <w:bCs w:val="1"/>
          <w:color w:val="auto"/>
        </w:rPr>
      </w:pPr>
    </w:p>
    <w:p>
      <w:pPr>
        <w:ind w:left="660" w:hanging="652"/>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of Directors’ Powers</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8"/>
          <w:szCs w:val="18"/>
          <w:color w:val="auto"/>
        </w:rPr>
        <w:t>The Directors may delegate any of their powers, authorities and discretions, including the power to sub-delegate, to any committee consisting of one or more Directors (including, without limitation, the Audit Committee, the Compensation Committee and the Nominating and Corporate Governance Committee).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131445</wp:posOffset>
            </wp:positionV>
            <wp:extent cx="1208405" cy="13290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7"/>
          <w:szCs w:val="17"/>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176"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6"/>
          <w:szCs w:val="16"/>
          <w:color w:val="auto"/>
        </w:rPr>
        <w:t>The Directors may adopt formal written charters for committees. Each of these committees shall be empowered to do all things necessary to exercise the rights of such committee set forth in the Articles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and Corporate Governance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w:t>
      </w:r>
    </w:p>
    <w:p>
      <w:pPr>
        <w:spacing w:after="0" w:line="166" w:lineRule="exact"/>
        <w:rPr>
          <w:sz w:val="20"/>
          <w:szCs w:val="20"/>
          <w:color w:val="auto"/>
        </w:rPr>
      </w:pPr>
    </w:p>
    <w:p>
      <w:pPr>
        <w:jc w:val="both"/>
        <w:ind w:left="660" w:right="20" w:hanging="647"/>
        <w:spacing w:after="0" w:line="342" w:lineRule="auto"/>
        <w:tabs>
          <w:tab w:leader="none" w:pos="640"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6"/>
          <w:szCs w:val="16"/>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124"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7"/>
          <w:szCs w:val="17"/>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17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35.6</w:t>
      </w:r>
      <w:r>
        <w:rPr>
          <w:sz w:val="20"/>
          <w:szCs w:val="20"/>
          <w:color w:val="auto"/>
        </w:rPr>
        <w:tab/>
      </w:r>
      <w:r>
        <w:rPr>
          <w:rFonts w:ascii="Arial" w:cs="Arial" w:eastAsia="Arial" w:hAnsi="Arial"/>
          <w:sz w:val="18"/>
          <w:szCs w:val="18"/>
          <w:color w:val="auto"/>
        </w:rPr>
        <w:t>The Directors may appoint such Officers as they consider necessary on such terms, at such remuneration and to perform such duties, and subject to such provisions as to disqualification and removal as the Directors may think fit. Unless otherwise specified in the terms of his appointment an Officer may be removed by resolution of the Directors or Members. An Officer may vacate his office at any time if he gives notice in writing to the Company that he resigns his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127635</wp:posOffset>
            </wp:positionV>
            <wp:extent cx="1208405" cy="13284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8405"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No Minimum Shareholding</w:t>
      </w:r>
    </w:p>
    <w:p>
      <w:pPr>
        <w:spacing w:after="0" w:line="229"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Directors</w:t>
      </w:r>
    </w:p>
    <w:p>
      <w:pPr>
        <w:spacing w:after="0" w:line="229"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7"/>
          <w:szCs w:val="17"/>
          <w:color w:val="auto"/>
        </w:rPr>
        <w:t>The remuneration to be paid to the Directors, if any, shall be such remuneration as the Directors shall determine, provided that no remuneration shall be paid to any Director by the Company prior to the consummation of a Business Combination. The Directors shall also, whether prior to or after the consummation of a Business Combination,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17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8"/>
          <w:szCs w:val="18"/>
          <w:color w:val="auto"/>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8"/>
          <w:szCs w:val="18"/>
          <w:b w:val="1"/>
          <w:bCs w:val="1"/>
          <w:color w:val="auto"/>
        </w:rPr>
        <w:t>Seal</w:t>
      </w:r>
    </w:p>
    <w:p>
      <w:pPr>
        <w:spacing w:after="0" w:line="22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8"/>
          <w:szCs w:val="18"/>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p>
      <w:pPr>
        <w:spacing w:after="0" w:line="184"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6"/>
          <w:szCs w:val="16"/>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124"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8"/>
          <w:szCs w:val="18"/>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125730</wp:posOffset>
            </wp:positionV>
            <wp:extent cx="1208405" cy="13290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spacing w:after="0"/>
        <w:tabs>
          <w:tab w:leader="none" w:pos="64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8"/>
          <w:szCs w:val="18"/>
          <w:b w:val="1"/>
          <w:bCs w:val="1"/>
          <w:color w:val="auto"/>
        </w:rPr>
        <w:t>Dividends, Distributions and Reserve</w:t>
      </w:r>
    </w:p>
    <w:p>
      <w:pPr>
        <w:spacing w:after="0" w:line="229" w:lineRule="exact"/>
        <w:rPr>
          <w:sz w:val="20"/>
          <w:szCs w:val="20"/>
          <w:color w:val="auto"/>
        </w:rPr>
      </w:pPr>
    </w:p>
    <w:p>
      <w:pPr>
        <w:jc w:val="both"/>
        <w:ind w:left="660" w:hanging="647"/>
        <w:spacing w:after="0" w:line="296" w:lineRule="auto"/>
        <w:tabs>
          <w:tab w:leader="none" w:pos="64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6"/>
          <w:szCs w:val="16"/>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w:t>
      </w:r>
    </w:p>
    <w:p>
      <w:pPr>
        <w:spacing w:after="0" w:line="16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8"/>
          <w:szCs w:val="18"/>
          <w:color w:val="auto"/>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18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8"/>
          <w:szCs w:val="18"/>
          <w:color w:val="auto"/>
        </w:rPr>
        <w:t>The Directors may deduct from any Dividend or other distribution payable to any Member all sums of money (if any) then payable by him to the Company on account of calls or otherwise.</w:t>
      </w:r>
    </w:p>
    <w:p>
      <w:pPr>
        <w:spacing w:after="0" w:line="170"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39.4</w:t>
      </w:r>
      <w:r>
        <w:rPr>
          <w:sz w:val="20"/>
          <w:szCs w:val="20"/>
          <w:color w:val="auto"/>
        </w:rPr>
        <w:tab/>
      </w:r>
      <w:r>
        <w:rPr>
          <w:rFonts w:ascii="Arial" w:cs="Arial" w:eastAsia="Arial" w:hAnsi="Arial"/>
          <w:sz w:val="18"/>
          <w:szCs w:val="18"/>
          <w:color w:val="auto"/>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192"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39.5</w:t>
      </w:r>
      <w:r>
        <w:rPr>
          <w:sz w:val="20"/>
          <w:szCs w:val="20"/>
          <w:color w:val="auto"/>
        </w:rPr>
        <w:tab/>
      </w:r>
      <w:r>
        <w:rPr>
          <w:rFonts w:ascii="Arial" w:cs="Arial" w:eastAsia="Arial" w:hAnsi="Arial"/>
          <w:sz w:val="16"/>
          <w:szCs w:val="16"/>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12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39.6</w:t>
      </w:r>
      <w:r>
        <w:rPr>
          <w:sz w:val="20"/>
          <w:szCs w:val="20"/>
          <w:color w:val="auto"/>
        </w:rPr>
        <w:tab/>
      </w:r>
      <w:r>
        <w:rPr>
          <w:rFonts w:ascii="Arial" w:cs="Arial" w:eastAsia="Arial" w:hAnsi="Arial"/>
          <w:sz w:val="18"/>
          <w:szCs w:val="18"/>
          <w:color w:val="auto"/>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184"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39.7</w:t>
      </w:r>
      <w:r>
        <w:rPr>
          <w:sz w:val="20"/>
          <w:szCs w:val="20"/>
          <w:color w:val="auto"/>
        </w:rPr>
        <w:tab/>
      </w:r>
      <w:r>
        <w:rPr>
          <w:rFonts w:ascii="Arial" w:cs="Arial" w:eastAsia="Arial" w:hAnsi="Arial"/>
          <w:sz w:val="18"/>
          <w:szCs w:val="18"/>
          <w:color w:val="auto"/>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131445</wp:posOffset>
            </wp:positionV>
            <wp:extent cx="1208405" cy="13290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spacing w:after="0"/>
        <w:tabs>
          <w:tab w:leader="none" w:pos="640" w:val="left"/>
        </w:tabs>
        <w:rPr>
          <w:sz w:val="20"/>
          <w:szCs w:val="20"/>
          <w:color w:val="auto"/>
        </w:rPr>
      </w:pPr>
      <w:r>
        <w:rPr>
          <w:rFonts w:ascii="Arial" w:cs="Arial" w:eastAsia="Arial" w:hAnsi="Arial"/>
          <w:sz w:val="18"/>
          <w:szCs w:val="18"/>
          <w:color w:val="auto"/>
        </w:rPr>
        <w:t>39.8</w:t>
      </w:r>
      <w:r>
        <w:rPr>
          <w:sz w:val="20"/>
          <w:szCs w:val="20"/>
          <w:color w:val="auto"/>
        </w:rPr>
        <w:tab/>
      </w:r>
      <w:r>
        <w:rPr>
          <w:rFonts w:ascii="Arial" w:cs="Arial" w:eastAsia="Arial" w:hAnsi="Arial"/>
          <w:sz w:val="16"/>
          <w:szCs w:val="16"/>
          <w:color w:val="auto"/>
        </w:rPr>
        <w:t>No Dividend or other distribution shall bear interest against the Company.</w:t>
      </w:r>
    </w:p>
    <w:p>
      <w:pPr>
        <w:spacing w:after="0" w:line="225"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39.9</w:t>
      </w:r>
      <w:r>
        <w:rPr>
          <w:sz w:val="20"/>
          <w:szCs w:val="20"/>
          <w:color w:val="auto"/>
        </w:rPr>
        <w:tab/>
      </w:r>
      <w:r>
        <w:rPr>
          <w:rFonts w:ascii="Arial" w:cs="Arial" w:eastAsia="Arial" w:hAnsi="Arial"/>
          <w:sz w:val="17"/>
          <w:szCs w:val="17"/>
          <w:color w:val="auto"/>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172"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w:t>
      </w:r>
    </w:p>
    <w:p>
      <w:pPr>
        <w:spacing w:after="0" w:line="229" w:lineRule="exact"/>
        <w:rPr>
          <w:rFonts w:ascii="Arial" w:cs="Arial" w:eastAsia="Arial" w:hAnsi="Arial"/>
          <w:sz w:val="18"/>
          <w:szCs w:val="18"/>
          <w:b w:val="1"/>
          <w:bCs w:val="1"/>
          <w:color w:val="auto"/>
        </w:rPr>
      </w:pPr>
    </w:p>
    <w:p>
      <w:pPr>
        <w:jc w:val="both"/>
        <w:ind w:left="6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181" w:lineRule="exact"/>
        <w:rPr>
          <w:rFonts w:ascii="Arial" w:cs="Arial" w:eastAsia="Arial" w:hAnsi="Arial"/>
          <w:sz w:val="18"/>
          <w:szCs w:val="18"/>
          <w:b w:val="1"/>
          <w:bCs w:val="1"/>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Books of Account</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19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127635</wp:posOffset>
            </wp:positionV>
            <wp:extent cx="1208405" cy="13290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The Directors may cause to be prepared and to be laid before the Company in general meeting profit and loss accounts, balance sheets, group accounts (if any) and such other reports and accounts as may be required by law.</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b w:val="1"/>
          <w:bCs w:val="1"/>
          <w:color w:val="auto"/>
        </w:rPr>
        <w:t>Audit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The Directors may appoint an Auditor of the Company who shall hold office on such terms as the Directors determine.</w:t>
      </w:r>
    </w:p>
    <w:p>
      <w:pPr>
        <w:spacing w:after="0" w:line="22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w:t>
      </w:r>
    </w:p>
    <w:p>
      <w:pPr>
        <w:spacing w:after="0" w:line="19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The remuneration of the Auditor shall be fixed by the Audit Committee (if one exists).</w:t>
      </w:r>
    </w:p>
    <w:p>
      <w:pPr>
        <w:spacing w:after="0" w:line="225"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7"/>
          <w:szCs w:val="17"/>
          <w:color w:val="auto"/>
        </w:rPr>
        <w:t>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14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8"/>
          <w:szCs w:val="18"/>
          <w:color w:val="auto"/>
        </w:rPr>
        <w:t>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w:t>
      </w:r>
    </w:p>
    <w:p>
      <w:pPr>
        <w:spacing w:after="0" w:line="184"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8"/>
          <w:szCs w:val="18"/>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128270</wp:posOffset>
            </wp:positionV>
            <wp:extent cx="1208405" cy="13284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8405"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spacing w:after="0"/>
        <w:tabs>
          <w:tab w:leader="none" w:pos="6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Notices</w:t>
      </w:r>
    </w:p>
    <w:p>
      <w:pPr>
        <w:spacing w:after="0" w:line="229"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color w:val="auto"/>
        </w:rPr>
        <w:t>Where a notice is sent by:</w:t>
      </w:r>
    </w:p>
    <w:p>
      <w:pPr>
        <w:spacing w:after="0" w:line="225" w:lineRule="exact"/>
        <w:rPr>
          <w:sz w:val="20"/>
          <w:szCs w:val="20"/>
          <w:color w:val="auto"/>
        </w:rPr>
      </w:pPr>
    </w:p>
    <w:p>
      <w:pPr>
        <w:jc w:val="both"/>
        <w:ind w:left="980" w:hanging="324"/>
        <w:spacing w:after="0" w:line="263"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cable, telex or fax; service of the notice shall be deemed to be effected by properly addressing and sending such notice and shall be deemed to have been received on the same day that it was transmitted;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placing it on the Company’s Website; service of the notice shall be deemed to have been effected one hour after the notice or document was placed on the Company’s Website.</w:t>
      </w:r>
    </w:p>
    <w:p>
      <w:pPr>
        <w:spacing w:after="0" w:line="170"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7"/>
          <w:szCs w:val="17"/>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120650</wp:posOffset>
            </wp:positionV>
            <wp:extent cx="1208405" cy="13284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8405"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7"/>
          <w:szCs w:val="17"/>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b w:val="1"/>
          <w:bCs w:val="1"/>
          <w:color w:val="auto"/>
        </w:rPr>
        <w:t>Winding Up</w:t>
      </w:r>
    </w:p>
    <w:p>
      <w:pPr>
        <w:spacing w:after="0" w:line="229"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170" w:lineRule="exact"/>
        <w:rPr>
          <w:sz w:val="20"/>
          <w:szCs w:val="20"/>
          <w:color w:val="auto"/>
        </w:rPr>
      </w:pPr>
    </w:p>
    <w:p>
      <w:pPr>
        <w:jc w:val="both"/>
        <w:ind w:left="980" w:hanging="324"/>
        <w:spacing w:after="0" w:line="263"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183"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187"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7"/>
          <w:szCs w:val="17"/>
          <w:color w:val="auto"/>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8"/>
          <w:szCs w:val="18"/>
          <w:b w:val="1"/>
          <w:bCs w:val="1"/>
          <w:color w:val="auto"/>
        </w:rPr>
        <w:t>Indemnity and Insurance</w:t>
      </w:r>
    </w:p>
    <w:p>
      <w:pPr>
        <w:spacing w:after="0" w:line="229"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7"/>
          <w:szCs w:val="17"/>
          <w:color w:val="auto"/>
        </w:rPr>
        <w:t>Every Director and Officer (which for the avoidance of doubt, shall not include auditors of the Company), together with every former Director and former Officer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121920</wp:posOffset>
            </wp:positionV>
            <wp:extent cx="1208405" cy="13284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8405"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6"/>
          <w:szCs w:val="16"/>
          <w:color w:val="auto"/>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16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45.3</w:t>
      </w:r>
      <w:r>
        <w:rPr>
          <w:sz w:val="20"/>
          <w:szCs w:val="20"/>
          <w:color w:val="auto"/>
        </w:rPr>
        <w:tab/>
      </w:r>
      <w:r>
        <w:rPr>
          <w:rFonts w:ascii="Arial" w:cs="Arial" w:eastAsia="Arial" w:hAnsi="Arial"/>
          <w:sz w:val="18"/>
          <w:szCs w:val="18"/>
          <w:color w:val="auto"/>
        </w:rPr>
        <w:t>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w:t>
      </w:r>
    </w:p>
    <w:p>
      <w:pPr>
        <w:spacing w:after="0" w:line="180"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Transfer by Way of Continuation</w:t>
      </w:r>
    </w:p>
    <w:p>
      <w:pPr>
        <w:spacing w:after="0" w:line="229"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179" w:lineRule="exact"/>
        <w:rPr>
          <w:rFonts w:ascii="Arial" w:cs="Arial" w:eastAsia="Arial" w:hAnsi="Arial"/>
          <w:sz w:val="18"/>
          <w:szCs w:val="18"/>
          <w:b w:val="1"/>
          <w:bCs w:val="1"/>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Consolidations</w:t>
      </w:r>
    </w:p>
    <w:p>
      <w:pPr>
        <w:spacing w:after="0" w:line="229" w:lineRule="exact"/>
        <w:rPr>
          <w:rFonts w:ascii="Arial" w:cs="Arial" w:eastAsia="Arial" w:hAnsi="Arial"/>
          <w:sz w:val="18"/>
          <w:szCs w:val="18"/>
          <w:b w:val="1"/>
          <w:bCs w:val="1"/>
          <w:color w:val="auto"/>
        </w:rPr>
      </w:pPr>
    </w:p>
    <w:p>
      <w:pPr>
        <w:ind w:left="6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102235</wp:posOffset>
            </wp:positionV>
            <wp:extent cx="1208405" cy="13284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8405"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spacing w:after="0"/>
        <w:tabs>
          <w:tab w:leader="none" w:pos="64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8"/>
          <w:szCs w:val="18"/>
          <w:b w:val="1"/>
          <w:bCs w:val="1"/>
          <w:color w:val="auto"/>
        </w:rPr>
        <w:t>Business Combination</w:t>
      </w:r>
    </w:p>
    <w:p>
      <w:pPr>
        <w:spacing w:after="0" w:line="22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49.1</w:t>
      </w:r>
      <w:r>
        <w:rPr>
          <w:sz w:val="20"/>
          <w:szCs w:val="20"/>
          <w:color w:val="auto"/>
        </w:rPr>
        <w:tab/>
      </w:r>
      <w:r>
        <w:rPr>
          <w:rFonts w:ascii="Arial" w:cs="Arial" w:eastAsia="Arial" w:hAnsi="Arial"/>
          <w:sz w:val="17"/>
          <w:szCs w:val="17"/>
          <w:color w:val="auto"/>
        </w:rPr>
        <w:t>Notwithstanding any other provision of the Articles, this Article shall apply during the period commencing upon the adoption of the Articles and terminating upon the first to occur of the consummation of a Business Combination and the full distribution of the Trust Account pursuant to this Article. In the event of a conflict between this Article and any other Articles, the provisions of this Article shall prevail.</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49.2</w:t>
      </w:r>
      <w:r>
        <w:rPr>
          <w:sz w:val="20"/>
          <w:szCs w:val="20"/>
          <w:color w:val="auto"/>
        </w:rPr>
        <w:tab/>
      </w:r>
      <w:r>
        <w:rPr>
          <w:rFonts w:ascii="Arial" w:cs="Arial" w:eastAsia="Arial" w:hAnsi="Arial"/>
          <w:sz w:val="16"/>
          <w:szCs w:val="16"/>
          <w:color w:val="auto"/>
        </w:rPr>
        <w:t>Prior to the consummation of a Business Combination, the Company shall either:</w:t>
      </w:r>
    </w:p>
    <w:p>
      <w:pPr>
        <w:spacing w:after="0" w:line="225" w:lineRule="exact"/>
        <w:rPr>
          <w:sz w:val="20"/>
          <w:szCs w:val="20"/>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submit such Business Combination to its Members for approval; or</w:t>
      </w:r>
    </w:p>
    <w:p>
      <w:pPr>
        <w:spacing w:after="0" w:line="225" w:lineRule="exact"/>
        <w:rPr>
          <w:rFonts w:ascii="Arial" w:cs="Arial" w:eastAsia="Arial" w:hAnsi="Arial"/>
          <w:sz w:val="18"/>
          <w:szCs w:val="18"/>
          <w:color w:val="auto"/>
        </w:rPr>
      </w:pPr>
    </w:p>
    <w:p>
      <w:pPr>
        <w:jc w:val="both"/>
        <w:ind w:left="980" w:hanging="324"/>
        <w:spacing w:after="0" w:line="273" w:lineRule="auto"/>
        <w:tabs>
          <w:tab w:leader="none" w:pos="9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provide Members with the opportunity to have their Shares repurchased by means of a tender offer for a per-Share repurchase price payable in cash, equal to the aggregate amount then on deposit in the Trust Account, calculated as of two business days prior to the consummation of such Business Combination, including interest earned on the Trust Account (which interest shall be net of taxes paid or payable, if any) divided by the number of then issued Public Shares, provided that the Company shall not repurchase Public Shares in an amount that would cause the Company’s net tangible assets to be less than US$5,000,001 following such repurchases. Such obligation to purchase Shares is subject to the completion of the proposed Business Combination to which it relates.</w:t>
      </w:r>
    </w:p>
    <w:p>
      <w:pPr>
        <w:spacing w:after="0" w:line="178"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49.3</w:t>
      </w:r>
      <w:r>
        <w:rPr>
          <w:sz w:val="20"/>
          <w:szCs w:val="20"/>
          <w:color w:val="auto"/>
        </w:rPr>
        <w:tab/>
      </w:r>
      <w:r>
        <w:rPr>
          <w:rFonts w:ascii="Arial" w:cs="Arial" w:eastAsia="Arial" w:hAnsi="Arial"/>
          <w:sz w:val="16"/>
          <w:szCs w:val="16"/>
          <w:color w:val="auto"/>
        </w:rPr>
        <w:t>If the Company initiates any tender offer in accordance with Rule 13e-4 and Regulation 14E of the Exchange Act in connection with a proposed Business Combination, it shall file tender offer documents with the Securities and Exchange Commission prior to completing such Business Combination which contain substantially the same financial and other information about such Business Combination and the redemption rights as is required under Regulation 14A of the Exchange Act. If, alternatively, the Company holds a general meeting to approve a proposed Business Combination, the Company will conduct any redemptions in conjunction with a proxy solicitation pursuant to Regulation 14A of the Exchange Act, and not pursuant to the tender offer rules, and file proxy materials with the Securities and Exchange Commission.</w:t>
      </w:r>
    </w:p>
    <w:p>
      <w:pPr>
        <w:spacing w:after="0" w:line="164"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49.4</w:t>
      </w:r>
      <w:r>
        <w:rPr>
          <w:sz w:val="20"/>
          <w:szCs w:val="20"/>
          <w:color w:val="auto"/>
        </w:rPr>
        <w:tab/>
      </w:r>
      <w:r>
        <w:rPr>
          <w:rFonts w:ascii="Arial" w:cs="Arial" w:eastAsia="Arial" w:hAnsi="Arial"/>
          <w:sz w:val="18"/>
          <w:szCs w:val="18"/>
          <w:color w:val="auto"/>
        </w:rPr>
        <w:t>At a general meeting called for the purposes of approving a Business Combination pursuant to this Article, in the event that such Business Combination is approved by Ordinary Resolution, the Company shall be authorised to consummate such Business Combination, provided that the Company shall not consummate such Business Combination unless the Company has net tangible assets of at least US$5,000,001 immediately prior to, or upon such consummation of, or any greater net tangible asset or cash requirement that may be contained in the agreement relating to, such Business Combination.</w:t>
      </w:r>
    </w:p>
    <w:p>
      <w:pPr>
        <w:spacing w:after="0" w:line="188"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49.5</w:t>
      </w:r>
      <w:r>
        <w:rPr>
          <w:sz w:val="20"/>
          <w:szCs w:val="20"/>
          <w:color w:val="auto"/>
        </w:rPr>
        <w:tab/>
      </w:r>
      <w:r>
        <w:rPr>
          <w:rFonts w:ascii="Arial" w:cs="Arial" w:eastAsia="Arial" w:hAnsi="Arial"/>
          <w:sz w:val="16"/>
          <w:szCs w:val="16"/>
          <w:color w:val="auto"/>
        </w:rPr>
        <w:t>Any Member holding Public Shares who is not the Sponsor, a Founder, Officer or Director may, at least two business days’ prior to the initially scheduled vote on a Business Combination, elect to have their Public Shares redeemed for cash (the “</w:t>
      </w:r>
      <w:r>
        <w:rPr>
          <w:rFonts w:ascii="Arial" w:cs="Arial" w:eastAsia="Arial" w:hAnsi="Arial"/>
          <w:sz w:val="16"/>
          <w:szCs w:val="16"/>
          <w:b w:val="1"/>
          <w:bCs w:val="1"/>
          <w:color w:val="auto"/>
        </w:rPr>
        <w:t>IPO Redemption</w:t>
      </w:r>
      <w:r>
        <w:rPr>
          <w:rFonts w:ascii="Arial" w:cs="Arial" w:eastAsia="Arial" w:hAnsi="Arial"/>
          <w:sz w:val="16"/>
          <w:szCs w:val="16"/>
          <w:color w:val="auto"/>
        </w:rPr>
        <w:t>”), provided that no such Member acting together with any Affiliate of his or any other person with whom he is acting in concert or as a partnership, limited partnership, syndicate, or other group for the purposes of acquiring, holding, or disposing of Shares may exercise this redemption right with respect to more than 15 per cent of the Public Shares in the aggregate without the prior consent of the Company, and provided further that any beneficial owner of Public Shares on whose behalf a redemption right is being exercised must identify itself to the Company in connection with any redemption election in order to validly redeem such Public Shares. If so demanded, the Company shall pay any such redeeming Member, regardless of whether he votes or is voting for or against such proposed Business Combination, a per-Share redemption price payable in cash, equal to the aggregate amount then on deposit in the Trust Account calculated as of two business days prior to the consummation of the Business Combination, including interest earned on the Trust Account and not previously released to the Company to pay its taxes, divided by the number of then issued Public Shares (such redemption price being referred to herein as the “</w:t>
      </w:r>
      <w:r>
        <w:rPr>
          <w:rFonts w:ascii="Arial" w:cs="Arial" w:eastAsia="Arial" w:hAnsi="Arial"/>
          <w:sz w:val="16"/>
          <w:szCs w:val="16"/>
          <w:b w:val="1"/>
          <w:bCs w:val="1"/>
          <w:color w:val="auto"/>
        </w:rPr>
        <w:t>Redemption Price</w:t>
      </w:r>
      <w:r>
        <w:rPr>
          <w:rFonts w:ascii="Arial" w:cs="Arial" w:eastAsia="Arial" w:hAnsi="Arial"/>
          <w:sz w:val="16"/>
          <w:szCs w:val="16"/>
          <w:color w:val="auto"/>
        </w:rPr>
        <w:t>”), but only in the event that the applicable proposed Business Combination is approved and consummated. The Company shall not redeem Public Shares that would cause the Company’s net tangible assets to be less than US$5,000,001 following such redemptions (the “</w:t>
      </w:r>
      <w:r>
        <w:rPr>
          <w:rFonts w:ascii="Arial" w:cs="Arial" w:eastAsia="Arial" w:hAnsi="Arial"/>
          <w:sz w:val="16"/>
          <w:szCs w:val="16"/>
          <w:b w:val="1"/>
          <w:bCs w:val="1"/>
          <w:color w:val="auto"/>
        </w:rPr>
        <w:t>Redemption Limitation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119380</wp:posOffset>
            </wp:positionV>
            <wp:extent cx="1208405" cy="13284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8405"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center"/>
        <w:ind w:right="20"/>
        <w:spacing w:after="0" w:line="308" w:lineRule="auto"/>
        <w:rPr>
          <w:sz w:val="20"/>
          <w:szCs w:val="20"/>
          <w:color w:val="auto"/>
        </w:rPr>
      </w:pPr>
      <w:r>
        <w:rPr>
          <w:rFonts w:ascii="Arial" w:cs="Arial" w:eastAsia="Arial" w:hAnsi="Arial"/>
          <w:sz w:val="17"/>
          <w:szCs w:val="17"/>
          <w:color w:val="auto"/>
        </w:rPr>
        <w:t>49.6    A Member may not withdraw a Redemption Notice following the deadline for such Redemption Notice once submitted to the Company unless the Directors determine (in their sole discretion) to permit the withdrawal of such redemption request (which they may do in whole or in part).</w:t>
      </w:r>
    </w:p>
    <w:p>
      <w:pPr>
        <w:spacing w:after="0" w:line="14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49.7</w:t>
      </w:r>
      <w:r>
        <w:rPr>
          <w:sz w:val="20"/>
          <w:szCs w:val="20"/>
          <w:color w:val="auto"/>
        </w:rPr>
        <w:tab/>
      </w:r>
      <w:r>
        <w:rPr>
          <w:rFonts w:ascii="Arial" w:cs="Arial" w:eastAsia="Arial" w:hAnsi="Arial"/>
          <w:sz w:val="18"/>
          <w:szCs w:val="18"/>
          <w:color w:val="auto"/>
        </w:rPr>
        <w:t>In the event that the Company does not consummate a Business Combination within 18 months from the consummation of the IPO, or such later time as the Members may approve in accordance with the Articles, the Company shall:</w:t>
      </w:r>
    </w:p>
    <w:p>
      <w:pPr>
        <w:spacing w:after="0" w:line="170" w:lineRule="exact"/>
        <w:rPr>
          <w:sz w:val="20"/>
          <w:szCs w:val="20"/>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cease all operations except for the purpose of winding up;</w:t>
      </w:r>
    </w:p>
    <w:p>
      <w:pPr>
        <w:spacing w:after="0" w:line="225"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(less taxes payable and up to US$100,000 of interest to pay dissolution expenses), divided by the number of then Public Shares in issue, which redemption will completely extinguish public Members’ rights as Members (including the right to receive further liquidation distributions, if any); and</w:t>
      </w:r>
    </w:p>
    <w:p>
      <w:pPr>
        <w:spacing w:after="0" w:line="18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promptly as reasonably possible following such redemption, subject to the approval of the Company’s remaining Members and the Directors, liquidate and dissolve, subject in the case of (b) and (c) above to its obligations under Cayman Islands law to provide for claims of creditors and in all cases subject to the other requirements of Applicable Law.</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49.8</w:t>
      </w:r>
      <w:r>
        <w:rPr>
          <w:sz w:val="20"/>
          <w:szCs w:val="20"/>
          <w:color w:val="auto"/>
        </w:rPr>
        <w:tab/>
      </w:r>
      <w:r>
        <w:rPr>
          <w:rFonts w:ascii="Arial" w:cs="Arial" w:eastAsia="Arial" w:hAnsi="Arial"/>
          <w:sz w:val="16"/>
          <w:szCs w:val="16"/>
          <w:color w:val="auto"/>
        </w:rPr>
        <w:t>In the event that any amendment is made to this Article that would affect the substance or timing of the Company’s obligation to:</w:t>
      </w:r>
    </w:p>
    <w:p>
      <w:pPr>
        <w:spacing w:after="0" w:line="225" w:lineRule="exact"/>
        <w:rPr>
          <w:sz w:val="20"/>
          <w:szCs w:val="20"/>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provide for the redemption of the Public Shares in connection with a Business Combination; or</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redeem 100 per cent of the Public Shares if the Company has not consummated a Business Combination within 18 months from the consummation of the IPO, or such later time as the Members may approve in accordance with the Articles,</w:t>
      </w:r>
    </w:p>
    <w:p>
      <w:pPr>
        <w:spacing w:after="0" w:line="17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each holder of Public Shares who is not the Sponsor, a Founder, Officer or Director shall be provided with the opportunity to redeem their Public Shares upon the approval or effectiveness of any such amendment at a per-Share price, payable in cash, equal to the aggregate amount then on deposit in the Trust Account, including interest earned on the funds held in the Trust Account and not previously released to the Company to pay its taxes, divided by the number of then outstanding Public Shares. The Company’s ability to provide such redemption in this Article is subject to the Redemption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128270</wp:posOffset>
            </wp:positionV>
            <wp:extent cx="1208405" cy="13290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49.9</w:t>
      </w:r>
      <w:r>
        <w:rPr>
          <w:sz w:val="20"/>
          <w:szCs w:val="20"/>
          <w:color w:val="auto"/>
        </w:rPr>
        <w:tab/>
      </w:r>
      <w:r>
        <w:rPr>
          <w:rFonts w:ascii="Arial" w:cs="Arial" w:eastAsia="Arial" w:hAnsi="Arial"/>
          <w:sz w:val="16"/>
          <w:szCs w:val="16"/>
          <w:color w:val="auto"/>
        </w:rPr>
        <w:t>A holder of Public Shares shall be entitled to receive distributions from the Trust Account only in the event of an IPO Redemption, a repurchase of Shares by means of a tender offer pursuant to this Article</w:t>
      </w:r>
      <w:r>
        <w:rPr>
          <w:rFonts w:ascii="Arial" w:cs="Arial" w:eastAsia="Arial" w:hAnsi="Arial"/>
          <w:sz w:val="16"/>
          <w:szCs w:val="16"/>
          <w:b w:val="1"/>
          <w:bCs w:val="1"/>
          <w:color w:val="auto"/>
        </w:rPr>
        <w:t>Error! Reference source not found.</w:t>
      </w:r>
      <w:r>
        <w:rPr>
          <w:rFonts w:ascii="Arial" w:cs="Arial" w:eastAsia="Arial" w:hAnsi="Arial"/>
          <w:sz w:val="16"/>
          <w:szCs w:val="16"/>
          <w:color w:val="auto"/>
        </w:rPr>
        <w:t>, or a distribution of the Trust Account pursuant to this Article. In no other circumstance shall a holder of Public Shares have any right or interest of any kind in the Trust Account.</w:t>
      </w:r>
    </w:p>
    <w:p>
      <w:pPr>
        <w:spacing w:after="0" w:line="14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49.10</w:t>
        <w:tab/>
        <w:t>After the issue of Public Shares, and prior to the consummation of a Business Combination, the Company shall not issue additional Shares or any other securities that would entitle the holders thereof to:</w:t>
      </w:r>
    </w:p>
    <w:p>
      <w:pPr>
        <w:spacing w:after="0" w:line="170" w:lineRule="exact"/>
        <w:rPr>
          <w:sz w:val="20"/>
          <w:szCs w:val="20"/>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receive funds from the Trust Account;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vote as a class with Public Shares on a Business Combination.</w:t>
      </w:r>
    </w:p>
    <w:p>
      <w:pPr>
        <w:spacing w:after="0" w:line="225"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49.11</w:t>
        <w:tab/>
        <w:t>A Director may vote in respect of a Business Combination in which such Director has a conflict of interest with respect to the evaluation of such Business Combination. Such Director must disclose such interest or conflict to the other Directors.</w:t>
      </w:r>
    </w:p>
    <w:p>
      <w:pPr>
        <w:spacing w:after="0" w:line="170"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49.12</w:t>
      </w:r>
      <w:r>
        <w:rPr>
          <w:sz w:val="20"/>
          <w:szCs w:val="20"/>
          <w:color w:val="auto"/>
        </w:rPr>
        <w:tab/>
      </w:r>
      <w:r>
        <w:rPr>
          <w:rFonts w:ascii="Arial" w:cs="Arial" w:eastAsia="Arial" w:hAnsi="Arial"/>
          <w:sz w:val="17"/>
          <w:szCs w:val="17"/>
          <w:color w:val="auto"/>
        </w:rPr>
        <w:t>As long as the Company’s securities are listed on the Designated Stock Exchange, the Company must complete one or more Business Combinations having an aggregate fair market value equal to at least 80 per cent of the assets held in the Trust Account (net of amounts previously disbursed to the Company’s management for taxes and excluding the amount of deferred underwriting discounts held in the Trust Account) at the time of the Company’s signing a definitive agreement in connection with a Business Combination. A Business Combination must not be effectuated with another blank cheque company or a similar company with nominal operations</w:t>
      </w:r>
    </w:p>
    <w:p>
      <w:pPr>
        <w:spacing w:after="0" w:line="176"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49.13</w:t>
        <w:tab/>
        <w:t>The Company may enter into a Business Combination with a target business that is Affiliated with the Sponsor, a Founder, a Director or an Officer. In the event the Company seeks to complete a Business Combination with a target that is Affiliated with the Sponsor, a Founder, a Director or an Officer, the Company, or a committee of Independent Directors, will obtain an opinion from an independent investment banking firm or another valuation or appraisal firm that regularly renders fairness opinions on the type of target business the Company is seeking to acquire that such a Business Combination is fair to the Company from a financial point of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128270</wp:posOffset>
            </wp:positionV>
            <wp:extent cx="1208405" cy="13290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84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www.verify.gov.ky File#: 358424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spacing w:after="0"/>
        <w:tabs>
          <w:tab w:leader="none" w:pos="64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8"/>
          <w:szCs w:val="18"/>
          <w:b w:val="1"/>
          <w:bCs w:val="1"/>
          <w:color w:val="auto"/>
        </w:rPr>
        <w:t>Business Opportunities</w:t>
      </w:r>
    </w:p>
    <w:p>
      <w:pPr>
        <w:spacing w:after="0" w:line="225"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7"/>
          <w:szCs w:val="17"/>
          <w:color w:val="auto"/>
        </w:rPr>
        <w:t>To the fullest extent permitted by Applicable Law, no individual serving as a Director or an Officer (“</w:t>
      </w:r>
      <w:r>
        <w:rPr>
          <w:rFonts w:ascii="Arial" w:cs="Arial" w:eastAsia="Arial" w:hAnsi="Arial"/>
          <w:sz w:val="17"/>
          <w:szCs w:val="17"/>
          <w:b w:val="1"/>
          <w:bCs w:val="1"/>
          <w:color w:val="auto"/>
        </w:rPr>
        <w:t>Management</w:t>
      </w:r>
      <w:r>
        <w:rPr>
          <w:rFonts w:ascii="Arial" w:cs="Arial" w:eastAsia="Arial" w:hAnsi="Arial"/>
          <w:sz w:val="17"/>
          <w:szCs w:val="17"/>
          <w:color w:val="auto"/>
        </w:rPr>
        <w:t>”)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Management, on the one hand, and the Company, on the other. Except to the extent expressly assumed by contract, to the fullest extent permitted by Applicable Law, Management shall have no duty to communicate or offer any such corporate opportunity to the Company and shall not be liable to the Company or its Members for breach of any fiduciary duty as a Member, Director and/or Officer solely by reason of the fact that such party pursues or acquires such corporate opportunity for itself, himself or herself, directs such corporate opportunity to another person, or does not communicate information regarding such corporate opportunity to the Company.</w:t>
      </w:r>
    </w:p>
    <w:p>
      <w:pPr>
        <w:spacing w:after="0" w:line="17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8"/>
          <w:szCs w:val="18"/>
          <w:color w:val="auto"/>
        </w:rPr>
        <w:t>Except as provided elsewhere in this Article, the Company hereby renounces any interest or expectancy of the Company in, or in being offered an opportunity to participate in, any potential transaction or matter which may be a corporate opportunity for both the Company and Management, about which a Director and/or Officer who is also a member of Management acquires knowledge.</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8"/>
          <w:szCs w:val="18"/>
          <w:color w:val="auto"/>
        </w:rPr>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127635</wp:posOffset>
            </wp:positionV>
            <wp:extent cx="1208405" cy="13284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08405"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www.verify.gov.ky File#: 358424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ind w:left="10240"/>
        <w:spacing w:after="0"/>
        <w:rPr>
          <w:sz w:val="20"/>
          <w:szCs w:val="20"/>
          <w:color w:val="auto"/>
        </w:rPr>
      </w:pPr>
      <w:r>
        <w:rPr>
          <w:rFonts w:ascii="Arial" w:cs="Arial" w:eastAsia="Arial" w:hAnsi="Arial"/>
          <w:sz w:val="19"/>
          <w:szCs w:val="19"/>
          <w:b w:val="1"/>
          <w:bCs w:val="1"/>
          <w:color w:val="auto"/>
        </w:rPr>
        <w:t>Exhibit 4.1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SUSTAINABLE OPPORTUNITIES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WARRANT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May 8, 2020, is by and between Sustainable Opportunities Acquisition Corp., a Cayman Islands 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a New York corporation,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 also referred to herein as the “</w:t>
      </w:r>
      <w:r>
        <w:rPr>
          <w:rFonts w:ascii="Arial" w:cs="Arial" w:eastAsia="Arial" w:hAnsi="Arial"/>
          <w:sz w:val="18"/>
          <w:szCs w:val="18"/>
          <w:b w:val="1"/>
          <w:bCs w:val="1"/>
          <w:i w:val="1"/>
          <w:iCs w:val="1"/>
          <w:color w:val="auto"/>
        </w:rPr>
        <w:t>Transfer Agent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on May 5, 2020, the Company entered into that certain Private Placement Warrants Purchase Agreement with Sustainable Opportunities Holdings LLC, a Delaware limited liability company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xml:space="preserve">”), pursuant to which the Sponsor will purchase an aggregate of 9,500,000 warrants simultaneously with the closing of the Offering bearing the legend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at a purchase price of $1.00 per Private Placement Warrant; and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in order to finance the Company’s transaction costs in connection with an intended initial Business Combination, the Sponsor or an affiliate of the Sponsor or the Company’s officers and directors may loan to the Company funds as the Company may require, of which up to $1,500,000 of such loans may be convertible into up to an additional 1,500,000 warrants, which will be identical to the Private Placement Warrants, at a price of $1.00 per warrant; and</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WHEREAS, the Company is engaged in an initial public offering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of units of the Company’s equity securities, each such unit comprised of one Ordinary Share (as defined below) and one-half of one redeemable Public Warrant (as defined below)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and, in connection therewith, has determined to issue and deliver up to 15,000,000 warrants (or up to 17,250,000 warrants to the extent the Option is exercised in full) to public investors in the Offering (the “</w:t>
      </w:r>
      <w:r>
        <w:rPr>
          <w:rFonts w:ascii="Arial" w:cs="Arial" w:eastAsia="Arial" w:hAnsi="Arial"/>
          <w:sz w:val="18"/>
          <w:szCs w:val="18"/>
          <w:b w:val="1"/>
          <w:bCs w:val="1"/>
          <w:i w:val="1"/>
          <w:iCs w:val="1"/>
          <w:color w:val="auto"/>
        </w:rPr>
        <w:t>Public Warrants</w:t>
      </w:r>
      <w:r>
        <w:rPr>
          <w:rFonts w:ascii="Arial" w:cs="Arial" w:eastAsia="Arial" w:hAnsi="Arial"/>
          <w:sz w:val="18"/>
          <w:szCs w:val="18"/>
          <w:color w:val="auto"/>
        </w:rPr>
        <w:t>” and, together with the Private Placement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Each whole Warrant entitles the holder thereof to purchase one Class A ordinary share of the Company, par value $0.0001 per share (the “</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for $11.50 per share, subject to adjustment as described herein; and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a registration statement on Form S-1, File No. 333-237245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and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the Units and the Public Warrants and the Ordinary Shares included in the Units;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3" w:name="page84"/>
    <w:bookmarkEnd w:id="83"/>
    <w:p>
      <w:pPr>
        <w:jc w:val="both"/>
        <w:ind w:firstLine="648"/>
        <w:spacing w:after="0" w:line="308" w:lineRule="auto"/>
        <w:rPr>
          <w:sz w:val="20"/>
          <w:szCs w:val="20"/>
          <w:color w:val="auto"/>
        </w:rPr>
      </w:pPr>
      <w:r>
        <w:rPr>
          <w:rFonts w:ascii="Arial" w:cs="Arial" w:eastAsia="Arial" w:hAnsi="Arial"/>
          <w:sz w:val="17"/>
          <w:szCs w:val="17"/>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firstLine="8"/>
        <w:spacing w:after="0" w:line="342" w:lineRule="auto"/>
        <w:tabs>
          <w:tab w:leader="none" w:pos="193"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Each Warrant shall be issued in registered form only.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If a physical certificate is issued, unless and until countersigned by the Warrant Agent pursuant to this Agreement, a Warrant shall be invalid and of no effect and may not be exercised by the holder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Warrant Register</w:t>
      </w:r>
      <w:r>
        <w:rPr>
          <w:rFonts w:ascii="Arial" w:cs="Arial" w:eastAsia="Arial" w:hAnsi="Arial"/>
          <w:sz w:val="18"/>
          <w:szCs w:val="18"/>
          <w:color w:val="auto"/>
        </w:rPr>
        <w:t>. The Warrant Agent shall maintain books (the “</w:t>
      </w:r>
      <w:r>
        <w:rPr>
          <w:rFonts w:ascii="Arial" w:cs="Arial" w:eastAsia="Arial" w:hAnsi="Arial"/>
          <w:sz w:val="18"/>
          <w:szCs w:val="18"/>
          <w:b w:val="1"/>
          <w:bCs w:val="1"/>
          <w:i w:val="1"/>
          <w:iCs w:val="1"/>
          <w:color w:val="auto"/>
        </w:rPr>
        <w:t>Warrant Register</w:t>
      </w:r>
      <w:r>
        <w:rPr>
          <w:rFonts w:ascii="Arial" w:cs="Arial" w:eastAsia="Arial" w:hAnsi="Arial"/>
          <w:sz w:val="18"/>
          <w:szCs w:val="18"/>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 Ownership of beneficial interests in the Public Warrants shall be shown on, and the transfer of such ownership shall be effected through, records maintained by institutions that have accounts with the Depository Trust Company (the “</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(such institution, with respect to a Warrant in its account,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If the Depositary subsequently ceases to make its book-entry settlement system available for the Public Warrants, the Company may instruct the Warrant Agent regarding making other arrangements for book-entry settlement. In its sole discretion, the Company may instruct the Warrant Agent to deliver to the Depositary (i) written instructions to deliver to the Warrant Agent for cancellation each book-entry Public Warrant and (ii) definitive certificates in physical form evidencing such Warrants which shall be in the form annexed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appropriate insertions, modifications and omissions, as provided above.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Physical certificates, if issued, shall be signed by, or bear the facsimile signature of, the Chief Executive Officer, Chief Financial Officer or other principal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1296"/>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is registered in the Warrant Register (the “</w:t>
      </w:r>
      <w:r>
        <w:rPr>
          <w:rFonts w:ascii="Arial" w:cs="Arial" w:eastAsia="Arial" w:hAnsi="Arial"/>
          <w:sz w:val="18"/>
          <w:szCs w:val="18"/>
          <w:b w:val="1"/>
          <w:bCs w:val="1"/>
          <w:i w:val="1"/>
          <w:i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any physical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Detachability of Warrants</w:t>
      </w:r>
      <w:r>
        <w:rPr>
          <w:rFonts w:ascii="Arial" w:cs="Arial" w:eastAsia="Arial" w:hAnsi="Arial"/>
          <w:sz w:val="17"/>
          <w:szCs w:val="17"/>
          <w:color w:val="auto"/>
        </w:rPr>
        <w:t>. The Ordinary Shares and Public Warrants comprising the Units shall begin separate trading on the 52nd day following the date of the Prospectus or, if such 52nd day is not on a day, other than a Saturday, Sunday or federal holiday, on which banks in New York City are generally open for normal business (a “</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then on the immediately succeeding Business Day following such date, or earlier (the “</w:t>
      </w:r>
      <w:r>
        <w:rPr>
          <w:rFonts w:ascii="Arial" w:cs="Arial" w:eastAsia="Arial" w:hAnsi="Arial"/>
          <w:sz w:val="17"/>
          <w:szCs w:val="17"/>
          <w:b w:val="1"/>
          <w:bCs w:val="1"/>
          <w:i w:val="1"/>
          <w:iCs w:val="1"/>
          <w:color w:val="auto"/>
        </w:rPr>
        <w:t>Detachment Date</w:t>
      </w:r>
      <w:r>
        <w:rPr>
          <w:rFonts w:ascii="Arial" w:cs="Arial" w:eastAsia="Arial" w:hAnsi="Arial"/>
          <w:sz w:val="17"/>
          <w:szCs w:val="17"/>
          <w:color w:val="auto"/>
        </w:rPr>
        <w:t>”) with the consent of Citigroup Global Markets Inc., as the representative of the several underwriters, but in no event shall the Ordinary Shares and the Public Warrants comprising the Units be separately traded until (A) the Company has filed a Current Report on Form 8-K with the Commission containing an audited balance sheet reflecting the receipt by the Company of the gross proceeds of the Offering, including the proceeds received by the Company from the exercise by the underwriters of their right to purchase additional Units in the Offering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if the Option is exercised prior to the filing of the Current Report on Form 8-K, and (B) the Company issues a press release and files with the Commission a Current Report on Form 8-K announcing when such separate trading shall begin.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Warrants Other Than as Part of Units</w:t>
      </w:r>
      <w:r>
        <w:rPr>
          <w:rFonts w:ascii="Arial" w:cs="Arial" w:eastAsia="Arial" w:hAnsi="Arial"/>
          <w:sz w:val="18"/>
          <w:szCs w:val="18"/>
          <w:color w:val="auto"/>
        </w:rPr>
        <w:t>. The Company shall not issue fractional Warrants other than as part of Units, each of which is comprised of one Ordinary Share and one-half of one Public Warrant. If, upon the detachment of Public Warrants from Units or otherwise, a holder of Warrants would be entitled to receive a fractional Warrant, the Company shall round down to the nearest whole number the number of Warrants to be issued to such holder.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Private Placement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xml:space="preserve">. The Private Placement Warrants shall be identical to the Public Warrants, except that so long as they are held by the Sponsor or any of its Permitted Transferees (as defined below) the Private Placement Warrants (i) may be exercised for cash or on a cashless basis, pursuant to </w:t>
      </w:r>
      <w:r>
        <w:rPr>
          <w:rFonts w:ascii="Arial" w:cs="Arial" w:eastAsia="Arial" w:hAnsi="Arial"/>
          <w:sz w:val="16"/>
          <w:szCs w:val="16"/>
          <w:u w:val="single" w:color="auto"/>
          <w:color w:val="auto"/>
        </w:rPr>
        <w:t>subsection 3.3.1(c)</w:t>
      </w:r>
      <w:r>
        <w:rPr>
          <w:rFonts w:ascii="Arial" w:cs="Arial" w:eastAsia="Arial" w:hAnsi="Arial"/>
          <w:sz w:val="16"/>
          <w:szCs w:val="16"/>
          <w:color w:val="auto"/>
        </w:rPr>
        <w:t xml:space="preserve"> hereof, (ii) may not be transferred, assigned or sold until the date that is thirty days after the completion by the Company of an initial Business Combination (as defined below), and (iii) shall not be redeemable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w:t>
      </w:r>
    </w:p>
    <w:p>
      <w:pPr>
        <w:spacing w:after="0" w:line="1" w:lineRule="exact"/>
        <w:rPr>
          <w:sz w:val="20"/>
          <w:szCs w:val="20"/>
          <w:color w:val="auto"/>
        </w:rPr>
      </w:pPr>
    </w:p>
    <w:p>
      <w:pPr>
        <w:ind w:firstLine="8"/>
        <w:spacing w:after="0" w:line="260" w:lineRule="auto"/>
        <w:tabs>
          <w:tab w:leader="none" w:pos="26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above, the Private Placement Warrants and any Ordinary Shares held by the Sponsor or any of its Permitted Transferees and issued upon exercise of the Private Placement Warrants may be transferred by the holders thereof:</w:t>
      </w:r>
    </w:p>
    <w:p>
      <w:pPr>
        <w:spacing w:after="0" w:line="185" w:lineRule="exact"/>
        <w:rPr>
          <w:rFonts w:ascii="Arial" w:cs="Arial" w:eastAsia="Arial" w:hAnsi="Arial"/>
          <w:sz w:val="18"/>
          <w:szCs w:val="18"/>
          <w:color w:val="auto"/>
        </w:rPr>
      </w:pPr>
    </w:p>
    <w:p>
      <w:pPr>
        <w:ind w:left="660" w:right="20" w:firstLine="644"/>
        <w:spacing w:after="0" w:line="277" w:lineRule="auto"/>
        <w:tabs>
          <w:tab w:leader="none" w:pos="1561"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the Company’s officers or directors, any affiliates or family members of any of the Company’s officers or directors, any members of the Sponsor or their affiliates, or any affiliates of the Sponsor,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ind w:left="660" w:right="20" w:firstLine="644"/>
        <w:spacing w:after="0" w:line="277" w:lineRule="auto"/>
        <w:tabs>
          <w:tab w:leader="none" w:pos="1584"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an individual, by gift to a member of the individual’s immediate family or to a trust, the beneficiary of which is a member of one of the individual’s immediate family, an affiliate of such person or to a charitable organization,</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an individual, by virtue of the laws of descent and distribution upon death of the individual,</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an individual, pursuant to a qualified domestic relations order,</w:t>
      </w:r>
    </w:p>
    <w:p>
      <w:pPr>
        <w:spacing w:after="0" w:line="225" w:lineRule="exact"/>
        <w:rPr>
          <w:rFonts w:ascii="Arial" w:cs="Arial" w:eastAsia="Arial" w:hAnsi="Arial"/>
          <w:sz w:val="18"/>
          <w:szCs w:val="18"/>
          <w:color w:val="auto"/>
        </w:rPr>
      </w:pPr>
    </w:p>
    <w:p>
      <w:pPr>
        <w:ind w:left="660" w:firstLine="644"/>
        <w:spacing w:after="0" w:line="308" w:lineRule="auto"/>
        <w:tabs>
          <w:tab w:leader="none" w:pos="1564" w:val="left"/>
        </w:tabs>
        <w:numPr>
          <w:ilvl w:val="0"/>
          <w:numId w:val="81"/>
        </w:numPr>
        <w:rPr>
          <w:rFonts w:ascii="Arial" w:cs="Arial" w:eastAsia="Arial" w:hAnsi="Arial"/>
          <w:sz w:val="17"/>
          <w:szCs w:val="17"/>
          <w:color w:val="auto"/>
        </w:rPr>
      </w:pPr>
      <w:r>
        <w:rPr>
          <w:rFonts w:ascii="Arial" w:cs="Arial" w:eastAsia="Arial" w:hAnsi="Arial"/>
          <w:sz w:val="17"/>
          <w:szCs w:val="17"/>
          <w:color w:val="auto"/>
        </w:rPr>
        <w:t>by private sales or transfers made in connection with any forward purchase agreement or similar arrangement or in connection with the consummation of a Business Combination at prices no greater than the price at which the Warrants were originally purchased,</w:t>
      </w:r>
    </w:p>
    <w:p>
      <w:pPr>
        <w:spacing w:after="0" w:line="146" w:lineRule="exact"/>
        <w:rPr>
          <w:rFonts w:ascii="Arial" w:cs="Arial" w:eastAsia="Arial" w:hAnsi="Arial"/>
          <w:sz w:val="17"/>
          <w:szCs w:val="17"/>
          <w:color w:val="auto"/>
        </w:rPr>
      </w:pPr>
    </w:p>
    <w:p>
      <w:pPr>
        <w:ind w:left="1520" w:hanging="216"/>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by virtue of the holder’s organizational documents upon liquidation or dissolution of the holder,</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the Company for no value for cancellation in connection with the completion of a Business Combination,</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event of the Company’s liquidation prior to completion of a Business Combination, or</w:t>
      </w:r>
    </w:p>
    <w:p>
      <w:pPr>
        <w:spacing w:after="0" w:line="225" w:lineRule="exact"/>
        <w:rPr>
          <w:rFonts w:ascii="Arial" w:cs="Arial" w:eastAsia="Arial" w:hAnsi="Arial"/>
          <w:sz w:val="18"/>
          <w:szCs w:val="18"/>
          <w:color w:val="auto"/>
        </w:rPr>
      </w:pPr>
    </w:p>
    <w:p>
      <w:pPr>
        <w:jc w:val="both"/>
        <w:ind w:left="660" w:right="20" w:firstLine="644"/>
        <w:spacing w:after="0" w:line="263" w:lineRule="auto"/>
        <w:tabs>
          <w:tab w:leader="none" w:pos="1533"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event of the Company’s liquidation, merger, share exchange or other similar transaction which results in all of the Company’s shareholders having the right to exchange their Ordinary Shares for cash, securities or other property subsequent to the completion of the Company’s initial Business Combination;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each case (except for clause (g), (h) or (i) or with the prior written consent of the Company) prior to such registration for transfer, the Warrant Agent shall be presented with written documentation pursuant to which each permitted transferee (the “</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agrees to be bound by these transfer restrictions.</w:t>
      </w:r>
    </w:p>
    <w:p>
      <w:pPr>
        <w:spacing w:after="0" w:line="184"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Warrant Price</w:t>
      </w:r>
      <w:r>
        <w:rPr>
          <w:rFonts w:ascii="Arial" w:cs="Arial" w:eastAsia="Arial" w:hAnsi="Arial"/>
          <w:sz w:val="18"/>
          <w:szCs w:val="18"/>
          <w:color w:val="auto"/>
        </w:rPr>
        <w:t xml:space="preserve">. Each Warrant shall, when countersigned by the Warrant Agent, entitle the Registered Holder thereof, subject to the provisions of such Warrant and of this Agreement, to purchase from the Company the number of Ordinary Shares stated therein, at the price of $11.50 per share, subject to the adjustments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in the last sentence of this </w:t>
      </w:r>
      <w:r>
        <w:rPr>
          <w:rFonts w:ascii="Arial" w:cs="Arial" w:eastAsia="Arial" w:hAnsi="Arial"/>
          <w:sz w:val="18"/>
          <w:szCs w:val="18"/>
          <w:u w:val="single" w:color="auto"/>
          <w:color w:val="auto"/>
        </w:rPr>
        <w:t>Section 3.1</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Warrant Price</w:t>
      </w:r>
      <w:r>
        <w:rPr>
          <w:rFonts w:ascii="Arial" w:cs="Arial" w:eastAsia="Arial" w:hAnsi="Arial"/>
          <w:sz w:val="18"/>
          <w:szCs w:val="18"/>
          <w:color w:val="auto"/>
        </w:rPr>
        <w:t xml:space="preserve">” as used in this Agreement shall mean the price per share at which Ordinary Shares may be purchased at the time a Warrant is exercised. The Company in its sole discretion may lower the Warrant Price at any time prior to the Expiration Date (as defined below) for a period of not less than fifteen Business Days (unless otherwise required by the Commission, any national securities exchange on which the Warrants are listed or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provide at least five days’ prior written notice of such reduction to Registered Holders of the Warrants;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any such reduction shall be identical among all of the Warrants.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both"/>
        <w:ind w:firstLine="648"/>
        <w:spacing w:after="0" w:line="285"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during the period (the “</w:t>
      </w:r>
      <w:r>
        <w:rPr>
          <w:rFonts w:ascii="Arial" w:cs="Arial" w:eastAsia="Arial" w:hAnsi="Arial"/>
          <w:sz w:val="16"/>
          <w:szCs w:val="16"/>
          <w:b w:val="1"/>
          <w:bCs w:val="1"/>
          <w:i w:val="1"/>
          <w:iCs w:val="1"/>
          <w:color w:val="auto"/>
        </w:rPr>
        <w:t>Exercise Period</w:t>
      </w:r>
      <w:r>
        <w:rPr>
          <w:rFonts w:ascii="Arial" w:cs="Arial" w:eastAsia="Arial" w:hAnsi="Arial"/>
          <w:sz w:val="16"/>
          <w:szCs w:val="16"/>
          <w:color w:val="auto"/>
        </w:rPr>
        <w:t>”) commencing on the later of (i) the date that is thirty days after the first date on which the Company completes a merger, share exchange, asset acquisition, share purchase, reorganization or similar business combination involving the Company and one or more businesses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or (ii) the date that is twelve months from the date of the closing of the Offering, and terminating at 5:00 p.m. New York City time on the earlier to occur of (x) the date that is five years after the date on which the Company completes its Business Combination, (y) the liquidation of the Company if the Company fails to complete a Business Combination and</w:t>
      </w:r>
    </w:p>
    <w:p>
      <w:pPr>
        <w:spacing w:after="0" w:line="2" w:lineRule="exact"/>
        <w:rPr>
          <w:sz w:val="20"/>
          <w:szCs w:val="20"/>
          <w:color w:val="auto"/>
        </w:rPr>
      </w:pPr>
    </w:p>
    <w:p>
      <w:pPr>
        <w:jc w:val="both"/>
        <w:ind w:firstLine="8"/>
        <w:spacing w:after="0" w:line="251" w:lineRule="auto"/>
        <w:tabs>
          <w:tab w:leader="none" w:pos="249"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other than with respect to the Private Placement Warrants, on the Redemption Date (as defined below) as provided in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hereof (such date,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exercise of any Warrant shall be subject to the satisfaction of any applicable conditions, as set forth in </w:t>
      </w:r>
      <w:r>
        <w:rPr>
          <w:rFonts w:ascii="Arial" w:cs="Arial" w:eastAsia="Arial" w:hAnsi="Arial"/>
          <w:sz w:val="18"/>
          <w:szCs w:val="18"/>
          <w:u w:val="single" w:color="auto"/>
          <w:color w:val="auto"/>
        </w:rPr>
        <w:t>subsection 3.3.2</w:t>
      </w:r>
      <w:r>
        <w:rPr>
          <w:rFonts w:ascii="Arial" w:cs="Arial" w:eastAsia="Arial" w:hAnsi="Arial"/>
          <w:sz w:val="18"/>
          <w:szCs w:val="18"/>
          <w:color w:val="auto"/>
        </w:rPr>
        <w:t xml:space="preserve"> below with respect to an effective registration statement. Except with respect to the right to receive the Redemption Price (as defined below) (other than with respect to a Private Placement Warrant) in the event of a redemption (as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each outstanding Warrant (other than a Private Placement Warrant in the event of a redemption) not exercised on or before the Expiration Date shall become void, and all rights thereunder and all rights in respect thereof under this Agreement shall cease at 5:00 p.m. New York City time on the Expiration Date. The Company in its sole discretion may extend the duration of the Warrants by delaying the Expiration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provide at least twenty days’ prior written notice of any such extension to Registered Holders of the Warrants;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such extension shall be identical in duration among all the Warrants.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3.3.1 </w:t>
      </w:r>
      <w:r>
        <w:rPr>
          <w:rFonts w:ascii="Arial" w:cs="Arial" w:eastAsia="Arial" w:hAnsi="Arial"/>
          <w:sz w:val="17"/>
          <w:szCs w:val="17"/>
          <w:u w:val="single" w:color="auto"/>
          <w:color w:val="auto"/>
        </w:rPr>
        <w:t>Payment</w:t>
      </w:r>
      <w:r>
        <w:rPr>
          <w:rFonts w:ascii="Arial" w:cs="Arial" w:eastAsia="Arial" w:hAnsi="Arial"/>
          <w:sz w:val="17"/>
          <w:szCs w:val="17"/>
          <w:color w:val="auto"/>
        </w:rPr>
        <w:t>. Subject to the provisions of the Warrant and this Agreement, a Warrant, when countersigned by the Warrant Agent, may be exercised by the Registered Holder thereof by surrendering it, at the office of the Warrant Agent, or at the office of its successor as Warrant Agent, designated by the Warrant Agent in the United States of America, with the subscription form, as set forth in the Warrant, duly executed, and by paying in full the Warrant Price for each full Ordinary Share as to which the Warrant is exercised and any and all applicable taxes due in connection with the exercise of the Warrant, the exchange of the Warrant for the Ordinary Shares and the issuance of such Ordinary Shares, as follows:</w:t>
      </w:r>
    </w:p>
    <w:p>
      <w:pPr>
        <w:spacing w:after="0" w:line="176" w:lineRule="exact"/>
        <w:rPr>
          <w:sz w:val="20"/>
          <w:szCs w:val="20"/>
          <w:color w:val="auto"/>
        </w:rPr>
      </w:pPr>
    </w:p>
    <w:p>
      <w:pPr>
        <w:ind w:left="660" w:right="20" w:firstLine="644"/>
        <w:spacing w:after="0" w:line="277" w:lineRule="auto"/>
        <w:tabs>
          <w:tab w:leader="none" w:pos="15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lawful money of the United States, in good certified check or good bank draft payable to the Warrant Agent or by wire of immediately available funds;</w:t>
      </w:r>
    </w:p>
    <w:p>
      <w:pPr>
        <w:spacing w:after="0" w:line="170" w:lineRule="exact"/>
        <w:rPr>
          <w:rFonts w:ascii="Arial" w:cs="Arial" w:eastAsia="Arial" w:hAnsi="Arial"/>
          <w:sz w:val="18"/>
          <w:szCs w:val="18"/>
          <w:color w:val="auto"/>
        </w:rPr>
      </w:pPr>
    </w:p>
    <w:p>
      <w:pPr>
        <w:jc w:val="both"/>
        <w:ind w:left="660" w:firstLine="644"/>
        <w:spacing w:after="0" w:line="272" w:lineRule="auto"/>
        <w:tabs>
          <w:tab w:leader="none" w:pos="1579"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in the event of a redemption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in which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xml:space="preserve">”) has elected to require all holders of the Warrants to exercise such Warrants on a “cashless basis,” by surrendering the Warrants for that number of Ordinary Shares per Warrant equal to the lesser of (A) the quotient obtained by dividing (x) the product of the number of Ordinary Shares underlying such Warrant, multiplied by the excess of the “Fair Market Value” (as defined in this </w:t>
      </w:r>
      <w:r>
        <w:rPr>
          <w:rFonts w:ascii="Arial" w:cs="Arial" w:eastAsia="Arial" w:hAnsi="Arial"/>
          <w:sz w:val="17"/>
          <w:szCs w:val="17"/>
          <w:u w:val="single" w:color="auto"/>
          <w:color w:val="auto"/>
        </w:rPr>
        <w:t>subsection 3.3.1(b))</w:t>
      </w:r>
      <w:r>
        <w:rPr>
          <w:rFonts w:ascii="Arial" w:cs="Arial" w:eastAsia="Arial" w:hAnsi="Arial"/>
          <w:sz w:val="17"/>
          <w:szCs w:val="17"/>
          <w:color w:val="auto"/>
        </w:rPr>
        <w:t xml:space="preserve"> over the Warrant Price by (y) the Fair Market Value and (B) 0.365. Solely for purposes of this </w:t>
      </w:r>
      <w:r>
        <w:rPr>
          <w:rFonts w:ascii="Arial" w:cs="Arial" w:eastAsia="Arial" w:hAnsi="Arial"/>
          <w:sz w:val="17"/>
          <w:szCs w:val="17"/>
          <w:u w:val="single" w:color="auto"/>
          <w:color w:val="auto"/>
        </w:rPr>
        <w:t>subsection 3.3.1(b)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6.4</w:t>
      </w:r>
      <w:r>
        <w:rPr>
          <w:rFonts w:ascii="Arial" w:cs="Arial" w:eastAsia="Arial" w:hAnsi="Arial"/>
          <w:sz w:val="17"/>
          <w:szCs w:val="17"/>
          <w:color w:val="auto"/>
        </w:rPr>
        <w:t>, the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xml:space="preserve">” shall mean the average reported closing price of the Ordinary Shares for the ten trading days ending on the third trading day prior to the date on which the notice of redemption is sent to the holders of the Warrants,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left="660" w:firstLine="644"/>
        <w:spacing w:after="0" w:line="255" w:lineRule="auto"/>
        <w:tabs>
          <w:tab w:leader="none" w:pos="15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with respect to any Private Placement Warrant, so long as such Private Placement Warrant is held by the Sponsor or a Permitted Transferee, by surrendering the Warrants for that number of Ordinary Shares equal to the quotient obtained by dividing (x) the product of the number of Ordinary Shares underlying the Warrants, multiplied by the excess of the “Fair Market Value” (as defined in this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over the Warrant Price by (y) the Fair Market Value. Solely for purposes of this </w:t>
      </w:r>
      <w:r>
        <w:rPr>
          <w:rFonts w:ascii="Arial" w:cs="Arial" w:eastAsia="Arial" w:hAnsi="Arial"/>
          <w:sz w:val="18"/>
          <w:szCs w:val="18"/>
          <w:u w:val="single" w:color="auto"/>
          <w:color w:val="auto"/>
        </w:rPr>
        <w:t>subsection 3.3.1(c)</w:t>
      </w:r>
      <w:r>
        <w:rPr>
          <w:rFonts w:ascii="Arial" w:cs="Arial" w:eastAsia="Arial" w:hAnsi="Arial"/>
          <w:sz w:val="18"/>
          <w:szCs w:val="18"/>
          <w:color w:val="auto"/>
        </w:rPr>
        <w:t>, the “</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shall mean the average reported closing price of the Ordinary Shares for the ten trading days ending on the third trading day prior to the date on which notice of exercise of the Warrant is sent to the Warrant Agent; or</w:t>
      </w:r>
    </w:p>
    <w:p>
      <w:pPr>
        <w:spacing w:after="0" w:line="192" w:lineRule="exact"/>
        <w:rPr>
          <w:rFonts w:ascii="Arial" w:cs="Arial" w:eastAsia="Arial" w:hAnsi="Arial"/>
          <w:sz w:val="18"/>
          <w:szCs w:val="18"/>
          <w:color w:val="auto"/>
        </w:rPr>
      </w:pPr>
    </w:p>
    <w:p>
      <w:pPr>
        <w:ind w:left="1560" w:hanging="256"/>
        <w:spacing w:after="0"/>
        <w:tabs>
          <w:tab w:leader="none" w:pos="1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3.3.2 </w:t>
      </w:r>
      <w:r>
        <w:rPr>
          <w:rFonts w:ascii="Arial" w:cs="Arial" w:eastAsia="Arial" w:hAnsi="Arial"/>
          <w:sz w:val="17"/>
          <w:szCs w:val="17"/>
          <w:u w:val="single" w:color="auto"/>
          <w:color w:val="auto"/>
        </w:rPr>
        <w:t>Issuance of Ordinary Shares on Exercise</w:t>
      </w:r>
      <w:r>
        <w:rPr>
          <w:rFonts w:ascii="Arial" w:cs="Arial" w:eastAsia="Arial" w:hAnsi="Arial"/>
          <w:sz w:val="17"/>
          <w:szCs w:val="17"/>
          <w:color w:val="auto"/>
        </w:rPr>
        <w:t xml:space="preserve">. As soon as practicable after the exercise of any Warrant and the clearance of the funds in payment of the Warrant Price (if payment is pursuant to </w:t>
      </w:r>
      <w:r>
        <w:rPr>
          <w:rFonts w:ascii="Arial" w:cs="Arial" w:eastAsia="Arial" w:hAnsi="Arial"/>
          <w:sz w:val="17"/>
          <w:szCs w:val="17"/>
          <w:u w:val="single" w:color="auto"/>
          <w:color w:val="auto"/>
        </w:rPr>
        <w:t>subsection 3.3.1(a))</w:t>
      </w:r>
      <w:r>
        <w:rPr>
          <w:rFonts w:ascii="Arial" w:cs="Arial" w:eastAsia="Arial" w:hAnsi="Arial"/>
          <w:sz w:val="17"/>
          <w:szCs w:val="17"/>
          <w:color w:val="auto"/>
        </w:rPr>
        <w:t xml:space="preserve">, the Company shall issue to the Registered Holder of such Warrant a book-entry position or certificate, as applicable, for the number of full Ordinary Shares to which he, she or it is entitled, registered in such name or names as may be directed by him, her or it, and if such Warrant shall not have been exercised in full, a new book-entry position or countersigned Warrant, as applicable, for the number of Ordinary Shares as to which such Warrant shall not have been exercised. Notwithstanding the foregoing, the Company shall not be obligated to deliver any Ordinary Shares pursuant to the exercise of a Warrant and shall have no obligation to settle such Warrant exercise unless a registration statement under the Securities Act with respect to the Ordinary Shares underlying the Public Warrants is then effective and a prospectus relating thereto is current, subject to the Company’s satisfying its obligations under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or a valid exemption from registration is available. No Warrant shall be exercisable and the Company shall not be obligated to issue Ordinary Shares upon exercise of a Warrant unless the Ordinary Share issuable upon such Warrant exercise has been registered, qualified or deemed to be exempt from registration or qualification under the securities laws of the state of residence of the Registered Holder of the Warrants. The Company may require holders of Public Warrants to settle the Warrant on a “cashless basis” pursuant to </w:t>
      </w:r>
      <w:r>
        <w:rPr>
          <w:rFonts w:ascii="Arial" w:cs="Arial" w:eastAsia="Arial" w:hAnsi="Arial"/>
          <w:sz w:val="17"/>
          <w:szCs w:val="17"/>
          <w:u w:val="single" w:color="auto"/>
          <w:color w:val="auto"/>
        </w:rPr>
        <w:t>subsection 3.3.1(b)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7.4</w:t>
      </w:r>
      <w:r>
        <w:rPr>
          <w:rFonts w:ascii="Arial" w:cs="Arial" w:eastAsia="Arial" w:hAnsi="Arial"/>
          <w:sz w:val="17"/>
          <w:szCs w:val="17"/>
          <w:color w:val="auto"/>
        </w:rPr>
        <w:t>. If, by reason of any exercise of Warrants on a “cashless basis,” the holder of any Warrant would be entitled, upon the exercise of such Warrant, to receive a fractional interest in an Ordinary Share, the Company shall round down to the nearest whole number the number of Ordinary Shares to be issued to such holder.</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 Issuance</w:t>
      </w:r>
      <w:r>
        <w:rPr>
          <w:rFonts w:ascii="Arial" w:cs="Arial" w:eastAsia="Arial" w:hAnsi="Arial"/>
          <w:sz w:val="18"/>
          <w:szCs w:val="18"/>
          <w:color w:val="auto"/>
        </w:rPr>
        <w:t>. All Ordinary Shares issued upon the proper exercise of a Warrant in conformity with this Agreement shall be validly issued, fully paid and non-assessable.</w:t>
      </w:r>
    </w:p>
    <w:p>
      <w:pPr>
        <w:spacing w:after="0" w:line="17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3.3.4 </w:t>
      </w:r>
      <w:r>
        <w:rPr>
          <w:rFonts w:ascii="Arial" w:cs="Arial" w:eastAsia="Arial" w:hAnsi="Arial"/>
          <w:sz w:val="17"/>
          <w:szCs w:val="17"/>
          <w:u w:val="single" w:color="auto"/>
          <w:color w:val="auto"/>
        </w:rPr>
        <w:t>Date of Issuance</w:t>
      </w:r>
      <w:r>
        <w:rPr>
          <w:rFonts w:ascii="Arial" w:cs="Arial" w:eastAsia="Arial" w:hAnsi="Arial"/>
          <w:sz w:val="17"/>
          <w:szCs w:val="17"/>
          <w:color w:val="auto"/>
        </w:rPr>
        <w:t>. Each person in whose name any book-entry position or certificate, as applicable, for Ordinary Shares is issued shall for all purposes be deemed to have become the holder of record of such Ordinary Shares on the date on which the Warrant, or book-entry position representing such Warrant, was surrendered and payment of the Warrant Price was made, irrespective of the date of delivery of such certificate in the case of a certificated Warrant, except that, if the date of such surrender and payment is a date when the share transfer books of the Company or book-entry system of the Warrant Agent are closed, such person shall be deemed to have become the holder of such Ordinary Shares at the close of business on the next succeeding date on which the share transfer books or book-entry system are open.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1296"/>
        <w:spacing w:after="0" w:line="284"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Maximum Percentage</w:t>
      </w:r>
      <w:r>
        <w:rPr>
          <w:rFonts w:ascii="Arial" w:cs="Arial" w:eastAsia="Arial" w:hAnsi="Arial"/>
          <w:sz w:val="16"/>
          <w:szCs w:val="16"/>
          <w:color w:val="auto"/>
        </w:rPr>
        <w:t xml:space="preserve">. A holder of a Warrant may notify the Company in writing in the event it elects to be subject to the provisions contained in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however, no holder of a Warrant shall be subject to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4.9% or 9.8% (as specified by the holder) (the “</w:t>
      </w:r>
      <w:r>
        <w:rPr>
          <w:rFonts w:ascii="Arial" w:cs="Arial" w:eastAsia="Arial" w:hAnsi="Arial"/>
          <w:sz w:val="16"/>
          <w:szCs w:val="16"/>
          <w:b w:val="1"/>
          <w:bCs w:val="1"/>
          <w:i w:val="1"/>
          <w:iCs w:val="1"/>
          <w:color w:val="auto"/>
        </w:rPr>
        <w:t>Maximum Percentage</w:t>
      </w:r>
      <w:r>
        <w:rPr>
          <w:rFonts w:ascii="Arial" w:cs="Arial" w:eastAsia="Arial" w:hAnsi="Arial"/>
          <w:sz w:val="16"/>
          <w:szCs w:val="16"/>
          <w:color w:val="auto"/>
        </w:rPr>
        <w:t xml:space="preserve">”) of the Ordinary Shares issued and outstanding immediately after giving effect to such exercise. For purposes of the foregoing sentence, the aggregate number of Ordinary Shares beneficially owned by such person and its affiliates shall include the number of Ordinary Shares issuable upon exercise of the Warrant with respect to which the determination of such sentence is being made, but shall exclude Ordinary Shares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preference shares or warrants) subject to a limitation on conversion or exercise analogous to the limitation contained herein. Except as set forth in the preceding sentence, for purposes of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beneficial ownership shall be calculated in accordance with Section 13(d)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For purposes of the Warrant, in determining the number of outstanding Ordinary Shares, the holder may rely on the number of outstanding Ordinary Shares as reflected in (1) the Company’s most recent Annual Report on Form 10-K, Quarterly Report on Form 10-Q, Current Report on Form 8-K or other public filing with the Commission as the case may be, (2) a more recent public announcement by the Company or (3) any other notice by the Company or the Transfer Agent setting forth the number of Ordinary Shares outstanding. For any reason at any time, upon the written request of the holder of the Warrant, the Company shall, within two Business Days, confirm orally and in writing to such holder the number of Ordinary Shares then outstanding. In any case, the number of outstanding Ordinary Shares shall be determined after giving effect to the conversion or exercise of equity securities of the Company by the holder and its affiliates since the date as of which such number of outstanding Ordinary Shares was reported. By written notice to the Company, the holder of a Warrant may from time to time increase or decrease the Maximum Percentage applicable to such holder to any other percentage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increase shall not be effective until the sixty-first day after such notice is delivered to the Company.</w:t>
      </w:r>
    </w:p>
    <w:p>
      <w:pPr>
        <w:spacing w:after="0" w:line="396"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Share Dividends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Split-Ups</w:t>
      </w:r>
      <w:r>
        <w:rPr>
          <w:rFonts w:ascii="Arial" w:cs="Arial" w:eastAsia="Arial" w:hAnsi="Arial"/>
          <w:sz w:val="17"/>
          <w:szCs w:val="17"/>
          <w:color w:val="auto"/>
        </w:rPr>
        <w:t xml:space="preserve">. If after the date hereof, and subject to the provisions of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below, the number of outstanding Ordinary Shares is increased by a share dividend payable in Ordinary Shares, or by a split-up of Ordinary Shares or other similar event, then, on the effective date of such share dividend, split-up or similar event, the number of Ordinary Shares issuable on exercise of each Warrant shall be increased in proportion to such increase in the outstanding Ordinary Shares. A rights offering to holders of the Ordinary Shares entitling holders to purchase Ordinary Shares at a price less than the “Fair Market Value” (as defined below) shall be deemed a share dividend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purposes of this </w:t>
      </w:r>
      <w:r>
        <w:rPr>
          <w:rFonts w:ascii="Arial" w:cs="Arial" w:eastAsia="Arial" w:hAnsi="Arial"/>
          <w:sz w:val="17"/>
          <w:szCs w:val="17"/>
          <w:u w:val="single" w:color="auto"/>
          <w:color w:val="auto"/>
        </w:rPr>
        <w:t>subsection 4.1.1</w:t>
      </w:r>
      <w:r>
        <w:rPr>
          <w:rFonts w:ascii="Arial" w:cs="Arial" w:eastAsia="Arial" w:hAnsi="Arial"/>
          <w:sz w:val="17"/>
          <w:szCs w:val="17"/>
          <w:color w:val="auto"/>
        </w:rPr>
        <w:t>, (a) if the rights offering is for securities convertible into or exercisable for Ordinary Shares, in determining the price payable for Ordinary Shares, there shall be taken into account any consideration received for such rights, as well as any additional amount payable upon exercise or conversion, and (b) “Fair Market Value” means the volume weighted average price of the Ordinary Shares as reported during the ten-trading day period ending on the trading day prior to the first date on which the Ordinary Shares trade on the applicable exchange or in the applicable market, regular way, without the right to receive such rights.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1296"/>
        <w:spacing w:after="0" w:line="284"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Extraordinary Dividends</w:t>
      </w:r>
      <w:r>
        <w:rPr>
          <w:rFonts w:ascii="Arial" w:cs="Arial" w:eastAsia="Arial" w:hAnsi="Arial"/>
          <w:sz w:val="16"/>
          <w:szCs w:val="16"/>
          <w:color w:val="auto"/>
        </w:rPr>
        <w:t xml:space="preserve">. If the Company, at any time while the Warrants are outstanding and unexpired, shall pay a dividend or make a distribution to all or substantially all of the holders of the Ordinary Shares on account of such Ordinary Shares (or other shares of the Company’s share capital into which the Warrants are convertible), in cash, securities or other assets, other than (a) as described in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above, (b) Ordinary Cash Dividends (as defined below), (c) to satisfy the redemption rights of the holders of the Ordinary Shares in connection with a proposed initial Business Combination, (d) to satisfy the redemption rights of the holders of the Ordinary Shares in connection with a shareholder vote to amend the Company’s amended and restated memorandum and articles of association, or (e) in connection with the redemption of the Ordinary Shares upon the failure of the Company to complete its initial Business Combination and any subsequent distribution of its assets upon its liquidation (any such non-excluded event being referred to herein as an “</w:t>
      </w:r>
      <w:r>
        <w:rPr>
          <w:rFonts w:ascii="Arial" w:cs="Arial" w:eastAsia="Arial" w:hAnsi="Arial"/>
          <w:sz w:val="16"/>
          <w:szCs w:val="16"/>
          <w:b w:val="1"/>
          <w:bCs w:val="1"/>
          <w:i w:val="1"/>
          <w:iCs w:val="1"/>
          <w:color w:val="auto"/>
        </w:rPr>
        <w:t>Extraordinary Dividend</w:t>
      </w:r>
      <w:r>
        <w:rPr>
          <w:rFonts w:ascii="Arial" w:cs="Arial" w:eastAsia="Arial" w:hAnsi="Arial"/>
          <w:sz w:val="16"/>
          <w:szCs w:val="16"/>
          <w:color w:val="auto"/>
        </w:rPr>
        <w:t xml:space="preserve">”), then the Warrant Price shall be decreased, effective immediately after the effective date of such Extraordinary Dividend, by the amount of cash and/or the fair market value (as determined by the Board, in good faith) of any securities or other assets paid on each Ordinary Share in respect of such Extraordinary Dividend. For purposes of this </w:t>
      </w:r>
      <w:r>
        <w:rPr>
          <w:rFonts w:ascii="Arial" w:cs="Arial" w:eastAsia="Arial" w:hAnsi="Arial"/>
          <w:sz w:val="16"/>
          <w:szCs w:val="16"/>
          <w:u w:val="single" w:color="auto"/>
          <w:color w:val="auto"/>
        </w:rPr>
        <w:t>subsection 4.1.2</w:t>
      </w:r>
      <w:r>
        <w:rPr>
          <w:rFonts w:ascii="Arial" w:cs="Arial" w:eastAsia="Arial" w:hAnsi="Arial"/>
          <w:sz w:val="16"/>
          <w:szCs w:val="16"/>
          <w:color w:val="auto"/>
        </w:rPr>
        <w:t>, “</w:t>
      </w:r>
      <w:r>
        <w:rPr>
          <w:rFonts w:ascii="Arial" w:cs="Arial" w:eastAsia="Arial" w:hAnsi="Arial"/>
          <w:sz w:val="16"/>
          <w:szCs w:val="16"/>
          <w:b w:val="1"/>
          <w:bCs w:val="1"/>
          <w:i w:val="1"/>
          <w:iCs w:val="1"/>
          <w:color w:val="auto"/>
        </w:rPr>
        <w:t>Ordinary Cash Dividends</w:t>
      </w:r>
      <w:r>
        <w:rPr>
          <w:rFonts w:ascii="Arial" w:cs="Arial" w:eastAsia="Arial" w:hAnsi="Arial"/>
          <w:sz w:val="16"/>
          <w:szCs w:val="16"/>
          <w:color w:val="auto"/>
        </w:rPr>
        <w:t xml:space="preserve">” means any cash dividend or cash distribution which, when combined on a per share basis, with the per share amounts of all other cash dividends and cash distributions paid on the Ordinary Shares during the 365-day period ending on the date of declaration of such dividend or distribution does not exceed $0.50 (as adjusted to appropriately reflect any of the events referred to in other subsections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excluding cash dividends or cash distributions that resulted in an adjustment to the Warrant Price or to the number of Ordinary Shares issuable on exercise of each Warrant). Solely for purposes of illustration, if the Company, at a time while the Warrants are outstanding and unexpired, pays a cash dividend of $0.35 per share and previously paid an aggregate of $0.40 of cash dividends and cash distributions on the Ordinary Shares during the 365-day period ending on the date of declaration of such $0.35 per share dividend, then the Warrant Price shall be decreased, effectively immediately after the effective date of such $0.35 per share dividend, by $0.25 (the absolute value of the difference between $0.75 per share (the aggregate amount of all cash dividends and cash distributions paid or made in such 365-day period, including such $0.35 dividend) and $0.50 per share (the greater of (x) $0.50 per share and (y) the aggregate amount of all cash dividends and cash distributions paid or made in such 365-day period prior to such $0.35 dividend)).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hereof, the number of outstanding Ordinary Shares is decreased by a consolidation, combination, reverse share split or reclassification of Ordinary Shares or other similar event, then, on the effective date of such consolidation, combination, reverse share split, reclassification or similar event, the number of Ordinary Shares issuable on exercise of each Warrant shall be decreased in proportion to such decrease in outstanding Ordinary Shares.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Adjustments in Exercise Price</w:t>
      </w:r>
      <w:r>
        <w:rPr>
          <w:rFonts w:ascii="Arial" w:cs="Arial" w:eastAsia="Arial" w:hAnsi="Arial"/>
          <w:sz w:val="16"/>
          <w:szCs w:val="16"/>
          <w:color w:val="auto"/>
        </w:rPr>
        <w:t xml:space="preserve">. Whenever the number of Ordinary Shares purchasable upon the exercise of the Warrants is adjusted, as provided in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above, the Warrant Price shall be adjusted (to the nearest cent) by multiplying such Warrant Price immediately prior to such adjustment by a fraction, (x) the numerator of which shall be the number of Ordinary Shares purchasable upon the exercise of the Warrants immediately prior to such adjustment and (y) the denominator of which shall be the number of Ordinary Shares so purchasable immediately thereafter.</w:t>
      </w:r>
    </w:p>
    <w:p>
      <w:pPr>
        <w:spacing w:after="0" w:line="15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If (x) the Company issues additional Ordinary Shares or securities convertible into or exercisable or exchangeable for Ordinary Shares for capital raising purposes in connection with the closing of an initial Business Combination at an issue price or effective issue price of less than $9.20 per Ordinary Share (with such issue price or effective issue price to be determined in good faith by the Company and, (i) in the case of any such issuance to the Sponsor or its affiliates, without taking into account any Class B ordinary shares of the Company, par value $0.0001 per share (the “Class B ordinary shares”) held by the Sponsor or its affiliates, as applicable, prior to such issuance, and (ii) without taking into account the transfer of the Class B ordinary shares or Private Placement Warrants (including if such transfer is effectuated as a surrender to the Company and subsequent reissuance by the Company) by the Sponsor in connection with such issuance) (the “Newly Issued Price”), (y) the aggregate gross proceeds from such issuances represent more than 60% of the total equity proceeds, and interest thereon, available for the funding of an initial Business Combination on the date of the consummation of such initial Business Combination (net of redemptions), and (z) the volume weighted average trading price of the Ordinary Shares during the 20 trading day period starting on the trading day prior to the day on which the Company consummates an initial Business Combination (such price, the “Market Value”) is below $9.20 per share, the Warrant Price shall be adjusted (to the nearest cent) to be equal to 115% of the higher of the Market Value and the Newly Issued Price, and the $18.00 per share redemption trigger price shall be adjusted (to the nearest cent) to be equal to 180% of the higher of the Market Value and the Newly Issued Price.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firstLine="648"/>
        <w:spacing w:after="0" w:line="283"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outstanding Ordinary Shares (other than a change under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or that solely affects the par value of such Ordinary Shares), or in the case of any merger or consolidation of the Company with or into another corporation (other than a consolidation or merger in which the Company is the continuing corporation and that does not result in any reclassification or reorganization of the outstanding Ordinary Shares), or in the case of any sale or conveyance to another corporation or entity of the assets or other property of the Company as an entirety or substantially as an entirety in connection with which the Company is dissolved, the holders of the Warrants shall thereafter have the right to purchase and receive, upon the basis and upon the terms and conditions specified in the Warrants and in lieu of the Ordinary Shares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his, her or its Warrant(s) immediately prior to such event (the “</w:t>
      </w:r>
      <w:r>
        <w:rPr>
          <w:rFonts w:ascii="Arial" w:cs="Arial" w:eastAsia="Arial" w:hAnsi="Arial"/>
          <w:sz w:val="16"/>
          <w:szCs w:val="16"/>
          <w:b w:val="1"/>
          <w:bCs w:val="1"/>
          <w:i w:val="1"/>
          <w:iCs w:val="1"/>
          <w:color w:val="auto"/>
        </w:rPr>
        <w:t>Alternative Issuance</w:t>
      </w:r>
      <w:r>
        <w:rPr>
          <w:rFonts w:ascii="Arial" w:cs="Arial" w:eastAsia="Arial" w:hAnsi="Arial"/>
          <w:sz w:val="16"/>
          <w:szCs w:val="16"/>
          <w:color w:val="auto"/>
        </w:rPr>
        <w:t xml:space="preserv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if the holders of the Ordinary Shares were entitled to exercise a right of election as to the kind or amount of securities, cash or other assets receivable upon such consolidation or merger, then the kind and amount of securities, cash or other assets constituting the Alternative Issuance for which each Warrant shall become exercisable shall be deemed to be the weighted average of the kind and amount received per share by the holders of the Ordinary Shares in such consolidation or merger that affirmatively make such election and (ii) if a tender, exchange or redemption offer shall have been made to and accepted by the holders of the Ordinary Shares (other than a tender, exchange or redemption offer made by the Company in connection with redemption rights held by shareholders of the Company as provided for in the Company’s amended and restated memorandum and articles of association or as a result of the redemption of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 13d-3 under the Exchange Act (or any successor rule)) more than 50% of the outstanding Ordinary Shares, the holder of a Warrant shall be entitled to receive as the Alternative Issuance,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adjustments (from and after the consummation of such tender or exchange offer) as nearly equivalent as possible to the adjustments provided for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less than 70% of the consideration receivable by the holders of the Ordinary Shares in the applicable event is payable in the form of common equity in the successor entity that is listed for trading on a national securities exchange or is quoted in an established over-the-counter market, or is to be so listed for trading or quoted immediately following such event, and if the Registered Holder properly exercises the Warrant within thirty days following the public disclosure of the consummation of such applicable event by the Company pursuant to a Current Report on Form 8-K filed with the Commission, the Warrant Price shall be reduced by an amount (in dollars) equal to the difference of (i) the Warrant Price in effect prior to such reduction minus (ii) (A) the Per Share Consideration (as defined below) (but in no event less than zero) minus (B) the Black-Scholes Warrant Value (as defined below). The “</w:t>
      </w:r>
      <w:r>
        <w:rPr>
          <w:rFonts w:ascii="Arial" w:cs="Arial" w:eastAsia="Arial" w:hAnsi="Arial"/>
          <w:sz w:val="16"/>
          <w:szCs w:val="16"/>
          <w:b w:val="1"/>
          <w:bCs w:val="1"/>
          <w:i w:val="1"/>
          <w:iCs w:val="1"/>
          <w:color w:val="auto"/>
        </w:rPr>
        <w:t>Black-Scholes Warrant Value</w:t>
      </w:r>
      <w:r>
        <w:rPr>
          <w:rFonts w:ascii="Arial" w:cs="Arial" w:eastAsia="Arial" w:hAnsi="Arial"/>
          <w:sz w:val="16"/>
          <w:szCs w:val="16"/>
          <w:color w:val="auto"/>
        </w:rPr>
        <w:t>” means the value of a Warrant immediately prior to the consummation of the applicable event based on the Black-Scholes Warrant Model for a Capped American Call on Bloomberg Financial Markets (“</w:t>
      </w:r>
      <w:r>
        <w:rPr>
          <w:rFonts w:ascii="Arial" w:cs="Arial" w:eastAsia="Arial" w:hAnsi="Arial"/>
          <w:sz w:val="16"/>
          <w:szCs w:val="16"/>
          <w:b w:val="1"/>
          <w:bCs w:val="1"/>
          <w:i w:val="1"/>
          <w:iCs w:val="1"/>
          <w:color w:val="auto"/>
        </w:rPr>
        <w:t>Bloomberg</w:t>
      </w:r>
      <w:r>
        <w:rPr>
          <w:rFonts w:ascii="Arial" w:cs="Arial" w:eastAsia="Arial" w:hAnsi="Arial"/>
          <w:sz w:val="16"/>
          <w:szCs w:val="16"/>
          <w:color w:val="auto"/>
        </w:rPr>
        <w:t xml:space="preserve">”). For purposes of calculating such amount, (1)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Agreement shall be taken into account, (2) the price of each Ordinary Share shall be the volume weighted average price of the Ordinary Shares as reported during the ten-trading day period ending on the trading day prior to the effective date of the applicable event, (3) the assumed volatility shall be the ninety-day volatility obtained from the HVT function on Bloomberg determined as of the trading day immediately prior to the day of the announcement of the applicable event, and (4) the assumed risk-free interest rate shall correspond to the U.S. Treasury rate for a period equal to the remaining term of the Warrant. “</w:t>
      </w:r>
      <w:r>
        <w:rPr>
          <w:rFonts w:ascii="Arial" w:cs="Arial" w:eastAsia="Arial" w:hAnsi="Arial"/>
          <w:sz w:val="16"/>
          <w:szCs w:val="16"/>
          <w:b w:val="1"/>
          <w:bCs w:val="1"/>
          <w:i w:val="1"/>
          <w:iCs w:val="1"/>
          <w:color w:val="auto"/>
        </w:rPr>
        <w:t>Per Share Consideration</w:t>
      </w:r>
      <w:r>
        <w:rPr>
          <w:rFonts w:ascii="Arial" w:cs="Arial" w:eastAsia="Arial" w:hAnsi="Arial"/>
          <w:sz w:val="16"/>
          <w:szCs w:val="16"/>
          <w:color w:val="auto"/>
        </w:rPr>
        <w:t xml:space="preserve">” means (i) if the consideration paid to holders of the Ordinary Shares consists exclusively of cash, the amount of such cash per Ordinary Share, and (ii) in all other cases, the volume weighted average price of the Ordinary Shares as reported during the ten-trading day period ending on the trading day prior to the effective date of the applicable event. If any reclassification or reorganization also results in a change in Ordinary Shares covered by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then such adjustment shall be made pursuant to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4.2</w:t>
      </w:r>
      <w:r>
        <w:rPr>
          <w:rFonts w:ascii="Arial" w:cs="Arial" w:eastAsia="Arial" w:hAnsi="Arial"/>
          <w:sz w:val="16"/>
          <w:szCs w:val="16"/>
          <w:color w:val="auto"/>
        </w:rPr>
        <w:t xml:space="preserve">,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shall similarly apply to successive reclassifications, reorganizations, mergers or consolidations, sales or other transfers. In no event shall the Warrant Price be reduced to less than the par value per share issuable upon exercise of the Warrant.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648"/>
        <w:spacing w:after="0" w:line="25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Notices of Changes in Warrant</w:t>
      </w:r>
      <w:r>
        <w:rPr>
          <w:rFonts w:ascii="Arial" w:cs="Arial" w:eastAsia="Arial" w:hAnsi="Arial"/>
          <w:sz w:val="18"/>
          <w:szCs w:val="18"/>
          <w:color w:val="auto"/>
        </w:rPr>
        <w:t xml:space="preserve">. Upon every adjustment of the Warrant Price or the number of Ordinary Shares issuable upon exercise of a Warrant, the Company shall give written notice thereof to the Warrant Agent, which notice shall state the Warrant Price resulting from such adjustment and the increase or decrease, if any, in the number of Ordinary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4.4</w:t>
      </w:r>
      <w:r>
        <w:rPr>
          <w:rFonts w:ascii="Arial" w:cs="Arial" w:eastAsia="Arial" w:hAnsi="Arial"/>
          <w:sz w:val="18"/>
          <w:szCs w:val="18"/>
          <w:color w:val="auto"/>
        </w:rPr>
        <w:t>,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xml:space="preserve">. Notwithstanding any provision contained in this Agreement to the contrary, the Company shall not issue fractional Ordinary Shares upon the exercise of Warrants. If, by reason of any adjustment made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holder of any Warrant would be entitled, upon the exercise of such Warrant, to receive a fractional interest in a share, the Company shall, upon such exercise, round down to the nearest whole number the number of Ordinary Shares to be issued to such holder.</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The form of Warrant need not be changed because of any adjustment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Warrants issued after such adjustment may state the same Warrant Price and the same number of Ordinary Shares as is stated in the Warrants initially issued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No Adjustment</w:t>
      </w:r>
      <w:r>
        <w:rPr>
          <w:rFonts w:ascii="Arial" w:cs="Arial" w:eastAsia="Arial" w:hAnsi="Arial"/>
          <w:sz w:val="17"/>
          <w:szCs w:val="17"/>
          <w:color w:val="auto"/>
        </w:rPr>
        <w:t>. For the avoidance of doubt, no adjustment shall be made to the terms of the Warrants solely as a result of an adjustment to the conversion ratio of the Company’s Class B ordinary shares into Ordinary Shares or the conversion of Class B ordinary shares into Ordinary Shares, in each case, pursuant to the Company’s amended and restated memorandum and articles of association, as amended from time to time.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ind w:left="180" w:hanging="172"/>
        <w:spacing w:after="0"/>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Registration of Transfer</w:t>
      </w:r>
      <w:r>
        <w:rPr>
          <w:rFonts w:ascii="Arial" w:cs="Arial" w:eastAsia="Arial" w:hAnsi="Arial"/>
          <w:sz w:val="16"/>
          <w:szCs w:val="16"/>
          <w:color w:val="auto"/>
        </w:rPr>
        <w:t>. The Warrant Agent shall register the transfer, from time to time, of any outstanding Warrant upon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request.</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Procedure for Surrender of Warrants</w:t>
      </w:r>
      <w:r>
        <w:rPr>
          <w:rFonts w:ascii="Arial" w:cs="Arial" w:eastAsia="Arial" w:hAnsi="Arial"/>
          <w:sz w:val="18"/>
          <w:szCs w:val="18"/>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a Warrant surrendered for transfer bears a restrictive legend (as in the case of the Private Placement Warrants),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shall result in the issuance of a warrant certificate or book-entry position for a fraction of a warrant, except as part of the Units.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xml:space="preserve">. The Warrant Agent is hereby authorized to countersign and to deliver, in accordance with the terms of this Agreement, the Warrants required to be issued pursuant to 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and the Company, whenever required by the Warrant Agent, shall supply the Warrant Agent with Warrants duly executed on behalf of the Company for such purpose.</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Transfer of Warrants</w:t>
      </w:r>
      <w:r>
        <w:rPr>
          <w:rFonts w:ascii="Arial" w:cs="Arial" w:eastAsia="Arial" w:hAnsi="Arial"/>
          <w:sz w:val="17"/>
          <w:szCs w:val="17"/>
          <w:color w:val="auto"/>
        </w:rPr>
        <w:t xml:space="preserve">.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shall have no effect on any transfer of Warrants on and after the Detachment Date.</w:t>
      </w:r>
    </w:p>
    <w:p>
      <w:pPr>
        <w:spacing w:after="0" w:line="171" w:lineRule="exact"/>
        <w:rPr>
          <w:sz w:val="20"/>
          <w:szCs w:val="20"/>
          <w:color w:val="auto"/>
        </w:rPr>
      </w:pPr>
    </w:p>
    <w:p>
      <w:pPr>
        <w:ind w:left="180" w:hanging="172"/>
        <w:spacing w:after="0"/>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Redemption of Warrants</w:t>
      </w:r>
      <w:r>
        <w:rPr>
          <w:rFonts w:ascii="Arial" w:cs="Arial" w:eastAsia="Arial" w:hAnsi="Arial"/>
          <w:sz w:val="17"/>
          <w:szCs w:val="17"/>
          <w:color w:val="auto"/>
        </w:rPr>
        <w:t>. Subject to Section 6.5 hereof, not less than all of the outstanding Warrants may be redeemed, at the option of the Company, at any time while they are exercisable and prior to their expiration, at the office of the Warrant Agent, upon notice to the Registered Holders of the Warrants, as described in Section 6.3 below, at a Redemption Price of $0.01 per Warrant; provided that the reported closing price of the Ordinary Shares reported has been at least $18.00 per share (subject to adjustment in compliance with Section 4 hereof), on each of twenty trading days within the thirty-trading day period ending on the third Business Day prior to the date on which notice of the redemption is given; and provided, further, that there is an effective registration statement covering the Ordinary Shares issuable upon exercise of the Warrants, and a current prospectus relating thereto, available throughout the 30-day Redemption Period (as defined in Section 6.3 below) or the Company has elected to require the exercise of the Warrants on a “cashless basis” pursuant to subsection 3.3.1.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xml:space="preserve">. In the event that the Company elects to redeem all of the Warrants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the Company shall fix a date for the redemption (the “</w:t>
      </w:r>
      <w:r>
        <w:rPr>
          <w:rFonts w:ascii="Arial" w:cs="Arial" w:eastAsia="Arial" w:hAnsi="Arial"/>
          <w:sz w:val="18"/>
          <w:szCs w:val="18"/>
          <w:b w:val="1"/>
          <w:bCs w:val="1"/>
          <w:i w:val="1"/>
          <w:iCs w:val="1"/>
          <w:color w:val="auto"/>
        </w:rPr>
        <w:t>Redemption Date</w:t>
      </w:r>
      <w:r>
        <w:rPr>
          <w:rFonts w:ascii="Arial" w:cs="Arial" w:eastAsia="Arial" w:hAnsi="Arial"/>
          <w:sz w:val="18"/>
          <w:szCs w:val="18"/>
          <w:color w:val="auto"/>
        </w:rPr>
        <w:t>”). Notice of redemption shall be mailed by first class mail, postage prepaid, by the Company not less than thirty days prior to the Redemption Date (the “</w:t>
      </w:r>
      <w:r>
        <w:rPr>
          <w:rFonts w:ascii="Arial" w:cs="Arial" w:eastAsia="Arial" w:hAnsi="Arial"/>
          <w:sz w:val="18"/>
          <w:szCs w:val="18"/>
          <w:b w:val="1"/>
          <w:bCs w:val="1"/>
          <w:i w:val="1"/>
          <w:iCs w:val="1"/>
          <w:color w:val="auto"/>
        </w:rPr>
        <w:t>30-day Redemption Period</w:t>
      </w:r>
      <w:r>
        <w:rPr>
          <w:rFonts w:ascii="Arial" w:cs="Arial" w:eastAsia="Arial" w:hAnsi="Arial"/>
          <w:sz w:val="18"/>
          <w:szCs w:val="18"/>
          <w:color w:val="auto"/>
        </w:rPr>
        <w:t>”)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 “</w:t>
      </w:r>
      <w:r>
        <w:rPr>
          <w:rFonts w:ascii="Arial" w:cs="Arial" w:eastAsia="Arial" w:hAnsi="Arial"/>
          <w:sz w:val="18"/>
          <w:szCs w:val="18"/>
          <w:b w:val="1"/>
          <w:bCs w:val="1"/>
          <w:i w:val="1"/>
          <w:iCs w:val="1"/>
          <w:color w:val="auto"/>
        </w:rPr>
        <w:t>Redemption Price</w:t>
      </w:r>
      <w:r>
        <w:rPr>
          <w:rFonts w:ascii="Arial" w:cs="Arial" w:eastAsia="Arial" w:hAnsi="Arial"/>
          <w:sz w:val="18"/>
          <w:szCs w:val="18"/>
          <w:color w:val="auto"/>
        </w:rPr>
        <w:t>” shall mean the price per Warrant at which any Warrants are redeemed pursuant to Section 6.1.</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Exercise After Notice of Redemption</w:t>
      </w:r>
      <w:r>
        <w:rPr>
          <w:rFonts w:ascii="Arial" w:cs="Arial" w:eastAsia="Arial" w:hAnsi="Arial"/>
          <w:sz w:val="16"/>
          <w:szCs w:val="16"/>
          <w:color w:val="auto"/>
        </w:rPr>
        <w:t xml:space="preserve">. The Warrants may be exercised for cash (or on a “cashless basis” in accordance with </w:t>
      </w:r>
      <w:r>
        <w:rPr>
          <w:rFonts w:ascii="Arial" w:cs="Arial" w:eastAsia="Arial" w:hAnsi="Arial"/>
          <w:sz w:val="16"/>
          <w:szCs w:val="16"/>
          <w:u w:val="single" w:color="auto"/>
          <w:color w:val="auto"/>
        </w:rPr>
        <w:t>subsection 3.3.1(b)</w:t>
      </w:r>
      <w:r>
        <w:rPr>
          <w:rFonts w:ascii="Arial" w:cs="Arial" w:eastAsia="Arial" w:hAnsi="Arial"/>
          <w:sz w:val="16"/>
          <w:szCs w:val="16"/>
          <w:color w:val="auto"/>
        </w:rPr>
        <w:t xml:space="preserve"> of this Agreement) at any time after notice of redemption shall have been given by the Company pursuant to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hereof and prior to the Redemption Date. In the event that the Company determines to require all holders of Warrants to exercise their Warrants on a “cashless basis” pursuant to </w:t>
      </w:r>
      <w:r>
        <w:rPr>
          <w:rFonts w:ascii="Arial" w:cs="Arial" w:eastAsia="Arial" w:hAnsi="Arial"/>
          <w:sz w:val="16"/>
          <w:szCs w:val="16"/>
          <w:u w:val="single" w:color="auto"/>
          <w:color w:val="auto"/>
        </w:rPr>
        <w:t>subsection 3.3.1</w:t>
      </w:r>
      <w:r>
        <w:rPr>
          <w:rFonts w:ascii="Arial" w:cs="Arial" w:eastAsia="Arial" w:hAnsi="Arial"/>
          <w:sz w:val="16"/>
          <w:szCs w:val="16"/>
          <w:color w:val="auto"/>
        </w:rPr>
        <w:t xml:space="preserve">, the notice of redemption shall contain the information necessary to calculate the number of Ordinary Shares to be received upon exercise of the Warrants, including the “Fair Market Value” (as such term is defined in </w:t>
      </w:r>
      <w:r>
        <w:rPr>
          <w:rFonts w:ascii="Arial" w:cs="Arial" w:eastAsia="Arial" w:hAnsi="Arial"/>
          <w:sz w:val="16"/>
          <w:szCs w:val="16"/>
          <w:u w:val="single" w:color="auto"/>
          <w:color w:val="auto"/>
        </w:rPr>
        <w:t>subsection 3.3.1(b)</w:t>
      </w:r>
      <w:r>
        <w:rPr>
          <w:rFonts w:ascii="Arial" w:cs="Arial" w:eastAsia="Arial" w:hAnsi="Arial"/>
          <w:sz w:val="16"/>
          <w:szCs w:val="16"/>
          <w:color w:val="auto"/>
        </w:rPr>
        <w:t xml:space="preserve"> hereof) in such case. On and after the Redemption Date, the record holder of the Warrants shall have no further rights except to receive, upon surrender of the Warrants, the Redemption Price.</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Exclusion of Private Placement Warrants</w:t>
      </w:r>
      <w:r>
        <w:rPr>
          <w:rFonts w:ascii="Arial" w:cs="Arial" w:eastAsia="Arial" w:hAnsi="Arial"/>
          <w:sz w:val="17"/>
          <w:szCs w:val="17"/>
          <w:color w:val="auto"/>
        </w:rPr>
        <w:t xml:space="preserve">. Notwithstanding anything contained herein, the redemption rights provided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shall not apply to the Private Placement Warrants if at the time of the redemption such Private Placement Warrants continue to be held by the Sponsor or its Permitted Transferees. However, once such Private Placement Warrants are transferred (other than to Permitted Transferees in accordance with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hereof), the Company may redeem the Private Placement Warrants pursuant to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criteria for redemption are met, including the opportunity of the holder of such Private Placement Warrants to exercise the Private Placement Warrants prior to redemption pursuant to </w:t>
      </w:r>
      <w:r>
        <w:rPr>
          <w:rFonts w:ascii="Arial" w:cs="Arial" w:eastAsia="Arial" w:hAnsi="Arial"/>
          <w:sz w:val="17"/>
          <w:szCs w:val="17"/>
          <w:u w:val="single" w:color="auto"/>
          <w:color w:val="auto"/>
        </w:rPr>
        <w:t>Section 6.4</w:t>
      </w:r>
      <w:r>
        <w:rPr>
          <w:rFonts w:ascii="Arial" w:cs="Arial" w:eastAsia="Arial" w:hAnsi="Arial"/>
          <w:sz w:val="17"/>
          <w:szCs w:val="17"/>
          <w:color w:val="auto"/>
        </w:rPr>
        <w:t>. Private Placement Warrants that are transferred to persons other than Permitted Transferees shall upon such transfer cease to be Private Placement Warrants and shall become Public Warrants under this Agreement.</w:t>
      </w:r>
    </w:p>
    <w:p>
      <w:pPr>
        <w:spacing w:after="0" w:line="177" w:lineRule="exact"/>
        <w:rPr>
          <w:sz w:val="20"/>
          <w:szCs w:val="20"/>
          <w:color w:val="auto"/>
        </w:rPr>
      </w:pPr>
    </w:p>
    <w:p>
      <w:pPr>
        <w:ind w:left="180" w:hanging="172"/>
        <w:spacing w:after="0"/>
        <w:tabs>
          <w:tab w:leader="none" w:pos="1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Shareholder</w:t>
      </w:r>
      <w:r>
        <w:rPr>
          <w:rFonts w:ascii="Arial" w:cs="Arial" w:eastAsia="Arial" w:hAnsi="Arial"/>
          <w:sz w:val="17"/>
          <w:szCs w:val="17"/>
          <w:color w:val="auto"/>
        </w:rPr>
        <w:t>. A Warrant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meetings of shareholders or the election of directors of the Company or any other matter.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Reservation of Ordinary Shares</w:t>
      </w:r>
      <w:r>
        <w:rPr>
          <w:rFonts w:ascii="Arial" w:cs="Arial" w:eastAsia="Arial" w:hAnsi="Arial"/>
          <w:sz w:val="18"/>
          <w:szCs w:val="18"/>
          <w:color w:val="auto"/>
        </w:rPr>
        <w:t>. The Company shall at all times reserve and keep available a number of its authorized but unissued Ordinary Shares that shall be sufficient to permit the exercise in full of all outstanding Warrants issued pursuant to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Registration of Ordinary Shares; Cashless Exercise at Company’s Option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7.4.1 </w:t>
      </w:r>
      <w:r>
        <w:rPr>
          <w:rFonts w:ascii="Arial" w:cs="Arial" w:eastAsia="Arial" w:hAnsi="Arial"/>
          <w:sz w:val="16"/>
          <w:szCs w:val="16"/>
          <w:u w:val="single" w:color="auto"/>
          <w:color w:val="auto"/>
        </w:rPr>
        <w:t>Registration of Ordinary Shares</w:t>
      </w:r>
      <w:r>
        <w:rPr>
          <w:rFonts w:ascii="Arial" w:cs="Arial" w:eastAsia="Arial" w:hAnsi="Arial"/>
          <w:sz w:val="16"/>
          <w:szCs w:val="16"/>
          <w:color w:val="auto"/>
        </w:rPr>
        <w:t xml:space="preserve">. The Company agrees that as soon as practicable, but in no event later than twenty Business Days after the closing of its initial Business Combination, it shall use commercially reasonable efforts to file with the Commission a registration statement for the registration, under the Securities Act, of the Ordinary Shares issuable upon exercise of the Warrants. The Company shall use commercially reasonable efforts to cause the same to become effective and to maintain the effectiveness of such registration statement, and a current prospectus relating thereto, until the expiration of the Warrants in accordance with the provisions of this Agreement. If any such registration statement has not been declared effective by the sixtieth (60th) day following the closing of the Business Combination, holders of the Warrants shall have the right, during the period beginning on the sixty-first (61st) day after the closing of the Business Combination and ending upon such registration statement being declared effective by the Commission, and during any other period when the Company shall fail to have maintained an effective registration statement covering the Ordinary Shares issuable upon exercise of the Warrants, to exercise such Warrants on a “cashless basis,” by exchanging the Warrants (in accordance with Section 3(a)(9) of the Securities Act (or any successor rule) or another exemption) for that number of Ordinary Shares per Warrant equal to the lesser of (A) the quotient obtained by dividing (x) the product of the number of Ordinary Shares underlying such Warrant, multiplied by the excess of the “Fair Market Value” (as defined below) over the Warrant Price by (y) the Fair Market Value and (B) 0.365. Solely for purposes of this </w:t>
      </w:r>
      <w:r>
        <w:rPr>
          <w:rFonts w:ascii="Arial" w:cs="Arial" w:eastAsia="Arial" w:hAnsi="Arial"/>
          <w:sz w:val="16"/>
          <w:szCs w:val="16"/>
          <w:u w:val="single" w:color="auto"/>
          <w:color w:val="auto"/>
        </w:rPr>
        <w:t>subsection 7.4.1</w:t>
      </w:r>
      <w:r>
        <w:rPr>
          <w:rFonts w:ascii="Arial" w:cs="Arial" w:eastAsia="Arial" w:hAnsi="Arial"/>
          <w:sz w:val="16"/>
          <w:szCs w:val="16"/>
          <w:color w:val="auto"/>
        </w:rPr>
        <w:t>,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xml:space="preserve">” shall mean the volume weighted average price of the Ordinary Shares as reported during the ten-trading day period ending on the trading day prior to the date that notice of exercise is received by the Warrant Agent from the holder of such Warrants or its securities broker or intermediary. The date that notice of cashless exercise is received by the Warrant Agent shall be conclusively determined by the Warrant Agent. In connection with the “cashless exercise” of a Public Warrant, the Company shall, upon request, provide the Warrant Agent with an opinion of counsel for the Company (which shall be an outside law firm with securities law experience) stating that (i) the exercise of the Warrants on a cashless basis in accordance with this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is not required to be registered under the Securities Act and (ii) the Ordinary Shares issued upon such exercise shall be freely tradable under U.S. federal securities laws by anyone who is not an affiliate (as such term is defined in Rule 144 under the Securities Act (or any successor rule)) of the Company and, accordingly, shall not be required to bear a restrictive legend. Except as provided in </w:t>
      </w:r>
      <w:r>
        <w:rPr>
          <w:rFonts w:ascii="Arial" w:cs="Arial" w:eastAsia="Arial" w:hAnsi="Arial"/>
          <w:sz w:val="16"/>
          <w:szCs w:val="16"/>
          <w:u w:val="single" w:color="auto"/>
          <w:color w:val="auto"/>
        </w:rPr>
        <w:t>subsection 7.4.2</w:t>
      </w:r>
      <w:r>
        <w:rPr>
          <w:rFonts w:ascii="Arial" w:cs="Arial" w:eastAsia="Arial" w:hAnsi="Arial"/>
          <w:sz w:val="16"/>
          <w:szCs w:val="16"/>
          <w:color w:val="auto"/>
        </w:rPr>
        <w:t xml:space="preserve">, for the avoidance of any doubt, unless and until all of the Warrants have been exercised or have expired, the Company shall continue to be obligated to comply with its registration obligations under the first three sentences of this </w:t>
      </w:r>
      <w:r>
        <w:rPr>
          <w:rFonts w:ascii="Arial" w:cs="Arial" w:eastAsia="Arial" w:hAnsi="Arial"/>
          <w:sz w:val="16"/>
          <w:szCs w:val="16"/>
          <w:u w:val="single" w:color="auto"/>
          <w:color w:val="auto"/>
        </w:rPr>
        <w:t>subsection 7.4.1</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both"/>
        <w:ind w:firstLine="1296"/>
        <w:spacing w:after="0" w:line="290" w:lineRule="auto"/>
        <w:rPr>
          <w:sz w:val="20"/>
          <w:szCs w:val="20"/>
          <w:color w:val="auto"/>
        </w:rPr>
      </w:pPr>
      <w:r>
        <w:rPr>
          <w:rFonts w:ascii="Arial" w:cs="Arial" w:eastAsia="Arial" w:hAnsi="Arial"/>
          <w:sz w:val="16"/>
          <w:szCs w:val="16"/>
          <w:color w:val="auto"/>
        </w:rPr>
        <w:t xml:space="preserve">7.4.2 </w:t>
      </w:r>
      <w:r>
        <w:rPr>
          <w:rFonts w:ascii="Arial" w:cs="Arial" w:eastAsia="Arial" w:hAnsi="Arial"/>
          <w:sz w:val="16"/>
          <w:szCs w:val="16"/>
          <w:u w:val="single" w:color="auto"/>
          <w:color w:val="auto"/>
        </w:rPr>
        <w:t>Cashless Exercise at Company’s Option</w:t>
      </w:r>
      <w:r>
        <w:rPr>
          <w:rFonts w:ascii="Arial" w:cs="Arial" w:eastAsia="Arial" w:hAnsi="Arial"/>
          <w:sz w:val="16"/>
          <w:szCs w:val="16"/>
          <w:color w:val="auto"/>
        </w:rPr>
        <w:t xml:space="preserve">. If the Ordinary Shares are at the time of any exercise of a Warrant not listed on a national securities exchange such that they satisfy the definition of a “covered security” under Section 18(b)(1) of the Securities Act (or any successor rule), the Company may, at its option, require holders of Public Warrants who exercise Public Warrants to exercise such Public Warrants on a “cashless basis” in accordance with Section 3(a)(9) of the Securities Act (or any successor rule) as described in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and, in the event the Company so elects, the Company shall not be required to file or maintain in effect a registration statement for the registration, under the Securities Act, of the Ordinary Shares issuable upon exercise of the Warrants, notwithstanding anything in this Agreement to the contrary, and in the event the Company does not so elect, the Company will use reasonable best efforts to register or qualify for sale the Ordinary Shares issuable upon exercise of the Public Warrants under the blue sky laws of the state of residence of the exercising Public Warrant holder to the extent an exemption is not available.</w:t>
      </w:r>
    </w:p>
    <w:p>
      <w:pPr>
        <w:spacing w:after="0" w:line="165" w:lineRule="exact"/>
        <w:rPr>
          <w:sz w:val="20"/>
          <w:szCs w:val="20"/>
          <w:color w:val="auto"/>
        </w:rPr>
      </w:pPr>
    </w:p>
    <w:p>
      <w:pPr>
        <w:ind w:left="180" w:hanging="172"/>
        <w:spacing w:after="0"/>
        <w:tabs>
          <w:tab w:leader="none" w:pos="1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shall from time to time promptly pay all taxes and charges that may be imposed upon the Company or the Warrant Agent in respect of the issuance or delivery of Ordinary Shares upon the exercise of the Warrants, but the Company shall not be obligated to pay any transfer taxes in respect of the Warrants or such shares.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days after it has been notified in writing of such resignation or incapacity by the Warrant Agent or by the holder of a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1296"/>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Ordinary Shares not later than the effective date of any such appointment.</w:t>
      </w:r>
    </w:p>
    <w:p>
      <w:pPr>
        <w:spacing w:after="0" w:line="12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such Warrant Agent hereunder and shall, pursuant to its obligations under this Agreement, reimburse the Warrant Agent upon demand for all expenditures that the Warrant Agent may reasonably incur in the execution of its duties hereunder.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Secretary of the Company and delivered to the Warrant Agent. The Warrant Agent may rely upon such statement for any action taken or suffered in good faith by it pursuant to the provisions of this Agreement.</w:t>
      </w:r>
    </w:p>
    <w:p>
      <w:pPr>
        <w:spacing w:after="0" w:line="16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or bad faith.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gross negligence, willful misconduct or bad faith.</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ind w:firstLine="1296"/>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Ordinary Shares to be issued pursuant to this Agreement or any Warrant or as to whether any Ordinary Shares shall, when issued, be valid and fully paid and non-assessable.</w:t>
      </w:r>
    </w:p>
    <w:p>
      <w:pPr>
        <w:spacing w:after="0" w:line="1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Acceptance of Agency</w:t>
      </w:r>
      <w:r>
        <w:rPr>
          <w:rFonts w:ascii="Arial" w:cs="Arial" w:eastAsia="Arial" w:hAnsi="Arial"/>
          <w:sz w:val="16"/>
          <w:szCs w:val="16"/>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Ordinary Shares through the exercise of the Warrants.</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has no right of set-off or any other right, title, interest or claim of any kind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 The Warrant Agent hereby waives any and all Claims against the Trust Account and any and all rights to seek access to the Trust Account.</w:t>
      </w:r>
    </w:p>
    <w:p>
      <w:pPr>
        <w:spacing w:after="0" w:line="188" w:lineRule="exact"/>
        <w:rPr>
          <w:sz w:val="20"/>
          <w:szCs w:val="20"/>
          <w:color w:val="auto"/>
        </w:rPr>
      </w:pPr>
    </w:p>
    <w:p>
      <w:pPr>
        <w:ind w:left="180" w:hanging="172"/>
        <w:spacing w:after="0"/>
        <w:tabs>
          <w:tab w:leader="none" w:pos="1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Warrant Agent shall bind and inure to the benefit of their respective successors and assigns.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days after deposit of such notice, postage prepaid, addressed (until another address is filed in writing by the Company with the Warrant Agent), as follows: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Sustainable Opportunities Acquisition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1601 Bryan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4141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Scott Leonard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both"/>
        <w:ind w:firstLine="648"/>
        <w:spacing w:after="0" w:line="259" w:lineRule="auto"/>
        <w:rPr>
          <w:sz w:val="20"/>
          <w:szCs w:val="20"/>
          <w:color w:val="auto"/>
        </w:rPr>
      </w:pPr>
      <w:r>
        <w:rPr>
          <w:rFonts w:ascii="Arial" w:cs="Arial" w:eastAsia="Arial" w:hAnsi="Arial"/>
          <w:sz w:val="18"/>
          <w:szCs w:val="18"/>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days after deposit of such notice, postage prepaid, addressed (until another address is filed in writing by the Warrant Agent with the Company), as follows: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State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Compliance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in each case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Christian O. Nagler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Peter S. Seligson</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Applicable Law</w:t>
      </w:r>
      <w:r>
        <w:rPr>
          <w:rFonts w:ascii="Arial" w:cs="Arial" w:eastAsia="Arial" w:hAnsi="Arial"/>
          <w:sz w:val="16"/>
          <w:szCs w:val="16"/>
          <w:color w:val="auto"/>
        </w:rPr>
        <w:t>. The validity, interpretation and performance of this Agreement and of the Warrants shall be governed in all respects by the laws of the State of New York, without giving effect to conflicts of law principles that would result in the application of the laws of another jurisdiction.</w:t>
      </w:r>
    </w:p>
    <w:p>
      <w:pPr>
        <w:spacing w:after="0" w:line="12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Persons Having Rights under this Agreement</w:t>
      </w:r>
      <w:r>
        <w:rPr>
          <w:rFonts w:ascii="Arial" w:cs="Arial" w:eastAsia="Arial" w:hAnsi="Arial"/>
          <w:sz w:val="16"/>
          <w:szCs w:val="16"/>
          <w:color w:val="auto"/>
        </w:rPr>
        <w:t>. Nothing in this Agreement shall be construed to confer upon, or give to, any person or corporation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Agreement shall be available at all reasonable times at the office of the Warrant Agent in the United States of America, for inspection by the Registered Holder of any Warrant. The Warrant Agent may require any such holder to submit such holder’s Warrant for inspection by the Warrant Agent.</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Agreement and shall not affect the interpretation thereof.</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This Agreement may be amended by the parties hereto without the consent of any Registered Holder for the purpose of (i) curing any ambiguity or to correct any mistake, including to conform the provisions hereof to the description of the terms of the Warrants and this Agreement set forth in the Prospectus, or defective provision contained herein, (ii) amending the definition of “Ordinary Cash Dividend” as contemplated by the second sentence of subsection 4.1.2 or (iii) adding or changing any provisions with respect to matters or questions arising under this Agreement as the parties may deem necessary or desirable and that the parties deem shall not adversely affect the rights of the Registered Holders under this Agreement. All other modifications or amendments, including any modification or amendment to increase the Warrant Price or shorten the Exercise Period and any amendment to the terms of only the Private Placement Warrants, shall require the vote or written consent of the Registered Holders of 65% of the then-outstanding Public Warrants and, solely with respect to any amendment to the terms of the Private Placement Warrants or any provision of this Agreement with respect to the Private Placement Warrants, 65% of the then-outstanding Private Placement Warrants. Notwithstanding the foregoing, the Company may lower the Warrant Price or extend the duration of the Exercise Period pursuant to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w:t>
      </w:r>
      <w:r>
        <w:rPr>
          <w:rFonts w:ascii="Arial" w:cs="Arial" w:eastAsia="Arial" w:hAnsi="Arial"/>
          <w:sz w:val="17"/>
          <w:szCs w:val="17"/>
          <w:color w:val="auto"/>
        </w:rPr>
        <w:t>, respectively, without the consent of the Registered Holders.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jc w:val="both"/>
        <w:ind w:firstLine="648"/>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Exhibit A Form of Warrant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Legend —Private Placement 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SUSTAINABLE OPPORTUNITIES ACQUISITION CORP.</w:t>
      </w:r>
    </w:p>
    <w:p>
      <w:pPr>
        <w:spacing w:after="0" w:line="237"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-130175</wp:posOffset>
            </wp:positionV>
            <wp:extent cx="249428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CONTINENTAL STOCK TRANSFER &amp; TRUST</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 as Warrant Agent</w:t>
      </w:r>
    </w:p>
    <w:p>
      <w:pPr>
        <w:spacing w:after="0" w:line="211"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Margaret B. Lloyd</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Margaret B.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-130175</wp:posOffset>
            </wp:positionV>
            <wp:extent cx="249428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980" w:top="908" w:right="4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Warrant Certificate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THIS WARRANT SHALL BE VOID IF NOT EXERCISED PRIOR TO THE EXPIRATION OF THE EXERCISE PERIOD PROVIDED FOR IN THE WARRANT AGREEMENT DESCRIBED BELOW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 Cayman Islands Exempted Company</w:t>
      </w:r>
    </w:p>
    <w:p>
      <w:pPr>
        <w:spacing w:after="0" w:line="207" w:lineRule="exact"/>
        <w:rPr>
          <w:sz w:val="20"/>
          <w:szCs w:val="20"/>
          <w:color w:val="auto"/>
        </w:rPr>
      </w:pPr>
    </w:p>
    <w:p>
      <w:pPr>
        <w:ind w:left="10480"/>
        <w:spacing w:after="0"/>
        <w:rPr>
          <w:sz w:val="20"/>
          <w:szCs w:val="20"/>
          <w:color w:val="auto"/>
        </w:rPr>
      </w:pPr>
      <w:r>
        <w:rPr>
          <w:rFonts w:ascii="Arial" w:cs="Arial" w:eastAsia="Arial" w:hAnsi="Arial"/>
          <w:sz w:val="17"/>
          <w:szCs w:val="17"/>
          <w:b w:val="1"/>
          <w:bCs w:val="1"/>
          <w:color w:val="auto"/>
        </w:rPr>
        <w:t>CUSIP [•]</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w:t>
      </w:r>
    </w:p>
    <w:p>
      <w:pPr>
        <w:spacing w:after="0" w:line="229" w:lineRule="exact"/>
        <w:rPr>
          <w:sz w:val="20"/>
          <w:szCs w:val="20"/>
          <w:color w:val="auto"/>
        </w:rPr>
      </w:pPr>
    </w:p>
    <w:p>
      <w:pPr>
        <w:ind w:left="660"/>
        <w:spacing w:after="0"/>
        <w:tabs>
          <w:tab w:leader="none" w:pos="4400" w:val="left"/>
        </w:tabs>
        <w:rPr>
          <w:sz w:val="20"/>
          <w:szCs w:val="20"/>
          <w:color w:val="auto"/>
        </w:rPr>
      </w:pPr>
      <w:r>
        <w:rPr>
          <w:rFonts w:ascii="Arial" w:cs="Arial" w:eastAsia="Arial" w:hAnsi="Arial"/>
          <w:sz w:val="18"/>
          <w:szCs w:val="18"/>
          <w:color w:val="auto"/>
        </w:rPr>
        <w:t>This Warrant Certificate certifies that</w:t>
      </w:r>
      <w:r>
        <w:rPr>
          <w:sz w:val="20"/>
          <w:szCs w:val="20"/>
          <w:color w:val="auto"/>
        </w:rPr>
        <w:tab/>
      </w:r>
      <w:r>
        <w:rPr>
          <w:rFonts w:ascii="Arial" w:cs="Arial" w:eastAsia="Arial" w:hAnsi="Arial"/>
          <w:sz w:val="16"/>
          <w:szCs w:val="16"/>
          <w:color w:val="auto"/>
        </w:rPr>
        <w:t>, or registered assigns, is the registered holder of warrant(s) evidenced hereby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and, each, a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to purchase Class A ordinary shares, $0.0001 par value (the “</w:t>
      </w:r>
      <w:r>
        <w:rPr>
          <w:rFonts w:ascii="Arial" w:cs="Arial" w:eastAsia="Arial" w:hAnsi="Arial"/>
          <w:sz w:val="17"/>
          <w:szCs w:val="17"/>
          <w:b w:val="1"/>
          <w:bCs w:val="1"/>
          <w:i w:val="1"/>
          <w:iCs w:val="1"/>
          <w:color w:val="auto"/>
        </w:rPr>
        <w:t>Ordinary Shares</w:t>
      </w:r>
      <w:r>
        <w:rPr>
          <w:rFonts w:ascii="Arial" w:cs="Arial" w:eastAsia="Arial" w:hAnsi="Arial"/>
          <w:sz w:val="17"/>
          <w:szCs w:val="17"/>
          <w:color w:val="auto"/>
        </w:rPr>
        <w:t>”), of Sustainable Opportunities Acquisition Corp., a Cayman Islands exempted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Each whole Warrant entitles the holder, upon exercise during the period set forth in the Warrant Agreement referred to below, to receive from the Company that number of fully paid and non-assessable Ordinary Shares as set forth below, at the exercise price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as determined pursuant to the Warrant Agreement, payable in lawful money (or through “cashless exercise” as provided for in the Warrant Agreement) of the United States of America upon surrender of this Warrant Certificate and payment of the Exercise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whole Warrant is initially exercisable for one fully paid and non-assessable Ordinary Share. No fractional shares will be issued upon exercise of any Warrant. The number of Ordinary Shares issuable upon exercise of the Warrants is subject to adjustment upon the occurrence of certain events set forth in the Warrant Agreement.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initial Exercise Price per Ordinary Share for any Warrant is equal to $11.50 per share. The Exercise Price is subject to adjustment upon the occurrence of certain events set forth in the Warrant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the conditions set forth in the Warrant Agreement, the Warrants may be exercised only during the Exercise Period and to the extent not exercised by the end of such Exercise Period, such Warrants shall become void.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Warrant Certificate shall not be valid unless countersigned by the Warrant Agent, as such term is used in the Warrant Agreement.</w:t>
      </w:r>
    </w:p>
    <w:p>
      <w:pPr>
        <w:spacing w:after="0" w:line="23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Warrant Certificate shall be governed by and construed in accordance with the internal laws of the State of New York, without regard to conflicts of laws principles thereof that would apply the laws of another jurisdiction.</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SUSTAINABLE OPPORTUNITIES ACQUISITION CORP.</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CONTINENTAL STOCK TRANSFER &amp; TRUST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COMPANY, as Warrant Agent</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[Reverse]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Warrants evidenced by this Warrant Certificate are part of a duly authorized issue of Warrants entitling the holder on exercise to receive</w:t>
      </w:r>
    </w:p>
    <w:p>
      <w:pPr>
        <w:spacing w:after="0" w:line="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Ordinary Shares and are issued or to be issued pursuant to a Warrant Agreement dated as of , 2020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duly executed and delivered by the Company to Continental Stock Transfer &amp; Trust Company, a New York corporation,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“holders” or “holder” meaning the Registered Holders or Registered Holder)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Exercise Price as specified in the Warrant Agreement (or through “cashless exercise”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anything else in this Warrant Certificate or the Warrant Agreement, no Warrant may be exercised unless at the time of exercise (i) a registration statement covering the Ordinary Shares to be issued upon exercise is effective under the Securities Act and (ii) a prospectus thereunder relating to the Ordinary Shares is current, except through “cashless exercise” as provided for in the Warrant Agreement or another exemption from registration.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Warrant Agreement provides that upon the occurrence of certain events the number of Ordinary Shares issuable upon the exercise of the Warrants set forth on the face hereof may, subject to certain conditions, be adjusted. If, upon exercise of a Warrant, the holder thereof would be entitled to receive a fractional interest in an Ordinary Share, the Company shall, upon exercise, round down to the nearest whole number of Ordinary Shares to be issued to the holder of the Warrant.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Election to Purchase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Upon Exercise of Warrant)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undersigned hereby irrevocably elects to exercise the right, represented by this Warrant Certificate, to receive Ordinary Shares and herewith tenders payment for such Ordinary Shares to the order of Sustainable Opportunities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the amount of $ in accordance</w:t>
      </w:r>
    </w:p>
    <w:p>
      <w:pPr>
        <w:jc w:val="both"/>
        <w:ind w:left="960" w:hanging="954"/>
        <w:spacing w:after="0" w:line="250" w:lineRule="auto"/>
        <w:rPr>
          <w:sz w:val="20"/>
          <w:szCs w:val="20"/>
          <w:color w:val="auto"/>
        </w:rPr>
      </w:pPr>
      <w:r>
        <w:rPr>
          <w:rFonts w:ascii="Arial" w:cs="Arial" w:eastAsia="Arial" w:hAnsi="Arial"/>
          <w:sz w:val="18"/>
          <w:szCs w:val="18"/>
          <w:color w:val="auto"/>
        </w:rPr>
        <w:t>with the terms hereof. The undersigned requests that a certificate for such Ordinary Shares be registered in the name of</w:t>
      </w:r>
      <w:r>
        <w:rPr>
          <w:sz w:val="20"/>
          <w:szCs w:val="20"/>
          <w:color w:val="auto"/>
        </w:rPr>
        <w:t xml:space="preserve"> </w:t>
      </w:r>
      <w:r>
        <w:rPr>
          <w:rFonts w:ascii="Arial" w:cs="Arial" w:eastAsia="Arial" w:hAnsi="Arial"/>
          <w:sz w:val="18"/>
          <w:szCs w:val="18"/>
          <w:color w:val="auto"/>
        </w:rPr>
        <w:t>whose address is and that such Ordinary Shares be delivered to whose address is . If said number of Ordinary Shares is less than all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Ordinary Shares purchasable hereunder, the undersigned requests that a new Warrant Certificate representing the remaining balance of such Ordinary</w:t>
      </w:r>
    </w:p>
    <w:p>
      <w:pPr>
        <w:spacing w:after="0" w:line="3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Shares be registered in the name of , whose address is and that such Warrant Certificate be delivered to , whose address is .</w:t>
      </w: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the event that the Warrant has been called for redemption by the Company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Warrant Agreement and the Company has required cashless exercise pursuant to Section 6.4 of the Warrant Agreement, the number of Ordinary Shares that this Warrant is exercisable for shall be determined in accordance with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the event that the Warrant is a Private Placement Warrant that is to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 the number of Ordinary Shares that this Warrant is exercisable for shall be determined in accordance with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 the event that the Warrant is to be exercised on a “cashless” basis pursuant to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of the Warrant Agreement, the number of Ordinary Shares that this Warrant is exercisable for shall be determined in accordance with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of the Warrant Agreement.</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the event that the Warrant may be exercised, to the extent allowed by the Warrant Agreement, through cashless exercise, (i) the number of Ordinary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Ordinary Shares. If said number of shares is less than all of the Ordinary Shares purchasable hereunder (after giving effect to the cashless exercise), the undersigned requests that a new</w:t>
      </w:r>
    </w:p>
    <w:p>
      <w:pPr>
        <w:spacing w:after="0" w:line="2" w:lineRule="exact"/>
        <w:rPr>
          <w:sz w:val="20"/>
          <w:szCs w:val="20"/>
          <w:color w:val="auto"/>
        </w:rPr>
      </w:pPr>
    </w:p>
    <w:p>
      <w:pPr>
        <w:ind w:right="1040"/>
        <w:spacing w:after="0" w:line="260" w:lineRule="auto"/>
        <w:rPr>
          <w:sz w:val="20"/>
          <w:szCs w:val="20"/>
          <w:color w:val="auto"/>
        </w:rPr>
      </w:pPr>
      <w:r>
        <w:rPr>
          <w:rFonts w:ascii="Arial" w:cs="Arial" w:eastAsia="Arial" w:hAnsi="Arial"/>
          <w:sz w:val="18"/>
          <w:szCs w:val="18"/>
          <w:color w:val="auto"/>
        </w:rPr>
        <w:t>Warrant Certificate representing the remaining balance of such Ordinary Shares be registered in the name of , whose address is and that such Warrant Certificate be delivered to , whose address is .</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Date: 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297815</wp:posOffset>
            </wp:positionV>
            <wp:extent cx="284607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280670</wp:posOffset>
            </wp:positionV>
            <wp:extent cx="284607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280670</wp:posOffset>
            </wp:positionV>
            <wp:extent cx="284607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(Tax Identification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(OR ANY SUCCESSOR RULE)).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LETTER AGREEMENT BY AND AMONG SUSTAINABLE OPPORTUNITIES ACQUISITION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OTHER SIGNATORIES THERETO, THE SECURITIES REPRESENTED BY THIS CERTIFICATE MAY NOT BE SOLD OR TRANSFERRED PRIOR TO THE DATE THAT IS THIRTY DAYS AFTER THE DATE UPON WHICH THE COMPANY COMPLETES ITS INITIAL BUSINESS COMBINATION (AS DEFINED IN SECTION 3 OF THE WARRANT AGREEMENT REFERRED TO HEREIN) EXCEPT TO A PERMITTED TRANSFEREE (AS DEFINED IN SECTION 2 OF THE WARRANT AGREEMENT) WHO AGREES IN WRITING WITH THE COMPANY TO BE SUBJECT TO SUCH TRANSFER PROVISIONS.</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SECURITIES EVIDENCED BY THIS CERTIFICATE AND CLASS A ORDINARY SHARES OF THE COMPANY ISSUED UPON EXERCISE OF SUCH SECURITIES SHALL BE ENTITLED TO REGISTRATION RIGHTS UNDER AN AGREEMENT TO BE ENTERED INTO BY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PLACEMENT WARRANTS PURCHASE AGREEMENT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THIS PRIVATE PLACEMENT WARRANTS PURCHASE AGREEMENT (as it may from time to time be amended and including all exhibits referenced herein,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dated as of May 5, 2020, is entered into by and between Sustainable Opportunities Acquisition Corp., a Cayman Islands exempted company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Sustainable Opportunities Holdings LLC, a Delaware limited liability company (the “</w:t>
      </w:r>
      <w:r>
        <w:rPr>
          <w:rFonts w:ascii="Arial" w:cs="Arial" w:eastAsia="Arial" w:hAnsi="Arial"/>
          <w:sz w:val="16"/>
          <w:szCs w:val="16"/>
          <w:b w:val="1"/>
          <w:bCs w:val="1"/>
          <w:i w:val="1"/>
          <w:iCs w:val="1"/>
          <w:color w:val="auto"/>
        </w:rPr>
        <w:t>Purchaser</w:t>
      </w:r>
      <w:r>
        <w:rPr>
          <w:rFonts w:ascii="Arial" w:cs="Arial" w:eastAsia="Arial" w:hAnsi="Arial"/>
          <w:sz w:val="16"/>
          <w:szCs w:val="16"/>
          <w:color w:val="auto"/>
        </w:rPr>
        <w:t>”).</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the Company intends to consummate an initial public offering of the Company’s units (the “</w:t>
      </w:r>
      <w:r>
        <w:rPr>
          <w:rFonts w:ascii="Arial" w:cs="Arial" w:eastAsia="Arial" w:hAnsi="Arial"/>
          <w:sz w:val="18"/>
          <w:szCs w:val="18"/>
          <w:b w:val="1"/>
          <w:bCs w:val="1"/>
          <w:i w:val="1"/>
          <w:iCs w:val="1"/>
          <w:color w:val="auto"/>
        </w:rPr>
        <w:t>Public Offering</w:t>
      </w:r>
      <w:r>
        <w:rPr>
          <w:rFonts w:ascii="Arial" w:cs="Arial" w:eastAsia="Arial" w:hAnsi="Arial"/>
          <w:sz w:val="18"/>
          <w:szCs w:val="18"/>
          <w:color w:val="auto"/>
        </w:rPr>
        <w:t>”), each unit consisting of one Class A ordinary share of the Company, par value $0.0001 per share (each, a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and one-half of one warrant, each whole warrant entitling the holder to purchase one Share at an exercise price of $11.50 per Share, as set forth in the Company’s Registration Statement on Form S-1, filed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File Number 333-237245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WHEREAS, the Purchaser has agreed to purchase an aggregate of 9,500,000 warrants (the “</w:t>
      </w:r>
      <w:r>
        <w:rPr>
          <w:rFonts w:ascii="Arial" w:cs="Arial" w:eastAsia="Arial" w:hAnsi="Arial"/>
          <w:sz w:val="17"/>
          <w:szCs w:val="17"/>
          <w:b w:val="1"/>
          <w:bCs w:val="1"/>
          <w:i w:val="1"/>
          <w:iCs w:val="1"/>
          <w:color w:val="auto"/>
        </w:rPr>
        <w:t>Private Placement Warrants</w:t>
      </w:r>
      <w:r>
        <w:rPr>
          <w:rFonts w:ascii="Arial" w:cs="Arial" w:eastAsia="Arial" w:hAnsi="Arial"/>
          <w:sz w:val="17"/>
          <w:szCs w:val="17"/>
          <w:color w:val="auto"/>
        </w:rPr>
        <w:t>”), each Private Placement Warrant entitling the holder to purchase one Share at an exercise price of $11.50 per Share, at a price of $1.00 per warrant.</w:t>
      </w:r>
    </w:p>
    <w:p>
      <w:pPr>
        <w:spacing w:after="0" w:line="14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NOW THEREFORE, in consideration of the mutual promises contained in this Agreement and other good and valuable consideration, the receipt and sufficiency of which are hereby acknowledged, the parties to this Agreement hereby, intending legally to be bound, agree as follows: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Authorization, Purchase and Sale; Terms of the Private Placement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Authorization of the Private Placement Warrants</w:t>
      </w:r>
      <w:r>
        <w:rPr>
          <w:rFonts w:ascii="Arial" w:cs="Arial" w:eastAsia="Arial" w:hAnsi="Arial"/>
          <w:sz w:val="18"/>
          <w:szCs w:val="18"/>
          <w:color w:val="auto"/>
        </w:rPr>
        <w:t>. The Company has duly authorized the issuance and sale of the Private Placement Warrants to the Purchaser.</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Purchase and Sale of the Private Placement Warrants</w:t>
      </w:r>
      <w:r>
        <w:rPr>
          <w:rFonts w:ascii="Arial" w:cs="Arial" w:eastAsia="Arial" w:hAnsi="Arial"/>
          <w:sz w:val="17"/>
          <w:szCs w:val="17"/>
          <w:color w:val="auto"/>
        </w:rPr>
        <w:t>. On the date of the consummation of the Public Offering (the “</w:t>
      </w:r>
      <w:r>
        <w:rPr>
          <w:rFonts w:ascii="Arial" w:cs="Arial" w:eastAsia="Arial" w:hAnsi="Arial"/>
          <w:sz w:val="17"/>
          <w:szCs w:val="17"/>
          <w:b w:val="1"/>
          <w:bCs w:val="1"/>
          <w:i w:val="1"/>
          <w:iCs w:val="1"/>
          <w:color w:val="auto"/>
        </w:rPr>
        <w:t>IPO Closing Date</w:t>
      </w:r>
      <w:r>
        <w:rPr>
          <w:rFonts w:ascii="Arial" w:cs="Arial" w:eastAsia="Arial" w:hAnsi="Arial"/>
          <w:sz w:val="17"/>
          <w:szCs w:val="17"/>
          <w:color w:val="auto"/>
        </w:rPr>
        <w:t>”), the Company shall issue and sell to the Purchaser, and the Purchaser shall purchase from the Company, 9,500,000 Private Placement Warrants at a price of $1.00 per warrant for an aggregate purchase price of $9,500,000 (the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The Purchaser shall pay the Purchase Price by wire transfer of immediately available funds in the following amounts: (i) $3,500,000 to the Company, at a financial institution to be chosen by the Company, and (ii) $6,000,000 to the trust account (the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maintained by Continental Stock Transfer &amp; Trust Company, acting as trustee in accordance with the Company’s wiring instructions at least one (1) business day prior to the IPO Closing Date; provided however that if underwriters of the Public Offering exercise their option to purchase additional units, in whole or in part, the amount in clause (ii) shall instead be equal to 2% of the gross proceeds of the Public Offering, including such option, and the amount in clause (i) shall instead be equal to the difference between (x) $9,500,000 and (y) 2% of the gross proceeds of the Public Offering. On the IPO Closing Date, subject to the receipt of funds pursuant to the immediately prior sentence, the Company, at its option, shall deliver a certificate evidencing the Private Placement Warrants purchased on such date duly registered in the Purchaser’s name to the Purchaser or effect such delivery in book-entry form.</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Terms of the Private Placement Warrants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7" w:lineRule="auto"/>
        <w:tabs>
          <w:tab w:leader="none" w:pos="869"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Private Placement Warrant shall have the terms set forth in a Warrant Agreement to be entered into by the Company and a warrant agent on the IPO Closing Date, in connection with the Public Offering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24"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the IPO Closing Date, the Company and the Purchaser shall enter into a registration and shareholder rights agreement (the “</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Shareholder Rights Agreement</w:t>
      </w:r>
      <w:r>
        <w:rPr>
          <w:rFonts w:ascii="Arial" w:cs="Arial" w:eastAsia="Arial" w:hAnsi="Arial"/>
          <w:sz w:val="18"/>
          <w:szCs w:val="18"/>
          <w:color w:val="auto"/>
        </w:rPr>
        <w:t>”) pursuant to which the Company will grant certain registration rights to the Purchaser relating to the Private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Placement Warrants and the Shares underlying the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both"/>
        <w:ind w:right="20"/>
        <w:spacing w:after="0" w:line="266" w:lineRule="auto"/>
        <w:rPr>
          <w:sz w:val="20"/>
          <w:szCs w:val="20"/>
          <w:color w:val="auto"/>
        </w:rPr>
      </w:pPr>
      <w:r>
        <w:rPr>
          <w:rFonts w:ascii="Arial" w:cs="Arial" w:eastAsia="Arial" w:hAnsi="Arial"/>
          <w:sz w:val="18"/>
          <w:szCs w:val="18"/>
          <w:b w:val="1"/>
          <w:bCs w:val="1"/>
          <w:color w:val="auto"/>
        </w:rPr>
        <w:t xml:space="preserve">Section 2. Representations and Warranties of the Company. </w:t>
      </w:r>
      <w:r>
        <w:rPr>
          <w:rFonts w:ascii="Arial" w:cs="Arial" w:eastAsia="Arial" w:hAnsi="Arial"/>
          <w:sz w:val="18"/>
          <w:szCs w:val="18"/>
          <w:color w:val="auto"/>
        </w:rPr>
        <w:t>As a material inducement to the Purchaser to enter into this Agreement and purchase the</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Placement Warrants, the Company hereby represents and warrants to the Purchaser (which representations and warranties shall survive the IPO Closing Date) that:</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Incorporation and Corporate Power</w:t>
      </w:r>
      <w:r>
        <w:rPr>
          <w:rFonts w:ascii="Arial" w:cs="Arial" w:eastAsia="Arial" w:hAnsi="Arial"/>
          <w:sz w:val="17"/>
          <w:szCs w:val="17"/>
          <w:color w:val="auto"/>
        </w:rPr>
        <w:t>. The Company is an exempted company duly incorporated, validly existing and in good standing under the laws of the Cayman Islands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 and the Warrant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Authorization; No Breach</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3" w:lineRule="auto"/>
        <w:tabs>
          <w:tab w:leader="none" w:pos="863"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and the Private Placement Warrants have been duly authorized by the Company as of the IPO Closing Date. This Agreement constitutes the valid and binding obligation of the Company,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 Upon issuance in accordance with, and payment pursuant to, the terms of the Warrant Agreement and this Agreement, the Private Placement Warrants will constitute valid and binding obligations of the Company, enforceable in accordance with their terms as of the IPO Closing Date.</w:t>
      </w:r>
    </w:p>
    <w:p>
      <w:pPr>
        <w:spacing w:after="0" w:line="177" w:lineRule="exact"/>
        <w:rPr>
          <w:rFonts w:ascii="Arial" w:cs="Arial" w:eastAsia="Arial" w:hAnsi="Arial"/>
          <w:sz w:val="17"/>
          <w:szCs w:val="17"/>
          <w:color w:val="auto"/>
        </w:rPr>
      </w:pPr>
    </w:p>
    <w:p>
      <w:pPr>
        <w:jc w:val="both"/>
        <w:ind w:firstLine="656"/>
        <w:spacing w:after="0" w:line="270" w:lineRule="auto"/>
        <w:tabs>
          <w:tab w:leader="none" w:pos="935"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execution and delivery by the Company of this Agreement and the Private Placement Warrants, the issuance and sale of the Private Placement Warrants, the issuance of the Shares upon exercise of the Private Placement Warrants and the fulfillment of and compliance with the respective terms hereof and thereof by the Company, do not and will not as of the IPO Closing Date (a) conflict with or result in a breach of the terms, conditions or provisions of, (b) constitute a default under, (c) result in the creation of any lien, security interest, charge or encumbrance upon the Company’s share capital or assets under, (d) result in a violation of, or (e) require any authorization, consent, approval, exemption or other action by or notice or declaration to, or filing with, any court or administrative or governmental body or agency pursuant to the memorandum and articles of association of the company (in effect on the date hereof or as may be amended prior to completion of the Public Offering) or any material law, statute, rule or regulation to which the Company is subject, or any agreement, order, judgment or decree to which the Company is subject, except for any filings required after the date hereof under federal or state securities laws.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Title to Securities</w:t>
      </w:r>
      <w:r>
        <w:rPr>
          <w:rFonts w:ascii="Arial" w:cs="Arial" w:eastAsia="Arial" w:hAnsi="Arial"/>
          <w:sz w:val="17"/>
          <w:szCs w:val="17"/>
          <w:color w:val="auto"/>
        </w:rPr>
        <w:t>. Upon issuance in accordance with, and payment pursuant to, the terms hereof and the Warrant Agreement, and upon registration in the Company’s register of members, the Shares issuable upon exercise of the Private Placement Warrants will be duly and validly issued, fully paid and nonassessable. On the date of issuance of the Private Placement Warrants, the Shares issuable upon exercise of the Private Placement Warrants shall have been reserved for issuance. Upon issuance in accordance with, and payment pursuant to, the terms hereof and the Warrant Agreement, and upon registration in the Company’s register of members, the Purchaser will have good title to the Private Placement Warrants purchased by it and the Shares issuable upon exercise of such Private Placement Warrants, free and clear of all liens, claims and encumbrances of any kind, other than (i) transfer restrictions hereunder and under the other agreements contemplated hereby, (ii) transfer restrictions under federal and state securities laws, and (iii) liens, claims or encumbrances imposed due to the actions of the Purchaser.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648"/>
        <w:spacing w:after="0" w:line="263"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Governmental Consents</w:t>
      </w:r>
      <w:r>
        <w:rPr>
          <w:rFonts w:ascii="Arial" w:cs="Arial" w:eastAsia="Arial" w:hAnsi="Arial"/>
          <w:sz w:val="18"/>
          <w:szCs w:val="18"/>
          <w:color w:val="auto"/>
        </w:rPr>
        <w:t>. No permit, consent, approval or authorization of, or declaration to or filing with, any governmental authority is required in connection with the execution, delivery and performance by the Company of this Agreement or the consummation by the Company of any other transactions contemplated hereby.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Regulation D Qualification</w:t>
      </w:r>
      <w:r>
        <w:rPr>
          <w:rFonts w:ascii="Arial" w:cs="Arial" w:eastAsia="Arial" w:hAnsi="Arial"/>
          <w:sz w:val="18"/>
          <w:szCs w:val="18"/>
          <w:color w:val="auto"/>
        </w:rPr>
        <w:t>. Neither the Company nor, to its actual knowledge, any of its affiliates, members, officers, directors or beneficial shareholders of 20% or more of its outstanding securities, has experienced a disqualifying event as enumerated pursuant to Rule 506(d) of Regulation D under the Securities Act.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 Representations and Warranties of the Purchaser. </w:t>
      </w:r>
      <w:r>
        <w:rPr>
          <w:rFonts w:ascii="Arial" w:cs="Arial" w:eastAsia="Arial" w:hAnsi="Arial"/>
          <w:sz w:val="18"/>
          <w:szCs w:val="18"/>
          <w:color w:val="auto"/>
        </w:rPr>
        <w:t>As a material inducement to the Company to enter into this Agreement and issue</w:t>
      </w:r>
      <w:r>
        <w:rPr>
          <w:rFonts w:ascii="Arial" w:cs="Arial" w:eastAsia="Arial" w:hAnsi="Arial"/>
          <w:sz w:val="18"/>
          <w:szCs w:val="18"/>
          <w:b w:val="1"/>
          <w:bCs w:val="1"/>
          <w:color w:val="auto"/>
        </w:rPr>
        <w:t xml:space="preserve"> </w:t>
      </w:r>
      <w:r>
        <w:rPr>
          <w:rFonts w:ascii="Arial" w:cs="Arial" w:eastAsia="Arial" w:hAnsi="Arial"/>
          <w:sz w:val="18"/>
          <w:szCs w:val="18"/>
          <w:color w:val="auto"/>
        </w:rPr>
        <w:t>and sell the Private Placement Warrants to the Purchaser, the Purchaser hereby represents and warrants to the Company (which representations and warranties shall survive the IPO Closing Date) that:</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Organization and Requisite Authority</w:t>
      </w:r>
      <w:r>
        <w:rPr>
          <w:rFonts w:ascii="Arial" w:cs="Arial" w:eastAsia="Arial" w:hAnsi="Arial"/>
          <w:sz w:val="18"/>
          <w:szCs w:val="18"/>
          <w:color w:val="auto"/>
        </w:rPr>
        <w:t>. The Purchaser possesses all requisite power and authority necessary to carry out the transactions contemplated by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Authorization; No Breach</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3" w:lineRule="auto"/>
        <w:tabs>
          <w:tab w:leader="none" w:pos="87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This Agreement constitutes a valid and binding obligation of the Purchaser,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w:t>
      </w:r>
    </w:p>
    <w:p>
      <w:pPr>
        <w:spacing w:after="0" w:line="183" w:lineRule="exact"/>
        <w:rPr>
          <w:rFonts w:ascii="Arial" w:cs="Arial" w:eastAsia="Arial" w:hAnsi="Arial"/>
          <w:sz w:val="18"/>
          <w:szCs w:val="18"/>
          <w:color w:val="auto"/>
        </w:rPr>
      </w:pPr>
    </w:p>
    <w:p>
      <w:pPr>
        <w:jc w:val="both"/>
        <w:ind w:firstLine="656"/>
        <w:spacing w:after="0" w:line="254" w:lineRule="auto"/>
        <w:tabs>
          <w:tab w:leader="none" w:pos="91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execution and delivery by the Purchaser of this Agreement and the fulfillment of and compliance with the terms hereof by the Purchaser does not and shall not as of the IPO Closing Date (a) conflict with or result in a breach by the Purchaser of the terms, conditions or provisions of, (b) constitute a default under, (c) result in the creation of any lien, security interest, charge or encumbrance upon the Purchaser’s equity or assets under, (d) result in a violation of, or (e) require authorization, consent, approval, exemption or other action by or notice or declaration to, or filing with, any court or administrative or governmental body or agency pursuant to the Purchaser’s organizational documents in effect on the date hereof or as may be amended prior to completion of the contemplated Public Offering, or any material law, statute, rule or regulation to which the Purchaser is subject, or any agreement, instrument, order, judgment or decree to which the Purchaser is subject, except for any filings required after the date hereof under federal or state securities laws.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3" w:lineRule="auto"/>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Purchaser is acquiring the Private Placement Warrants and, upon exercise of the Private Placement Warrants, the Shares issuable upon such exercise (collectively,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for its own account, for investment purposes only and not with a view towards, or for resale in connection with, any public sale or distribution thereof.</w:t>
      </w:r>
    </w:p>
    <w:p>
      <w:pPr>
        <w:spacing w:after="0" w:line="183" w:lineRule="exact"/>
        <w:rPr>
          <w:rFonts w:ascii="Arial" w:cs="Arial" w:eastAsia="Arial" w:hAnsi="Arial"/>
          <w:sz w:val="18"/>
          <w:szCs w:val="18"/>
          <w:color w:val="auto"/>
        </w:rPr>
      </w:pPr>
    </w:p>
    <w:p>
      <w:pPr>
        <w:ind w:right="20" w:firstLine="656"/>
        <w:spacing w:after="0" w:line="277" w:lineRule="auto"/>
        <w:tabs>
          <w:tab w:leader="none" w:pos="9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Purchaser is an “</w:t>
      </w:r>
      <w:r>
        <w:rPr>
          <w:rFonts w:ascii="Arial" w:cs="Arial" w:eastAsia="Arial" w:hAnsi="Arial"/>
          <w:sz w:val="18"/>
          <w:szCs w:val="18"/>
          <w:b w:val="1"/>
          <w:bCs w:val="1"/>
          <w:i w:val="1"/>
          <w:iCs w:val="1"/>
          <w:color w:val="auto"/>
        </w:rPr>
        <w:t>accredited investor</w:t>
      </w:r>
      <w:r>
        <w:rPr>
          <w:rFonts w:ascii="Arial" w:cs="Arial" w:eastAsia="Arial" w:hAnsi="Arial"/>
          <w:sz w:val="18"/>
          <w:szCs w:val="18"/>
          <w:color w:val="auto"/>
        </w:rPr>
        <w:t>” as such term is defined in Rule 501(a)(3) of Regulation D, and the Purchaser has not experienced a disqualifying event as enumerated pursuant to Rule 506(d) of Regulation D under the Securities Act.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6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Purchaser understands that the Securities are being offered and will be sold to it in reliance on specific exemptions from the registration requirements of the United States federal and state securities laws and that the Company is relying upon the truth and accuracy of, and the Purchaser’s compliance with, the representations and warranties of the Purchaser set forth herein in order to determine the availability of such exemptions and the eligibility of the Purchaser to acquire such Securities.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ind w:firstLine="656"/>
        <w:spacing w:after="0" w:line="277" w:lineRule="auto"/>
        <w:tabs>
          <w:tab w:leader="none" w:pos="95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Purchaser did not decide to enter into this Agreement as a result of any general solicitation or general advertising within the meaning of Rule 502(c) under the Securities Act.</w:t>
      </w:r>
    </w:p>
    <w:p>
      <w:pPr>
        <w:spacing w:after="0" w:line="170" w:lineRule="exact"/>
        <w:rPr>
          <w:rFonts w:ascii="Arial" w:cs="Arial" w:eastAsia="Arial" w:hAnsi="Arial"/>
          <w:sz w:val="18"/>
          <w:szCs w:val="18"/>
          <w:color w:val="auto"/>
        </w:rPr>
      </w:pPr>
    </w:p>
    <w:p>
      <w:pPr>
        <w:jc w:val="both"/>
        <w:ind w:firstLine="656"/>
        <w:spacing w:after="0" w:line="257" w:lineRule="auto"/>
        <w:tabs>
          <w:tab w:leader="none" w:pos="90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Purchaser has been furnished with all materials relating to the business, finances and operations of the Company and materials relating to the offer and sale of the Securities which have been requested by the Purchaser. The Purchaser has been afforded the opportunity to ask questions of the executive officers and directors of the Company. The Purchaser understands that its investment in the Securities involves a high degree of risk and it has sought such accounting, legal and tax advice as it has considered necessary to make an informed investment decision with respect to the acquisition of the Securities.</w:t>
      </w:r>
    </w:p>
    <w:p>
      <w:pPr>
        <w:spacing w:after="0" w:line="187" w:lineRule="exact"/>
        <w:rPr>
          <w:rFonts w:ascii="Arial" w:cs="Arial" w:eastAsia="Arial" w:hAnsi="Arial"/>
          <w:sz w:val="18"/>
          <w:szCs w:val="18"/>
          <w:color w:val="auto"/>
        </w:rPr>
      </w:pPr>
    </w:p>
    <w:p>
      <w:pPr>
        <w:jc w:val="both"/>
        <w:ind w:firstLine="656"/>
        <w:spacing w:after="0" w:line="263" w:lineRule="auto"/>
        <w:tabs>
          <w:tab w:leader="none" w:pos="96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Purchaser understands that no United States federal or state agency or any other government or governmental agency has passed on or made any recommendation or endorsement of the Securities or the fairness or suitability of the investment in the Securities by the Purchaser nor have such authorities passed upon or endorsed the merits of the offering of the Securities.</w:t>
      </w:r>
    </w:p>
    <w:p>
      <w:pPr>
        <w:spacing w:after="0" w:line="183" w:lineRule="exact"/>
        <w:rPr>
          <w:rFonts w:ascii="Arial" w:cs="Arial" w:eastAsia="Arial" w:hAnsi="Arial"/>
          <w:sz w:val="18"/>
          <w:szCs w:val="18"/>
          <w:color w:val="auto"/>
        </w:rPr>
      </w:pPr>
    </w:p>
    <w:p>
      <w:pPr>
        <w:jc w:val="both"/>
        <w:ind w:firstLine="656"/>
        <w:spacing w:after="0" w:line="270" w:lineRule="auto"/>
        <w:tabs>
          <w:tab w:leader="none" w:pos="1008"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Purchaser understands that: (a) the Securities have not been and are not being registered under the Securities Act or any state securities laws, and may not be offered for sale, sold, assigned or transferred unless (1) subsequently registered thereunder or (2) sold in reliance on an exemption therefrom; and (b) except as specifically set forth in the Registration and Shareholder Rights Agreement, neither the Company nor any other person is under any obligation to register the Securities under the Securities Act or any state securities laws or to comply with the terms and conditions of any exemption thereunder. In this regard, the Purchaser understands that the SEC has taken the position that promoters or affiliates of a blank check company and their transferees, both before and after an initial Business Combination, are deemed to be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under the Securities Act when reselling the securities of a blank check company. Based on that position, Rule 144 adopted pursuant to the Securities Act would not be available for resale transactions of the Securities despite technical compliance with the requirements of such Rule, and the Securities can be resold only through a registered offering or in reliance upon another exemption from the registration requirements of the Securities Act.</w:t>
      </w:r>
    </w:p>
    <w:p>
      <w:pPr>
        <w:spacing w:after="0" w:line="180" w:lineRule="exact"/>
        <w:rPr>
          <w:rFonts w:ascii="Arial" w:cs="Arial" w:eastAsia="Arial" w:hAnsi="Arial"/>
          <w:sz w:val="17"/>
          <w:szCs w:val="17"/>
          <w:color w:val="auto"/>
        </w:rPr>
      </w:pPr>
    </w:p>
    <w:p>
      <w:pPr>
        <w:jc w:val="both"/>
        <w:ind w:firstLine="656"/>
        <w:spacing w:after="0" w:line="296" w:lineRule="auto"/>
        <w:tabs>
          <w:tab w:leader="none" w:pos="1061"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Purchaser has such knowledge and experience in financial and business matters, knowledge of the high degree of risk associated with investments in the securities of companies in the development stage such as the Company, is capable of evaluating the merits and risks of an investment in the Securities and is able to bear the economic risk of an investment in the Securities in the amount contemplated hereunder for an indefinite period of time. The Purchaser has adequate means of providing for its current financial needs and contingencies and will have no current or anticipated future needs for liquidity which would be jeopardized by the investment in the Securities. The Purchaser can afford a complete loss of its investments in the Securities.</w:t>
      </w:r>
    </w:p>
    <w:p>
      <w:pPr>
        <w:spacing w:after="0" w:line="15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 Conditions of the Purchaser’s Obligations. </w:t>
      </w:r>
      <w:r>
        <w:rPr>
          <w:rFonts w:ascii="Arial" w:cs="Arial" w:eastAsia="Arial" w:hAnsi="Arial"/>
          <w:sz w:val="18"/>
          <w:szCs w:val="18"/>
          <w:color w:val="auto"/>
        </w:rPr>
        <w:t>The obligations of the Purchaser to purchase and pay for the Private Placement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are subject to the fulfillment, on or before the IPO Closing Date, of each of the following conditions: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Company contained in Section 2 shall be true and correct at and as of the IPO Closing Date as though then made.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w:t>
      </w:r>
      <w:r>
        <w:rPr>
          <w:rFonts w:ascii="Arial" w:cs="Arial" w:eastAsia="Arial" w:hAnsi="Arial"/>
          <w:sz w:val="18"/>
          <w:szCs w:val="18"/>
          <w:color w:val="auto"/>
        </w:rPr>
        <w:t>. The Company shall have performed and complied with all agreements, obligations and conditions contained in this Agreement that are required to be performed or complied with by it on or before the IPO Closing Date.</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No Injunction</w:t>
      </w:r>
      <w:r>
        <w:rPr>
          <w:rFonts w:ascii="Arial" w:cs="Arial" w:eastAsia="Arial" w:hAnsi="Arial"/>
          <w:sz w:val="16"/>
          <w:szCs w:val="16"/>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jc w:val="both"/>
        <w:ind w:firstLine="648"/>
        <w:spacing w:after="0" w:line="263"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Warrant Agreement and Registration and Shareholder Rights Agreement</w:t>
      </w:r>
      <w:r>
        <w:rPr>
          <w:rFonts w:ascii="Arial" w:cs="Arial" w:eastAsia="Arial" w:hAnsi="Arial"/>
          <w:sz w:val="18"/>
          <w:szCs w:val="18"/>
          <w:color w:val="auto"/>
        </w:rPr>
        <w:t>. The Company shall have entered into the Warrant Agreement, in the form of Exhibit A hereto, and the Registration and Shareholder Rights Agreement, in the form of Exhibit B hereto, in each case on terms satisfactory to the Purchaser.</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 Conditions of the Company’s Obligations. </w:t>
      </w:r>
      <w:r>
        <w:rPr>
          <w:rFonts w:ascii="Arial" w:cs="Arial" w:eastAsia="Arial" w:hAnsi="Arial"/>
          <w:sz w:val="18"/>
          <w:szCs w:val="18"/>
          <w:color w:val="auto"/>
        </w:rPr>
        <w:t>The obligations of the Company to the Purchaser under this Agreement are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fulfillment, on or before the IPO Closing Date, of each of the following conditions: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Purchaser contained in Section 3 shall be true and correct at and as of the IPO Closing Date as though then made.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w:t>
      </w:r>
      <w:r>
        <w:rPr>
          <w:rFonts w:ascii="Arial" w:cs="Arial" w:eastAsia="Arial" w:hAnsi="Arial"/>
          <w:sz w:val="18"/>
          <w:szCs w:val="18"/>
          <w:color w:val="auto"/>
        </w:rPr>
        <w:t>. The Purchaser shall have performed and complied with all agreements, obligations and conditions contained in this Agreement that are required to be performed or complied with by the Purchaser on or before the IPO Closing Date.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Corporate Consents</w:t>
      </w:r>
      <w:r>
        <w:rPr>
          <w:rFonts w:ascii="Arial" w:cs="Arial" w:eastAsia="Arial" w:hAnsi="Arial"/>
          <w:sz w:val="18"/>
          <w:szCs w:val="18"/>
          <w:color w:val="auto"/>
        </w:rPr>
        <w:t>. The Company shall have obtained the consent of its Board of Directors authorizing the execution, delivery and performance of this Agreement and the Warrant Agreement and the issuance and sale of the Private Placement Warrants hereunder.</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No Injunction</w:t>
      </w:r>
      <w:r>
        <w:rPr>
          <w:rFonts w:ascii="Arial" w:cs="Arial" w:eastAsia="Arial" w:hAnsi="Arial"/>
          <w:sz w:val="16"/>
          <w:szCs w:val="16"/>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Warrant Agreement</w:t>
      </w:r>
      <w:r>
        <w:rPr>
          <w:rFonts w:ascii="Arial" w:cs="Arial" w:eastAsia="Arial" w:hAnsi="Arial"/>
          <w:sz w:val="18"/>
          <w:szCs w:val="18"/>
          <w:color w:val="auto"/>
        </w:rPr>
        <w:t>. The Company shall have entered into the Warrant 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expressly provided herein, all covenants and agreements contained in this Agreement by or on behalf of any of the parties hereto shall bind and inure to the benefit of the respective successors of the parties hereto whether so expressed or not. Notwithstanding the foregoing or anything to the contrary herein, the parties may not assign this Agreement, other than assignments by the Purchaser to affiliates thereof (including, without limitation one or more of its members).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two or more counterparts, none of which need contain the signatures of more than one party, but all such counterparts taken together shall constitute one and the same agreement. Signatures to this Agreement transmitted via facsimile or e-mail shall be valid and effective to bind the party so signing.</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Descriptive Headings; Interpretation</w:t>
      </w:r>
      <w:r>
        <w:rPr>
          <w:rFonts w:ascii="Arial" w:cs="Arial" w:eastAsia="Arial" w:hAnsi="Arial"/>
          <w:sz w:val="17"/>
          <w:szCs w:val="17"/>
          <w:color w:val="auto"/>
        </w:rPr>
        <w:t>. The descriptive headings of this Agreement are inserted for convenience only and do not constitute a substantive part of this Agreement. The use of the word “including” in this Agreement shall be by way of example rather than by limitation.</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deemed to be a contract made under the laws of the State of New York and for all purposes shall be construed in accordance with the internal laws of the State of New York, without giving effect to conflicts of law principles that would result in the application of the laws of another jurisdiction.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Amendments</w:t>
      </w:r>
      <w:r>
        <w:rPr>
          <w:rFonts w:ascii="Arial" w:cs="Arial" w:eastAsia="Arial" w:hAnsi="Arial"/>
          <w:sz w:val="18"/>
          <w:szCs w:val="18"/>
          <w:color w:val="auto"/>
        </w:rPr>
        <w:t>. This letter agreement may not be amended, modified or waived as to any particular provision, except by a written instrument executed by the parties 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IN WITNESS WHEREOF, the parties hereto have executed this Agreement.</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COMPANY:</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SUSTAINABLE OPPORTUNITIES ACQUISITION</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CORP.</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Scott Leonard</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PURCHASER:</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SUSTAINABLE OPPORTUNITIES HOLDINGS LLC</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08" w:right="59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Warrant Agreement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Registration and Shareholder Rights Agreement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Investment Management Trust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effective as of May 8, 2020 by and between Sustainable Opportunities Acquisition Corp., a Cayman Islands 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a New York corporation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the Company’s registration statement on Form S-1, File No. 333-237245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and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for the initial public offering of the Company’s units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each of which consists of one of the Company’s Class A ordinary shares, par value $0.0001 per share (the “</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and one-half of one redeemable warrant, each whole warrant entitling the holder thereof to purchase one Ordinary Share (such initial public offering hereinafter referred to as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has been declared effective as of the date hereof by the U.S. Securities and Exchange Commission; and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entered into an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with Citigroup Global Markets Inc., as representative (the “</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of the several underwriters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named therein; and</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WHEREAS, as described in the Prospectus, $300,000,000 of the gross proceeds of the Offering and sale of the Private Placement Warrants (as defined in the Underwriting Agreement) (or $345,000,000 if the Underwriters’ option to purchase additional units is exercised in full) will be delivered to the Trustee to be deposited and held in a segregated trust account located at all times in the United States (the “</w:t>
      </w:r>
      <w:r>
        <w:rPr>
          <w:rFonts w:ascii="Arial" w:cs="Arial" w:eastAsia="Arial" w:hAnsi="Arial"/>
          <w:sz w:val="18"/>
          <w:szCs w:val="18"/>
          <w:b w:val="1"/>
          <w:bCs w:val="1"/>
          <w:i w:val="1"/>
          <w:iCs w:val="1"/>
          <w:color w:val="auto"/>
        </w:rPr>
        <w:t>Trust Account</w:t>
      </w:r>
      <w:r>
        <w:rPr>
          <w:rFonts w:ascii="Arial" w:cs="Arial" w:eastAsia="Arial" w:hAnsi="Arial"/>
          <w:sz w:val="18"/>
          <w:szCs w:val="18"/>
          <w:color w:val="auto"/>
        </w:rPr>
        <w:t>”) for the benefit of the Company and the holders of the Ordinary Shares included in the Units issued in the Offering as hereinafter provided (the amount to be delivered to the Trustee (and any interest subsequently earned thereon) is referred to herein as the “</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the shareholders for whose benefit the Trustee shall hold the Property will be referred to as the “</w:t>
      </w:r>
      <w:r>
        <w:rPr>
          <w:rFonts w:ascii="Arial" w:cs="Arial" w:eastAsia="Arial" w:hAnsi="Arial"/>
          <w:sz w:val="18"/>
          <w:szCs w:val="18"/>
          <w:b w:val="1"/>
          <w:bCs w:val="1"/>
          <w:i w:val="1"/>
          <w:iCs w:val="1"/>
          <w:color w:val="auto"/>
        </w:rPr>
        <w:t>Public Shareholders,</w:t>
      </w:r>
      <w:r>
        <w:rPr>
          <w:rFonts w:ascii="Arial" w:cs="Arial" w:eastAsia="Arial" w:hAnsi="Arial"/>
          <w:sz w:val="18"/>
          <w:szCs w:val="18"/>
          <w:color w:val="auto"/>
        </w:rPr>
        <w:t>” and the Public Shareholders and the Company will be referred to together as the “</w:t>
      </w:r>
      <w:r>
        <w:rPr>
          <w:rFonts w:ascii="Arial" w:cs="Arial" w:eastAsia="Arial" w:hAnsi="Arial"/>
          <w:sz w:val="18"/>
          <w:szCs w:val="18"/>
          <w:b w:val="1"/>
          <w:bCs w:val="1"/>
          <w:i w:val="1"/>
          <w:iCs w:val="1"/>
          <w:color w:val="auto"/>
        </w:rPr>
        <w:t>Beneficiaries</w:t>
      </w:r>
      <w:r>
        <w:rPr>
          <w:rFonts w:ascii="Arial" w:cs="Arial" w:eastAsia="Arial" w:hAnsi="Arial"/>
          <w:sz w:val="18"/>
          <w:szCs w:val="18"/>
          <w:color w:val="auto"/>
        </w:rPr>
        <w:t>”); and</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pursuant to the Underwriting Agreement, a portion of the Property equal to $10,500,000, or $12,075,000 if the Underwriters’ option to purchase additional units is exercised in full, is attributable to deferred underwriting discounts and commissions that will be payable by the Company to the Underwriters upon the consummation of the Business Combination (as defined below) (the “</w:t>
      </w:r>
      <w:r>
        <w:rPr>
          <w:rFonts w:ascii="Arial" w:cs="Arial" w:eastAsia="Arial" w:hAnsi="Arial"/>
          <w:sz w:val="17"/>
          <w:szCs w:val="17"/>
          <w:b w:val="1"/>
          <w:bCs w:val="1"/>
          <w:i w:val="1"/>
          <w:iCs w:val="1"/>
          <w:color w:val="auto"/>
        </w:rPr>
        <w:t>Deferred Discount</w:t>
      </w:r>
      <w:r>
        <w:rPr>
          <w:rFonts w:ascii="Arial" w:cs="Arial" w:eastAsia="Arial" w:hAnsi="Arial"/>
          <w:sz w:val="17"/>
          <w:szCs w:val="17"/>
          <w:color w:val="auto"/>
        </w:rPr>
        <w:t>”); and</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left="840" w:hanging="184"/>
        <w:spacing w:after="0"/>
        <w:tabs>
          <w:tab w:leader="none" w:pos="84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41" w:val="left"/>
        </w:tabs>
        <w:numPr>
          <w:ilvl w:val="1"/>
          <w:numId w:val="97"/>
        </w:numPr>
        <w:rPr>
          <w:rFonts w:ascii="Arial" w:cs="Arial" w:eastAsia="Arial" w:hAnsi="Arial"/>
          <w:sz w:val="18"/>
          <w:szCs w:val="18"/>
          <w:color w:val="auto"/>
        </w:rPr>
      </w:pPr>
      <w:r>
        <w:rPr>
          <w:rFonts w:ascii="Arial" w:cs="Arial" w:eastAsia="Arial" w:hAnsi="Arial"/>
          <w:sz w:val="18"/>
          <w:szCs w:val="18"/>
          <w:color w:val="auto"/>
        </w:rPr>
        <w:t>Hold the Property in trust for the Beneficiaries in accordance with the terms of this Agreement in the Trust Account established by the Trustee in the United States at J.P. Morgan Chase Bank, N.A. and at a brokerage institution selected by the Trustee that is reasonably satisfactory to the Company;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ind w:left="1560" w:hanging="256"/>
        <w:spacing w:after="0"/>
        <w:tabs>
          <w:tab w:leader="none" w:pos="15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jc w:val="both"/>
        <w:ind w:firstLine="1304"/>
        <w:spacing w:after="0" w:line="273" w:lineRule="auto"/>
        <w:tabs>
          <w:tab w:leader="none" w:pos="157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 a timely manner, upon the written instruction of the Company, invest and reinvest the Property in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(or any successor rule), which invest only in direct U.S. government treasury obligations, as determined by the Company; the Trustee may not invest in any other securities or assets, it being understood that the Trust Account will earn no interest while account funds are uninvested awaiting the Company’s instructions hereunder and the Trustee may earn bank credits or other consideration;</w:t>
      </w:r>
    </w:p>
    <w:p>
      <w:pPr>
        <w:spacing w:after="0" w:line="177" w:lineRule="exact"/>
        <w:rPr>
          <w:rFonts w:ascii="Arial" w:cs="Arial" w:eastAsia="Arial" w:hAnsi="Arial"/>
          <w:sz w:val="17"/>
          <w:szCs w:val="17"/>
          <w:color w:val="auto"/>
        </w:rPr>
      </w:pPr>
    </w:p>
    <w:p>
      <w:pPr>
        <w:ind w:firstLine="1304"/>
        <w:spacing w:after="0" w:line="277" w:lineRule="auto"/>
        <w:tabs>
          <w:tab w:leader="none" w:pos="1579"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Collect and receive, when due, all principal, interest or other income arising from the Property, which shall become part of the “</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as such term is used herein;</w:t>
      </w:r>
    </w:p>
    <w:p>
      <w:pPr>
        <w:spacing w:after="0" w:line="170" w:lineRule="exact"/>
        <w:rPr>
          <w:rFonts w:ascii="Arial" w:cs="Arial" w:eastAsia="Arial" w:hAnsi="Arial"/>
          <w:sz w:val="18"/>
          <w:szCs w:val="18"/>
          <w:color w:val="auto"/>
        </w:rPr>
      </w:pPr>
    </w:p>
    <w:p>
      <w:pPr>
        <w:ind w:right="20" w:firstLine="1304"/>
        <w:spacing w:after="0" w:line="277" w:lineRule="auto"/>
        <w:tabs>
          <w:tab w:leader="none" w:pos="1561"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Promptly notify the Company and the Representative of all communications received by the Trustee with respect to any Property requiring action by the Company;</w:t>
      </w:r>
    </w:p>
    <w:p>
      <w:pPr>
        <w:spacing w:after="0" w:line="170" w:lineRule="exact"/>
        <w:rPr>
          <w:rFonts w:ascii="Arial" w:cs="Arial" w:eastAsia="Arial" w:hAnsi="Arial"/>
          <w:sz w:val="18"/>
          <w:szCs w:val="18"/>
          <w:color w:val="auto"/>
        </w:rPr>
      </w:pPr>
    </w:p>
    <w:p>
      <w:pPr>
        <w:ind w:firstLine="1304"/>
        <w:spacing w:after="0" w:line="277" w:lineRule="auto"/>
        <w:tabs>
          <w:tab w:leader="none" w:pos="1521"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Supply any necessary information or documents as may be requested by the Company (or its authorized agents) in connection with the Company’s preparation of the tax returns relating to assets held in the Trust Account;</w:t>
      </w:r>
    </w:p>
    <w:p>
      <w:pPr>
        <w:spacing w:after="0" w:line="170" w:lineRule="exact"/>
        <w:rPr>
          <w:rFonts w:ascii="Arial" w:cs="Arial" w:eastAsia="Arial" w:hAnsi="Arial"/>
          <w:sz w:val="18"/>
          <w:szCs w:val="18"/>
          <w:color w:val="auto"/>
        </w:rPr>
      </w:pPr>
    </w:p>
    <w:p>
      <w:pPr>
        <w:ind w:firstLine="1304"/>
        <w:spacing w:after="0" w:line="277" w:lineRule="auto"/>
        <w:tabs>
          <w:tab w:leader="none" w:pos="1578"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right="20" w:firstLine="1304"/>
        <w:spacing w:after="0" w:line="277" w:lineRule="auto"/>
        <w:tabs>
          <w:tab w:leader="none" w:pos="1558"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w:t>
      </w:r>
    </w:p>
    <w:p>
      <w:pPr>
        <w:spacing w:after="0" w:line="170" w:lineRule="exact"/>
        <w:rPr>
          <w:rFonts w:ascii="Arial" w:cs="Arial" w:eastAsia="Arial" w:hAnsi="Arial"/>
          <w:sz w:val="18"/>
          <w:szCs w:val="18"/>
          <w:color w:val="auto"/>
        </w:rPr>
      </w:pPr>
    </w:p>
    <w:p>
      <w:pPr>
        <w:jc w:val="both"/>
        <w:ind w:firstLine="1304"/>
        <w:spacing w:after="0" w:line="287" w:lineRule="auto"/>
        <w:tabs>
          <w:tab w:leader="none" w:pos="1521"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Commence liquidation of the Trust Account only after and promptly after (x) receipt of, and only in accordance with, the terms of a letter from the Company (“</w:t>
      </w:r>
      <w:r>
        <w:rPr>
          <w:rFonts w:ascii="Arial" w:cs="Arial" w:eastAsia="Arial" w:hAnsi="Arial"/>
          <w:sz w:val="16"/>
          <w:szCs w:val="16"/>
          <w:b w:val="1"/>
          <w:bCs w:val="1"/>
          <w:i w:val="1"/>
          <w:iCs w:val="1"/>
          <w:color w:val="auto"/>
        </w:rPr>
        <w:t>Termination Letter</w:t>
      </w:r>
      <w:r>
        <w:rPr>
          <w:rFonts w:ascii="Arial" w:cs="Arial" w:eastAsia="Arial" w:hAnsi="Arial"/>
          <w:sz w:val="16"/>
          <w:szCs w:val="16"/>
          <w:color w:val="auto"/>
        </w:rPr>
        <w:t xml:space="preserve">”) in a form substantially similar to that attached hereto as either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applicable, signed on behalf of the Company by its Chief Executive Officer, Chief Financial Officer or other authorized officer of the Company, and complete the liquidation of the Trust Account and distribute the Property in the Trust Account, including interest earned on the funds held in the Trust Account (less up to $100,000 of interest to pay dissolution expenses and net of taxes payable), only as directed in the Termination Letter and the other documents referred to therein, or (y) upon the date which is the later of (1) 18 months after the closing of the Offering and (2) such later date as may be approved by the Company’s shareholders in accordance with the Company’s amended and restated memorandum and articles of association, if a Termination Letter has not been received by the Trustee prior to such date, in which case the Trust Account shall be liquidated in accordance with the procedures set forth in the Termination Letter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the Property in the Trust Account, including interest earned on the funds held in the Trust Account (less up to $100,000 of interest to pay dissolution expenses and net of taxes payable), shall be distributed to the Public Shareholders of record as of such date. It is acknowledged and agreed that there should be no reduction in the principal amount per share initially deposited in the Trust Account;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jc w:val="both"/>
        <w:ind w:firstLine="1304"/>
        <w:spacing w:after="0" w:line="269" w:lineRule="auto"/>
        <w:tabs>
          <w:tab w:leader="none" w:pos="1516" w:val="left"/>
        </w:tabs>
        <w:numPr>
          <w:ilvl w:val="1"/>
          <w:numId w:val="99"/>
        </w:numPr>
        <w:rPr>
          <w:rFonts w:ascii="Arial" w:cs="Arial" w:eastAsia="Arial" w:hAnsi="Arial"/>
          <w:sz w:val="17"/>
          <w:szCs w:val="17"/>
          <w:color w:val="auto"/>
        </w:rPr>
      </w:pPr>
      <w:r>
        <w:rPr>
          <w:rFonts w:ascii="Arial" w:cs="Arial" w:eastAsia="Arial" w:hAnsi="Arial"/>
          <w:sz w:val="17"/>
          <w:szCs w:val="17"/>
          <w:color w:val="auto"/>
        </w:rPr>
        <w:t xml:space="preserve">Upon written request from the Company, which may be given from time to time in a form substantially similar to that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 “</w:t>
      </w:r>
      <w:r>
        <w:rPr>
          <w:rFonts w:ascii="Arial" w:cs="Arial" w:eastAsia="Arial" w:hAnsi="Arial"/>
          <w:sz w:val="17"/>
          <w:szCs w:val="17"/>
          <w:b w:val="1"/>
          <w:bCs w:val="1"/>
          <w:i w:val="1"/>
          <w:iCs w:val="1"/>
          <w:color w:val="auto"/>
        </w:rPr>
        <w:t>Tax Payment Withdrawal Instruction</w:t>
      </w:r>
      <w:r>
        <w:rPr>
          <w:rFonts w:ascii="Arial" w:cs="Arial" w:eastAsia="Arial" w:hAnsi="Arial"/>
          <w:sz w:val="17"/>
          <w:szCs w:val="17"/>
          <w:color w:val="auto"/>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amount shall be delivered directly to the Company by electronic funds transfer or other method of prompt payment, and the Company shall forward such payment to the relevant taxing authority, so long as there is no reduction in the principal amount initially deposited in the Trust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there is not sufficient cash in the Trust Account to pay such tax obligation, the Trustee shall liquidate such assets held in the Trust Account as shall be designated by the Company in writing to make such distribution (it being acknowledged and agreed that any such amount in excess of interest income earned on the Property shall not be payable from the Trust Account). The written request of the Company referenced above shall constitute presumptive evidence that the Company is entitled to said funds, and the Trustee shall have no responsibility to look beyond said request;</w:t>
      </w:r>
    </w:p>
    <w:p>
      <w:pPr>
        <w:spacing w:after="0" w:line="185" w:lineRule="exact"/>
        <w:rPr>
          <w:rFonts w:ascii="Arial" w:cs="Arial" w:eastAsia="Arial" w:hAnsi="Arial"/>
          <w:sz w:val="17"/>
          <w:szCs w:val="17"/>
          <w:color w:val="auto"/>
        </w:rPr>
      </w:pPr>
    </w:p>
    <w:p>
      <w:pPr>
        <w:jc w:val="both"/>
        <w:ind w:firstLine="1304"/>
        <w:spacing w:after="0" w:line="259" w:lineRule="auto"/>
        <w:tabs>
          <w:tab w:leader="none" w:pos="1554"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Upon written request from the Company, which may be given from time to time in a form substantially similar to that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 “</w:t>
      </w:r>
      <w:r>
        <w:rPr>
          <w:rFonts w:ascii="Arial" w:cs="Arial" w:eastAsia="Arial" w:hAnsi="Arial"/>
          <w:sz w:val="18"/>
          <w:szCs w:val="18"/>
          <w:b w:val="1"/>
          <w:bCs w:val="1"/>
          <w:i w:val="1"/>
          <w:iCs w:val="1"/>
          <w:color w:val="auto"/>
        </w:rPr>
        <w:t>Shareholder Redemption Withdrawal Instruction</w:t>
      </w:r>
      <w:r>
        <w:rPr>
          <w:rFonts w:ascii="Arial" w:cs="Arial" w:eastAsia="Arial" w:hAnsi="Arial"/>
          <w:sz w:val="18"/>
          <w:szCs w:val="18"/>
          <w:color w:val="auto"/>
        </w:rPr>
        <w:t>”), the Trustee shall distribute to the remitting brokers on behalf of Public Shareholders redeeming Ordinary Shares the amount required to pay redeemed Ordinary Shares from Public Shareholders pursuant to the Company’s amended and restated memorandum and articles of association; and</w:t>
      </w:r>
    </w:p>
    <w:p>
      <w:pPr>
        <w:spacing w:after="0" w:line="186" w:lineRule="exact"/>
        <w:rPr>
          <w:rFonts w:ascii="Arial" w:cs="Arial" w:eastAsia="Arial" w:hAnsi="Arial"/>
          <w:sz w:val="18"/>
          <w:szCs w:val="18"/>
          <w:color w:val="auto"/>
        </w:rPr>
      </w:pPr>
    </w:p>
    <w:p>
      <w:pPr>
        <w:ind w:left="1520" w:hanging="216"/>
        <w:spacing w:after="0"/>
        <w:tabs>
          <w:tab w:leader="none" w:pos="15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Not make any withdrawals or distributions from the Trust Account other than pursuant to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(k)</w:t>
      </w:r>
      <w:r>
        <w:rPr>
          <w:rFonts w:ascii="Arial" w:cs="Arial" w:eastAsia="Arial" w:hAnsi="Arial"/>
          <w:sz w:val="18"/>
          <w:szCs w:val="18"/>
          <w:color w:val="auto"/>
        </w:rPr>
        <w:t xml:space="preserve"> above.</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543"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Give all instructions to the Trustee hereunder in writing, signed by the Company’s Chief Executive Officer, Chief Financial Officer or other authorized officer of the Company. In addition, except with respect to its duties under </w:t>
      </w:r>
      <w:r>
        <w:rPr>
          <w:rFonts w:ascii="Arial" w:cs="Arial" w:eastAsia="Arial" w:hAnsi="Arial"/>
          <w:sz w:val="18"/>
          <w:szCs w:val="18"/>
          <w:u w:val="single" w:color="auto"/>
          <w:color w:val="auto"/>
        </w:rPr>
        <w:t>Sections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(k)</w:t>
      </w:r>
      <w:r>
        <w:rPr>
          <w:rFonts w:ascii="Arial" w:cs="Arial" w:eastAsia="Arial" w:hAnsi="Arial"/>
          <w:sz w:val="18"/>
          <w:szCs w:val="18"/>
          <w:color w:val="auto"/>
        </w:rPr>
        <w:t xml:space="preserve"> hereof, the Trustee shall be entitled to rely on, and shall be protected in relying on, any verbal or telephonic advice or instruction which it, in good faith and with reasonable care, believes to be given by any one of the persons authorized above to give written instructions, provided that the Company shall promptly confirm such instructions in writing;</w:t>
      </w:r>
    </w:p>
    <w:p>
      <w:pPr>
        <w:spacing w:after="0" w:line="187" w:lineRule="exact"/>
        <w:rPr>
          <w:rFonts w:ascii="Arial" w:cs="Arial" w:eastAsia="Arial" w:hAnsi="Arial"/>
          <w:sz w:val="18"/>
          <w:szCs w:val="18"/>
          <w:color w:val="auto"/>
        </w:rPr>
      </w:pPr>
    </w:p>
    <w:p>
      <w:pPr>
        <w:jc w:val="both"/>
        <w:ind w:firstLine="1304"/>
        <w:spacing w:after="0" w:line="288" w:lineRule="auto"/>
        <w:tabs>
          <w:tab w:leader="none" w:pos="1564" w:val="left"/>
        </w:tabs>
        <w:numPr>
          <w:ilvl w:val="1"/>
          <w:numId w:val="100"/>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hold the Trustee harmless and indemnify the Trustee from and against any and all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 this </w:t>
      </w:r>
      <w:r>
        <w:rPr>
          <w:rFonts w:ascii="Arial" w:cs="Arial" w:eastAsia="Arial" w:hAnsi="Arial"/>
          <w:sz w:val="16"/>
          <w:szCs w:val="16"/>
          <w:u w:val="single" w:color="auto"/>
          <w:color w:val="auto"/>
        </w:rPr>
        <w:t>Section 2(b)</w:t>
      </w:r>
      <w:r>
        <w:rPr>
          <w:rFonts w:ascii="Arial" w:cs="Arial" w:eastAsia="Arial" w:hAnsi="Arial"/>
          <w:sz w:val="16"/>
          <w:szCs w:val="16"/>
          <w:color w:val="auto"/>
        </w:rPr>
        <w:t>, it shall notify the Company in writing of such claim (hereinafter referred to as the “</w:t>
      </w:r>
      <w:r>
        <w:rPr>
          <w:rFonts w:ascii="Arial" w:cs="Arial" w:eastAsia="Arial" w:hAnsi="Arial"/>
          <w:sz w:val="16"/>
          <w:szCs w:val="16"/>
          <w:b w:val="1"/>
          <w:bCs w:val="1"/>
          <w:i w:val="1"/>
          <w:iCs w:val="1"/>
          <w:color w:val="auto"/>
        </w:rPr>
        <w:t>Indemnified Claim</w:t>
      </w:r>
      <w:r>
        <w:rPr>
          <w:rFonts w:ascii="Arial" w:cs="Arial" w:eastAsia="Arial" w:hAnsi="Arial"/>
          <w:sz w:val="16"/>
          <w:szCs w:val="16"/>
          <w:color w:val="auto"/>
        </w:rPr>
        <w:t xml:space="preserve">”). The Trustee shall have the right to conduct and manage the defense against such Indemnified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shall obtain the consent of the Company with respect to the selection of counsel, which consent shall not be unreasonably withheld. The Trustee may not agree to settle any Indemnified Claim without the prior written consent of the Company, which such consent shall not be unreasonably withheld. The Company may participate in such action with its own counsel;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jc w:val="both"/>
        <w:ind w:firstLine="1304"/>
        <w:spacing w:after="0" w:line="273" w:lineRule="auto"/>
        <w:tabs>
          <w:tab w:leader="none" w:pos="154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Pay the Trustee the fees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including an initial acceptance fee, annual administration fee, and transaction processing fee which fees shall be subject to modification by the parties from time to time. It is expressly understood that the Property shall not be used to pay such fees unless and until it is distributed to the Company pursuant to </w:t>
      </w:r>
      <w:r>
        <w:rPr>
          <w:rFonts w:ascii="Arial" w:cs="Arial" w:eastAsia="Arial" w:hAnsi="Arial"/>
          <w:sz w:val="17"/>
          <w:szCs w:val="17"/>
          <w:u w:val="single" w:color="auto"/>
          <w:color w:val="auto"/>
        </w:rPr>
        <w:t>Sections 1(i)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1(k)</w:t>
      </w:r>
      <w:r>
        <w:rPr>
          <w:rFonts w:ascii="Arial" w:cs="Arial" w:eastAsia="Arial" w:hAnsi="Arial"/>
          <w:sz w:val="17"/>
          <w:szCs w:val="17"/>
          <w:color w:val="auto"/>
        </w:rPr>
        <w:t xml:space="preserve"> hereof. The Company shall pay the Trustee the initial acceptance fee and the first annual administration fee at the consummation of the Offering. The Trustee shall refund to the Company the annual administration fee (on a pro rata basis) with respect to any period after the liquidation of the Trust Account. The Company shall not be responsible for any other fees or charges of the Trustee except as set forth in this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and as may be provided in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hereof;</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56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connection with any vote of the Company’s shareholders regarding a merger, share exchange, asset acquisition, share purchase, reorganization or similar business combination involving the Company and one or more businesses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provide to the Trustee an affidavit or certificate of the inspector of elections for the shareholder meeting verifying the vote of such shareholders regarding such Business Combination;</w:t>
      </w:r>
    </w:p>
    <w:p>
      <w:pPr>
        <w:spacing w:after="0" w:line="186" w:lineRule="exact"/>
        <w:rPr>
          <w:rFonts w:ascii="Arial" w:cs="Arial" w:eastAsia="Arial" w:hAnsi="Arial"/>
          <w:sz w:val="18"/>
          <w:szCs w:val="18"/>
          <w:color w:val="auto"/>
        </w:rPr>
      </w:pPr>
    </w:p>
    <w:p>
      <w:pPr>
        <w:ind w:firstLine="1304"/>
        <w:spacing w:after="0" w:line="277" w:lineRule="auto"/>
        <w:tabs>
          <w:tab w:leader="none" w:pos="154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Provide the Representative with a copy of any Termination Letter(s) and/or any other correspondence that is sent to the Trustee with respect to any proposed withdrawal from the Trust Account promptly after it issues the same;</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5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Unless otherwise agreed between the Company and the Representative, ensure that any Instruction Letter (as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delivered in connection with a Termination Letter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expressly provides that the Deferred Discount is paid directly to the account or accounts directed by the Representative on behalf of the Underwriters prior to any transfer of the funds held in the Trust Account to the Company or any other person;</w:t>
      </w:r>
    </w:p>
    <w:p>
      <w:pPr>
        <w:spacing w:after="0" w:line="186" w:lineRule="exact"/>
        <w:rPr>
          <w:rFonts w:ascii="Arial" w:cs="Arial" w:eastAsia="Arial" w:hAnsi="Arial"/>
          <w:sz w:val="18"/>
          <w:szCs w:val="18"/>
          <w:color w:val="auto"/>
        </w:rPr>
      </w:pPr>
    </w:p>
    <w:p>
      <w:pPr>
        <w:ind w:firstLine="1304"/>
        <w:spacing w:after="0" w:line="277" w:lineRule="auto"/>
        <w:tabs>
          <w:tab w:leader="none" w:pos="15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Instruct the Trustee to make only those distributions that are permitted under this Agreement, and refrain from instructing the Trustee to make any distributions that are not permitted under this Agreement;</w:t>
      </w:r>
    </w:p>
    <w:p>
      <w:pPr>
        <w:spacing w:after="0" w:line="170" w:lineRule="exact"/>
        <w:rPr>
          <w:rFonts w:ascii="Arial" w:cs="Arial" w:eastAsia="Arial" w:hAnsi="Arial"/>
          <w:sz w:val="18"/>
          <w:szCs w:val="18"/>
          <w:color w:val="auto"/>
        </w:rPr>
      </w:pPr>
    </w:p>
    <w:p>
      <w:pPr>
        <w:jc w:val="both"/>
        <w:ind w:firstLine="1304"/>
        <w:spacing w:after="0" w:line="293" w:lineRule="auto"/>
        <w:tabs>
          <w:tab w:leader="none" w:pos="155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the Company seeks to amend any provisions of its amended and restated memorandum and articles of association (i) to modify the substance or timing of the Company’s obligation to provide holders of the Public Shares the right to have their shares redeemed in connection with an initial Business Combination or to redeem 100% of the Public Shares if the Company has not consummated an initial Business Combination within the time period set forth therein or (ii) with respect to any other provisions relating to the rights of holders of the Public Shares (in each case, an “</w:t>
      </w:r>
      <w:r>
        <w:rPr>
          <w:rFonts w:ascii="Arial" w:cs="Arial" w:eastAsia="Arial" w:hAnsi="Arial"/>
          <w:sz w:val="16"/>
          <w:szCs w:val="16"/>
          <w:b w:val="1"/>
          <w:bCs w:val="1"/>
          <w:i w:val="1"/>
          <w:iCs w:val="1"/>
          <w:color w:val="auto"/>
        </w:rPr>
        <w:t>Amendment</w:t>
      </w:r>
      <w:r>
        <w:rPr>
          <w:rFonts w:ascii="Arial" w:cs="Arial" w:eastAsia="Arial" w:hAnsi="Arial"/>
          <w:sz w:val="16"/>
          <w:szCs w:val="16"/>
          <w:color w:val="auto"/>
        </w:rPr>
        <w:t>”), the Company will provide the Trustee with a letter (an “</w:t>
      </w:r>
      <w:r>
        <w:rPr>
          <w:rFonts w:ascii="Arial" w:cs="Arial" w:eastAsia="Arial" w:hAnsi="Arial"/>
          <w:sz w:val="16"/>
          <w:szCs w:val="16"/>
          <w:b w:val="1"/>
          <w:bCs w:val="1"/>
          <w:i w:val="1"/>
          <w:iCs w:val="1"/>
          <w:color w:val="auto"/>
        </w:rPr>
        <w:t>Amendment Notification Letter</w:t>
      </w:r>
      <w:r>
        <w:rPr>
          <w:rFonts w:ascii="Arial" w:cs="Arial" w:eastAsia="Arial" w:hAnsi="Arial"/>
          <w:sz w:val="16"/>
          <w:szCs w:val="16"/>
          <w:color w:val="auto"/>
        </w:rPr>
        <w:t xml:space="preserve">”)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providing instructions for the distribution of funds to Public Shareholders who exercise their redemption option in connection with such Amendment; 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ind w:right="20" w:firstLine="1304"/>
        <w:spacing w:after="0" w:line="308" w:lineRule="auto"/>
        <w:tabs>
          <w:tab w:leader="none" w:pos="1529" w:val="left"/>
        </w:tabs>
        <w:numPr>
          <w:ilvl w:val="1"/>
          <w:numId w:val="102"/>
        </w:numPr>
        <w:rPr>
          <w:rFonts w:ascii="Arial" w:cs="Arial" w:eastAsia="Arial" w:hAnsi="Arial"/>
          <w:sz w:val="17"/>
          <w:szCs w:val="17"/>
          <w:color w:val="auto"/>
        </w:rPr>
      </w:pPr>
      <w:r>
        <w:rPr>
          <w:rFonts w:ascii="Arial" w:cs="Arial" w:eastAsia="Arial" w:hAnsi="Arial"/>
          <w:sz w:val="17"/>
          <w:szCs w:val="17"/>
          <w:color w:val="auto"/>
        </w:rPr>
        <w:t>Within five (5) business days after the Underwriters exercise their option to purchase additional units (or any unexercised portion thereof) or such option to purchase additional units expires, provide the Trustee with a notice in writing of the total amount of the Deferred Discount.</w:t>
      </w:r>
    </w:p>
    <w:p>
      <w:pPr>
        <w:spacing w:after="0" w:line="146" w:lineRule="exact"/>
        <w:rPr>
          <w:rFonts w:ascii="Arial" w:cs="Arial" w:eastAsia="Arial" w:hAnsi="Arial"/>
          <w:sz w:val="17"/>
          <w:szCs w:val="17"/>
          <w:color w:val="auto"/>
        </w:rPr>
      </w:pPr>
    </w:p>
    <w:p>
      <w:pPr>
        <w:ind w:left="840" w:hanging="184"/>
        <w:spacing w:after="0"/>
        <w:tabs>
          <w:tab w:leader="none" w:pos="8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right="20" w:firstLine="1304"/>
        <w:spacing w:after="0" w:line="277" w:lineRule="auto"/>
        <w:tabs>
          <w:tab w:leader="none" w:pos="15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w:t>
      </w:r>
    </w:p>
    <w:p>
      <w:pPr>
        <w:spacing w:after="0" w:line="170" w:lineRule="exact"/>
        <w:rPr>
          <w:rFonts w:ascii="Arial" w:cs="Arial" w:eastAsia="Arial" w:hAnsi="Arial"/>
          <w:sz w:val="18"/>
          <w:szCs w:val="18"/>
          <w:color w:val="auto"/>
        </w:rPr>
      </w:pPr>
    </w:p>
    <w:p>
      <w:pPr>
        <w:ind w:right="20" w:firstLine="1304"/>
        <w:spacing w:after="0" w:line="277" w:lineRule="auto"/>
        <w:tabs>
          <w:tab w:leader="none" w:pos="1555"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Take any action with respect to the Property, other than as directed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and the Trustee shall have no liability to any third party except for liability arising out of the Trustee’s gross negligence, fraud or willful misconduct;</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4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Institute any proceeding for the collection of any principal and income arising from, or institute, appear in or defend any proceeding of any kind with respect to, any of the Property unless and until it shall have received written instructions from the Company given as provided herein to do so and the Company shall have advanced or guaranteed to it funds sufficient to pay any expenses incident thereto;</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Change the investment of any Property, other than in compliance with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firstLine="1304"/>
        <w:spacing w:after="0" w:line="308" w:lineRule="auto"/>
        <w:tabs>
          <w:tab w:leader="none" w:pos="1532"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46" w:lineRule="exact"/>
        <w:rPr>
          <w:rFonts w:ascii="Arial" w:cs="Arial" w:eastAsia="Arial" w:hAnsi="Arial"/>
          <w:sz w:val="17"/>
          <w:szCs w:val="17"/>
          <w:color w:val="auto"/>
        </w:rPr>
      </w:pPr>
    </w:p>
    <w:p>
      <w:pPr>
        <w:jc w:val="both"/>
        <w:ind w:firstLine="1304"/>
        <w:spacing w:after="0" w:line="290" w:lineRule="auto"/>
        <w:tabs>
          <w:tab w:leader="none" w:pos="1554"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ind w:left="1560" w:hanging="256"/>
        <w:spacing w:after="0"/>
        <w:tabs>
          <w:tab w:leader="none" w:pos="15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Verify the accuracy of the information contained in the Registration Statement;</w:t>
      </w:r>
    </w:p>
    <w:p>
      <w:pPr>
        <w:spacing w:after="0" w:line="225" w:lineRule="exact"/>
        <w:rPr>
          <w:rFonts w:ascii="Arial" w:cs="Arial" w:eastAsia="Arial" w:hAnsi="Arial"/>
          <w:sz w:val="18"/>
          <w:szCs w:val="18"/>
          <w:color w:val="auto"/>
        </w:rPr>
      </w:pPr>
    </w:p>
    <w:p>
      <w:pPr>
        <w:ind w:firstLine="1304"/>
        <w:spacing w:after="0" w:line="277" w:lineRule="auto"/>
        <w:tabs>
          <w:tab w:leader="none" w:pos="152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Provide any assurance that any Business Combination entered into by the Company or any other action taken by the Company is as contemplated by the Registration Statement;</w:t>
      </w:r>
    </w:p>
    <w:p>
      <w:pPr>
        <w:spacing w:after="0" w:line="170" w:lineRule="exact"/>
        <w:rPr>
          <w:rFonts w:ascii="Arial" w:cs="Arial" w:eastAsia="Arial" w:hAnsi="Arial"/>
          <w:sz w:val="18"/>
          <w:szCs w:val="18"/>
          <w:color w:val="auto"/>
        </w:rPr>
      </w:pPr>
    </w:p>
    <w:p>
      <w:pPr>
        <w:ind w:firstLine="1304"/>
        <w:spacing w:after="0" w:line="308" w:lineRule="auto"/>
        <w:tabs>
          <w:tab w:leader="none" w:pos="1519" w:val="left"/>
        </w:tabs>
        <w:numPr>
          <w:ilvl w:val="1"/>
          <w:numId w:val="104"/>
        </w:numPr>
        <w:rPr>
          <w:rFonts w:ascii="Arial" w:cs="Arial" w:eastAsia="Arial" w:hAnsi="Arial"/>
          <w:sz w:val="17"/>
          <w:szCs w:val="17"/>
          <w:color w:val="auto"/>
        </w:rPr>
      </w:pPr>
      <w:r>
        <w:rPr>
          <w:rFonts w:ascii="Arial" w:cs="Arial" w:eastAsia="Arial" w:hAnsi="Arial"/>
          <w:sz w:val="17"/>
          <w:szCs w:val="17"/>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157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Prepare, execute and file tax reports, income or other tax returns and pay any taxes with respect to any income generated by, and activities relating to, the Trust Account, regardless of whether such tax is payable by the Trust Account or the Company, including, but not limited to, income tax obligations, except pursuant to </w:t>
      </w:r>
      <w:r>
        <w:rPr>
          <w:rFonts w:ascii="Arial" w:cs="Arial" w:eastAsia="Arial" w:hAnsi="Arial"/>
          <w:sz w:val="18"/>
          <w:szCs w:val="18"/>
          <w:u w:val="single" w:color="auto"/>
          <w:color w:val="auto"/>
        </w:rPr>
        <w:t>Section 1(j)</w:t>
      </w:r>
      <w:r>
        <w:rPr>
          <w:rFonts w:ascii="Arial" w:cs="Arial" w:eastAsia="Arial" w:hAnsi="Arial"/>
          <w:sz w:val="18"/>
          <w:szCs w:val="18"/>
          <w:color w:val="auto"/>
        </w:rPr>
        <w:t xml:space="preserve"> hereof; or</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 xml:space="preserve">Verify calculations, qualify or otherwise approve the Company’s written requests for distributions pursuant to </w:t>
      </w:r>
      <w:r>
        <w:rPr>
          <w:rFonts w:ascii="Arial" w:cs="Arial" w:eastAsia="Arial" w:hAnsi="Arial"/>
          <w:sz w:val="17"/>
          <w:szCs w:val="17"/>
          <w:u w:val="single" w:color="auto"/>
          <w:color w:val="auto"/>
        </w:rPr>
        <w:t>Sections 1(i)</w:t>
      </w:r>
      <w:r>
        <w:rPr>
          <w:rFonts w:ascii="Arial" w:cs="Arial" w:eastAsia="Arial" w:hAnsi="Arial"/>
          <w:sz w:val="17"/>
          <w:szCs w:val="17"/>
          <w:color w:val="auto"/>
        </w:rPr>
        <w:t xml:space="preserve">, </w:t>
      </w:r>
      <w:r>
        <w:rPr>
          <w:rFonts w:ascii="Arial" w:cs="Arial" w:eastAsia="Arial" w:hAnsi="Arial"/>
          <w:sz w:val="17"/>
          <w:szCs w:val="17"/>
          <w:u w:val="single" w:color="auto"/>
          <w:color w:val="auto"/>
        </w:rPr>
        <w:t>1(j)</w:t>
      </w:r>
      <w:r>
        <w:rPr>
          <w:rFonts w:ascii="Arial" w:cs="Arial" w:eastAsia="Arial" w:hAnsi="Arial"/>
          <w:sz w:val="17"/>
          <w:szCs w:val="17"/>
          <w:color w:val="auto"/>
        </w:rPr>
        <w:t xml:space="preserve">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1(k)</w:t>
      </w:r>
      <w:r>
        <w:rPr>
          <w:rFonts w:ascii="Arial" w:cs="Arial" w:eastAsia="Arial" w:hAnsi="Arial"/>
          <w:sz w:val="18"/>
          <w:szCs w:val="18"/>
          <w:color w:val="auto"/>
        </w:rPr>
        <w:t xml:space="preserve"> hereof.</w:t>
      </w:r>
    </w:p>
    <w:p>
      <w:pPr>
        <w:spacing w:after="0" w:line="210" w:lineRule="exact"/>
        <w:rPr>
          <w:rFonts w:ascii="Arial" w:cs="Arial" w:eastAsia="Arial" w:hAnsi="Arial"/>
          <w:sz w:val="17"/>
          <w:szCs w:val="17"/>
          <w:color w:val="auto"/>
        </w:rPr>
      </w:pPr>
    </w:p>
    <w:p>
      <w:pPr>
        <w:jc w:val="both"/>
        <w:ind w:firstLine="656"/>
        <w:spacing w:after="0" w:line="257" w:lineRule="auto"/>
        <w:tabs>
          <w:tab w:leader="none" w:pos="82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Trustee has no right of set-off or any right, title, interest or claim of any kind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hereof, the Trustee shall pursue such Claim solely against the Company and its assets outside the Trust Account and not against the Property or any monies in the Trust Account.</w:t>
      </w:r>
    </w:p>
    <w:p>
      <w:pPr>
        <w:spacing w:after="0" w:line="187" w:lineRule="exact"/>
        <w:rPr>
          <w:rFonts w:ascii="Arial" w:cs="Arial" w:eastAsia="Arial" w:hAnsi="Arial"/>
          <w:sz w:val="18"/>
          <w:szCs w:val="18"/>
          <w:color w:val="auto"/>
        </w:rPr>
      </w:pPr>
    </w:p>
    <w:p>
      <w:pPr>
        <w:ind w:left="840" w:hanging="184"/>
        <w:spacing w:after="0"/>
        <w:tabs>
          <w:tab w:leader="none" w:pos="8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jc w:val="both"/>
        <w:ind w:firstLine="1304"/>
        <w:spacing w:after="0" w:line="271" w:lineRule="auto"/>
        <w:tabs>
          <w:tab w:leader="none" w:pos="1542" w:val="left"/>
        </w:tabs>
        <w:numPr>
          <w:ilvl w:val="1"/>
          <w:numId w:val="105"/>
        </w:numPr>
        <w:rPr>
          <w:rFonts w:ascii="Arial" w:cs="Arial" w:eastAsia="Arial" w:hAnsi="Arial"/>
          <w:sz w:val="17"/>
          <w:szCs w:val="17"/>
          <w:color w:val="auto"/>
        </w:rPr>
      </w:pPr>
      <w:r>
        <w:rPr>
          <w:rFonts w:ascii="Arial" w:cs="Arial" w:eastAsia="Arial" w:hAnsi="Arial"/>
          <w:sz w:val="17"/>
          <w:szCs w:val="17"/>
          <w:color w:val="auto"/>
        </w:rPr>
        <w:t xml:space="preserve">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78" w:lineRule="exact"/>
        <w:rPr>
          <w:rFonts w:ascii="Arial" w:cs="Arial" w:eastAsia="Arial" w:hAnsi="Arial"/>
          <w:sz w:val="17"/>
          <w:szCs w:val="17"/>
          <w:color w:val="auto"/>
        </w:rPr>
      </w:pPr>
    </w:p>
    <w:p>
      <w:pPr>
        <w:jc w:val="both"/>
        <w:ind w:firstLine="1304"/>
        <w:spacing w:after="0" w:line="263" w:lineRule="auto"/>
        <w:tabs>
          <w:tab w:leader="none" w:pos="154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At such time that the Trustee has completed the liquidation of the Trust Account and its obligations in accordance with the provisions of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hereof and distributed the Property in accordance with the provisions of the Termination Letter, this Agreement shall terminate except with respect to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ind w:left="840" w:hanging="184"/>
        <w:spacing w:after="0"/>
        <w:tabs>
          <w:tab w:leader="none" w:pos="8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rFonts w:ascii="Arial" w:cs="Arial" w:eastAsia="Arial" w:hAnsi="Arial"/>
          <w:sz w:val="18"/>
          <w:szCs w:val="18"/>
          <w:color w:val="auto"/>
        </w:rPr>
      </w:pPr>
    </w:p>
    <w:p>
      <w:pPr>
        <w:jc w:val="both"/>
        <w:ind w:firstLine="1304"/>
        <w:spacing w:after="0" w:line="272" w:lineRule="auto"/>
        <w:tabs>
          <w:tab w:leader="none" w:pos="1547"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gross negligence, fraud or willful misconduct, the Trustee shall not be liable for any loss, liability or expense resulting from any error in the information or transmission of the funds.</w:t>
      </w:r>
    </w:p>
    <w:p>
      <w:pPr>
        <w:spacing w:after="0" w:line="177" w:lineRule="exact"/>
        <w:rPr>
          <w:rFonts w:ascii="Arial" w:cs="Arial" w:eastAsia="Arial" w:hAnsi="Arial"/>
          <w:sz w:val="17"/>
          <w:szCs w:val="17"/>
          <w:color w:val="auto"/>
        </w:rPr>
      </w:pPr>
    </w:p>
    <w:p>
      <w:pPr>
        <w:jc w:val="both"/>
        <w:ind w:firstLine="1304"/>
        <w:spacing w:after="0" w:line="286" w:lineRule="auto"/>
        <w:tabs>
          <w:tab w:leader="none" w:pos="1567"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 New York, without giving effect to conflicts of law principles that would result in the application of the substantive laws of another jurisdiction. This Agreement may be executed in several original or facsimile counterparts, each one of which shall constitute an original, and together shall constitute but one instrument.</w:t>
      </w:r>
    </w:p>
    <w:p>
      <w:pPr>
        <w:spacing w:after="0" w:line="165" w:lineRule="exact"/>
        <w:rPr>
          <w:rFonts w:ascii="Arial" w:cs="Arial" w:eastAsia="Arial" w:hAnsi="Arial"/>
          <w:sz w:val="17"/>
          <w:szCs w:val="17"/>
          <w:color w:val="auto"/>
        </w:rPr>
      </w:pPr>
    </w:p>
    <w:p>
      <w:pPr>
        <w:jc w:val="both"/>
        <w:ind w:firstLine="1304"/>
        <w:spacing w:after="0" w:line="289" w:lineRule="auto"/>
        <w:tabs>
          <w:tab w:leader="none" w:pos="1537" w:val="left"/>
        </w:tabs>
        <w:numPr>
          <w:ilvl w:val="1"/>
          <w:numId w:val="106"/>
        </w:numPr>
        <w:rPr>
          <w:rFonts w:ascii="Arial" w:cs="Arial" w:eastAsia="Arial" w:hAnsi="Arial"/>
          <w:sz w:val="16"/>
          <w:szCs w:val="16"/>
          <w:color w:val="auto"/>
        </w:rPr>
      </w:pPr>
      <w:r>
        <w:rPr>
          <w:rFonts w:ascii="Arial" w:cs="Arial" w:eastAsia="Arial" w:hAnsi="Arial"/>
          <w:sz w:val="16"/>
          <w:szCs w:val="16"/>
          <w:color w:val="auto"/>
        </w:rPr>
        <w:t xml:space="preserve">This Agreement contains the entire agreement and understanding of the parties hereto with respect to the subject matter hereof. Except for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w:t>
      </w:r>
      <w:r>
        <w:rPr>
          <w:rFonts w:ascii="Arial" w:cs="Arial" w:eastAsia="Arial" w:hAnsi="Arial"/>
          <w:sz w:val="16"/>
          <w:szCs w:val="16"/>
          <w:u w:val="single" w:color="auto"/>
          <w:color w:val="auto"/>
        </w:rPr>
        <w:t>1(j)</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1(k)</w:t>
      </w:r>
      <w:r>
        <w:rPr>
          <w:rFonts w:ascii="Arial" w:cs="Arial" w:eastAsia="Arial" w:hAnsi="Arial"/>
          <w:sz w:val="16"/>
          <w:szCs w:val="16"/>
          <w:color w:val="auto"/>
        </w:rPr>
        <w:t xml:space="preserve"> hereof (which sections may not be modified, amended or deleted without the affirmative vote of sixty-five percent (65%) of the then outstanding Ordinary Shares and Class B ordinary shares, par value $0.0001 per share, of the Company, voting together as a single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no such amendment will affect any Public Shareholder who has properly elected to redeem his or her Ordinary Shares in connection with a shareholder vote to amend this Agreement (i) to modify the substance or timing of the Company’s obligation to provide holders of the Public Shares the right to have their shares redeemed in connection with an initial Business Combination or to redeem 100% of its Ordinary Shares if the Company does not complete its initial Business Combination within the time frame specified in the Company’s amended and restated memorandum and articles of association or (ii) with respect to any other provisions relating to the rights of holders of the Public Shares), this Agreement or any provision hereof may only be changed, amended or modified (other than to correct a typographical error) by a writing signed by each of the parties hereto.</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155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State of New York, for purposes of resolving any disputes hereunder. AS TO ANY CLAIM, CROSS-CLAIM OR COUNTERCLAIM IN ANY WAY RELATING TO THIS AGREEMENT, EACH PARTY WAIVES THE RIGHT TO TRIAL BY JURY.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ind w:firstLine="1304"/>
        <w:spacing w:after="0" w:line="308" w:lineRule="auto"/>
        <w:tabs>
          <w:tab w:leader="none" w:pos="153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electronic mail:</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Continental Stock Transfer &amp; Trust Company</w:t>
      </w:r>
    </w:p>
    <w:p>
      <w:pPr>
        <w:ind w:left="130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Francis E. Wolf, Jr. &amp; Celeste Gonzalez</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fwolf@continentalstock.com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cgonzalez@continentalstock.com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Sustainable Opportunities Acquisition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1601 Bryan Street, Suite 4141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Scott Leonard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scott.leonard@3920partners.com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each case, with copies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Christian O. Nagler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Peter S. Seligson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cnagler@kirkland.com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peter.seligson@kirkland.com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Pavan Bellur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pavan.bellur@citi.com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Deanna L. Kirkpatrick and Derek Dostal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deanna.kirkpatrick@davispolk.com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derek.dostal@davispolk.com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jc w:val="both"/>
        <w:ind w:firstLine="1304"/>
        <w:spacing w:after="0" w:line="311" w:lineRule="auto"/>
        <w:tabs>
          <w:tab w:leader="none" w:pos="152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364" w:lineRule="exact"/>
        <w:rPr>
          <w:rFonts w:ascii="Arial" w:cs="Arial" w:eastAsia="Arial" w:hAnsi="Arial"/>
          <w:sz w:val="16"/>
          <w:szCs w:val="16"/>
          <w:color w:val="auto"/>
        </w:rPr>
      </w:pPr>
    </w:p>
    <w:p>
      <w:pPr>
        <w:ind w:firstLine="1304"/>
        <w:spacing w:after="0" w:line="277" w:lineRule="auto"/>
        <w:tabs>
          <w:tab w:leader="none" w:pos="157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This Agreement is the joint product of the Trustee and the Company and each provision hereof has been subject to the mutual consultation, negotiation and agreement of such parties and shall not be construed for or against any party hereto.</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7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to be an original, but all such counterparts shall together constitute one and the same instrument. Delivery of a signed counterpart of this Agreement by facsimile or electronic transmission shall constitute valid and sufficient delivery thereof.</w:t>
      </w:r>
    </w:p>
    <w:p>
      <w:pPr>
        <w:spacing w:after="0" w:line="183" w:lineRule="exact"/>
        <w:rPr>
          <w:rFonts w:ascii="Arial" w:cs="Arial" w:eastAsia="Arial" w:hAnsi="Arial"/>
          <w:sz w:val="18"/>
          <w:szCs w:val="18"/>
          <w:color w:val="auto"/>
        </w:rPr>
      </w:pPr>
    </w:p>
    <w:p>
      <w:pPr>
        <w:ind w:firstLine="1304"/>
        <w:spacing w:after="0" w:line="277" w:lineRule="auto"/>
        <w:tabs>
          <w:tab w:leader="none" w:pos="151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of the Company and the Trustee hereby acknowledges and agrees that the Representative on behalf of the Underwriters is a third-party beneficiary of this Agreement.</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Except as specified herein, no party to this Agreement may assign its rights or delegate its obligations hereunder to any other person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duly executed this Investment Management Trust Agreement as of the date first written above.</w:t>
      </w:r>
    </w:p>
    <w:p>
      <w:pPr>
        <w:spacing w:after="0" w:line="248"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CONTINENTAL STOCK TRANSFER &amp; TRUST</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as Trustee</w:t>
      </w:r>
    </w:p>
    <w:p>
      <w:pPr>
        <w:spacing w:after="0" w:line="211" w:lineRule="exact"/>
        <w:rPr>
          <w:sz w:val="20"/>
          <w:szCs w:val="20"/>
          <w:color w:val="auto"/>
        </w:rPr>
      </w:pPr>
    </w:p>
    <w:p>
      <w:pPr>
        <w:ind w:left="6060"/>
        <w:spacing w:after="0"/>
        <w:tabs>
          <w:tab w:leader="none" w:pos="6520" w:val="left"/>
        </w:tabs>
        <w:rPr>
          <w:sz w:val="20"/>
          <w:szCs w:val="20"/>
          <w:color w:val="auto"/>
        </w:rPr>
      </w:pPr>
      <w:r>
        <w:rPr>
          <w:rFonts w:ascii="Arial" w:cs="Arial" w:eastAsia="Arial" w:hAnsi="Arial"/>
          <w:sz w:val="18"/>
          <w:szCs w:val="18"/>
          <w:color w:val="auto"/>
        </w:rPr>
        <w:t>By:</w:t>
        <w:tab/>
        <w:t>/s/ Francis E. Wolf Jr.</w:t>
      </w:r>
    </w:p>
    <w:p>
      <w:pPr>
        <w:spacing w:after="0" w:line="3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Name:Francis E. Wolf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-130175</wp:posOffset>
            </wp:positionV>
            <wp:extent cx="25628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SUSTAINABLE OPPORTUNITIES ACQUISITION</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CORP.</w:t>
      </w:r>
    </w:p>
    <w:p>
      <w:pPr>
        <w:spacing w:after="0" w:line="211" w:lineRule="exact"/>
        <w:rPr>
          <w:sz w:val="20"/>
          <w:szCs w:val="20"/>
          <w:color w:val="auto"/>
        </w:rPr>
      </w:pPr>
    </w:p>
    <w:p>
      <w:pPr>
        <w:ind w:left="6060"/>
        <w:spacing w:after="0"/>
        <w:tabs>
          <w:tab w:leader="none" w:pos="6520" w:val="left"/>
        </w:tabs>
        <w:rPr>
          <w:sz w:val="20"/>
          <w:szCs w:val="20"/>
          <w:color w:val="auto"/>
        </w:rPr>
      </w:pPr>
      <w:r>
        <w:rPr>
          <w:rFonts w:ascii="Arial" w:cs="Arial" w:eastAsia="Arial" w:hAnsi="Arial"/>
          <w:sz w:val="18"/>
          <w:szCs w:val="18"/>
          <w:color w:val="auto"/>
        </w:rPr>
        <w:t>By:</w:t>
        <w:tab/>
        <w:t>/s/ Scott Leonard</w:t>
      </w:r>
    </w:p>
    <w:p>
      <w:pPr>
        <w:spacing w:after="0" w:line="3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-130175</wp:posOffset>
            </wp:positionV>
            <wp:extent cx="25628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980" w:top="904" w:right="79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b w:val="1"/>
                <w:bCs w:val="1"/>
                <w:color w:val="auto"/>
              </w:rPr>
              <w:t>SCHEDULE A</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53"/>
        </w:trPr>
        <w:tc>
          <w:tcPr>
            <w:tcW w:w="4840" w:type="dxa"/>
            <w:vAlign w:val="bottom"/>
            <w:gridSpan w:val="2"/>
          </w:tcPr>
          <w:p>
            <w:pPr>
              <w:ind w:left="2020"/>
              <w:spacing w:after="0"/>
              <w:rPr>
                <w:sz w:val="20"/>
                <w:szCs w:val="20"/>
                <w:color w:val="auto"/>
              </w:rPr>
            </w:pPr>
            <w:r>
              <w:rPr>
                <w:rFonts w:ascii="Arial" w:cs="Arial" w:eastAsia="Arial" w:hAnsi="Arial"/>
                <w:sz w:val="18"/>
                <w:szCs w:val="18"/>
                <w:b w:val="1"/>
                <w:bCs w:val="1"/>
                <w:color w:val="auto"/>
              </w:rPr>
              <w:t>Fee Item</w:t>
            </w:r>
          </w:p>
        </w:tc>
        <w:tc>
          <w:tcPr>
            <w:tcW w:w="4840" w:type="dxa"/>
            <w:vAlign w:val="bottom"/>
            <w:gridSpan w:val="2"/>
          </w:tcPr>
          <w:p>
            <w:pPr>
              <w:ind w:left="1220"/>
              <w:spacing w:after="0"/>
              <w:rPr>
                <w:sz w:val="20"/>
                <w:szCs w:val="20"/>
                <w:color w:val="auto"/>
              </w:rPr>
            </w:pPr>
            <w:r>
              <w:rPr>
                <w:rFonts w:ascii="Arial" w:cs="Arial" w:eastAsia="Arial" w:hAnsi="Arial"/>
                <w:sz w:val="18"/>
                <w:szCs w:val="18"/>
                <w:b w:val="1"/>
                <w:bCs w:val="1"/>
                <w:color w:val="auto"/>
              </w:rPr>
              <w:t>Time and method of payment</w:t>
            </w:r>
          </w:p>
        </w:tc>
        <w:tc>
          <w:tcPr>
            <w:tcW w:w="160" w:type="dxa"/>
            <w:vAlign w:val="bottom"/>
          </w:tcPr>
          <w:p>
            <w:pPr>
              <w:spacing w:after="0"/>
              <w:rPr>
                <w:sz w:val="24"/>
                <w:szCs w:val="24"/>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rPr>
              <w:t>Amount</w:t>
            </w:r>
          </w:p>
        </w:tc>
      </w:tr>
      <w:tr>
        <w:trPr>
          <w:trHeight w:val="216"/>
        </w:trPr>
        <w:tc>
          <w:tcPr>
            <w:tcW w:w="47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Initial acceptance fee</w:t>
            </w:r>
          </w:p>
        </w:tc>
        <w:tc>
          <w:tcPr>
            <w:tcW w:w="14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Initial closing of IPO by wire transfer</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40" w:type="dxa"/>
            <w:vAlign w:val="bottom"/>
            <w:tcBorders>
              <w:top w:val="single" w:sz="8" w:color="CCEEFF"/>
            </w:tcBorders>
            <w:shd w:val="clear" w:color="auto" w:fill="CCEEFF"/>
          </w:tcPr>
          <w:p>
            <w:pPr>
              <w:spacing w:after="0"/>
              <w:rPr>
                <w:sz w:val="18"/>
                <w:szCs w:val="18"/>
                <w:color w:val="auto"/>
              </w:rPr>
            </w:pPr>
          </w:p>
        </w:tc>
      </w:tr>
      <w:tr>
        <w:trPr>
          <w:trHeight w:val="202"/>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4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8"/>
              </w:rPr>
              <w:t>First year, initial closing of IPO by wire transfer; thereafter on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40" w:type="dxa"/>
            <w:vAlign w:val="bottom"/>
            <w:gridSpan w:val="2"/>
          </w:tcPr>
          <w:p>
            <w:pPr>
              <w:ind w:left="60"/>
              <w:spacing w:after="0"/>
              <w:rPr>
                <w:sz w:val="20"/>
                <w:szCs w:val="20"/>
                <w:color w:val="auto"/>
              </w:rPr>
            </w:pPr>
            <w:r>
              <w:rPr>
                <w:rFonts w:ascii="Arial" w:cs="Arial" w:eastAsia="Arial" w:hAnsi="Arial"/>
                <w:sz w:val="18"/>
                <w:szCs w:val="18"/>
                <w:color w:val="auto"/>
                <w:w w:val="95"/>
              </w:rPr>
              <w:t>the anniversary of the effective date of the IPO by wire transfer</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4840" w:type="dxa"/>
            <w:vAlign w:val="bottom"/>
            <w:gridSpan w:val="2"/>
          </w:tcPr>
          <w:p>
            <w:pPr>
              <w:ind w:left="80"/>
              <w:spacing w:after="0"/>
              <w:rPr>
                <w:sz w:val="20"/>
                <w:szCs w:val="20"/>
                <w:color w:val="auto"/>
              </w:rPr>
            </w:pPr>
            <w:r>
              <w:rPr>
                <w:rFonts w:ascii="Arial" w:cs="Arial" w:eastAsia="Arial" w:hAnsi="Arial"/>
                <w:sz w:val="18"/>
                <w:szCs w:val="18"/>
                <w:color w:val="auto"/>
              </w:rPr>
              <w:t>Annual fee</w:t>
            </w:r>
          </w:p>
        </w:tc>
        <w:tc>
          <w:tcPr>
            <w:tcW w:w="4840" w:type="dxa"/>
            <w:vAlign w:val="bottom"/>
            <w:gridSpan w:val="2"/>
          </w:tcPr>
          <w:p>
            <w:pPr>
              <w:ind w:left="60"/>
              <w:spacing w:after="0"/>
              <w:rPr>
                <w:sz w:val="20"/>
                <w:szCs w:val="20"/>
                <w:color w:val="auto"/>
              </w:rPr>
            </w:pPr>
            <w:r>
              <w:rPr>
                <w:rFonts w:ascii="Arial" w:cs="Arial" w:eastAsia="Arial" w:hAnsi="Arial"/>
                <w:sz w:val="18"/>
                <w:szCs w:val="18"/>
                <w:color w:val="auto"/>
              </w:rPr>
              <w:t>or check</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10,000.00</w:t>
            </w:r>
          </w:p>
        </w:tc>
      </w:tr>
      <w:tr>
        <w:trPr>
          <w:trHeight w:val="202"/>
        </w:trPr>
        <w:tc>
          <w:tcPr>
            <w:tcW w:w="484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Transaction processing fee for disbursements to Company</w:t>
            </w:r>
          </w:p>
        </w:tc>
        <w:tc>
          <w:tcPr>
            <w:tcW w:w="4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48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under Sections 1(i), (j), and (k)</w:t>
            </w:r>
          </w:p>
        </w:tc>
        <w:tc>
          <w:tcPr>
            <w:tcW w:w="4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Billed by Trustee to Company under Section 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r>
      <w:tr>
        <w:trPr>
          <w:trHeight w:val="202"/>
        </w:trPr>
        <w:tc>
          <w:tcPr>
            <w:tcW w:w="484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4"/>
              </w:rPr>
              <w:t>Paying Agent services as required pursuant to Section 1(i) and</w:t>
            </w:r>
          </w:p>
        </w:tc>
        <w:tc>
          <w:tcPr>
            <w:tcW w:w="484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5"/>
              </w:rPr>
              <w:t>Billed to Company upon delivery of service pursuant to Section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4840" w:type="dxa"/>
            <w:vAlign w:val="bottom"/>
            <w:gridSpan w:val="2"/>
          </w:tcPr>
          <w:p>
            <w:pPr>
              <w:ind w:left="80"/>
              <w:spacing w:after="0"/>
              <w:rPr>
                <w:sz w:val="20"/>
                <w:szCs w:val="20"/>
                <w:color w:val="auto"/>
              </w:rPr>
            </w:pPr>
            <w:r>
              <w:rPr>
                <w:rFonts w:ascii="Arial" w:cs="Arial" w:eastAsia="Arial" w:hAnsi="Arial"/>
                <w:sz w:val="18"/>
                <w:szCs w:val="18"/>
                <w:color w:val="auto"/>
              </w:rPr>
              <w:t>1(k)</w:t>
            </w:r>
          </w:p>
        </w:tc>
        <w:tc>
          <w:tcPr>
            <w:tcW w:w="4840" w:type="dxa"/>
            <w:vAlign w:val="bottom"/>
            <w:gridSpan w:val="2"/>
          </w:tcPr>
          <w:p>
            <w:pPr>
              <w:ind w:left="60"/>
              <w:spacing w:after="0"/>
              <w:rPr>
                <w:sz w:val="20"/>
                <w:szCs w:val="20"/>
                <w:color w:val="auto"/>
              </w:rPr>
            </w:pPr>
            <w:r>
              <w:rPr>
                <w:rFonts w:ascii="Arial" w:cs="Arial" w:eastAsia="Arial" w:hAnsi="Arial"/>
                <w:sz w:val="18"/>
                <w:szCs w:val="18"/>
                <w:color w:val="auto"/>
              </w:rPr>
              <w:t>1(i) and 1(k)</w:t>
            </w:r>
          </w:p>
        </w:tc>
        <w:tc>
          <w:tcPr>
            <w:tcW w:w="16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color w:val="auto"/>
              </w:rPr>
              <w:t>Prevailing rates</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E. Wolf, Jr. &amp; Celeste Gonzalez</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gridSpan w:val="2"/>
          </w:tcPr>
          <w:p>
            <w:pPr>
              <w:ind w:left="660"/>
              <w:spacing w:after="0"/>
              <w:rPr>
                <w:sz w:val="20"/>
                <w:szCs w:val="20"/>
                <w:color w:val="auto"/>
              </w:rPr>
            </w:pPr>
            <w:r>
              <w:rPr>
                <w:rFonts w:ascii="Arial" w:cs="Arial" w:eastAsia="Arial" w:hAnsi="Arial"/>
                <w:sz w:val="18"/>
                <w:szCs w:val="18"/>
                <w:color w:val="auto"/>
              </w:rPr>
              <w:t>Re:Trust Account No.</w:t>
            </w:r>
          </w:p>
        </w:tc>
        <w:tc>
          <w:tcPr>
            <w:tcW w:w="1540" w:type="dxa"/>
            <w:vAlign w:val="bottom"/>
          </w:tcPr>
          <w:p>
            <w:pPr>
              <w:ind w:left="200"/>
              <w:spacing w:after="0"/>
              <w:rPr>
                <w:sz w:val="20"/>
                <w:szCs w:val="20"/>
                <w:color w:val="auto"/>
              </w:rPr>
            </w:pPr>
            <w:r>
              <w:rPr>
                <w:rFonts w:ascii="Arial" w:cs="Arial" w:eastAsia="Arial" w:hAnsi="Arial"/>
                <w:sz w:val="18"/>
                <w:szCs w:val="18"/>
                <w:color w:val="auto"/>
                <w:w w:val="90"/>
              </w:rPr>
              <w:t>Termination Letter</w:t>
            </w:r>
          </w:p>
        </w:tc>
      </w:tr>
      <w:tr>
        <w:trPr>
          <w:trHeight w:val="20"/>
        </w:trPr>
        <w:tc>
          <w:tcPr>
            <w:tcW w:w="9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453"/>
        </w:trPr>
        <w:tc>
          <w:tcPr>
            <w:tcW w:w="2440" w:type="dxa"/>
            <w:vAlign w:val="bottom"/>
            <w:gridSpan w:val="2"/>
          </w:tcPr>
          <w:p>
            <w:pPr>
              <w:spacing w:after="0"/>
              <w:rPr>
                <w:sz w:val="20"/>
                <w:szCs w:val="20"/>
                <w:color w:val="auto"/>
              </w:rPr>
            </w:pPr>
            <w:r>
              <w:rPr>
                <w:rFonts w:ascii="Arial" w:cs="Arial" w:eastAsia="Arial" w:hAnsi="Arial"/>
                <w:sz w:val="18"/>
                <w:szCs w:val="18"/>
                <w:color w:val="auto"/>
              </w:rPr>
              <w:t>Ladies and Gentlemen:</w:t>
            </w:r>
          </w:p>
        </w:tc>
        <w:tc>
          <w:tcPr>
            <w:tcW w:w="154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of the Investment Management Trust Agreement between Sustainable Opportunities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__________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this is to advise you that the Company</w:t>
      </w:r>
    </w:p>
    <w:p>
      <w:pPr>
        <w:spacing w:after="0"/>
        <w:rPr>
          <w:sz w:val="20"/>
          <w:szCs w:val="20"/>
          <w:color w:val="auto"/>
        </w:rPr>
      </w:pPr>
      <w:r>
        <w:rPr>
          <w:rFonts w:ascii="Arial" w:cs="Arial" w:eastAsia="Arial" w:hAnsi="Arial"/>
          <w:sz w:val="16"/>
          <w:szCs w:val="16"/>
          <w:color w:val="auto"/>
        </w:rPr>
        <w:t>has entered into an agreement with ___________ (the “</w:t>
      </w:r>
      <w:r>
        <w:rPr>
          <w:rFonts w:ascii="Arial" w:cs="Arial" w:eastAsia="Arial" w:hAnsi="Arial"/>
          <w:sz w:val="16"/>
          <w:szCs w:val="16"/>
          <w:b w:val="1"/>
          <w:bCs w:val="1"/>
          <w:i w:val="1"/>
          <w:iCs w:val="1"/>
          <w:color w:val="auto"/>
        </w:rPr>
        <w:t>Target Business</w:t>
      </w:r>
      <w:r>
        <w:rPr>
          <w:rFonts w:ascii="Arial" w:cs="Arial" w:eastAsia="Arial" w:hAnsi="Arial"/>
          <w:sz w:val="16"/>
          <w:szCs w:val="16"/>
          <w:color w:val="auto"/>
        </w:rPr>
        <w:t>”) to consummate a business combination with Target Business (the “</w:t>
      </w:r>
      <w:r>
        <w:rPr>
          <w:rFonts w:ascii="Arial" w:cs="Arial" w:eastAsia="Arial" w:hAnsi="Arial"/>
          <w:sz w:val="16"/>
          <w:szCs w:val="16"/>
          <w:b w:val="1"/>
          <w:bCs w:val="1"/>
          <w:i w:val="1"/>
          <w:iCs w:val="1"/>
          <w:color w:val="auto"/>
        </w:rPr>
        <w:t>Business</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Combination</w:t>
      </w:r>
      <w:r>
        <w:rPr>
          <w:rFonts w:ascii="Arial" w:cs="Arial" w:eastAsia="Arial" w:hAnsi="Arial"/>
          <w:sz w:val="18"/>
          <w:szCs w:val="18"/>
          <w:color w:val="auto"/>
        </w:rPr>
        <w:t>”) on or about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[insert date]</w:t>
      </w:r>
      <w:r>
        <w:rPr>
          <w:rFonts w:ascii="Arial" w:cs="Arial" w:eastAsia="Arial" w:hAnsi="Arial"/>
          <w:sz w:val="18"/>
          <w:szCs w:val="18"/>
          <w:color w:val="auto"/>
        </w:rPr>
        <w:t>. The Company shall notify you at least seventy-two (72) hours in advance of the actual date of the consummation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Business Combination (the “</w:t>
      </w:r>
      <w:r>
        <w:rPr>
          <w:rFonts w:ascii="Arial" w:cs="Arial" w:eastAsia="Arial" w:hAnsi="Arial"/>
          <w:sz w:val="18"/>
          <w:szCs w:val="18"/>
          <w:b w:val="1"/>
          <w:bCs w:val="1"/>
          <w:i w:val="1"/>
          <w:iCs w:val="1"/>
          <w:color w:val="auto"/>
        </w:rPr>
        <w:t>Consummation Date</w:t>
      </w:r>
      <w:r>
        <w:rPr>
          <w:rFonts w:ascii="Arial" w:cs="Arial" w:eastAsia="Arial" w:hAnsi="Arial"/>
          <w:sz w:val="18"/>
          <w:szCs w:val="18"/>
          <w:color w:val="auto"/>
        </w:rPr>
        <w:t>”). Capitalized terms used but not defined herein shall have the meanings set forth in the Trust Agreement.</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the terms of the Trust Agreement, we hereby authorize you to commence to liquidate all of the assets of the Trust Account, and to transfer the proceeds into the trust operating account at J.P. Morgan Chase Bank, N.A. to the effect that, on the Consummation Date, all of the funds held in the Trust Account will be immediately available for transfer to the account or accounts that the Company shall direct on the Consummation Date. It is acknowledged and agreed that while the funds are on deposit in said trust operating account at J.P. Morgan Chase Bank, N.A. awaiting distribution, the Company will not earn any interest or dividends.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the Consummation Date (i) counsel for the Company shall deliver to you written notification that the Business Combination has been consummated, or will be consummated concurrently with your transfer of funds to the accounts as directed by the Company (the “</w:t>
      </w:r>
      <w:r>
        <w:rPr>
          <w:rFonts w:ascii="Arial" w:cs="Arial" w:eastAsia="Arial" w:hAnsi="Arial"/>
          <w:sz w:val="17"/>
          <w:szCs w:val="17"/>
          <w:b w:val="1"/>
          <w:bCs w:val="1"/>
          <w:i w:val="1"/>
          <w:iCs w:val="1"/>
          <w:color w:val="auto"/>
        </w:rPr>
        <w:t>Notification</w:t>
      </w:r>
      <w:r>
        <w:rPr>
          <w:rFonts w:ascii="Arial" w:cs="Arial" w:eastAsia="Arial" w:hAnsi="Arial"/>
          <w:sz w:val="17"/>
          <w:szCs w:val="17"/>
          <w:color w:val="auto"/>
        </w:rPr>
        <w:t>”), and (ii) the Company shall deliver to you (a) a certificate of the Chief Executive Officer, Chief Financial Officer or other authorized officer of the Company, which verifies that the Business Combination has been approved by a vote of the Company’s shareholders, if a vote is held and (b) joint written instruction signed by the Company and the Representative with respect to the transfer of the funds held in the Trust Account, including payment of the Deferred Discount from the Trust Account (the “</w:t>
      </w:r>
      <w:r>
        <w:rPr>
          <w:rFonts w:ascii="Arial" w:cs="Arial" w:eastAsia="Arial" w:hAnsi="Arial"/>
          <w:sz w:val="17"/>
          <w:szCs w:val="17"/>
          <w:b w:val="1"/>
          <w:bCs w:val="1"/>
          <w:i w:val="1"/>
          <w:iCs w:val="1"/>
          <w:color w:val="auto"/>
        </w:rPr>
        <w:t>Instruction Letter</w:t>
      </w:r>
      <w:r>
        <w:rPr>
          <w:rFonts w:ascii="Arial" w:cs="Arial" w:eastAsia="Arial" w:hAnsi="Arial"/>
          <w:sz w:val="17"/>
          <w:szCs w:val="17"/>
          <w:color w:val="auto"/>
        </w:rPr>
        <w:t>”). 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Section 1(c) of the Trust Agreement on the business day immediately following the Consummation Date as set forth in such notice as soon thereafter as possible.</w:t>
      </w:r>
    </w:p>
    <w:p>
      <w:pPr>
        <w:spacing w:after="0" w:line="18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Sustainable Opportunities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500" w:hanging="492"/>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Citigroup Global Markets Inc.</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E. Wolf, Jr. &amp; Celeste Gonzalez</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gridSpan w:val="2"/>
          </w:tcPr>
          <w:p>
            <w:pPr>
              <w:ind w:left="740"/>
              <w:spacing w:after="0"/>
              <w:rPr>
                <w:sz w:val="20"/>
                <w:szCs w:val="20"/>
                <w:color w:val="auto"/>
              </w:rPr>
            </w:pPr>
            <w:r>
              <w:rPr>
                <w:rFonts w:ascii="Arial" w:cs="Arial" w:eastAsia="Arial" w:hAnsi="Arial"/>
                <w:sz w:val="18"/>
                <w:szCs w:val="18"/>
                <w:color w:val="auto"/>
              </w:rPr>
              <w:t>Re: Trust Account No.</w:t>
            </w:r>
          </w:p>
        </w:tc>
        <w:tc>
          <w:tcPr>
            <w:tcW w:w="1660" w:type="dxa"/>
            <w:vAlign w:val="bottom"/>
          </w:tcPr>
          <w:p>
            <w:pPr>
              <w:ind w:left="300"/>
              <w:spacing w:after="0"/>
              <w:rPr>
                <w:sz w:val="20"/>
                <w:szCs w:val="20"/>
                <w:color w:val="auto"/>
              </w:rPr>
            </w:pPr>
            <w:r>
              <w:rPr>
                <w:rFonts w:ascii="Arial" w:cs="Arial" w:eastAsia="Arial" w:hAnsi="Arial"/>
                <w:sz w:val="18"/>
                <w:szCs w:val="18"/>
                <w:color w:val="auto"/>
                <w:w w:val="91"/>
              </w:rPr>
              <w:t>Termination Letter</w:t>
            </w:r>
          </w:p>
        </w:tc>
      </w:tr>
      <w:tr>
        <w:trPr>
          <w:trHeight w:val="20"/>
        </w:trPr>
        <w:tc>
          <w:tcPr>
            <w:tcW w:w="10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r>
        <w:trPr>
          <w:trHeight w:val="453"/>
        </w:trPr>
        <w:tc>
          <w:tcPr>
            <w:tcW w:w="2680" w:type="dxa"/>
            <w:vAlign w:val="bottom"/>
            <w:gridSpan w:val="2"/>
          </w:tcPr>
          <w:p>
            <w:pPr>
              <w:spacing w:after="0"/>
              <w:rPr>
                <w:sz w:val="20"/>
                <w:szCs w:val="20"/>
                <w:color w:val="auto"/>
              </w:rPr>
            </w:pPr>
            <w:r>
              <w:rPr>
                <w:rFonts w:ascii="Arial" w:cs="Arial" w:eastAsia="Arial" w:hAnsi="Arial"/>
                <w:sz w:val="18"/>
                <w:szCs w:val="18"/>
                <w:color w:val="auto"/>
              </w:rPr>
              <w:t>Ladies and Gentlemen:</w:t>
            </w:r>
          </w:p>
        </w:tc>
        <w:tc>
          <w:tcPr>
            <w:tcW w:w="166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of the Investment Management Trust Agreement between Sustainable Opportunities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__________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this is to advise you that the Company</w:t>
      </w:r>
    </w:p>
    <w:p>
      <w:pPr>
        <w:jc w:val="both"/>
        <w:spacing w:after="0" w:line="255" w:lineRule="auto"/>
        <w:rPr>
          <w:sz w:val="20"/>
          <w:szCs w:val="20"/>
          <w:color w:val="auto"/>
        </w:rPr>
      </w:pPr>
      <w:r>
        <w:rPr>
          <w:rFonts w:ascii="Arial" w:cs="Arial" w:eastAsia="Arial" w:hAnsi="Arial"/>
          <w:sz w:val="18"/>
          <w:szCs w:val="18"/>
          <w:color w:val="auto"/>
        </w:rPr>
        <w:t>has been unable to effect a business combination with a Target Business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within the time frame specified in the Company’s Amended and Restated Memorandum and Articles of Association, as described in the Company’s Prospectus relating to the Offering. Capitalized terms used but not defined herein shall have the meanings set forth in the Trust Agreement.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accordance with the terms of the Trust Agreement, we hereby authorize you to liquidate all of the assets in the Trust Account 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 20___ and to transfer the total proceeds into the trust operating account at J.P. Morgan Chase Bank, N.A. to await distribution to the 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Shareholders. The Company has selected __________ as the effective date for the purpose of determining when the Public Shareholders will be entitled to</w:t>
      </w:r>
    </w:p>
    <w:p>
      <w:pPr>
        <w:spacing w:after="0" w:line="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receive their share of the liquidation proceeds. It is acknowledged that no interest will be earned by the Company on the liquidation proceeds while on deposit in the trust operating account. You agree to be the Paying Agent of record and, in your separate capacity as Paying Agent, agree to distribute said funds directly to the Company’s Public Shareholders in accordance with the terms of the Trust Agreement and the Amended and Restated Memorandum and Articles of Association of the Company. Upon the distribution of all the funds, net of any payments necessary for reasonable unreimbursed expenses related to liquidating the Trust Account, your obligations under the Trust Agreement shall be terminated, except to the extent otherwise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of the Trust Agreement.</w:t>
      </w:r>
    </w:p>
    <w:p>
      <w:pPr>
        <w:spacing w:after="0" w:line="19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Sustainable Opportunities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500" w:hanging="492"/>
        <w:spacing w:after="0"/>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Citigroup Global Markets Inc.</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E. Wolf, Jr. &amp; Celeste Gonzalez</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No. Tax Payment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1(j)</w:t>
      </w:r>
      <w:r>
        <w:rPr>
          <w:rFonts w:ascii="Arial" w:cs="Arial" w:eastAsia="Arial" w:hAnsi="Arial"/>
          <w:sz w:val="16"/>
          <w:szCs w:val="16"/>
          <w:color w:val="auto"/>
        </w:rPr>
        <w:t xml:space="preserve"> of the Investment Management Trust Agreement between Sustainable Opportunities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__________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the Company hereby requests that</w:t>
      </w:r>
    </w:p>
    <w:p>
      <w:pPr>
        <w:spacing w:after="0"/>
        <w:rPr>
          <w:sz w:val="20"/>
          <w:szCs w:val="20"/>
          <w:color w:val="auto"/>
        </w:rPr>
      </w:pPr>
      <w:r>
        <w:rPr>
          <w:rFonts w:ascii="Arial" w:cs="Arial" w:eastAsia="Arial" w:hAnsi="Arial"/>
          <w:sz w:val="16"/>
          <w:szCs w:val="16"/>
          <w:color w:val="auto"/>
        </w:rPr>
        <w:t>you deliver to the Company $___________ of the interest income earned on the Property as of the date hereof. Capitalized terms used but not defined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 shall have the meanings set forth in the Trust Agreement.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 INSTRUCTION INFORMATION]</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Sustainable Opportunities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500" w:hanging="492"/>
        <w:spacing w:after="0"/>
        <w:tabs>
          <w:tab w:leader="none" w:pos="5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Citigroup Global Markets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E. Wolf, Jr. &amp; Celeste Gonzalez</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No. Shareholder Redemption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1(k)</w:t>
      </w:r>
      <w:r>
        <w:rPr>
          <w:rFonts w:ascii="Arial" w:cs="Arial" w:eastAsia="Arial" w:hAnsi="Arial"/>
          <w:sz w:val="16"/>
          <w:szCs w:val="16"/>
          <w:color w:val="auto"/>
        </w:rPr>
        <w:t xml:space="preserve"> of the Investment Management Trust Agreement between Sustainable Opportunities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__________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the Company hereby requests that</w:t>
      </w:r>
    </w:p>
    <w:p>
      <w:pPr>
        <w:spacing w:after="0"/>
        <w:rPr>
          <w:sz w:val="20"/>
          <w:szCs w:val="20"/>
          <w:color w:val="auto"/>
        </w:rPr>
      </w:pPr>
      <w:r>
        <w:rPr>
          <w:rFonts w:ascii="Arial" w:cs="Arial" w:eastAsia="Arial" w:hAnsi="Arial"/>
          <w:sz w:val="16"/>
          <w:szCs w:val="16"/>
          <w:color w:val="auto"/>
        </w:rPr>
        <w:t>you deliver to the Company’s shareholders $___________ of the principal and interest income earned on the Property as of the date hereof.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used but not defined herein shall have the meanings set forth in the Trust Agreement.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Section 1(k) of the Trust Agreement, this is to advise you that the Company has sought an Amendment. Accordingly, in accordance with the terms of the Trust Agreement, we hereby authorize you to liquidate a sufficient portion of the Trust Account and to transfer $[●] of the proceeds of the Trust Account to the trust operating account at J.P. Morgan Chase Bank, N.A. for distribution to the shareholders that have requested redemption of their shares in connection with such Amendment.</w:t>
      </w:r>
    </w:p>
    <w:p>
      <w:pPr>
        <w:spacing w:after="0" w:line="18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Sustainable Opportunities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500" w:hanging="492"/>
        <w:spacing w:after="0"/>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Citigroup Global Markets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b w:val="1"/>
          <w:bCs w:val="1"/>
          <w:color w:val="auto"/>
        </w:rPr>
        <w:t>Exhibit 10.3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AND SHAREHOLDER RIGHTS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REGISTRATION AND SHAREHOLDER RIGHTS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May 8, 2020, is made and entered into by and among Sustainable Opportunities Acquisition Corp., a Cayman Islands 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Sustainable Opportunities Holdings LLC, a Delaware limited liability company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xml:space="preserve">”), and the undersigned parties listed under Holder on the signature page hereto (each such party, together with the Sponsor and any person or entity who hereafter becomes a party to this Agreement pursuant to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of this Agreement, a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Sponsor purchased 8,625,000 shares (the “</w:t>
      </w:r>
      <w:r>
        <w:rPr>
          <w:rFonts w:ascii="Arial" w:cs="Arial" w:eastAsia="Arial" w:hAnsi="Arial"/>
          <w:sz w:val="16"/>
          <w:szCs w:val="16"/>
          <w:b w:val="1"/>
          <w:bCs w:val="1"/>
          <w:i w:val="1"/>
          <w:iCs w:val="1"/>
          <w:color w:val="auto"/>
        </w:rPr>
        <w:t>Founder Shares</w:t>
      </w:r>
      <w:r>
        <w:rPr>
          <w:rFonts w:ascii="Arial" w:cs="Arial" w:eastAsia="Arial" w:hAnsi="Arial"/>
          <w:sz w:val="16"/>
          <w:szCs w:val="16"/>
          <w:color w:val="auto"/>
        </w:rPr>
        <w:t>”) of the Company’s Class B ordinary shares, par value $0.0001 per</w:t>
      </w:r>
      <w:r>
        <w:rPr>
          <w:rFonts w:ascii="Arial" w:cs="Arial" w:eastAsia="Arial" w:hAnsi="Arial"/>
          <w:sz w:val="16"/>
          <w:szCs w:val="16"/>
          <w:b w:val="1"/>
          <w:bCs w:val="1"/>
          <w:color w:val="auto"/>
        </w:rPr>
        <w:t xml:space="preserve"> </w:t>
      </w:r>
      <w:r>
        <w:rPr>
          <w:rFonts w:ascii="Arial" w:cs="Arial" w:eastAsia="Arial" w:hAnsi="Arial"/>
          <w:sz w:val="16"/>
          <w:szCs w:val="16"/>
          <w:color w:val="auto"/>
        </w:rPr>
        <w:t>share (the “</w:t>
      </w:r>
      <w:r>
        <w:rPr>
          <w:rFonts w:ascii="Arial" w:cs="Arial" w:eastAsia="Arial" w:hAnsi="Arial"/>
          <w:sz w:val="16"/>
          <w:szCs w:val="16"/>
          <w:b w:val="1"/>
          <w:bCs w:val="1"/>
          <w:i w:val="1"/>
          <w:iCs w:val="1"/>
          <w:color w:val="auto"/>
        </w:rPr>
        <w:t>Class B Ordinary Shares</w:t>
      </w:r>
      <w:r>
        <w:rPr>
          <w:rFonts w:ascii="Arial" w:cs="Arial" w:eastAsia="Arial" w:hAnsi="Arial"/>
          <w:sz w:val="16"/>
          <w:szCs w:val="16"/>
          <w:color w:val="auto"/>
        </w:rPr>
        <w:t>”), and the Sponsor subsequently transferred an aggregate of 90,000 Founder Shares to the other Holders;</w:t>
      </w:r>
    </w:p>
    <w:p>
      <w:pPr>
        <w:spacing w:after="0" w:line="11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Founder Shares are convertible into the Company’s Class A ordinary shares, par value $0.0001 per share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Ordinary</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at the time of the initial Business Combination on a one-for-one basis, subject to adjustment, on the terms and conditions provided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amended and restated memorandum and articles of association, as may be amended from time to time;</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May 5, 2020, the Company and the Sponsor entered into that certain Private Placement Warrants Purchase Agreement,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which the Sponsor agreed to purchase 9,500,000 warrants (the “</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in a private placement transaction occurring simultaneously with the closing of the Company’s initial public offering;</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finance the Company’s transaction costs in connection with an intended Business Combination (as defined below), the</w:t>
      </w:r>
      <w:r>
        <w:rPr>
          <w:rFonts w:ascii="Arial" w:cs="Arial" w:eastAsia="Arial" w:hAnsi="Arial"/>
          <w:sz w:val="18"/>
          <w:szCs w:val="18"/>
          <w:b w:val="1"/>
          <w:bCs w:val="1"/>
          <w:color w:val="auto"/>
        </w:rPr>
        <w:t xml:space="preserve"> </w:t>
      </w:r>
      <w:r>
        <w:rPr>
          <w:rFonts w:ascii="Arial" w:cs="Arial" w:eastAsia="Arial" w:hAnsi="Arial"/>
          <w:sz w:val="18"/>
          <w:szCs w:val="18"/>
          <w:color w:val="auto"/>
        </w:rPr>
        <w:t>Sponsor, an affiliate of our Sponsor or certain of the Company’s officers or directors may, but are not obligated to, loan the Company funds as the Company may require, of which up to $1,500,000 of such loans may be convertible into an additional 1,500,000 Private Placement Warrants (the “</w:t>
      </w:r>
      <w:r>
        <w:rPr>
          <w:rFonts w:ascii="Arial" w:cs="Arial" w:eastAsia="Arial" w:hAnsi="Arial"/>
          <w:sz w:val="18"/>
          <w:szCs w:val="18"/>
          <w:b w:val="1"/>
          <w:bCs w:val="1"/>
          <w:i w:val="1"/>
          <w:iCs w:val="1"/>
          <w:color w:val="auto"/>
        </w:rPr>
        <w:t>Working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Capital Warrants</w:t>
      </w:r>
      <w:r>
        <w:rPr>
          <w:rFonts w:ascii="Arial" w:cs="Arial" w:eastAsia="Arial" w:hAnsi="Arial"/>
          <w:sz w:val="18"/>
          <w:szCs w:val="18"/>
          <w:color w:val="auto"/>
        </w:rPr>
        <w:t>”); and</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Holders desire to enter into this Agreement, pursuant to which the Company shall grant the Holders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rights with respect to certain securities of the Company, as set forth in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mutual representations, covenants and agreements contained herein, and certain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the parties hereto, intending to be legally bound, hereby agree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terms defined in this </w:t>
      </w:r>
      <w:r>
        <w:rPr>
          <w:rFonts w:ascii="Arial" w:cs="Arial" w:eastAsia="Arial" w:hAnsi="Arial"/>
          <w:sz w:val="18"/>
          <w:szCs w:val="18"/>
          <w:i w:val="1"/>
          <w:iCs w:val="1"/>
          <w:color w:val="auto"/>
        </w:rPr>
        <w:t>Article I</w:t>
      </w:r>
      <w:r>
        <w:rPr>
          <w:rFonts w:ascii="Arial" w:cs="Arial" w:eastAsia="Arial" w:hAnsi="Arial"/>
          <w:sz w:val="18"/>
          <w:szCs w:val="18"/>
          <w:color w:val="auto"/>
        </w:rPr>
        <w:t xml:space="preserve"> shall, for all purposes of this Agreement, have the respective meanings set forth below:</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Adverse Disclosure</w:t>
      </w:r>
      <w:r>
        <w:rPr>
          <w:rFonts w:ascii="Arial" w:cs="Arial" w:eastAsia="Arial" w:hAnsi="Arial"/>
          <w:sz w:val="16"/>
          <w:szCs w:val="16"/>
          <w:color w:val="auto"/>
        </w:rPr>
        <w:t>” shall mean any public disclosure of material non-public information, which disclosure, in the good faith judgment of the Chief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2" w:name="page133"/>
    <w:bookmarkEnd w:id="13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any merger, share exchange, asset acquisition, share purchase, reorganization or other similar business combination with one or more businesses, involving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shall have the meaning given in the Recitals hereto and shall be deemed to include the Ordinary Shares issuable upon conversion thereof.</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Founder Shares Lock-up Period</w:t>
      </w:r>
      <w:r>
        <w:rPr>
          <w:rFonts w:ascii="Arial" w:cs="Arial" w:eastAsia="Arial" w:hAnsi="Arial"/>
          <w:sz w:val="17"/>
          <w:szCs w:val="17"/>
          <w:color w:val="auto"/>
        </w:rPr>
        <w:t>” shall mean, with respect to the Founder Shares, the period ending on the earlier of (A) one year after the completion of the Company’s initial Business Combination and (B) subsequent to the Business Combination, (x) if the closing price of the Ordinary Shares equals or exceeds $12.00 per share (as adjusted for subdivisions, share capitalizations, reorganizations, recapitalizations and the like) for any 20 trading days within any 30-trading day period commencing at least 150 days after the Company’s initial Business Combination or (y) the date on which the Company completes a liquidation, merger, share exchange, reorganization or other similar transaction that results in all of the Company’s shareholders having the right to exchange their Ordinary Shares for cash, securities or other property.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 Purchase Agreement</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 Letter</w:t>
      </w:r>
      <w:r>
        <w:rPr>
          <w:rFonts w:ascii="Arial" w:cs="Arial" w:eastAsia="Arial" w:hAnsi="Arial"/>
          <w:sz w:val="18"/>
          <w:szCs w:val="18"/>
          <w:color w:val="auto"/>
        </w:rPr>
        <w:t>” shall mean that certain letter agreement, dated as of the date hereof, by and between the Company, the Sponsor and each of the Company’s officers, directors and director nominees.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Nominee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shall mean a person or entity to whom a Holder of Registrable Securities is permitted to transfer such Registrable Securities prior to the expiration of the Founder Shares Lock-up Period or Private Placement Lock-up Period, as the case may be, under the Insider Letter and any other applicable agreement between such Holder and the Company, and to any transferee thereafter.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Lock-up Period</w:t>
      </w:r>
      <w:r>
        <w:rPr>
          <w:rFonts w:ascii="Arial" w:cs="Arial" w:eastAsia="Arial" w:hAnsi="Arial"/>
          <w:sz w:val="18"/>
          <w:szCs w:val="18"/>
          <w:color w:val="auto"/>
        </w:rPr>
        <w:t>” shall mean, with respect to Private Placement Warrants that are held by the initial purchasers of such Private Placement Warrants or their Permitted Transferees, and any of the Ordinary Shares issued or issuable upon the exercise or conversion of the Private Placement Warrants and that are held by the initial purchasers of the Private Placement Warrants or their Permitted Transferees, the period ending 30 days after the completion of the Company’s initial Business Combination.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Prospectus Date</w:t>
      </w:r>
      <w:r>
        <w:rPr>
          <w:rFonts w:ascii="Arial" w:cs="Arial" w:eastAsia="Arial" w:hAnsi="Arial"/>
          <w:sz w:val="16"/>
          <w:szCs w:val="16"/>
          <w:color w:val="auto"/>
        </w:rPr>
        <w:t>” shall mean the date of the final Prospectus filed with the Commission and relating to the Company’s initial public offering.</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Registrable Security</w:t>
      </w:r>
      <w:r>
        <w:rPr>
          <w:rFonts w:ascii="Arial" w:cs="Arial" w:eastAsia="Arial" w:hAnsi="Arial"/>
          <w:sz w:val="17"/>
          <w:szCs w:val="17"/>
          <w:color w:val="auto"/>
        </w:rPr>
        <w:t>” shall mean (a) the Founder Shares (including any Ordinary Shares or other equivalent equity security issued or issuable upon the conversion of any such Founder Shares or exercisable for Ordinary Shares), (b) the Private Placement Warrants (including any Ordinary Shares issued or issuable upon the exercise of any such Private Placement Warrants), (c) the Working Capital Warrants (including any Ordinary Shares issued or issuable upon the conversion of working capital loans), (d) any outstanding Ordinary Shares or any other equity security (including the Ordinary Shares issued or issuable upon the exercise of any other equity security) of the Company held by a Holder as of the date of this Agreement, and (e) any other equity security of the Company issued or issuable with respect to any such share of the Ordinary Shares by way of a share capitalization or share split or in connection with a combination of shares, recapitalization, merger, consolidation or reorganization; provided, however,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(iii) such securities shall have ceased to be outstanding; or (iv) such securities have been sold to, or through, a broker, dealer or underwriter in a public distribution or other public securities transaction.</w:t>
      </w:r>
    </w:p>
    <w:p>
      <w:pPr>
        <w:spacing w:after="0" w:line="18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225" w:lineRule="exact"/>
        <w:rPr>
          <w:sz w:val="20"/>
          <w:szCs w:val="20"/>
          <w:color w:val="auto"/>
        </w:rPr>
      </w:pPr>
    </w:p>
    <w:p>
      <w:pPr>
        <w:ind w:right="20" w:firstLine="656"/>
        <w:spacing w:after="0" w:line="277" w:lineRule="auto"/>
        <w:tabs>
          <w:tab w:leader="none" w:pos="95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Ordinary Shares is then listed;</w:t>
      </w:r>
    </w:p>
    <w:p>
      <w:pPr>
        <w:spacing w:after="0" w:line="170" w:lineRule="exact"/>
        <w:rPr>
          <w:rFonts w:ascii="Arial" w:cs="Arial" w:eastAsia="Arial" w:hAnsi="Arial"/>
          <w:sz w:val="18"/>
          <w:szCs w:val="18"/>
          <w:color w:val="auto"/>
        </w:rPr>
      </w:pPr>
    </w:p>
    <w:p>
      <w:pPr>
        <w:ind w:firstLine="656"/>
        <w:spacing w:after="0" w:line="277" w:lineRule="auto"/>
        <w:tabs>
          <w:tab w:leader="none" w:pos="93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25" w:lineRule="exact"/>
        <w:rPr>
          <w:rFonts w:ascii="Arial" w:cs="Arial" w:eastAsia="Arial" w:hAnsi="Arial"/>
          <w:sz w:val="18"/>
          <w:szCs w:val="18"/>
          <w:color w:val="auto"/>
        </w:rPr>
      </w:pPr>
    </w:p>
    <w:p>
      <w:pPr>
        <w:ind w:firstLine="656"/>
        <w:spacing w:after="0" w:line="277" w:lineRule="auto"/>
        <w:tabs>
          <w:tab w:leader="none" w:pos="93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jc w:val="both"/>
        <w:ind w:firstLine="656"/>
        <w:spacing w:after="0" w:line="263" w:lineRule="auto"/>
        <w:tabs>
          <w:tab w:leader="none" w:pos="93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majority-in-interest of the Demanding Holders initiating a Demand Registration to be registered for offer and sale in the applicable Registration or the Takedown Requesting Holder initiating an Underwritten Shelf Takedown.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 Director</w:t>
      </w:r>
      <w:r>
        <w:rPr>
          <w:rFonts w:ascii="Arial" w:cs="Arial" w:eastAsia="Arial" w:hAnsi="Arial"/>
          <w:sz w:val="18"/>
          <w:szCs w:val="18"/>
          <w:color w:val="auto"/>
        </w:rPr>
        <w:t>” means an individual elected to the Board that has been nominated by the Sponsor pursuant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Shelf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Takedown 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Shelf Takedown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 Warrants</w:t>
      </w:r>
      <w:r>
        <w:rPr>
          <w:rFonts w:ascii="Arial" w:cs="Arial" w:eastAsia="Arial" w:hAnsi="Arial"/>
          <w:sz w:val="18"/>
          <w:szCs w:val="18"/>
          <w:color w:val="auto"/>
        </w:rPr>
        <w:t>” shall have the meaning given in the Recitals hereto.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at any time and from time to time on or after the date the Company consummates the Business Combination, the Holders of at least a majority in interest of the then-outstanding number of Registrable Securities (the “</w:t>
      </w:r>
      <w:r>
        <w:rPr>
          <w:rFonts w:ascii="Arial" w:cs="Arial" w:eastAsia="Arial" w:hAnsi="Arial"/>
          <w:sz w:val="16"/>
          <w:szCs w:val="16"/>
          <w:b w:val="1"/>
          <w:bCs w:val="1"/>
          <w:i w:val="1"/>
          <w:iCs w:val="1"/>
          <w:color w:val="auto"/>
        </w:rPr>
        <w:t>Demanding Holders</w:t>
      </w:r>
      <w:r>
        <w:rPr>
          <w:rFonts w:ascii="Arial" w:cs="Arial" w:eastAsia="Arial" w:hAnsi="Arial"/>
          <w:sz w:val="16"/>
          <w:szCs w:val="16"/>
          <w:color w:val="auto"/>
        </w:rPr>
        <w:t>”)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 The Company shall, within five (5)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b w:val="1"/>
          <w:bCs w:val="1"/>
          <w:i w:val="1"/>
          <w:iCs w:val="1"/>
          <w:color w:val="auto"/>
        </w:rPr>
        <w:t>Requesting Holder</w:t>
      </w:r>
      <w:r>
        <w:rPr>
          <w:rFonts w:ascii="Arial" w:cs="Arial" w:eastAsia="Arial" w:hAnsi="Arial"/>
          <w:sz w:val="16"/>
          <w:szCs w:val="16"/>
          <w:color w:val="auto"/>
        </w:rPr>
        <w:t xml:space="preserve">”) shall so notify the Company, in writing, within three (3)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with respect to any or all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Registration shall not be counted for such purposes unless a Form S-1 or any similar long-form registration statement that may be available at such time (“</w:t>
      </w:r>
      <w:r>
        <w:rPr>
          <w:rFonts w:ascii="Arial" w:cs="Arial" w:eastAsia="Arial" w:hAnsi="Arial"/>
          <w:sz w:val="16"/>
          <w:szCs w:val="16"/>
          <w:b w:val="1"/>
          <w:bCs w:val="1"/>
          <w:i w:val="1"/>
          <w:iCs w:val="1"/>
          <w:color w:val="auto"/>
        </w:rPr>
        <w:t>Form S-1</w:t>
      </w:r>
      <w:r>
        <w:rPr>
          <w:rFonts w:ascii="Arial" w:cs="Arial" w:eastAsia="Arial" w:hAnsi="Arial"/>
          <w:sz w:val="16"/>
          <w:szCs w:val="16"/>
          <w:color w:val="auto"/>
        </w:rPr>
        <w:t xml:space="preserve">”) has become effective and all of the Registrable Securities requested by the Requesting Holders to be registered on behalf of the Requesting Holders in such Form S-1 Registration have been sold, in accordance with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 Underwritten Shelf Takedown shall not count as a Demand Registration.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jc w:val="both"/>
        <w:ind w:firstLine="1296"/>
        <w:spacing w:after="0" w:line="26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8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shall enter into an underwriting agreement in customary form with the Underwriter(s) selected for such Underwritten Offering by the majority-in-interest of the Demanding Holders initiating the Demand Registration.</w:t>
      </w:r>
    </w:p>
    <w:p>
      <w:pPr>
        <w:spacing w:after="0" w:line="166"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Reduction of Underwritten Offering</w:t>
      </w:r>
      <w:r>
        <w:rPr>
          <w:rFonts w:ascii="Arial" w:cs="Arial" w:eastAsia="Arial" w:hAnsi="Arial"/>
          <w:sz w:val="17"/>
          <w:szCs w:val="17"/>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Ordinary Shares or other equity securities that the Company desires to sell and the Ordinary Shares,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7"/>
          <w:szCs w:val="17"/>
          <w:b w:val="1"/>
          <w:bCs w:val="1"/>
          <w:i w:val="1"/>
          <w:iCs w:val="1"/>
          <w:color w:val="auto"/>
        </w:rPr>
        <w:t>Maximum Number of Securities</w:t>
      </w:r>
      <w:r>
        <w:rPr>
          <w:rFonts w:ascii="Arial" w:cs="Arial" w:eastAsia="Arial" w:hAnsi="Arial"/>
          <w:sz w:val="17"/>
          <w:szCs w:val="17"/>
          <w:color w:val="auto"/>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Arial" w:cs="Arial" w:eastAsia="Arial" w:hAnsi="Arial"/>
          <w:sz w:val="17"/>
          <w:szCs w:val="17"/>
          <w:b w:val="1"/>
          <w:bCs w:val="1"/>
          <w:i w:val="1"/>
          <w:iCs w:val="1"/>
          <w:color w:val="auto"/>
        </w:rPr>
        <w:t>Pro</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Rata</w:t>
      </w:r>
      <w:r>
        <w:rPr>
          <w:rFonts w:ascii="Arial" w:cs="Arial" w:eastAsia="Arial" w:hAnsi="Arial"/>
          <w:sz w:val="17"/>
          <w:szCs w:val="17"/>
          <w:color w:val="auto"/>
        </w:rPr>
        <w:t>”)) that can be sold without exceeding the Maximum Number of Securities; (ii) second, to the extent that the Maximum Number of Securities has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reached under the foregoing clause (i), the Ordinary Shares or other equity securities that the Company desires to sell, which can be sold without exceeding the Maximum Number of Securities; and (iii) third, to the extent that the Maximum Number of Securities has not been reached under the foregoing clauses (i) and (ii), the Ordinary Shares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jc w:val="both"/>
        <w:ind w:firstLine="1296"/>
        <w:spacing w:after="0" w:line="25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Demand Registration Withdrawal</w:t>
      </w:r>
      <w:r>
        <w:rPr>
          <w:rFonts w:ascii="Arial" w:cs="Arial" w:eastAsia="Arial" w:hAnsi="Arial"/>
          <w:sz w:val="18"/>
          <w:szCs w:val="18"/>
          <w:color w:val="auto"/>
        </w:rPr>
        <w:t xml:space="preserve">. A majority-in-interest of the Demanding Holders initiating a Demand Registration or a majority-in-interest of the Requesting Holders (if any), pursuant to a Registration under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shareholders of the Company (or by the Company and by the shareholders of the Company including, without limitation,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seven (7)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three (3) business days after receipt of such written notice (such Registration a “</w:t>
      </w:r>
      <w:r>
        <w:rPr>
          <w:rFonts w:ascii="Arial" w:cs="Arial" w:eastAsia="Arial" w:hAnsi="Arial"/>
          <w:sz w:val="16"/>
          <w:szCs w:val="16"/>
          <w:b w:val="1"/>
          <w:bCs w:val="1"/>
          <w:i w:val="1"/>
          <w:iCs w:val="1"/>
          <w:color w:val="auto"/>
        </w:rPr>
        <w:t>Piggyback Registration</w:t>
      </w:r>
      <w:r>
        <w:rPr>
          <w:rFonts w:ascii="Arial" w:cs="Arial" w:eastAsia="Arial" w:hAnsi="Arial"/>
          <w:sz w:val="16"/>
          <w:szCs w:val="16"/>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shall enter into an underwriting agreement in customary form with the Underwriter(s) selected for such Underwritten Offering by the Company. The notice periods set forth in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shall not apply to an Underwritten Shelf Takedown conducted in accordance with </w:t>
      </w:r>
      <w:r>
        <w:rPr>
          <w:rFonts w:ascii="Arial" w:cs="Arial" w:eastAsia="Arial" w:hAnsi="Arial"/>
          <w:sz w:val="16"/>
          <w:szCs w:val="16"/>
          <w:u w:val="single" w:color="auto"/>
          <w:color w:val="auto"/>
        </w:rPr>
        <w:t>subsection 2.3.3.</w:t>
      </w:r>
    </w:p>
    <w:p>
      <w:pPr>
        <w:spacing w:after="0" w:line="17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Reduction of Piggyback Registration</w:t>
      </w:r>
      <w:r>
        <w:rPr>
          <w:rFonts w:ascii="Arial" w:cs="Arial" w:eastAsia="Arial" w:hAnsi="Arial"/>
          <w:sz w:val="17"/>
          <w:szCs w:val="17"/>
          <w:color w:val="auto"/>
        </w:rPr>
        <w:t xml:space="preserve">. If the managing Underwriter or Underwriters in an Underwritten Registration that is to be a Piggyback Registration (other than Underwritten Shelf Takedown), in good faith, advises the Company and the Holders of Registrable Securities participating in the Piggyback Registration in writing that the dollar amount or number of the Ordinary Shares that the Company desires to sell, taken together with (i) the Ordinary Shares, if any, as to which Registration has been demanded pursuant to separate written contractual arrangements with persons or entities other than the Holders of Registrable Securities hereunder, (ii) the Registrable Securities as to which registration has been requested pursuant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and (iii) the Ordinary Shares, if any, as to which Registration has been requested pursuant to separate written contractual piggy-back registration rights of other shareholders of the Company, exceeds the Maximum Number of Securities, then:</w:t>
      </w:r>
    </w:p>
    <w:p>
      <w:pPr>
        <w:spacing w:after="0" w:line="177" w:lineRule="exact"/>
        <w:rPr>
          <w:sz w:val="20"/>
          <w:szCs w:val="20"/>
          <w:color w:val="auto"/>
        </w:rPr>
      </w:pPr>
    </w:p>
    <w:p>
      <w:pPr>
        <w:jc w:val="both"/>
        <w:ind w:firstLine="1952"/>
        <w:spacing w:after="0" w:line="291" w:lineRule="auto"/>
        <w:tabs>
          <w:tab w:leader="none" w:pos="2202"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If the Registration is undertaken for the Company’s account, the Company shall include in any such Registration (A) first, the Ordinary Shares or other equity securities that the Company desires to sell, which can be sold without exceeding the Maximum Number of Securities;</w:t>
      </w:r>
    </w:p>
    <w:p>
      <w:pPr>
        <w:jc w:val="both"/>
        <w:ind w:firstLine="8"/>
        <w:spacing w:after="0" w:line="281" w:lineRule="auto"/>
        <w:tabs>
          <w:tab w:leader="none" w:pos="31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hereof, Pro Rata, which can be sold without exceeding the Maximum Number of Securities; and (C) third, to the extent that the Maximum Number of Securities has not been reached under the foregoing clauses</w:t>
      </w:r>
    </w:p>
    <w:p>
      <w:pPr>
        <w:spacing w:after="0" w:line="1" w:lineRule="exact"/>
        <w:rPr>
          <w:rFonts w:ascii="Arial" w:cs="Arial" w:eastAsia="Arial" w:hAnsi="Arial"/>
          <w:sz w:val="16"/>
          <w:szCs w:val="16"/>
          <w:color w:val="auto"/>
        </w:rPr>
      </w:pPr>
    </w:p>
    <w:p>
      <w:pPr>
        <w:ind w:firstLine="8"/>
        <w:spacing w:after="0" w:line="260" w:lineRule="auto"/>
        <w:tabs>
          <w:tab w:leader="none" w:pos="29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and (B), the Ordinary Shares, if any, as to which Registration has been requested pursuant to written contractual piggy-back registration rights of other shareholders of the Company, Pro Rata, which can be sold without exceeding the Maximum Number of Securities;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jc w:val="both"/>
        <w:ind w:firstLine="1952"/>
        <w:spacing w:after="0" w:line="269" w:lineRule="auto"/>
        <w:tabs>
          <w:tab w:leader="none" w:pos="221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If the Registration is pursuant to a request by persons or entities other than the Holders of Registrable Securities, then the Company shall include in any such Registration (A) first, the Ordinary Shares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Pro Rata, which can be sold without exceeding the Maximum Number of Securities; (C) third, to the extent that the Maximum Number of Securities has not been reached under the foregoing clauses (A) and (B), the Ordinary Shares or other equity securities that the Company desires to sell, which can be sold without exceeding the Maximum Number of Securities; and (D) fourth, to the extent that the Maximum Number of Securities has not been reached under the foregoing clauses (A), (B) and (C), the Ordinary Shares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8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6"/>
          <w:szCs w:val="16"/>
          <w:u w:val="single" w:color="auto"/>
          <w:color w:val="auto"/>
        </w:rPr>
        <w:t>subsection 2.2.3</w:t>
      </w:r>
      <w:r>
        <w:rPr>
          <w:rFonts w:ascii="Arial" w:cs="Arial" w:eastAsia="Arial" w:hAnsi="Arial"/>
          <w:sz w:val="16"/>
          <w:szCs w:val="16"/>
          <w:color w:val="auto"/>
        </w:rPr>
        <w:t>.</w:t>
      </w:r>
    </w:p>
    <w:p>
      <w:pPr>
        <w:spacing w:after="0" w:line="16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Shelf Registrations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2.3.1. The Holders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similar short form registration statement that may be available at such time (“</w:t>
      </w:r>
      <w:r>
        <w:rPr>
          <w:rFonts w:ascii="Arial" w:cs="Arial" w:eastAsia="Arial" w:hAnsi="Arial"/>
          <w:sz w:val="16"/>
          <w:szCs w:val="16"/>
          <w:b w:val="1"/>
          <w:bCs w:val="1"/>
          <w:i w:val="1"/>
          <w:iCs w:val="1"/>
          <w:color w:val="auto"/>
        </w:rPr>
        <w:t>Form S-3</w:t>
      </w:r>
      <w:r>
        <w:rPr>
          <w:rFonts w:ascii="Arial" w:cs="Arial" w:eastAsia="Arial" w:hAnsi="Arial"/>
          <w:sz w:val="16"/>
          <w:szCs w:val="16"/>
          <w:color w:val="auto"/>
        </w:rPr>
        <w:t xml:space="preserve">”), or if the Company is ineligible to use Form S-3, on Form S-1; a registration statement filed pursuant to this </w:t>
      </w:r>
      <w:r>
        <w:rPr>
          <w:rFonts w:ascii="Arial" w:cs="Arial" w:eastAsia="Arial" w:hAnsi="Arial"/>
          <w:sz w:val="16"/>
          <w:szCs w:val="16"/>
          <w:u w:val="single" w:color="auto"/>
          <w:color w:val="auto"/>
        </w:rPr>
        <w:t>subsection 2.3</w:t>
      </w:r>
      <w:r>
        <w:rPr>
          <w:rFonts w:ascii="Arial" w:cs="Arial" w:eastAsia="Arial" w:hAnsi="Arial"/>
          <w:sz w:val="16"/>
          <w:szCs w:val="16"/>
          <w:color w:val="auto"/>
        </w:rPr>
        <w:t>.1 (a “</w:t>
      </w:r>
      <w:r>
        <w:rPr>
          <w:rFonts w:ascii="Arial" w:cs="Arial" w:eastAsia="Arial" w:hAnsi="Arial"/>
          <w:sz w:val="16"/>
          <w:szCs w:val="16"/>
          <w:b w:val="1"/>
          <w:bCs w:val="1"/>
          <w:i w:val="1"/>
          <w:iCs w:val="1"/>
          <w:color w:val="auto"/>
        </w:rPr>
        <w:t>Shelf</w:t>
      </w:r>
      <w:r>
        <w:rPr>
          <w:rFonts w:ascii="Arial" w:cs="Arial" w:eastAsia="Arial" w:hAnsi="Arial"/>
          <w:sz w:val="16"/>
          <w:szCs w:val="16"/>
          <w:color w:val="auto"/>
        </w:rPr>
        <w:t xml:space="preserve">”) shall provide for the resale of the Registrable Securities included therein pursuant to any method or combination of methods legally available to, and requested by, any Holder. Within three (3) days of the Company’s receipt of a written request from a Holder or Holders of Registrable Securities for a Registration on a Shelf, the Company shall promptly give written notice of the proposed Registration to all other Holders of Registrable Securities, and each Holder of Registrable Securities who thereafter wishes to include all or a portion of such Holder’s Registrable Securities in such Registration shall so notify the Company, in writing, within three (3) business days after the receipt by the Holder of the notice from the Company. As soon as practicable thereafter, but not more than ten (10) days after the Company’s initial receipt of such written request for a Registration on a Shelf,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provided, however, that the Company shall not be obligated to effect any such Registration pursuant to this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if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$10,000,000. The Company shall maintain each Shelf in accordance with the terms hereof, and shall prepare and file with the SEC such amendments, including post-effective amendments, and supplements as may be necessary to keep such Shelf continuously effective, available for use and in compliance with the provisions of the Securities Act until such time as there are no longer any Registrable Securities included on such Shelf. In the event the Company files a Shelf on Form S-1, the Company shall use its commercially reasonable efforts to convert the Form S-1 to a Form S-3 as soon as practicable after the Company is eligible to use Form S-3.</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both"/>
        <w:ind w:firstLine="1296"/>
        <w:spacing w:after="0" w:line="285" w:lineRule="auto"/>
        <w:rPr>
          <w:sz w:val="20"/>
          <w:szCs w:val="20"/>
          <w:color w:val="auto"/>
        </w:rPr>
      </w:pPr>
      <w:r>
        <w:rPr>
          <w:rFonts w:ascii="Arial" w:cs="Arial" w:eastAsia="Arial" w:hAnsi="Arial"/>
          <w:sz w:val="16"/>
          <w:szCs w:val="16"/>
          <w:color w:val="auto"/>
        </w:rPr>
        <w:t>2.3.2. If any Shelf ceases to be effective under the Securities Act for any reason at any time while Registrable Securities included thereon are still outstanding, the Company shall use its commercially reasonable efforts to as promptly as is reasonably practicable cause such Shelf to again become effective under the Securities Act (including obtaining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 “</w:t>
      </w:r>
      <w:r>
        <w:rPr>
          <w:rFonts w:ascii="Arial" w:cs="Arial" w:eastAsia="Arial" w:hAnsi="Arial"/>
          <w:sz w:val="16"/>
          <w:szCs w:val="16"/>
          <w:b w:val="1"/>
          <w:bCs w:val="1"/>
          <w:i w:val="1"/>
          <w:iCs w:val="1"/>
          <w:color w:val="auto"/>
        </w:rPr>
        <w:t>Subsequent Shelf Registration</w:t>
      </w:r>
      <w:r>
        <w:rPr>
          <w:rFonts w:ascii="Arial" w:cs="Arial" w:eastAsia="Arial" w:hAnsi="Arial"/>
          <w:sz w:val="16"/>
          <w:szCs w:val="16"/>
          <w:color w:val="auto"/>
        </w:rPr>
        <w:t xml:space="preserve">”) registering the resale of all Registrable Securities including on such Shelf, and pursuant to any method or combination of methods legally available to, and requested by, any Holder. If a Subsequent Shelf Registration is filed, the Company shall use its commercially reasonable efforts to (i) cause such Subsequent Shelf Registration to become effective under the Securities Act as promptly as is reasonably practicable after the filing thereof and (ii) keep such Subsequent Shelf Registration continuously effective, available for use and in compliance with the provisions of the Securities Act until such time as there are no longer any Registrable Securities included thereon. Any such Subsequent Shelf Registration shall be on Form S-3 to the extent that the Company is eligible to use such form. Otherwise, such Subsequent Shelf Registration shall be on another appropriate form. 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a Shelf (including by means of a post-effective amendment) or a Subsequent Shelf Registration and cause the same to become effective as soon as practicable after such filing and such Shelf or Subsequent Shelf Registration shall be subject to the terms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shall only be required to cause such Registrable Securities to be so covered once annually after inquiry of the Holders.</w:t>
      </w:r>
    </w:p>
    <w:p>
      <w:pPr>
        <w:spacing w:after="0" w:line="17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2.3.3. At any time and from time to time after a Shelf has been declared effective by the Commission, the Sponsor may request to sell all or any portion of its Registrable Securities in an underwritten offering that is registered pursuant to the Shelf (each, an “</w:t>
      </w:r>
      <w:r>
        <w:rPr>
          <w:rFonts w:ascii="Arial" w:cs="Arial" w:eastAsia="Arial" w:hAnsi="Arial"/>
          <w:sz w:val="17"/>
          <w:szCs w:val="17"/>
          <w:b w:val="1"/>
          <w:bCs w:val="1"/>
          <w:i w:val="1"/>
          <w:iCs w:val="1"/>
          <w:color w:val="auto"/>
        </w:rPr>
        <w:t>Underwritten Shelf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Takedown</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the Company shall only be obligated to effect an Underwritten Shelf Takedown if such offering shall include securities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total offering price (including piggyback securities and before deduction of underwriting discounts) reasonably expected to exceed, in the aggregate, $10,000,000. All requests for Underwritten Shelf Takedowns shall be made by giving written notice to the Company at least 48 hours prior to 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The Company shall include in any Underwritten Shelf Takedown the securities requested to be included by any holder (each a “</w:t>
      </w:r>
      <w:r>
        <w:rPr>
          <w:rFonts w:ascii="Arial" w:cs="Arial" w:eastAsia="Arial" w:hAnsi="Arial"/>
          <w:sz w:val="17"/>
          <w:szCs w:val="17"/>
          <w:b w:val="1"/>
          <w:bCs w:val="1"/>
          <w:i w:val="1"/>
          <w:iCs w:val="1"/>
          <w:color w:val="auto"/>
        </w:rPr>
        <w:t>Takedown Requesting Holder</w:t>
      </w:r>
      <w:r>
        <w:rPr>
          <w:rFonts w:ascii="Arial" w:cs="Arial" w:eastAsia="Arial" w:hAnsi="Arial"/>
          <w:sz w:val="17"/>
          <w:szCs w:val="17"/>
          <w:color w:val="auto"/>
        </w:rPr>
        <w:t xml:space="preserve">”) at least 24 hours prior to the public announcement of such Underwritten Shelf Takedown pursuant to written contractual piggyback registration rights of such holder (including to those set forth herein). The Sponsor shall have the right to select the underwriter(s) for such offering (which shall consist of one or more reputable nationally recognized investment banks), subject to the Company’s prior approval which shall not be unreasonably withheld, conditioned or delayed. For purposes of clarity, any Registration effected pursuant to this </w:t>
      </w:r>
      <w:r>
        <w:rPr>
          <w:rFonts w:ascii="Arial" w:cs="Arial" w:eastAsia="Arial" w:hAnsi="Arial"/>
          <w:sz w:val="17"/>
          <w:szCs w:val="17"/>
          <w:u w:val="single" w:color="auto"/>
          <w:color w:val="auto"/>
        </w:rPr>
        <w:t>subsection 2.3.3</w:t>
      </w:r>
      <w:r>
        <w:rPr>
          <w:rFonts w:ascii="Arial" w:cs="Arial" w:eastAsia="Arial" w:hAnsi="Arial"/>
          <w:sz w:val="17"/>
          <w:szCs w:val="17"/>
          <w:color w:val="auto"/>
        </w:rPr>
        <w:t xml:space="preserve"> shall not be counted as a Registration pursuant to a Demand Registration effected under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w:t>
      </w:r>
    </w:p>
    <w:p>
      <w:pPr>
        <w:spacing w:after="0" w:line="18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2.3.4. If the managing Underwriter or Underwriters in an Underwritten Shelf Takedown, in good faith, advises the Company, the Sponsor and the Takedown Requesting Holders (if any) in writing that the dollar amount or number of Registrable Securities that the Sponsor and the Takedown Requesting Holders (if any) desire to sell, taken together with all other Ordinary Shares or other equity securities that the Company desires to sell, exceeds the Maximum Number of Securities, then the Company shall include in such Underwritten Shelf Takedown, as follows: (i) first, the Registrable Securities of the Sponsor that can be sold without exceeding the Maximum Number of Securities; (ii) second, to the extent that the Maximum Number of Securities has not been reached under the foregoing clause (i), the Ordinary Shares or other equity securities that the Company desires to sell, which can be sold without exceeding the Maximum Number of Securities; and (iii) third, to the extent that the Maximum Number of Securities has not been reached under the foregoing clauses (i) and (ii), the Ordinary Shares or other equity securities of the Takedown Requesting Holders, if any, that can be sold without exceeding the Maximum Number of Securities, determined Pro Rata.</w:t>
      </w:r>
    </w:p>
    <w:p>
      <w:pPr>
        <w:spacing w:after="0" w:line="181"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2.3.5. The Sponsor shall have the right to withdraw from an Underwritten Shelf Takedown for any or no reason whatsoever upon written notification to the Company and the Underwriter or Underwriters (if any) of its intention to withdraw from such Underwritten Shelf Takedown prior to the public announcement of such Underwritten Shelf Takedown. Notwithstanding anything to the contrary in this Agreement, the Company shall be responsible for the Registration Expenses incurred in connection with an Underwritten Shelf Takedown prior to a withdrawal under this </w:t>
      </w:r>
      <w:r>
        <w:rPr>
          <w:rFonts w:ascii="Arial" w:cs="Arial" w:eastAsia="Arial" w:hAnsi="Arial"/>
          <w:sz w:val="16"/>
          <w:szCs w:val="16"/>
          <w:u w:val="single" w:color="auto"/>
          <w:color w:val="auto"/>
        </w:rPr>
        <w:t>subsection 2.3.5</w:t>
      </w:r>
      <w:r>
        <w:rPr>
          <w:rFonts w:ascii="Arial" w:cs="Arial" w:eastAsia="Arial" w:hAnsi="Arial"/>
          <w:sz w:val="16"/>
          <w:szCs w:val="16"/>
          <w:color w:val="auto"/>
        </w:rPr>
        <w: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jc w:val="both"/>
        <w:ind w:firstLine="648"/>
        <w:spacing w:after="0" w:line="28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Restrictions on Registration Rights</w:t>
      </w:r>
      <w:r>
        <w:rPr>
          <w:rFonts w:ascii="Arial" w:cs="Arial" w:eastAsia="Arial" w:hAnsi="Arial"/>
          <w:sz w:val="16"/>
          <w:szCs w:val="16"/>
          <w:color w:val="auto"/>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provided, however, that the Company shall not defer its obligation in this manner more than once in any 12-month period. Notwithstanding anything to the contrary contained in this Agreement, no Registration shall be effected or permitted and no Registration Statement shall become effective, with respect to any Registrable Securities held by any Holder, until after the expiration of the Founder Shares Lock-Up Period or the Private Placement Lock-Up Period, as the case may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 PROCEDURES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 Procedures</w:t>
      </w:r>
      <w:r>
        <w:rPr>
          <w:rFonts w:ascii="Arial" w:cs="Arial" w:eastAsia="Arial" w:hAnsi="Arial"/>
          <w:sz w:val="16"/>
          <w:szCs w:val="16"/>
          <w:color w:val="auto"/>
        </w:rPr>
        <w:t>. If at any time on or after the date the Company consummates a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14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3.1.2. prepare and file with the Commission such amendments and post-effective amendments to the Registration Statement, and such supplements to the Prospectus, as may be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7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jc w:val="both"/>
        <w:ind w:firstLine="1296"/>
        <w:spacing w:after="0" w:line="253" w:lineRule="auto"/>
        <w:rPr>
          <w:sz w:val="20"/>
          <w:szCs w:val="20"/>
          <w:color w:val="auto"/>
        </w:rPr>
      </w:pPr>
      <w:r>
        <w:rPr>
          <w:rFonts w:ascii="Arial" w:cs="Arial" w:eastAsia="Arial" w:hAnsi="Arial"/>
          <w:sz w:val="18"/>
          <w:szCs w:val="18"/>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9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7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4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3.1.8. at least five (5) days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3.1.10. permit a representative of the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representatives or Underwriters enter into a confidentiality agreement, in form and substance reasonably satisfactory to the Company, prior to the release or disclosure of any such information;</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3.1.11. 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a majority-in-interest of the participating Holders;</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7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jc w:val="both"/>
        <w:ind w:firstLine="1296"/>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$35,000,000, use its reasonable efforts to make available senior executives of the Company to participate in customary “road show” presentations that may be reasonably requested by the Underwriter in any Underwritten Offering;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3.1.16. otherwise, in good faith, cooperate reasonably with, and take such customary actions as may reasonably be requested by the Holders, in connection with such Registration.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Requirements for Participation in Underwritten Offerings</w:t>
      </w:r>
      <w:r>
        <w:rPr>
          <w:rFonts w:ascii="Arial" w:cs="Arial" w:eastAsia="Arial" w:hAnsi="Arial"/>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xml:space="preserve">. Upon receipt of written notice from the Company that a Registration Statement or Prospectus 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practicable after the time of such notice), or until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Reporting Obligations</w:t>
      </w:r>
      <w:r>
        <w:rPr>
          <w:rFonts w:ascii="Arial" w:cs="Arial" w:eastAsia="Arial" w:hAnsi="Arial"/>
          <w:sz w:val="18"/>
          <w:szCs w:val="18"/>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Ordinary Shares held by such Holder without registration under the Securities Act within the limitation of the exemptions provided by Rule 144 promulgated under the Securities Act (or any successor rule promulgated thereafter by the Commission, to the extent that such rule or such successor rule is available to the Company), including providing any legal opinions. Upon the request of any Holder, the Company shall deliver to such Holder a written certification of a duly authorized officer as to whether it has complied with such requirements.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AND CONTRIBUTION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9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6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6"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firstLine="1296"/>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from any person who was not guilty of such fraudulent misrepresentation.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SHAREHOLDER RIGHTS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5.1. Subject to the terms and conditions of this Agreement, at any time and from time to time on or after the date that the Company consummates a Business Combination and for so long as the Sponsor holds any Registrable Securities: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5.1.1. The Sponsor shall have the right, but not the obligation, to designate three individuals to be appointed or nominated, as the case may be, for election to the Board (including any successor, each, a “</w:t>
      </w:r>
      <w:r>
        <w:rPr>
          <w:rFonts w:ascii="Arial" w:cs="Arial" w:eastAsia="Arial" w:hAnsi="Arial"/>
          <w:sz w:val="18"/>
          <w:szCs w:val="18"/>
          <w:b w:val="1"/>
          <w:bCs w:val="1"/>
          <w:i w:val="1"/>
          <w:iCs w:val="1"/>
          <w:color w:val="auto"/>
        </w:rPr>
        <w:t>Nominee</w:t>
      </w:r>
      <w:r>
        <w:rPr>
          <w:rFonts w:ascii="Arial" w:cs="Arial" w:eastAsia="Arial" w:hAnsi="Arial"/>
          <w:sz w:val="18"/>
          <w:szCs w:val="18"/>
          <w:color w:val="auto"/>
        </w:rPr>
        <w:t>”) by giving written notice to the Company on or before the time such information is reasonably requested by the Board or the Nominating Committee of the Board, as applicable, for inclusion in a proxy statement for a meeting of shareholders provided to the Sponsor.</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5.1.2. The Company will, as promptly as practicable, use its best efforts to take all necessary and desirable actions (including, without limitation, calling special meetings of the Board and the shareholders and recommending, supporting and soliciting proxies) so that there are three Sponsor Directors serving on the Board at all times.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5.1.3. The Company shall, to the fullest extent permitted by applicable law, use its best efforts to take all actions necessary to ensure that:</w:t>
      </w:r>
    </w:p>
    <w:p>
      <w:pPr>
        <w:spacing w:after="0" w:line="46" w:lineRule="exact"/>
        <w:rPr>
          <w:sz w:val="20"/>
          <w:szCs w:val="20"/>
          <w:color w:val="auto"/>
        </w:rPr>
      </w:pPr>
    </w:p>
    <w:p>
      <w:pPr>
        <w:jc w:val="both"/>
        <w:ind w:firstLine="8"/>
        <w:spacing w:after="0" w:line="273" w:lineRule="auto"/>
        <w:tabs>
          <w:tab w:leader="none" w:pos="22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each Nominee is included in the Board’s slate of nominees to the shareholders of the Company for each election of Directors; and (ii) each Nominee is included in the proxy statement prepared by management of the Company in connection with soliciting proxies for every meeting of the shareholders of the Company called with respect to the election of members of the Board, and at every adjournment or postponement thereof, and on every action or approval by written consent of the shareholders of the Company or the Board with respect to the election of members of the Board.</w:t>
      </w:r>
    </w:p>
    <w:p>
      <w:pPr>
        <w:spacing w:after="0" w:line="1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5.1.4. If a vacancy occurs because of the death, disability, disqualification, resignation, or removal of a Sponsor Director or for any other reason, the Sponsor shall be entitled to designate such person’s successor, and the Company will, as promptly as practicable following such designation, use its best efforts to take all necessary and desirable actions, to the fullest extent permitted by law, within its control such that such vacancy shall be filled with such successor Nominee.</w:t>
      </w:r>
    </w:p>
    <w:p>
      <w:pPr>
        <w:spacing w:after="0" w:line="187"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5.1.5. If a Nominee is not elected because of such Nominee’s death, disability, disqualification, withdrawal as a nominee or for any other reason, the Sponsor shall be entitled to designate promptly another Nominee and the Company will take all necessary and desirable actions within its control such that the director position for which such Nominee was nominated shall not be filled pending such designation or the size of the Board shall be increased by one and such vacancy shall be filled with such successor Nominee as promptly as practicable following such designation.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jc w:val="both"/>
        <w:ind w:firstLine="1296"/>
        <w:spacing w:after="0" w:line="259" w:lineRule="auto"/>
        <w:rPr>
          <w:sz w:val="20"/>
          <w:szCs w:val="20"/>
          <w:color w:val="auto"/>
        </w:rPr>
      </w:pPr>
      <w:r>
        <w:rPr>
          <w:rFonts w:ascii="Arial" w:cs="Arial" w:eastAsia="Arial" w:hAnsi="Arial"/>
          <w:sz w:val="18"/>
          <w:szCs w:val="18"/>
          <w:color w:val="auto"/>
        </w:rPr>
        <w:t>5.1.6. As promptly as reasonably practicable following the request of any Sponsor Director, the Company shall enter into an indemnification agreement with such Sponsor Director, in the form entered into with the other members of the Board. The Company shall pay the reasonable, documented out-of-pocket expenses incurred by the Sponsor Director in connection with his or her services provided to or on behalf of the Company, including attending meetings or events attended explicitly on behalf of the Company at the Company’s request.</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5.1.7. The Company shall (i) purchase directors’ and officers’ liability insurance in an amount determined by the Board to be reasonable and customary and (ii) for so long as a Sponsor Director serves as a Director of the Company, maintain such coverage with respect to such Sponsor Director;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upon removal or resignation of such Sponsor Director for any reason, the Company shall take all actions reasonably necessary to extend such directors’ and officers’ liability insurance coverage for a period of not less than six years from any such event in respect of any act or omission occurring at or prior to such event.</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5.1.8. For so long as a Sponsor Director serves as a Director of the Company, the Company shall not amend, alter or repeal any right to indemnification or exculpation covering or benefiting any Director nominated pursuant to this Agreement as and to the extent consistent with applicable law, whether such right is contained in the Company’s amended and restated memorandum and articles of association or another document (except to the extent such amendment or alteration permits the Company to provide broader indemnification or exculpation rights on a retroactive basis than permitted prior thereto).</w:t>
      </w:r>
    </w:p>
    <w:p>
      <w:pPr>
        <w:spacing w:after="0" w:line="188"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5.1.9. Each Nominee may, but does not need to qualify as “independent” pursuant to listing standards of the New York Stock Exchange (or such other national securities exchange upon which the Company’s securities are then listed).</w:t>
      </w:r>
    </w:p>
    <w:p>
      <w:pPr>
        <w:spacing w:after="0" w:line="170"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5.1.10. Any Nominee will be subject to the Company’s customary due diligence process, including its review of a completed questionnaire and a background check. Based on the foregoing, the Company may object to any Nominee provided (a) it does so in good faith, and (b) such objection is based upon any of the following: (i) such Nominee was convicted in a criminal proceeding or is a named subject of a pending criminal proceeding (excluding traffic violations and other minor offenses), (ii) such Nominee was the subject of any order, judgment, or decree not subsequently reversed, suspended or vacated of any court of competent jurisdiction, permanently or temporarily enjoining such proposed director from, or otherwise limiting, the following activities: (A) engaging in any type of business practice, or (B) engaging in any activity in connection with the purchase or sale of any security or in connection with any violation of federal or state securities laws, (iii) such Nominee was the subject of any order, judgment or decree, not subsequently reversed, suspended or vacated, of any federal or state authority barring, suspending or otherwise limiting for more than 60 days the right of such person to engage in any activity described in clause (ii)(B), or to be associated with persons engaged in such activity, (iv) such proposed director was found by a court of competent jurisdiction in a civil action or by the Commission to have violated any federal or state securities law, and the judgment in such civil action or finding by the Commission has not been subsequently reversed, suspended or vacated, or (v) such proposed director was the subject of, or a party to any federal or state judicial or administrative order, judgment, decree, or finding, not subsequently reversed, suspended or vacated, relating to a violation of any federal or state securities laws or regulations. In the event the Board reasonably finds the Nominee to be unsuitable based upon one or more of the foregoing clauses (i) through (v) and reasonably objects to the identified director, Sponsor shall be entitled to propose a different nominee to the Board within 30 calendar days of the Company’s notice to Sponsor of its objection to the Nominee and such replacement Nominee shall be subject to the review process outlined above.</w:t>
      </w:r>
    </w:p>
    <w:p>
      <w:pPr>
        <w:spacing w:after="0" w:line="18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5.1.11. The Company shall take all necessary action to cause a Nominee chosen by the Sponsor, at the request of such Nominee to be elected to the board of directors (or similar governing body) of each material operating subsidiary of the Company. The Nominee, as applicable, shall have the right to attend (in person or remotely) any meetings of the board of directors (or similar governing body or committee thereof) of each subsidiary of the Company.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6.1.</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1601 Bryan Street, Suite 4141, Dallas, Texas 75201, with copy to; Kirkland &amp; Ellis LLP, 601 Lexington Avenue, New York, New York 10022, Attention: Christian O. Nagler and Peter S. Seligson, and, if to any Holder, at such Holder’s address or facsimile number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6"/>
          <w:szCs w:val="16"/>
          <w:u w:val="single" w:color="auto"/>
          <w:color w:val="auto"/>
        </w:rPr>
        <w:t>Section 6.1</w:t>
      </w:r>
      <w:r>
        <w:rPr>
          <w:rFonts w:ascii="Arial" w:cs="Arial" w:eastAsia="Arial" w:hAnsi="Arial"/>
          <w:sz w:val="16"/>
          <w:szCs w:val="16"/>
          <w:color w:val="auto"/>
        </w:rPr>
        <w: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Assignment; No Third Party Beneficiaries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6.2.1. This Agreement and the rights, duties and obligations of the Company hereunder may not be assigned or delegated by the Company in whole or in part.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6.2.2. Prior to the expiration of the Founder Shares Lock-up Period or the Private Placement Lock-up Period, as the case may be, no Holder may assign or delegate such Holder’s rights, duties or obligations under this Agreement, in whole or in part, except in connection with a transfer of Registrable Securities by such Holder to a Permitted Transferee.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6.2.3. This Agreement and the provisions hereof shall be binding upon and shall inure to the benefit of each of the parties and its successors and the permitted assigns of the Holders, which shall include Permitted Transferees.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hereof.</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6.2.5.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both"/>
        <w:ind w:firstLine="648"/>
        <w:spacing w:after="0" w:line="279"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Governing Law; Venue</w:t>
      </w:r>
      <w:r>
        <w:rPr>
          <w:rFonts w:ascii="Arial" w:cs="Arial" w:eastAsia="Arial" w:hAnsi="Arial"/>
          <w:sz w:val="17"/>
          <w:szCs w:val="17"/>
          <w:color w:val="auto"/>
        </w:rPr>
        <w:t>. NOTWITHSTANDING THE PLACE WHERE THIS AGREEMENT MAY BE EXECUTED BY ANY OF THE PARTIES HERETO, THE PARTIES EXPRESSLY AGREE THAT THIS AGREEMENT SHALL BE GOVERNED BY AND CONSTRUED UNDER THE LAWS OF THE STATE OF NEW YORK AS APPLIED TO AGREEMENTS AMONG NEW YORK RESIDENTS ENTERED INTO AND TO BE PERFORMED ENTIRELY WITHIN NEW YORK, WITHOUT REGARD TO THE CONFLICT OF LAW PROVISIONS OF SUCH JURISDICTION.</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Waiver of Trial by Jury.</w:t>
      </w:r>
      <w:r>
        <w:rPr>
          <w:rFonts w:ascii="Arial" w:cs="Arial" w:eastAsia="Arial" w:hAnsi="Arial"/>
          <w:sz w:val="18"/>
          <w:szCs w:val="18"/>
          <w:color w:val="auto"/>
        </w:rPr>
        <w:t xml:space="preserve">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Sponsor in the negotiation, administration, performance or enforcement hereof.</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Amendments and Modifications.</w:t>
      </w:r>
      <w:r>
        <w:rPr>
          <w:rFonts w:ascii="Arial" w:cs="Arial" w:eastAsia="Arial" w:hAnsi="Arial"/>
          <w:sz w:val="16"/>
          <w:szCs w:val="16"/>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Holder, solely in its capacity as a holder of the shares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Titles and headings of sections of this Agreement are for convenience only and shall not affect the construction of any provision of this Agreement.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Waivers and Extensions</w:t>
      </w:r>
      <w:r>
        <w:rPr>
          <w:rFonts w:ascii="Arial" w:cs="Arial" w:eastAsia="Arial" w:hAnsi="Arial"/>
          <w:sz w:val="18"/>
          <w:szCs w:val="18"/>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Remedies Cumulative</w:t>
      </w:r>
      <w:r>
        <w:rPr>
          <w:rFonts w:ascii="Arial" w:cs="Arial" w:eastAsia="Arial" w:hAnsi="Arial"/>
          <w:sz w:val="16"/>
          <w:szCs w:val="16"/>
          <w:color w:val="auto"/>
        </w:rPr>
        <w:t>. In the event that the Company fails to observe or perform any covenant or agreement to be observed or performed under this Agreement, the Holders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terminate upon the earlier of (i) the tenth anniversary of the date of this Agreement or (ii) the date as of which no Registrable Securities remain outstanding.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i w:val="1"/>
          <w:iCs w:val="1"/>
          <w:u w:val="single" w:color="auto"/>
          <w:color w:val="auto"/>
        </w:rPr>
        <w:t>Article IV</w:t>
      </w:r>
      <w:r>
        <w:rPr>
          <w:rFonts w:ascii="Arial" w:cs="Arial" w:eastAsia="Arial" w:hAnsi="Arial"/>
          <w:sz w:val="18"/>
          <w:szCs w:val="18"/>
          <w:color w:val="auto"/>
        </w:rPr>
        <w:t xml:space="preserve"> shall survive any termination.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caused this Agreement to be executed as of the date first written above.</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SUSTAINABLE OPPORTUNITIES ACQUISITION</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CORP.</w:t>
      </w:r>
    </w:p>
    <w:p>
      <w:pPr>
        <w:spacing w:after="0" w:line="211"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-130175</wp:posOffset>
            </wp:positionV>
            <wp:extent cx="249428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HOLDERS:</w:t>
      </w:r>
    </w:p>
    <w:p>
      <w:pPr>
        <w:spacing w:after="0" w:line="22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SUSTAINABLE OPPORTUNITIES HOLDINGS LLC</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-130175</wp:posOffset>
            </wp:positionV>
            <wp:extent cx="249428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Isaac Barchas</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Isaac Barchas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-130175</wp:posOffset>
            </wp:positionV>
            <wp:extent cx="249428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9"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Rick Gaenzle</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Rick Gaenzle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-130175</wp:posOffset>
            </wp:positionV>
            <wp:extent cx="249428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9"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Justin Kelly</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Justin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-130175</wp:posOffset>
            </wp:positionV>
            <wp:extent cx="249428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980" w:top="904" w:right="59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b w:val="1"/>
          <w:bCs w:val="1"/>
          <w:color w:val="auto"/>
        </w:rPr>
        <w:t>Exhibit 10.4</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Sustainable Opportunities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1601 Bryan Street, Suite 4141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letter (the “</w:t>
      </w:r>
      <w:r>
        <w:rPr>
          <w:rFonts w:ascii="Arial" w:cs="Arial" w:eastAsia="Arial" w:hAnsi="Arial"/>
          <w:sz w:val="17"/>
          <w:szCs w:val="17"/>
          <w:b w:val="1"/>
          <w:bCs w:val="1"/>
          <w:i w:val="1"/>
          <w:iCs w:val="1"/>
          <w:color w:val="auto"/>
        </w:rPr>
        <w:t>Letter Agreement</w:t>
      </w:r>
      <w:r>
        <w:rPr>
          <w:rFonts w:ascii="Arial" w:cs="Arial" w:eastAsia="Arial" w:hAnsi="Arial"/>
          <w:sz w:val="17"/>
          <w:szCs w:val="17"/>
          <w:color w:val="auto"/>
        </w:rPr>
        <w:t>”) is being delivered to you in accordance with the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entered into by and between Sustainable Opportunities Acquisition Corp., a Cayman Islands exempted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Citigroup Global Markets Inc., as representative (the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of the several underwriters named in Schedule I thereto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relating to an underwritten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of the Company’s units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each unit comprised of one Class A ordinary share of the Company, par value $0.0001 per share (the “</w:t>
      </w:r>
      <w:r>
        <w:rPr>
          <w:rFonts w:ascii="Arial" w:cs="Arial" w:eastAsia="Arial" w:hAnsi="Arial"/>
          <w:sz w:val="17"/>
          <w:szCs w:val="17"/>
          <w:b w:val="1"/>
          <w:bCs w:val="1"/>
          <w:i w:val="1"/>
          <w:iCs w:val="1"/>
          <w:color w:val="auto"/>
        </w:rPr>
        <w:t>Class A Ordinary Shares</w:t>
      </w:r>
      <w:r>
        <w:rPr>
          <w:rFonts w:ascii="Arial" w:cs="Arial" w:eastAsia="Arial" w:hAnsi="Arial"/>
          <w:sz w:val="17"/>
          <w:szCs w:val="17"/>
          <w:color w:val="auto"/>
        </w:rPr>
        <w:t>”), and one-half of one redeemable warrant, each whole warrant exercisable for one Class A Ordinary Share (each, a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Certain capitalized terms used herein are defined in paragraph 10 hereof.</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induce the Company and the Underwriters to enter into the Underwriting Agreement and to proceed with the IPO, and in recognition of the benefit that such IPO will confer upon the undersigned as a shareholder of the Company, and for other good and valuable consideration, the receipt and sufficiency of which are hereby acknowledged, the undersigned hereby agrees with the Company as follows:</w:t>
      </w:r>
    </w:p>
    <w:p>
      <w:pPr>
        <w:spacing w:after="0" w:line="184" w:lineRule="exact"/>
        <w:rPr>
          <w:sz w:val="20"/>
          <w:szCs w:val="20"/>
          <w:color w:val="auto"/>
        </w:rPr>
      </w:pPr>
    </w:p>
    <w:p>
      <w:pPr>
        <w:jc w:val="both"/>
        <w:ind w:left="660" w:hanging="652"/>
        <w:spacing w:after="0" w:line="259"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the Company solicits approval of its shareholders of a Business Combination, the undersigned will vote all shares beneficially owned by it, whether acquired before, in or after the IPO, in favor of such Business Combination. It is acknowledged and agreed that the Company shall not enter into a definitive agreement regarding a proposed Business Combination, or issue any equity securities of the Company prior to an initial Business Combination, without the prior consent of the Sponsor.</w:t>
      </w:r>
    </w:p>
    <w:p>
      <w:pPr>
        <w:spacing w:after="0" w:line="186" w:lineRule="exact"/>
        <w:rPr>
          <w:rFonts w:ascii="Arial" w:cs="Arial" w:eastAsia="Arial" w:hAnsi="Arial"/>
          <w:sz w:val="18"/>
          <w:szCs w:val="18"/>
          <w:color w:val="auto"/>
        </w:rPr>
      </w:pPr>
    </w:p>
    <w:p>
      <w:pPr>
        <w:jc w:val="both"/>
        <w:ind w:left="660" w:hanging="652"/>
        <w:spacing w:after="0" w:line="284" w:lineRule="auto"/>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 the event that the Company fails to consummate a Business Combination within the time period set forth in the Company’s amended and restated memorandum and articles of association, as the same may be further amended from time to time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xml:space="preserve">”), the undersigned will, as promptly as possible, take all necessary actions to cause the Company to (i) cease all operations except for the purpose of winding up, (ii) as promptly as reasonably possible, but not more than 10 business days thereafter, redeem the IPO Shares, at a per-share price, payable in cash, equal to the aggregate amount then on deposit in the Trust Account, including interest earned on the Trust Account not previously released to the Company to pay income taxes (less up to $100,000 of such net interest to pay dissolution expenses), divided by the number of then-outstanding IPO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the Company’s board of directors, dissolve and liquidate, subject in the cases of clauses (ii) and (iii) to the Company’s obligations under Cayman Islands law to provide for claims of creditors and in all cases subject to the other requirements of applicable law. The undersigned hereby waives any and all right, title, interest or claim of any kind in or to any distribution of the Trust Account and any remaining net assets of the Company as a result of such liquidation with respect to the Founder Shares owned by the undersigned. However, if the undersigned has acquired IPO Shares in or after the IPO, it will be entitled to liquidating distributions from the Trust Account with respect to such IPO Shares in the event that the Company fails to consummate a Business Combination within the time period set forth in the Charter. In the event of the liquidation of the Trust Account, the undersigned agrees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(i) $10.00 per IPO Share and (ii) the actual amount per IPO Share held in the Trust Account as of the date of the liquidation of the Trust Account, if less than $10.00 per IPO Share due to reductions in the value of the assets in the Trust Account, in each case net of the interest that may be withdrawn to pay the Company’s tax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liability will not apply to any claims by a third party or prospective target business who executed a waiver of any and all rights to the monies held in the Trust Account (whether or not such waiver is enforceable) nor will it apply to any claims under the Company’s obligation to indemnify the Underwriters against certain liabilities, including liabilities under the Securities Act of 1933, as amended, pursuant to the Underwriting Agreement. The undersigned acknowledges and agrees that there will be no distribution from the Trust Account with respect to any Warrants, all rights of which will terminate on the Company’s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9" w:name="page150"/>
    <w:bookmarkEnd w:id="149"/>
    <w:p>
      <w:pPr>
        <w:jc w:val="both"/>
        <w:ind w:left="660" w:hanging="652"/>
        <w:spacing w:after="0" w:line="257"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undersigned acknowledges and agrees that prior to entering into a definitive agreement for a Business Combination with a target business that is affiliated with the undersigned or any other Insiders of the Company or their affiliates, such transaction must be approved by a majority of the Company’s disinterested independent directors and the Company must obtain an opinion from an independent investment banking firm, which is a member of the Financial Industry Regulatory Authority, or an independent accounting firm that such Business Combination is fair to the Company’s unaffiliated shareholders from a financial point of view.</w:t>
      </w:r>
    </w:p>
    <w:p>
      <w:pPr>
        <w:spacing w:after="0" w:line="187"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Neither the undersigned nor any affiliate of the undersigned will be entitled to receive and will not accept any compensation or other cash payment from the Company prior to, or for services rendered in order to effectuate, the consummation of the Business Combination;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be allowed to make the payments set forth in the Registration Statement adjacent to the caption “Prospectus Summary—The Offering—Limited payments to insiders.”</w:t>
      </w:r>
    </w:p>
    <w:p>
      <w:pPr>
        <w:spacing w:after="0" w:line="186" w:lineRule="exact"/>
        <w:rPr>
          <w:rFonts w:ascii="Arial" w:cs="Arial" w:eastAsia="Arial" w:hAnsi="Arial"/>
          <w:sz w:val="18"/>
          <w:szCs w:val="18"/>
          <w:color w:val="auto"/>
        </w:rPr>
      </w:pPr>
    </w:p>
    <w:p>
      <w:pPr>
        <w:ind w:left="1300" w:hanging="1292"/>
        <w:spacing w:after="0" w:line="290" w:lineRule="auto"/>
        <w:tabs>
          <w:tab w:leader="none" w:pos="6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The undersigned agrees that the Founder Shares may not be transferred, assigned or sold (except to certain permitted transferees as described in the Registration Statement or herein) (the “</w:t>
      </w:r>
      <w:r>
        <w:rPr>
          <w:rFonts w:ascii="Arial" w:cs="Arial" w:eastAsia="Arial" w:hAnsi="Arial"/>
          <w:sz w:val="16"/>
          <w:szCs w:val="16"/>
          <w:b w:val="1"/>
          <w:bCs w:val="1"/>
          <w:i w:val="1"/>
          <w:iCs w:val="1"/>
          <w:color w:val="auto"/>
        </w:rPr>
        <w:t>Lockup</w:t>
      </w:r>
      <w:r>
        <w:rPr>
          <w:rFonts w:ascii="Arial" w:cs="Arial" w:eastAsia="Arial" w:hAnsi="Arial"/>
          <w:sz w:val="16"/>
          <w:szCs w:val="16"/>
          <w:color w:val="auto"/>
        </w:rPr>
        <w:t>”) until the earlier to occur of: (1) one year after the completion of a Business Combination or (2) the date following the completion of the Company’s initial Business Combination on which the Company completes a liquidation, merger, share exchange or other similar transaction that results in all of the Company’s shareholders having the right to exchange their Class A Ordinary Shares for cash, securities or other property. Notwithstanding the foregoing, if the closing price of the Company’s Class A Ordinary Shares equals or exceeds $12.00 per share (as adjusted for share subdivisions, share capitalizations, reorganizations, recapitalizations and the like) for any 20 trading days within any 30-trading day period commencing at least 150 days after the Company’s initial Business Combination, the Founder Shares will be released from the Lockup.</w:t>
      </w:r>
    </w:p>
    <w:p>
      <w:pPr>
        <w:spacing w:after="0" w:line="165" w:lineRule="exact"/>
        <w:rPr>
          <w:rFonts w:ascii="Arial" w:cs="Arial" w:eastAsia="Arial" w:hAnsi="Arial"/>
          <w:sz w:val="18"/>
          <w:szCs w:val="18"/>
          <w:color w:val="auto"/>
        </w:rPr>
      </w:pPr>
    </w:p>
    <w:p>
      <w:pPr>
        <w:jc w:val="both"/>
        <w:ind w:left="1300" w:hanging="644"/>
        <w:spacing w:after="0" w:line="288" w:lineRule="auto"/>
        <w:tabs>
          <w:tab w:leader="none" w:pos="130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undersigned will not, without the prior written consent of the Representative pursuant to the Underwriting Agreement, offer, sell, contract to sell, pledge or otherwise dispose of (or enter into any transaction that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the rules and regulations of the Securities and Exchange Commission promulgated thereunder with respect to, any other Units, Class A Ordinary Shares or Warrants of the Company or any securities convertible into, or exercisable, or exchangeable for, Class A Ordinary Shares or publicly announce an intention to effect any such transaction, for a period of 180 days after the date of the Underwriting Agreement.</w:t>
      </w:r>
    </w:p>
    <w:p>
      <w:pPr>
        <w:spacing w:after="0" w:line="168"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undersigned agrees that until the Company consummates an initial Business Combination, the undersigned’s Private Placement Warrants will be subject to the transfer restrictions described in the Private Placement Warrants Purchase Agreement relating to the undersigned’s Private Placement Warrants.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jc w:val="both"/>
        <w:ind w:left="1300" w:hanging="644"/>
        <w:spacing w:after="0" w:line="285" w:lineRule="auto"/>
        <w:tabs>
          <w:tab w:leader="none" w:pos="130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Notwithstanding the provisions set forth in paragraphs 5(a) and (c), transfers, assignments and sales by the undersigned of the Founder Shares, Private Placement Warrants and Class A Ordinary Shares issued or issuable upon the exercise of the Private Placement Warrants or conversion of the Founder Shares are permitted (i) to the Company’s officers or directors, any affiliates or family members of any of the Company’s officers or directors, any members or partners of the undersigned or their affiliates, any affiliates of the undersigned, or any employees of such affiliates; (ii) in the case of an individual, by gift to a member of the individual’s immediate family or to a trust, the beneficiary of which is a member of one of the individual’s immediate family, an affiliate of such person or to a charitable organization; (iii) in the case of an individual, by virtue of laws of descent and distribution upon death of the individual; (iv) in the case of an individual, pursuant to a qualified domestic relations order; (v) by private sales or transfers made in connection with the consummation of the Business Combination at prices no greater than the price at which the Founder Shares, Private Placement Warrants or Class A Ordinary Shares, as applicable, were originally purchased; (vi) by virtue of the undersigned’s organizational documents upon liquidation or dissolution of the undersigned; (vii) to the Company for no value for cancellation in connection with the consummation of the Business Combination; (viii) in the event of the Company’s liquidation prior to the completion of a Business Combination; or (ix) in the event of completion of a liquidation, merger, share exchange or other similar transaction which results in all of the Company’s shareholders having the right to exchange their Class A Ordinary Shares for cash, securities or other property subsequent to the completion of a Business Combination;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clauses (i) through (vi) these permitted transferees must enter into a written agreement agreeing to be bound by the restrictions herein. For the avoidance of doubt, the transfers of Founder Shares, Private Placement Warrants and Class A Ordinary Shares issued or issuable upon the exercise of the Private Placement Warrants or conversion of the Founder Shares shall be permitted regardless of whether a filing under Section 16(a) of the Exchange Act shall be required or shall be voluntarily made with respect to such transfers.</w:t>
      </w:r>
    </w:p>
    <w:p>
      <w:pPr>
        <w:spacing w:after="0" w:line="387" w:lineRule="exact"/>
        <w:rPr>
          <w:rFonts w:ascii="Arial" w:cs="Arial" w:eastAsia="Arial" w:hAnsi="Arial"/>
          <w:sz w:val="16"/>
          <w:szCs w:val="16"/>
          <w:color w:val="auto"/>
        </w:rPr>
      </w:pPr>
    </w:p>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undersigned has full right and power, without violating any agreement by which it is bound, to enter into this Letter Agreement.</w:t>
      </w:r>
    </w:p>
    <w:p>
      <w:pPr>
        <w:spacing w:after="0" w:line="225" w:lineRule="exact"/>
        <w:rPr>
          <w:rFonts w:ascii="Arial" w:cs="Arial" w:eastAsia="Arial" w:hAnsi="Arial"/>
          <w:sz w:val="18"/>
          <w:szCs w:val="18"/>
          <w:color w:val="auto"/>
        </w:rPr>
      </w:pPr>
    </w:p>
    <w:p>
      <w:pPr>
        <w:jc w:val="both"/>
        <w:ind w:left="660" w:hanging="652"/>
        <w:spacing w:after="0" w:line="287" w:lineRule="auto"/>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undersigned hereby waives any right to exercise redemption rights with respect to any of the Company’s ordinary shares owned or to be owned by the undersigned, directly or indirectly, whether such shares be part of the Founder Shares or IPO Shares, and agrees not to seek redemption with respect to such shares (or sell such shares to the Company in any tender offer) in connection with any shareholder vote to approve</w:t>
      </w:r>
    </w:p>
    <w:p>
      <w:pPr>
        <w:spacing w:after="0" w:line="2" w:lineRule="exact"/>
        <w:rPr>
          <w:rFonts w:ascii="Arial" w:cs="Arial" w:eastAsia="Arial" w:hAnsi="Arial"/>
          <w:sz w:val="16"/>
          <w:szCs w:val="16"/>
          <w:color w:val="auto"/>
        </w:rPr>
      </w:pPr>
    </w:p>
    <w:p>
      <w:pPr>
        <w:jc w:val="both"/>
        <w:ind w:left="660" w:hanging="4"/>
        <w:spacing w:after="0" w:line="253" w:lineRule="auto"/>
        <w:tabs>
          <w:tab w:leader="none" w:pos="92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 Business Combination or (y) an amendment to the Charter that would affect the substance or timing of the Company’s obligation to provide holders of the Class A Ordinary Shares the right to have their shares redeemed in connection with an initial Business Combination or to redeem 100% of the Class A Ordinary Shares if the Company has not consummated a Business Combination within 18 months from the closing of the IPO.</w:t>
      </w:r>
    </w:p>
    <w:p>
      <w:pPr>
        <w:spacing w:after="0" w:line="192" w:lineRule="exact"/>
        <w:rPr>
          <w:rFonts w:ascii="Arial" w:cs="Arial" w:eastAsia="Arial" w:hAnsi="Arial"/>
          <w:sz w:val="18"/>
          <w:szCs w:val="18"/>
          <w:color w:val="auto"/>
        </w:rPr>
      </w:pPr>
    </w:p>
    <w:p>
      <w:pPr>
        <w:jc w:val="both"/>
        <w:ind w:left="660" w:hanging="652"/>
        <w:spacing w:after="0" w:line="254"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undersigned hereby agrees to not propose any amendment to the Charter that would affect the substance or timing of the Company’s obligation to provide for the redemption of the Class A Ordinary Shares in connection with an initial Business Combination or to redeem 100% of the Class A Ordinary Shares if the Company does not complete an initial Business Combination within within 18 months from the closing of the IPO unless the Company provides its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the Company to pay taxes, divided by the number of then outstanding Class A Ordinary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1" w:name="page152"/>
    <w:bookmarkEnd w:id="151"/>
    <w:p>
      <w:pPr>
        <w:jc w:val="both"/>
        <w:ind w:left="660" w:hanging="652"/>
        <w:spacing w:after="0" w:line="255"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This Letter Agreement shall be governed by and construed and enforced in accordance with the laws of the State of New York, without giving effect to conflicts of law principles that would result in the application of the substantive laws of another jurisdiction. The undersigned hereby (i) agrees that any action, proceeding or claim against him arising out of or relating in any way to this Letter Agreement shall be brought and enforced in the courts of the State of New York of the United States of America for the Southern District of New York, and irrevocably submits to such jurisdiction, which jurisdiction shall be exclusive and (ii) waives any objection to such exclusive jurisdiction and that such courts represent an inconvenient forum.</w:t>
      </w:r>
    </w:p>
    <w:p>
      <w:pPr>
        <w:spacing w:after="0" w:line="192" w:lineRule="exact"/>
        <w:rPr>
          <w:rFonts w:ascii="Arial" w:cs="Arial" w:eastAsia="Arial" w:hAnsi="Arial"/>
          <w:sz w:val="18"/>
          <w:szCs w:val="18"/>
          <w:color w:val="auto"/>
        </w:rPr>
      </w:pPr>
    </w:p>
    <w:p>
      <w:pPr>
        <w:jc w:val="both"/>
        <w:ind w:left="660" w:hanging="652"/>
        <w:spacing w:after="0" w:line="290" w:lineRule="auto"/>
        <w:tabs>
          <w:tab w:leader="none" w:pos="6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As used herein, (i)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shall mean a merger, share exchange, asset acquisition, share purchase, recapitalization, reorganization or other similar business combination with one or more businesses or entities; (ii) “</w:t>
      </w:r>
      <w:r>
        <w:rPr>
          <w:rFonts w:ascii="Arial" w:cs="Arial" w:eastAsia="Arial" w:hAnsi="Arial"/>
          <w:sz w:val="16"/>
          <w:szCs w:val="16"/>
          <w:b w:val="1"/>
          <w:bCs w:val="1"/>
          <w:i w:val="1"/>
          <w:iCs w:val="1"/>
          <w:color w:val="auto"/>
        </w:rPr>
        <w:t>Insiders</w:t>
      </w:r>
      <w:r>
        <w:rPr>
          <w:rFonts w:ascii="Arial" w:cs="Arial" w:eastAsia="Arial" w:hAnsi="Arial"/>
          <w:sz w:val="16"/>
          <w:szCs w:val="16"/>
          <w:color w:val="auto"/>
        </w:rPr>
        <w:t>” shall mean the Sponsor and all officers and directors of the Company immediately prior to the IPO; (iii) “</w:t>
      </w:r>
      <w:r>
        <w:rPr>
          <w:rFonts w:ascii="Arial" w:cs="Arial" w:eastAsia="Arial" w:hAnsi="Arial"/>
          <w:sz w:val="16"/>
          <w:szCs w:val="16"/>
          <w:b w:val="1"/>
          <w:bCs w:val="1"/>
          <w:i w:val="1"/>
          <w:iCs w:val="1"/>
          <w:color w:val="auto"/>
        </w:rPr>
        <w:t>Founder Shares</w:t>
      </w:r>
      <w:r>
        <w:rPr>
          <w:rFonts w:ascii="Arial" w:cs="Arial" w:eastAsia="Arial" w:hAnsi="Arial"/>
          <w:sz w:val="16"/>
          <w:szCs w:val="16"/>
          <w:color w:val="auto"/>
        </w:rPr>
        <w:t>” shall mean all of the Class B Ordinary Shares of the Company acquired by an Insider prior to the IPO; (iv) “</w:t>
      </w:r>
      <w:r>
        <w:rPr>
          <w:rFonts w:ascii="Arial" w:cs="Arial" w:eastAsia="Arial" w:hAnsi="Arial"/>
          <w:sz w:val="16"/>
          <w:szCs w:val="16"/>
          <w:b w:val="1"/>
          <w:bCs w:val="1"/>
          <w:i w:val="1"/>
          <w:iCs w:val="1"/>
          <w:color w:val="auto"/>
        </w:rPr>
        <w:t>IPO Shares</w:t>
      </w:r>
      <w:r>
        <w:rPr>
          <w:rFonts w:ascii="Arial" w:cs="Arial" w:eastAsia="Arial" w:hAnsi="Arial"/>
          <w:sz w:val="16"/>
          <w:szCs w:val="16"/>
          <w:color w:val="auto"/>
        </w:rPr>
        <w:t>” shall mean the Class A Ordinary Shares issued in the Company’s IPO; (v) “</w:t>
      </w:r>
      <w:r>
        <w:rPr>
          <w:rFonts w:ascii="Arial" w:cs="Arial" w:eastAsia="Arial" w:hAnsi="Arial"/>
          <w:sz w:val="16"/>
          <w:szCs w:val="16"/>
          <w:b w:val="1"/>
          <w:bCs w:val="1"/>
          <w:i w:val="1"/>
          <w:iCs w:val="1"/>
          <w:color w:val="auto"/>
        </w:rPr>
        <w:t>Private Placement Warrants</w:t>
      </w:r>
      <w:r>
        <w:rPr>
          <w:rFonts w:ascii="Arial" w:cs="Arial" w:eastAsia="Arial" w:hAnsi="Arial"/>
          <w:sz w:val="16"/>
          <w:szCs w:val="16"/>
          <w:color w:val="auto"/>
        </w:rPr>
        <w:t>” shall mean the warrants that are being sold privately by the Company simultaneously with the consummation of the IPO; (vi)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shall mean the trust account into which the net proceeds of the Company’s IPO and a portion of the proceeds from the sale of the Private Placement Warrants will be deposited; and (vii)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means the Company’s registration statement on Form S-1 (SEC File No. 333-237245) filed with the Securities and Exchange Commission, as amended.</w:t>
      </w:r>
    </w:p>
    <w:p>
      <w:pPr>
        <w:spacing w:after="0" w:line="165" w:lineRule="exact"/>
        <w:rPr>
          <w:rFonts w:ascii="Arial" w:cs="Arial" w:eastAsia="Arial" w:hAnsi="Arial"/>
          <w:sz w:val="16"/>
          <w:szCs w:val="16"/>
          <w:color w:val="auto"/>
        </w:rPr>
      </w:pPr>
    </w:p>
    <w:p>
      <w:pPr>
        <w:jc w:val="both"/>
        <w:ind w:left="660" w:hanging="652"/>
        <w:spacing w:after="0" w:line="301" w:lineRule="auto"/>
        <w:tabs>
          <w:tab w:leader="none" w:pos="6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57" w:lineRule="exact"/>
        <w:rPr>
          <w:rFonts w:ascii="Arial" w:cs="Arial" w:eastAsia="Arial" w:hAnsi="Arial"/>
          <w:sz w:val="16"/>
          <w:szCs w:val="16"/>
          <w:color w:val="auto"/>
        </w:rPr>
      </w:pPr>
    </w:p>
    <w:p>
      <w:pPr>
        <w:jc w:val="both"/>
        <w:ind w:left="660" w:right="20" w:hanging="652"/>
        <w:spacing w:after="0" w:line="311" w:lineRule="auto"/>
        <w:tabs>
          <w:tab w:leader="none" w:pos="6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undersigned acknowledges and understands that the Underwriters and the Company will rely upon the agreements, representations and warranties set forth herein in proceeding with the IPO. Nothing contained herein shall be deemed to render any Underwriter a representative of, or a fiduciary with respect to, the Company, its shareholders or any creditor or vendor of the Company with respect to the subject matter hereof.</w:t>
      </w:r>
    </w:p>
    <w:p>
      <w:pPr>
        <w:spacing w:after="0" w:line="148" w:lineRule="exact"/>
        <w:rPr>
          <w:rFonts w:ascii="Arial" w:cs="Arial" w:eastAsia="Arial" w:hAnsi="Arial"/>
          <w:sz w:val="16"/>
          <w:szCs w:val="16"/>
          <w:color w:val="auto"/>
        </w:rPr>
      </w:pPr>
    </w:p>
    <w:p>
      <w:pPr>
        <w:jc w:val="both"/>
        <w:ind w:left="660" w:hanging="652"/>
        <w:spacing w:after="0" w:line="254"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This Letter Agreement shall be binding on the undersigned and such person’s respective successors, heirs, personal representatives and assigns. This Letter Agreement shall terminate on the earlier of (i) the consummation of a Business Combination (other than with respect to paragraph 5, which shall survive until the expiration of all applicable lock up periods) and (ii) the liquidation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that such termination shall not relieve the undersigned from liability for any breach of this agreement prior to its termination. The parties hereto may not assign either this Letter Agreement or any of their rights, interests, or obligations hereunder without the prior written consent of the other party. Any purported assignment in violation of this paragraph shall be void and ineffectual and shall not operate to transfer or assign any interest or title to the purported assignee.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2" w:name="page153"/>
    <w:bookmarkEnd w:id="152"/>
    <w:p>
      <w:pPr>
        <w:ind w:left="5640"/>
        <w:spacing w:after="0"/>
        <w:rPr>
          <w:sz w:val="20"/>
          <w:szCs w:val="20"/>
          <w:color w:val="auto"/>
        </w:rPr>
      </w:pPr>
      <w:r>
        <w:rPr>
          <w:rFonts w:ascii="Arial" w:cs="Arial" w:eastAsia="Arial" w:hAnsi="Arial"/>
          <w:sz w:val="18"/>
          <w:szCs w:val="18"/>
          <w:color w:val="auto"/>
        </w:rPr>
        <w:t>SUSTAINABLE OPPORTUNITIES HOLDINGS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SUSTAINABLE OPPORTUNITIES ACQUISITION CORP.</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588645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1440" w:top="908" w:right="439" w:bottom="1440" w:gutter="0" w:footer="0" w:header="0"/>
        </w:sectPr>
      </w:pPr>
    </w:p>
    <w:bookmarkStart w:id="153" w:name="page154"/>
    <w:bookmarkEnd w:id="153"/>
    <w:p>
      <w:pPr>
        <w:ind w:left="10320"/>
        <w:spacing w:after="0"/>
        <w:rPr>
          <w:sz w:val="20"/>
          <w:szCs w:val="20"/>
          <w:color w:val="auto"/>
        </w:rPr>
      </w:pPr>
      <w:r>
        <w:rPr>
          <w:rFonts w:ascii="Arial" w:cs="Arial" w:eastAsia="Arial" w:hAnsi="Arial"/>
          <w:sz w:val="16"/>
          <w:szCs w:val="16"/>
          <w:b w:val="1"/>
          <w:bCs w:val="1"/>
          <w:color w:val="auto"/>
        </w:rPr>
        <w:t>Exhibit 10.5</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Sustainable Opportunities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1601 Bryan Street, Suite 4141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letter (the “</w:t>
      </w:r>
      <w:r>
        <w:rPr>
          <w:rFonts w:ascii="Arial" w:cs="Arial" w:eastAsia="Arial" w:hAnsi="Arial"/>
          <w:sz w:val="17"/>
          <w:szCs w:val="17"/>
          <w:b w:val="1"/>
          <w:bCs w:val="1"/>
          <w:i w:val="1"/>
          <w:iCs w:val="1"/>
          <w:color w:val="auto"/>
        </w:rPr>
        <w:t>Letter Agreement</w:t>
      </w:r>
      <w:r>
        <w:rPr>
          <w:rFonts w:ascii="Arial" w:cs="Arial" w:eastAsia="Arial" w:hAnsi="Arial"/>
          <w:sz w:val="17"/>
          <w:szCs w:val="17"/>
          <w:color w:val="auto"/>
        </w:rPr>
        <w:t>”) is being delivered to you in accordance with the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entered into by and between Sustainable Opportunities Acquisition Corp., a Cayman Islands exempted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Citigroup Global Markets Inc., as representative (the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of the several underwriters named in Schedule I thereto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relating to an underwritten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of the Company’s units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each unit comprised of one Class A ordinary share of the Company, par value $0.0001 per share (the “</w:t>
      </w:r>
      <w:r>
        <w:rPr>
          <w:rFonts w:ascii="Arial" w:cs="Arial" w:eastAsia="Arial" w:hAnsi="Arial"/>
          <w:sz w:val="17"/>
          <w:szCs w:val="17"/>
          <w:b w:val="1"/>
          <w:bCs w:val="1"/>
          <w:i w:val="1"/>
          <w:iCs w:val="1"/>
          <w:color w:val="auto"/>
        </w:rPr>
        <w:t>Class A Ordinary Shares</w:t>
      </w:r>
      <w:r>
        <w:rPr>
          <w:rFonts w:ascii="Arial" w:cs="Arial" w:eastAsia="Arial" w:hAnsi="Arial"/>
          <w:sz w:val="17"/>
          <w:szCs w:val="17"/>
          <w:color w:val="auto"/>
        </w:rPr>
        <w:t>”), and one-half of one redeemable warrant, each whole warrant exercisable for one Class A Ordinary Share (each, a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Certain capitalized terms used herein are defined in paragraph 12 hereof.</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induce the Company and the Underwriters to enter into the Underwriting Agreement and to proceed with the IPO, and in recognition of the benefit that such IPO will confer upon the undersigned, and for other good and valuable consideration, the receipt and sufficiency of which are hereby acknowledged, the undersigned hereby agrees with the Company as follows:</w:t>
      </w:r>
    </w:p>
    <w:p>
      <w:pPr>
        <w:spacing w:after="0" w:line="184" w:lineRule="exact"/>
        <w:rPr>
          <w:sz w:val="20"/>
          <w:szCs w:val="20"/>
          <w:color w:val="auto"/>
        </w:rPr>
      </w:pPr>
    </w:p>
    <w:p>
      <w:pPr>
        <w:jc w:val="both"/>
        <w:ind w:left="660" w:hanging="652"/>
        <w:spacing w:after="0" w:line="286"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If the Company solicits approval of its shareholders of a Business Combination, the undersigned will vote all shares beneficially owned by him or her, whether acquired before, in or after the IPO, in favor of such Business Combination. It is acknowledged and agreed that the Company shall not enter into a definitive agreement regarding a proposed Business Combination without the prior consent of the Sponsor.</w:t>
      </w:r>
    </w:p>
    <w:p>
      <w:pPr>
        <w:spacing w:after="0" w:line="165" w:lineRule="exact"/>
        <w:rPr>
          <w:rFonts w:ascii="Arial" w:cs="Arial" w:eastAsia="Arial" w:hAnsi="Arial"/>
          <w:sz w:val="17"/>
          <w:szCs w:val="17"/>
          <w:color w:val="auto"/>
        </w:rPr>
      </w:pPr>
    </w:p>
    <w:p>
      <w:pPr>
        <w:jc w:val="both"/>
        <w:ind w:left="660" w:hanging="652"/>
        <w:spacing w:after="0" w:line="268"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 the event that the Company fails to consummate a Business Combination within the time period set forth in the Company’s amended and restated memorandum and articles of association, as the same may be further amended from time to time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the undersigned will, as promptly as possible, take all necessary actions to cause the Company to (i) cease all operations except for the purpose of winding up, (ii) as promptly as reasonably possible, but not more than 10 business days thereafter, redeem the IPO Shares, at a per-share price, payable in cash, equal to the aggregate amount then on deposit in the Trust Account, including interest earned on the Trust Account not previously released to the Company to pay income taxes (less up to $100,000 of such net interest to pay dissolution expenses), divided by the number of then-outstanding IPO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the Company’s board of directors, dissolve and liquidate, subject in the cases of clauses (ii) and (iii) to the Company’s obligations under Cayman Islands law to provide for claims of creditors and in all cases subject to the other requirements of applicable law. The undersigned hereby waives any and all right, title, interest or claim of any kind in or to any distribution of the Trust Account and any remaining net assets of the Company as a result of such liquidation with respect to the Founder Shares owned by the undersigned. However, if any of the undersigned have acquired IPO Shares in or after the IPO, they will be entitled to liquidating distributions from the Trust Account with respect to such IPO Shares in the event that the Company fails to consummate a Business Combination within the time period set forth in the Charter. The undersigned acknowledges and agrees that there will be no distribution from the Trust Account with respect to any Warrants, all rights of which will terminate on the Company’s liquidation.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jc w:val="both"/>
        <w:ind w:left="660" w:hanging="652"/>
        <w:spacing w:after="0" w:line="25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undersigned acknowledges and agrees that prior to entering into a definitive agreement for a Business Combination with a target business that is affiliated with the undersigned or any other Insiders of the Company or their affiliates, such transaction must be approved by a majority of the Company’s disinterested independent directors and the Company must obtain an opinion from an independent investment banking firm, which is a member of the Financial Industry Regulatory Authority, or an independent accounting firm that such Business Combination is fair to the Company’s unaffiliated shareholders from a financial point of view.</w:t>
      </w:r>
    </w:p>
    <w:p>
      <w:pPr>
        <w:spacing w:after="0" w:line="187"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None of the undersigned, any member of the family of any of the undersigned, or any affiliate of the undersigned will be entitled to receive and will not accept any compensation or other cash payment from the Company prior to, or for services rendered in order to effectuate, the consummation of the Business Combination; provided that the Company shall be allowed to make the payments set forth in the Registration Statement adjacent to the caption “Prospectus Summary—The Offering—Limited payments to insiders.”</w:t>
      </w:r>
    </w:p>
    <w:p>
      <w:pPr>
        <w:spacing w:after="0" w:line="186" w:lineRule="exact"/>
        <w:rPr>
          <w:rFonts w:ascii="Arial" w:cs="Arial" w:eastAsia="Arial" w:hAnsi="Arial"/>
          <w:sz w:val="18"/>
          <w:szCs w:val="18"/>
          <w:color w:val="auto"/>
        </w:rPr>
      </w:pPr>
    </w:p>
    <w:p>
      <w:pPr>
        <w:ind w:left="1300" w:hanging="1292"/>
        <w:spacing w:after="0" w:line="290" w:lineRule="auto"/>
        <w:tabs>
          <w:tab w:leader="none" w:pos="65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The undersigned agrees that the Founder Shares may not be transferred, assigned or sold (except to certain permitted transferees as described in the Registration Statement or herein) (the “</w:t>
      </w:r>
      <w:r>
        <w:rPr>
          <w:rFonts w:ascii="Arial" w:cs="Arial" w:eastAsia="Arial" w:hAnsi="Arial"/>
          <w:sz w:val="16"/>
          <w:szCs w:val="16"/>
          <w:b w:val="1"/>
          <w:bCs w:val="1"/>
          <w:i w:val="1"/>
          <w:iCs w:val="1"/>
          <w:color w:val="auto"/>
        </w:rPr>
        <w:t>Lockup</w:t>
      </w:r>
      <w:r>
        <w:rPr>
          <w:rFonts w:ascii="Arial" w:cs="Arial" w:eastAsia="Arial" w:hAnsi="Arial"/>
          <w:sz w:val="16"/>
          <w:szCs w:val="16"/>
          <w:color w:val="auto"/>
        </w:rPr>
        <w:t>”) until the earlier to occur of: (1) one year after the completion of a Business Combination or (2) the date following the completion of the Company’s initial Business Combination on which the Company completes a liquidation, merger, share exchange or other similar transaction that results in all of the Company’s shareholders having the right to exchange their Class A Ordinary Shares for cash, securities or other property. Notwithstanding the foregoing, if the closing price of the Company’s Class A Ordinary Shares equals or exceeds $12.00 per share (as adjusted for share subdivisions, share capitalizations, reorganizations, recapitalizations and the like) for any 20 trading days within any 30-trading day period commencing at least 150 days after the Company’s initial Business Combination, the Founder Shares will be released from the Lockup.</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p>
      <w:pPr>
        <w:jc w:val="both"/>
        <w:ind w:left="644" w:hanging="644"/>
        <w:spacing w:after="0" w:line="288" w:lineRule="auto"/>
        <w:tabs>
          <w:tab w:leader="none" w:pos="64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undersigned will not, without the prior written consent of the Representative pursuant to the Underwriting Agreement, offer, sell, contract to sell, pledge or otherwise dispose of (or enter into any transaction that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the rules and regulations of the Securities and Exchange Commission promulgated thereunder with respect to, any other Units, Class A Ordinary Shares or Warrants of the Company or any securities convertible into, or exercisable, or exchangeable for, Class A Ordinary Shares or publicly announce an intention to effect any such transaction, for a period of 180 days after the date of the Underwriting Agreement.</w:t>
      </w:r>
    </w:p>
    <w:p>
      <w:pPr>
        <w:spacing w:after="0" w:line="168" w:lineRule="exact"/>
        <w:rPr>
          <w:rFonts w:ascii="Arial" w:cs="Arial" w:eastAsia="Arial" w:hAnsi="Arial"/>
          <w:sz w:val="16"/>
          <w:szCs w:val="16"/>
          <w:color w:val="auto"/>
        </w:rPr>
      </w:pPr>
    </w:p>
    <w:p>
      <w:pPr>
        <w:jc w:val="both"/>
        <w:ind w:left="644" w:hanging="644"/>
        <w:spacing w:after="0" w:line="263" w:lineRule="auto"/>
        <w:tabs>
          <w:tab w:leader="none" w:pos="64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undersigned agrees that until the Company consummates an initial Business Combination, the undersigned’s Private Placement Warrants will be subject to the transfer restrictions described in the Private Placement Warrants Purchase Agreement relating to the undersigned’s Private Placement Warrants.</w:t>
      </w:r>
    </w:p>
    <w:p>
      <w:pPr>
        <w:spacing w:after="0" w:line="183" w:lineRule="exact"/>
        <w:rPr>
          <w:rFonts w:ascii="Arial" w:cs="Arial" w:eastAsia="Arial" w:hAnsi="Arial"/>
          <w:sz w:val="18"/>
          <w:szCs w:val="18"/>
          <w:color w:val="auto"/>
        </w:rPr>
      </w:pPr>
    </w:p>
    <w:p>
      <w:pPr>
        <w:jc w:val="both"/>
        <w:ind w:left="644" w:hanging="644"/>
        <w:spacing w:after="0" w:line="285" w:lineRule="auto"/>
        <w:tabs>
          <w:tab w:leader="none" w:pos="64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Notwithstanding the provisions set forth in paragraphs 5(a) and (c), transfers, assignments and sales by the undersigned of the Founder Shares, Private Placement Warrants and Class A Ordinary Shares issued or issuable upon the exercise of the Private Placement Warrants or conversion of the Founder Shares are permitted (i) to the Company’s officers or directors, any affiliates or family members of any of the Company’s officers or directors, to Sustainable Opportunities Holdings LLC, a Delaware limited liability company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xml:space="preserve">”), any members or partners of the Sponsor or their affiliates, any affiliates of the Sponsor, or any employees of such affiliates; (ii) in the case of an individual, by gift to a member of the individual’s immediate family or to a trust, the beneficiary of which is a member of one of the individual’s immediate family, an affiliate of such person or to a charitable organization; (iii) in the case of an individual, by virtue of laws of descent and distribution upon death of the individual; (iv) in the case of an individual, pursuant to a qualified domestic relations order; (v) by private sales or transfers made in connection with the consummation of the Business Combination at prices no greater than the price at which the Founder Shares, Private Placement Warrants or Class A Ordinary Shares, as applicable, were originally purchased; (vi) by virtue of the Sponsor’s organizational documents upon liquidation or dissolution of the Sponsor; (vii) to the Company for no value for cancellation in connection with the consummation of the Business Combination; (viii) in the event of the Company’s liquidation prior to the completion of a Business Combination; or (ix) in the event of completion of a liquidation, merger, share exchange or other similar transaction which results in all of the Company’s shareholders having the right to exchange their Class A Ordinary Shares for cash, securities or other property subsequent to the completion of a Business Combination;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clauses (i) through (vi) these permitted transferees must enter into a written agreement agreeing to be bound by the restrictions herein. For the avoidance of doubt, the transfers of Founder Shares, Private Placement Warrants and Class A Ordinary Shares issued or issuable upon the exercise of the Private Placement Warrants or conversion of the Founder Shares shall be permitted regardless of whether a filing under Section 16(a) of the Exchange Act shall be required or shall be voluntarily made with respect to such transfers.</w:t>
      </w:r>
    </w:p>
    <w:p>
      <w:pPr>
        <w:spacing w:after="0" w:line="378"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56" w:name="page157"/>
    <w:bookmarkEnd w:id="156"/>
    <w:p>
      <w:pPr>
        <w:jc w:val="both"/>
        <w:ind w:left="1300" w:hanging="644"/>
        <w:spacing w:after="0" w:line="275" w:lineRule="auto"/>
        <w:tabs>
          <w:tab w:leader="none" w:pos="130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The undersigned acknowledges and agrees that if, in order to consummate any Business Combination, the holders of Founder Shares or Private Placement Warrants are required to contribute back to the capital of the Company a portion of any such securities to be cancelled by the Company or transfer any such securities to third parties, the undersigned will contribute back to the capital of the Company or transfer to such third parties, at no cost, a proportionate number of Founder Shares or Private Placement Warrants, as applicable, pro rata with the other holders of Founder Shares or Private Placement Warrants, as applicable.</w:t>
      </w:r>
    </w:p>
    <w:p>
      <w:pPr>
        <w:spacing w:after="0" w:line="176" w:lineRule="exact"/>
        <w:rPr>
          <w:rFonts w:ascii="Arial" w:cs="Arial" w:eastAsia="Arial" w:hAnsi="Arial"/>
          <w:sz w:val="17"/>
          <w:szCs w:val="17"/>
          <w:color w:val="auto"/>
        </w:rPr>
      </w:pPr>
    </w:p>
    <w:p>
      <w:pPr>
        <w:ind w:left="1300" w:hanging="1292"/>
        <w:spacing w:after="0" w:line="296" w:lineRule="auto"/>
        <w:tabs>
          <w:tab w:leader="none" w:pos="65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In order to minimize potential conflicts of interest that may arise from multiple corporate affiliations, the undersigned hereby agrees that until the earliest of the Company’s initial Business Combination or liquidation, the undersigned shall present to the Company for its consideration, prior to presentation to any other entity, any target business that has a fair market value of at least 80% of the assets held in the Trust Account (excluding the amount of deferred underwriting discounts held in trust and taxes payable on the interest earned on the trust account), subject to any existing or future fiduciary or contractual obligations the undersigned might have.</w:t>
      </w:r>
    </w:p>
    <w:p>
      <w:pPr>
        <w:spacing w:after="0" w:line="161"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undersigned hereby agrees and acknowledges that (i) each of the Underwriters and the Company would be irreparably injured in the event of a breach of the obligations under paragraph 6(a) above,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jc w:val="both"/>
        <w:ind w:left="660" w:hanging="652"/>
        <w:spacing w:after="0" w:line="288" w:lineRule="auto"/>
        <w:tabs>
          <w:tab w:leader="none" w:pos="6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undersigned agrees to be a director or officer of the Company, as applicable, until the earlier of the consummation by the Company of an initial Business Combination, the liquidation of the Company, or his or her removal, death or incapacity. In the event of the removal or resignation of the undersigned as a director or officer (as applicable), the undersigned agrees that he or she will not, prior to the consummation of the Business Combination, without the prior express written consent of the Company, (i) use for the benefit of the undersigned or to the detriment of the Company or (ii) disclose to any third party (unless required by law or governmental authority), any information regarding a potential target of the Company that is not generally known by persons outside of the Company, the Sponsor, or their respective affiliates. The undersigned’s biographical information previously furnished to the Company and the Representative is true and accurate in all material respects, does not omit any material information with respect to the undersigned’s background and contains all of the information required to be disclosed pursuant to Item 401 of Regulation S-K, promulgated under the Securities Act of 1933, as amended. The undersigned’s FINRA Questionnaire previously furnished to the Company and the Representative is true and accurate in all material respects. The undersigned represents and warrants that:</w:t>
      </w:r>
    </w:p>
    <w:p>
      <w:pPr>
        <w:spacing w:after="0" w:line="168" w:lineRule="exact"/>
        <w:rPr>
          <w:rFonts w:ascii="Arial" w:cs="Arial" w:eastAsia="Arial" w:hAnsi="Arial"/>
          <w:sz w:val="16"/>
          <w:szCs w:val="16"/>
          <w:color w:val="auto"/>
        </w:rPr>
      </w:pPr>
    </w:p>
    <w:p>
      <w:pPr>
        <w:ind w:left="1300" w:hanging="644"/>
        <w:spacing w:after="0" w:line="277" w:lineRule="auto"/>
        <w:tabs>
          <w:tab w:leader="none" w:pos="13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He or she is not subject to, or a respondent in, any legal action for, any injunction, cease-and-desist order or order or stipulation to desist or refrain from any act or practice relating to the offering of securities in any jurisdiction;</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He or she has never been convicted of or pleaded guilty to any crime (i) involving any fraud or (ii) relating to any financial transaction or handling of funds of another person, or (iii) pertaining to any dealings in any securities and he is not currently a defendant in any such criminal proceeding; and</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He or she has never been suspended or expelled from membership in any securities or commodities exchange or association or had a securities or commodities license or registration denied, suspended or revoked.</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undersigned has full right and power, without violating any agreement by which he or she is bound, to enter into this Letter Agreement and to serve as a director or officer of the Company, as applicable.</w:t>
      </w:r>
    </w:p>
    <w:p>
      <w:pPr>
        <w:spacing w:after="0" w:line="170" w:lineRule="exact"/>
        <w:rPr>
          <w:rFonts w:ascii="Arial" w:cs="Arial" w:eastAsia="Arial" w:hAnsi="Arial"/>
          <w:sz w:val="18"/>
          <w:szCs w:val="18"/>
          <w:color w:val="auto"/>
        </w:rPr>
      </w:pPr>
    </w:p>
    <w:p>
      <w:pPr>
        <w:jc w:val="both"/>
        <w:ind w:left="660" w:hanging="652"/>
        <w:spacing w:after="0" w:line="254"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undersigned hereby waives his or her right to exercise redemption rights with respect to any of the Company’s ordinary shares owned or to be owned by the undersigned, directly or indirectly, whether such shares be part of the Founder Shares or IPO Shares, and agrees that he or she will not seek redemption with respect to such shares (or sell such shares to the Company in any tender offer) in connection with any shareholder vote to approve (x) a Business Combination or (y) an amendment to the Charter that would affect the substance or timing of the Company’s obligation to provide holders of the Class A Ordinary Shares the right to have their shares redeemed in connection with an initial Business Combination or to redeem 100% of the Class A Ordinary Shares if the Company has not consummated a Business Combination within 18 months from the closing of the IPO.</w:t>
      </w:r>
    </w:p>
    <w:p>
      <w:pPr>
        <w:spacing w:after="0" w:line="194" w:lineRule="exact"/>
        <w:rPr>
          <w:rFonts w:ascii="Arial" w:cs="Arial" w:eastAsia="Arial" w:hAnsi="Arial"/>
          <w:sz w:val="18"/>
          <w:szCs w:val="18"/>
          <w:color w:val="auto"/>
        </w:rPr>
      </w:pPr>
    </w:p>
    <w:p>
      <w:pPr>
        <w:jc w:val="both"/>
        <w:ind w:left="660" w:hanging="652"/>
        <w:spacing w:after="0" w:line="254"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undersigned hereby agrees to not propose any amendment to the Charter that would affect the substance or timing of the Company’s obligation to provide for the redemption of the Class A Ordinary Shares in connection with an initial Business Combination or to redeem 100% of the Class A Ordinary Shares if the Company does not complete an initial Business Combination within within 18 months from the closing of the IPO unless the Company provides its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the Company to pay taxes, divided by the number of then outstanding Class A Ordinary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jc w:val="both"/>
        <w:ind w:left="660" w:hanging="652"/>
        <w:spacing w:after="0" w:line="255"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This Letter Agreement shall be governed by and construed and enforced in accordance with the laws of the State of New York, without giving effect to conflicts of law principles that would result in the application of the substantive laws of another jurisdiction. The undersigned hereby (i) agrees that any action, proceeding or claim against him arising out of or relating in any way to this Letter Agreement shall be brought and enforced in the courts of the State of New York of the United States of America for the Southern District of New York, and irrevocably submits to such jurisdiction, which jurisdiction shall be exclusive and (ii) waives any objection to such exclusive jurisdiction and that such courts represent an inconvenient forum.</w:t>
      </w:r>
    </w:p>
    <w:p>
      <w:pPr>
        <w:spacing w:after="0" w:line="192" w:lineRule="exact"/>
        <w:rPr>
          <w:rFonts w:ascii="Arial" w:cs="Arial" w:eastAsia="Arial" w:hAnsi="Arial"/>
          <w:sz w:val="18"/>
          <w:szCs w:val="18"/>
          <w:color w:val="auto"/>
        </w:rPr>
      </w:pPr>
    </w:p>
    <w:p>
      <w:pPr>
        <w:jc w:val="both"/>
        <w:ind w:left="660" w:hanging="652"/>
        <w:spacing w:after="0" w:line="290" w:lineRule="auto"/>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As used herein, (i)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shall mean a merger, share exchange, asset acquisition, share purchase, recapitalization, reorganization or other similar business combination with one or more businesses or entities; (ii) “</w:t>
      </w:r>
      <w:r>
        <w:rPr>
          <w:rFonts w:ascii="Arial" w:cs="Arial" w:eastAsia="Arial" w:hAnsi="Arial"/>
          <w:sz w:val="16"/>
          <w:szCs w:val="16"/>
          <w:b w:val="1"/>
          <w:bCs w:val="1"/>
          <w:i w:val="1"/>
          <w:iCs w:val="1"/>
          <w:color w:val="auto"/>
        </w:rPr>
        <w:t>Insiders</w:t>
      </w:r>
      <w:r>
        <w:rPr>
          <w:rFonts w:ascii="Arial" w:cs="Arial" w:eastAsia="Arial" w:hAnsi="Arial"/>
          <w:sz w:val="16"/>
          <w:szCs w:val="16"/>
          <w:color w:val="auto"/>
        </w:rPr>
        <w:t>” shall mean the Sponsor and all officers and directors of the Company immediately prior to the IPO; (iii) “</w:t>
      </w:r>
      <w:r>
        <w:rPr>
          <w:rFonts w:ascii="Arial" w:cs="Arial" w:eastAsia="Arial" w:hAnsi="Arial"/>
          <w:sz w:val="16"/>
          <w:szCs w:val="16"/>
          <w:b w:val="1"/>
          <w:bCs w:val="1"/>
          <w:i w:val="1"/>
          <w:iCs w:val="1"/>
          <w:color w:val="auto"/>
        </w:rPr>
        <w:t>Founder Shares</w:t>
      </w:r>
      <w:r>
        <w:rPr>
          <w:rFonts w:ascii="Arial" w:cs="Arial" w:eastAsia="Arial" w:hAnsi="Arial"/>
          <w:sz w:val="16"/>
          <w:szCs w:val="16"/>
          <w:color w:val="auto"/>
        </w:rPr>
        <w:t>” shall mean all of the Class B Ordinary Shares of the Company acquired by an Insider prior to the IPO; (iv) “</w:t>
      </w:r>
      <w:r>
        <w:rPr>
          <w:rFonts w:ascii="Arial" w:cs="Arial" w:eastAsia="Arial" w:hAnsi="Arial"/>
          <w:sz w:val="16"/>
          <w:szCs w:val="16"/>
          <w:b w:val="1"/>
          <w:bCs w:val="1"/>
          <w:i w:val="1"/>
          <w:iCs w:val="1"/>
          <w:color w:val="auto"/>
        </w:rPr>
        <w:t>IPO Shares</w:t>
      </w:r>
      <w:r>
        <w:rPr>
          <w:rFonts w:ascii="Arial" w:cs="Arial" w:eastAsia="Arial" w:hAnsi="Arial"/>
          <w:sz w:val="16"/>
          <w:szCs w:val="16"/>
          <w:color w:val="auto"/>
        </w:rPr>
        <w:t>” shall mean the Class A Ordinary Shares issued in the Company’s IPO; (v) “</w:t>
      </w:r>
      <w:r>
        <w:rPr>
          <w:rFonts w:ascii="Arial" w:cs="Arial" w:eastAsia="Arial" w:hAnsi="Arial"/>
          <w:sz w:val="16"/>
          <w:szCs w:val="16"/>
          <w:b w:val="1"/>
          <w:bCs w:val="1"/>
          <w:i w:val="1"/>
          <w:iCs w:val="1"/>
          <w:color w:val="auto"/>
        </w:rPr>
        <w:t>Private Placement Warrants</w:t>
      </w:r>
      <w:r>
        <w:rPr>
          <w:rFonts w:ascii="Arial" w:cs="Arial" w:eastAsia="Arial" w:hAnsi="Arial"/>
          <w:sz w:val="16"/>
          <w:szCs w:val="16"/>
          <w:color w:val="auto"/>
        </w:rPr>
        <w:t>” shall mean the warrants that are being sold privately by the Company simultaneously with the consummation of the IPO; (vi)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shall mean the trust account into which the net proceeds of the Company’s IPO and a portion of the proceeds from the sale of the Private Placement Warrants will be deposited; and (vii)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means the Company’s registration statement on Form S-1 (SEC File No. 333-237245) filed with the Securities and Exchange Commission, as amended.</w:t>
      </w:r>
    </w:p>
    <w:p>
      <w:pPr>
        <w:spacing w:after="0" w:line="165" w:lineRule="exact"/>
        <w:rPr>
          <w:rFonts w:ascii="Arial" w:cs="Arial" w:eastAsia="Arial" w:hAnsi="Arial"/>
          <w:sz w:val="16"/>
          <w:szCs w:val="16"/>
          <w:color w:val="auto"/>
        </w:rPr>
      </w:pPr>
    </w:p>
    <w:p>
      <w:pPr>
        <w:jc w:val="both"/>
        <w:ind w:left="660" w:hanging="652"/>
        <w:spacing w:after="0" w:line="301" w:lineRule="auto"/>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57" w:lineRule="exact"/>
        <w:rPr>
          <w:rFonts w:ascii="Arial" w:cs="Arial" w:eastAsia="Arial" w:hAnsi="Arial"/>
          <w:sz w:val="16"/>
          <w:szCs w:val="16"/>
          <w:color w:val="auto"/>
        </w:rPr>
      </w:pPr>
    </w:p>
    <w:p>
      <w:pPr>
        <w:jc w:val="both"/>
        <w:ind w:left="660" w:right="20" w:hanging="652"/>
        <w:spacing w:after="0" w:line="311" w:lineRule="auto"/>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undersigned acknowledges and understands that the Underwriters and the Company will rely upon the agreements, representations and warranties set forth herein in proceeding with the IPO. Nothing contained herein shall be deemed to render any Underwriter a representative of, or a fiduciary with respect to, the Company, its shareholders or any creditor or vendor of the Company with respect to the subject matter hereof.</w:t>
      </w:r>
    </w:p>
    <w:p>
      <w:pPr>
        <w:spacing w:after="0" w:line="148" w:lineRule="exact"/>
        <w:rPr>
          <w:rFonts w:ascii="Arial" w:cs="Arial" w:eastAsia="Arial" w:hAnsi="Arial"/>
          <w:sz w:val="16"/>
          <w:szCs w:val="16"/>
          <w:color w:val="auto"/>
        </w:rPr>
      </w:pPr>
    </w:p>
    <w:p>
      <w:pPr>
        <w:jc w:val="both"/>
        <w:ind w:left="660" w:hanging="652"/>
        <w:spacing w:after="0" w:line="254"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This Letter Agreement shall be binding on the undersigned and such person’s respective successors, heirs, personal representatives and assigns. This Letter Agreement shall terminate on the earlier of (i) the consummation of a Business Combination (other than with respect to paragraph 5, which shall survive until the expiration of all applicable lock up periods) and (ii) the liquidation of the Company; provided, that such termination shall not relieve the undersigned from liability for any breach of this agreement prior to its termination. The parties hereto may not assign either this Letter Agreement or any of their rights, interests, or obligations hereunder without the prior written consent of the other party. Any purported assignment in violation of this paragraph shall be void and ineffectual and shall not operate to transfer or assign any interest or title to the purported assignee.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ind w:left="56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38100</wp:posOffset>
            </wp:positionV>
            <wp:extent cx="284607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5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Scott Leonard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Scott Honour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30480</wp:posOffset>
            </wp:positionV>
            <wp:extent cx="284607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Scott Honour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David Quiram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38100</wp:posOffset>
            </wp:positionV>
            <wp:extent cx="284607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5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Quiram</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Isaac Barchas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38100</wp:posOffset>
            </wp:positionV>
            <wp:extent cx="284607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5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Isaac Barchas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Rick Gaenzle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30480</wp:posOffset>
            </wp:positionV>
            <wp:extent cx="284607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Rick Gaenzle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Justin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23495</wp:posOffset>
            </wp:positionV>
            <wp:extent cx="284607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Justin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580390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60" w:name="page161"/>
    <w:bookmarkEnd w:id="160"/>
    <w:p>
      <w:pPr>
        <w:ind w:left="5640"/>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SUSTAINABLE OPPORTUNITIES ACQUISITION CORP.</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1440" w:top="908" w:right="4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1601 Bryan Street, Suite 4141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Dallas, Texas 75201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Sustainable Opportunities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1601 Bryan Street, Suite 4141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letter will confirm our agreement that, commencing on the effective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of the registration statement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for the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of the securities of Sustainable Opportunities Acquisition Corp.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continuing until the earlier of (i) the consummation by the Company of an initial business combination or (ii) the Company’s liquidation (in each case as described in the Registration Statement) (such earlier date hereinafter referred to as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 Sustainable Opportunities Holdings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shall take steps directly or indirectly to make available to the Company certain office space, secretarial and administrative services as may be required by the Company from time to time, situated at 1601 Bryan Street, Suite 4141, Dallas, Texas 75201 (or any successor location). In exchange therefore, the Company shall pay the Sponsor a sum of $10,000 per month on the Effective Date and continuing monthly thereafter until the Termination Date. The Sponsor hereby agrees that it does not have any right, title, interest or claim of any kind (a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in or to any monies that may be set aside in a trust account (the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that may be established upon the consummation of the IPO and hereby waives any Claim it may have in the future as a result of, or arising out of, any negotiations, contracts or agreements with the Company and will not seek recourse against the Trust Account for any reason whatsoever.</w:t>
      </w:r>
    </w:p>
    <w:p>
      <w:pPr>
        <w:spacing w:after="0" w:line="18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This letter agreement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8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This letter agreement may not be amended, modified or waived as to any particular provision, except by a written instrument executed by the parties hereto.</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parties may assign this letter agreement and any of their rights, interests, or obligations hereunder at any time upon five days’ notice to the other party.</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This letter agreement shall be governed by, construed in accordance with, and interpreted pursuant to the laws of the State of New York, without giving effect to its choice of laws principles.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ind w:left="6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SUSTAINABLE OPPORTUNITIES ACQUISITION</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CORP.</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SUSTAINABLE OPPORTUNITIES HOLDINGS LLC</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935"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amp;"/>
      <w:numFmt w:val="bullet"/>
      <w:start w:val="1"/>
    </w:lvl>
  </w:abstractNum>
  <w:abstractNum w:abstractNumId="3">
    <w:nsid w:val="1381823A"/>
    <w:multiLevelType w:val="hybridMultilevel"/>
    <w:lvl w:ilvl="0">
      <w:lvlJc w:val="left"/>
      <w:lvlText w:val="(%1)"/>
      <w:numFmt w:val="lowerLetter"/>
      <w:start w:val="1"/>
    </w:lvl>
  </w:abstractNum>
  <w:abstractNum w:abstractNumId="4">
    <w:nsid w:val="5DB70AE5"/>
    <w:multiLevelType w:val="hybridMultilevel"/>
    <w:lvl w:ilvl="0">
      <w:lvlJc w:val="left"/>
      <w:lvlText w:val="(%1)"/>
      <w:numFmt w:val="lowerLetter"/>
      <w:start w:val="3"/>
    </w:lvl>
  </w:abstractNum>
  <w:abstractNum w:abstractNumId="5">
    <w:nsid w:val="100F8FCA"/>
    <w:multiLevelType w:val="hybridMultilevel"/>
    <w:lvl w:ilvl="0">
      <w:lvlJc w:val="left"/>
      <w:lvlText w:val="(%1)"/>
      <w:numFmt w:val="lowerLetter"/>
      <w:start w:val="8"/>
    </w:lvl>
  </w:abstractNum>
  <w:abstractNum w:abstractNumId="6">
    <w:nsid w:val="6590700B"/>
    <w:multiLevelType w:val="hybridMultilevel"/>
    <w:lvl w:ilvl="0">
      <w:lvlJc w:val="left"/>
      <w:lvlText w:val="(%1)"/>
      <w:numFmt w:val="lowerLetter"/>
      <w:start w:val="20"/>
    </w:lvl>
  </w:abstractNum>
  <w:abstractNum w:abstractNumId="7">
    <w:nsid w:val="15014ACB"/>
    <w:multiLevelType w:val="hybridMultilevel"/>
    <w:lvl w:ilvl="0">
      <w:lvlJc w:val="left"/>
      <w:lvlText w:val="%1"/>
      <w:numFmt w:val="lowerLetter"/>
      <w:start w:val="1"/>
    </w:lvl>
    <w:lvl w:ilvl="1">
      <w:lvlJc w:val="left"/>
      <w:lvlText w:val="(%2)"/>
      <w:numFmt w:val="lowerLetter"/>
      <w:start w:val="27"/>
    </w:lvl>
  </w:abstractNum>
  <w:abstractNum w:abstractNumId="8">
    <w:nsid w:val="5F5E7FD0"/>
    <w:multiLevelType w:val="hybridMultilevel"/>
    <w:lvl w:ilvl="0">
      <w:lvlJc w:val="left"/>
      <w:lvlText w:val="(%1)"/>
      <w:numFmt w:val="lowerLetter"/>
      <w:start w:val="35"/>
    </w:lvl>
    <w:lvl w:ilvl="1">
      <w:lvlJc w:val="left"/>
      <w:lvlText w:val="%2"/>
      <w:numFmt w:val="lowerLetter"/>
      <w:start w:val="1"/>
    </w:lvl>
  </w:abstractNum>
  <w:abstractNum w:abstractNumId="9">
    <w:nsid w:val="98A3148"/>
    <w:multiLevelType w:val="hybridMultilevel"/>
    <w:lvl w:ilvl="0">
      <w:lvlJc w:val="left"/>
      <w:lvlText w:val="(%1)"/>
      <w:numFmt w:val="lowerLetter"/>
      <w:start w:val="32"/>
    </w:lvl>
  </w:abstractNum>
  <w:abstractNum w:abstractNumId="10">
    <w:nsid w:val="799D0247"/>
    <w:multiLevelType w:val="hybridMultilevel"/>
    <w:lvl w:ilvl="0">
      <w:lvlJc w:val="left"/>
      <w:lvlText w:val="(%1)"/>
      <w:numFmt w:val="lowerLetter"/>
      <w:start w:val="35"/>
    </w:lvl>
  </w:abstractNum>
  <w:abstractNum w:abstractNumId="11">
    <w:nsid w:val="6B94764"/>
    <w:multiLevelType w:val="hybridMultilevel"/>
    <w:lvl w:ilvl="0">
      <w:lvlJc w:val="left"/>
      <w:lvlText w:val="(%1)"/>
      <w:numFmt w:val="lowerLetter"/>
      <w:start w:val="41"/>
    </w:lvl>
  </w:abstractNum>
  <w:abstractNum w:abstractNumId="12">
    <w:nsid w:val="42C296BD"/>
    <w:multiLevelType w:val="hybridMultilevel"/>
    <w:lvl w:ilvl="0">
      <w:lvlJc w:val="left"/>
      <w:lvlText w:val="(%1)"/>
      <w:numFmt w:val="lowerLetter"/>
      <w:start w:val="45"/>
    </w:lvl>
  </w:abstractNum>
  <w:abstractNum w:abstractNumId="13">
    <w:nsid w:val="168E121F"/>
    <w:multiLevelType w:val="hybridMultilevel"/>
    <w:lvl w:ilvl="0">
      <w:lvlJc w:val="left"/>
      <w:lvlText w:val="(%1)"/>
      <w:numFmt w:val="lowerLetter"/>
      <w:start w:val="50"/>
    </w:lvl>
  </w:abstractNum>
  <w:abstractNum w:abstractNumId="14">
    <w:nsid w:val="1EBA5D23"/>
    <w:multiLevelType w:val="hybridMultilevel"/>
    <w:lvl w:ilvl="0">
      <w:lvlJc w:val="left"/>
      <w:lvlText w:val="(%1)"/>
      <w:numFmt w:val="lowerLetter"/>
      <w:start w:val="53"/>
    </w:lvl>
  </w:abstractNum>
  <w:abstractNum w:abstractNumId="15">
    <w:nsid w:val="661E3F1E"/>
    <w:multiLevelType w:val="hybridMultilevel"/>
    <w:lvl w:ilvl="0">
      <w:lvlJc w:val="left"/>
      <w:lvlText w:val="(%1)"/>
      <w:numFmt w:val="lowerLetter"/>
      <w:start w:val="57"/>
    </w:lvl>
  </w:abstractNum>
  <w:abstractNum w:abstractNumId="16">
    <w:nsid w:val="5DC79EA8"/>
    <w:multiLevelType w:val="hybridMultilevel"/>
    <w:lvl w:ilvl="0">
      <w:lvlJc w:val="left"/>
      <w:lvlText w:val="(%1)"/>
      <w:numFmt w:val="lowerLetter"/>
      <w:start w:val="64"/>
    </w:lvl>
  </w:abstractNum>
  <w:abstractNum w:abstractNumId="17">
    <w:nsid w:val="540A471C"/>
    <w:multiLevelType w:val="hybridMultilevel"/>
    <w:lvl w:ilvl="0">
      <w:lvlJc w:val="left"/>
      <w:lvlText w:val="%1."/>
      <w:numFmt w:val="decimal"/>
      <w:start w:val="2"/>
    </w:lvl>
    <w:lvl w:ilvl="1">
      <w:lvlJc w:val="left"/>
      <w:lvlText w:val="(%2)"/>
      <w:numFmt w:val="lowerLetter"/>
      <w:start w:val="2"/>
    </w:lvl>
  </w:abstractNum>
  <w:abstractNum w:abstractNumId="18">
    <w:nsid w:val="7BD3EE7B"/>
    <w:multiLevelType w:val="hybridMultilevel"/>
    <w:lvl w:ilvl="0">
      <w:lvlJc w:val="left"/>
      <w:lvlText w:val="(%1)"/>
      <w:numFmt w:val="lowerLetter"/>
      <w:start w:val="2"/>
    </w:lvl>
  </w:abstractNum>
  <w:abstractNum w:abstractNumId="19">
    <w:nsid w:val="51D9C564"/>
    <w:multiLevelType w:val="hybridMultilevel"/>
    <w:lvl w:ilvl="0">
      <w:lvlJc w:val="left"/>
      <w:lvlText w:val="%1."/>
      <w:numFmt w:val="decimal"/>
      <w:start w:val="4"/>
    </w:lvl>
    <w:lvl w:ilvl="1">
      <w:lvlJc w:val="left"/>
      <w:lvlText w:val="(%2)"/>
      <w:numFmt w:val="lowerLetter"/>
      <w:start w:val="1"/>
    </w:lvl>
  </w:abstractNum>
  <w:abstractNum w:abstractNumId="20">
    <w:nsid w:val="613EFDC5"/>
    <w:multiLevelType w:val="hybridMultilevel"/>
    <w:lvl w:ilvl="0">
      <w:lvlJc w:val="left"/>
      <w:lvlText w:val="(%1)"/>
      <w:numFmt w:val="lowerLetter"/>
      <w:start w:val="2"/>
    </w:lvl>
  </w:abstractNum>
  <w:abstractNum w:abstractNumId="21">
    <w:nsid w:val="BF72B14"/>
    <w:multiLevelType w:val="hybridMultilevel"/>
    <w:lvl w:ilvl="0">
      <w:lvlJc w:val="left"/>
      <w:lvlText w:val="%1"/>
      <w:numFmt w:val="decimal"/>
      <w:start w:val="1"/>
    </w:lvl>
    <w:lvl w:ilvl="1">
      <w:lvlJc w:val="left"/>
      <w:lvlText w:val="(%2)"/>
      <w:numFmt w:val="lowerLetter"/>
      <w:start w:val="7"/>
    </w:lvl>
  </w:abstractNum>
  <w:abstractNum w:abstractNumId="22">
    <w:nsid w:val="11447B73"/>
    <w:multiLevelType w:val="hybridMultilevel"/>
    <w:lvl w:ilvl="0">
      <w:lvlJc w:val="left"/>
      <w:lvlText w:val="(%1)"/>
      <w:numFmt w:val="decimal"/>
      <w:start w:val="1"/>
    </w:lvl>
    <w:lvl w:ilvl="1">
      <w:lvlJc w:val="left"/>
      <w:lvlText w:val="(%2)"/>
      <w:numFmt w:val="lowerLetter"/>
      <w:start w:val="8"/>
    </w:lvl>
  </w:abstractNum>
  <w:abstractNum w:abstractNumId="23">
    <w:nsid w:val="42963E5A"/>
    <w:multiLevelType w:val="hybridMultilevel"/>
    <w:lvl w:ilvl="0">
      <w:lvlJc w:val="left"/>
      <w:lvlText w:val="(%1)"/>
      <w:numFmt w:val="lowerLetter"/>
      <w:start w:val="10"/>
    </w:lvl>
  </w:abstractNum>
  <w:abstractNum w:abstractNumId="24">
    <w:nsid w:val="A0382C5"/>
    <w:multiLevelType w:val="hybridMultilevel"/>
    <w:lvl w:ilvl="0">
      <w:lvlJc w:val="left"/>
      <w:lvlText w:val="(%1)"/>
      <w:numFmt w:val="lowerLetter"/>
      <w:start w:val="14"/>
    </w:lvl>
  </w:abstractNum>
  <w:abstractNum w:abstractNumId="25">
    <w:nsid w:val="8F2B15E"/>
    <w:multiLevelType w:val="hybridMultilevel"/>
    <w:lvl w:ilvl="0">
      <w:lvlJc w:val="left"/>
      <w:lvlText w:val="(%1)"/>
      <w:numFmt w:val="lowerLetter"/>
      <w:start w:val="20"/>
    </w:lvl>
  </w:abstractNum>
  <w:abstractNum w:abstractNumId="26">
    <w:nsid w:val="1A32234B"/>
    <w:multiLevelType w:val="hybridMultilevel"/>
    <w:lvl w:ilvl="0">
      <w:lvlJc w:val="left"/>
      <w:lvlText w:val="(%1)"/>
      <w:numFmt w:val="lowerLetter"/>
      <w:start w:val="24"/>
    </w:lvl>
  </w:abstractNum>
  <w:abstractNum w:abstractNumId="27">
    <w:nsid w:val="3B0FD379"/>
    <w:multiLevelType w:val="hybridMultilevel"/>
    <w:lvl w:ilvl="0">
      <w:lvlJc w:val="left"/>
      <w:lvlText w:val="(%1)"/>
      <w:numFmt w:val="lowerLetter"/>
      <w:start w:val="27"/>
    </w:lvl>
  </w:abstractNum>
  <w:abstractNum w:abstractNumId="28">
    <w:nsid w:val="68EB2F63"/>
    <w:multiLevelType w:val="hybridMultilevel"/>
    <w:lvl w:ilvl="0">
      <w:lvlJc w:val="left"/>
      <w:lvlText w:val="(%1)"/>
      <w:numFmt w:val="lowerLetter"/>
      <w:start w:val="31"/>
    </w:lvl>
  </w:abstractNum>
  <w:abstractNum w:abstractNumId="29">
    <w:nsid w:val="4962813B"/>
    <w:multiLevelType w:val="hybridMultilevel"/>
    <w:lvl w:ilvl="0">
      <w:lvlJc w:val="left"/>
      <w:lvlText w:val="(%1)"/>
      <w:numFmt w:val="lowerLetter"/>
      <w:start w:val="33"/>
    </w:lvl>
  </w:abstractNum>
  <w:abstractNum w:abstractNumId="30">
    <w:nsid w:val="60B6DF70"/>
    <w:multiLevelType w:val="hybridMultilevel"/>
    <w:lvl w:ilvl="0">
      <w:lvlJc w:val="left"/>
      <w:lvlText w:val="%1"/>
      <w:numFmt w:val="decimal"/>
      <w:start w:val="1"/>
    </w:lvl>
    <w:lvl w:ilvl="1">
      <w:lvlJc w:val="left"/>
      <w:lvlText w:val="(%2)"/>
      <w:numFmt w:val="lowerLetter"/>
      <w:start w:val="37"/>
    </w:lvl>
  </w:abstractNum>
  <w:abstractNum w:abstractNumId="31">
    <w:nsid w:val="6A5EE64"/>
    <w:multiLevelType w:val="hybridMultilevel"/>
    <w:lvl w:ilvl="0">
      <w:lvlJc w:val="left"/>
      <w:lvlText w:val="%1."/>
      <w:numFmt w:val="decimal"/>
      <w:start w:val="6"/>
    </w:lvl>
    <w:lvl w:ilvl="1">
      <w:lvlJc w:val="left"/>
      <w:lvlText w:val="(%2)"/>
      <w:numFmt w:val="lowerLetter"/>
      <w:start w:val="1"/>
    </w:lvl>
  </w:abstractNum>
  <w:abstractNum w:abstractNumId="32">
    <w:nsid w:val="14330624"/>
    <w:multiLevelType w:val="hybridMultilevel"/>
    <w:lvl w:ilvl="0">
      <w:lvlJc w:val="left"/>
      <w:lvlText w:val="(%1)"/>
      <w:numFmt w:val="lowerLetter"/>
      <w:start w:val="5"/>
    </w:lvl>
    <w:lvl w:ilvl="1">
      <w:lvlJc w:val="left"/>
      <w:lvlText w:val="(%2)"/>
      <w:numFmt w:val="lowerRoman"/>
      <w:start w:val="1"/>
    </w:lvl>
  </w:abstractNum>
  <w:abstractNum w:abstractNumId="33">
    <w:nsid w:val="7FFFCA11"/>
    <w:multiLevelType w:val="hybridMultilevel"/>
    <w:lvl w:ilvl="0">
      <w:lvlJc w:val="left"/>
      <w:lvlText w:val="(%1)"/>
      <w:numFmt w:val="lowerLetter"/>
      <w:start w:val="8"/>
    </w:lvl>
  </w:abstractNum>
  <w:abstractNum w:abstractNumId="34">
    <w:nsid w:val="1A27709E"/>
    <w:multiLevelType w:val="hybridMultilevel"/>
    <w:lvl w:ilvl="0">
      <w:lvlJc w:val="left"/>
      <w:lvlText w:val="%1."/>
      <w:numFmt w:val="decimal"/>
      <w:start w:val="7"/>
    </w:lvl>
  </w:abstractNum>
  <w:abstractNum w:abstractNumId="35">
    <w:nsid w:val="71EA1109"/>
    <w:multiLevelType w:val="hybridMultilevel"/>
    <w:lvl w:ilvl="0">
      <w:lvlJc w:val="left"/>
      <w:lvlText w:val="(%1)"/>
      <w:numFmt w:val="lowerLetter"/>
      <w:start w:val="2"/>
    </w:lvl>
  </w:abstractNum>
  <w:abstractNum w:abstractNumId="36">
    <w:nsid w:val="100F59DC"/>
    <w:multiLevelType w:val="hybridMultilevel"/>
    <w:lvl w:ilvl="0">
      <w:lvlJc w:val="left"/>
      <w:lvlText w:val="(%1)"/>
      <w:numFmt w:val="lowerLetter"/>
      <w:start w:val="4"/>
    </w:lvl>
  </w:abstractNum>
  <w:abstractNum w:abstractNumId="37">
    <w:nsid w:val="7FB7E0AA"/>
    <w:multiLevelType w:val="hybridMultilevel"/>
    <w:lvl w:ilvl="0">
      <w:lvlJc w:val="left"/>
      <w:lvlText w:val="%1."/>
      <w:numFmt w:val="decimal"/>
      <w:start w:val="9"/>
    </w:lvl>
  </w:abstractNum>
  <w:abstractNum w:abstractNumId="38">
    <w:nsid w:val="6EB5BD4"/>
    <w:multiLevelType w:val="hybridMultilevel"/>
    <w:lvl w:ilvl="0">
      <w:lvlJc w:val="left"/>
      <w:lvlText w:val="%1."/>
      <w:numFmt w:val="decimal"/>
      <w:start w:val="11"/>
    </w:lvl>
    <w:lvl w:ilvl="1">
      <w:lvlJc w:val="left"/>
      <w:lvlText w:val="(%2)"/>
      <w:numFmt w:val="lowerLetter"/>
      <w:start w:val="1"/>
    </w:lvl>
  </w:abstractNum>
  <w:abstractNum w:abstractNumId="39">
    <w:nsid w:val="6F6DD9AC"/>
    <w:multiLevelType w:val="hybridMultilevel"/>
    <w:lvl w:ilvl="0">
      <w:lvlJc w:val="left"/>
      <w:lvlText w:val="%1"/>
      <w:numFmt w:val="lowerLetter"/>
      <w:start w:val="1"/>
    </w:lvl>
    <w:lvl w:ilvl="1">
      <w:lvlJc w:val="left"/>
      <w:lvlText w:val="%2."/>
      <w:numFmt w:val="decimal"/>
      <w:start w:val="15"/>
    </w:lvl>
  </w:abstractNum>
  <w:abstractNum w:abstractNumId="40">
    <w:nsid w:val="94211F2"/>
    <w:multiLevelType w:val="hybridMultilevel"/>
    <w:lvl w:ilvl="0">
      <w:lvlJc w:val="left"/>
      <w:lvlText w:val="(%1)"/>
      <w:numFmt w:val="lowerLetter"/>
      <w:start w:val="2"/>
    </w:lvl>
    <w:lvl w:ilvl="1">
      <w:lvlJc w:val="left"/>
      <w:lvlText w:val="%2."/>
      <w:numFmt w:val="decimal"/>
      <w:start w:val="16"/>
    </w:lvl>
  </w:abstractNum>
  <w:abstractNum w:abstractNumId="41">
    <w:nsid w:val="885E1B"/>
    <w:multiLevelType w:val="hybridMultilevel"/>
    <w:lvl w:ilvl="0">
      <w:lvlJc w:val="left"/>
      <w:lvlText w:val="1"/>
      <w:numFmt w:val="bullet"/>
      <w:start w:val="1"/>
    </w:lvl>
  </w:abstractNum>
  <w:abstractNum w:abstractNumId="42">
    <w:nsid w:val="76272110"/>
    <w:multiLevelType w:val="hybridMultilevel"/>
    <w:lvl w:ilvl="0">
      <w:lvlJc w:val="left"/>
      <w:lvlText w:val="2"/>
      <w:numFmt w:val="bullet"/>
      <w:start w:val="1"/>
    </w:lvl>
  </w:abstractNum>
  <w:abstractNum w:abstractNumId="43">
    <w:nsid w:val="4C04A8AF"/>
    <w:multiLevelType w:val="hybridMultilevel"/>
    <w:lvl w:ilvl="0">
      <w:lvlJc w:val="left"/>
      <w:lvlText w:val="3"/>
      <w:numFmt w:val="bullet"/>
      <w:start w:val="1"/>
    </w:lvl>
  </w:abstractNum>
  <w:abstractNum w:abstractNumId="44">
    <w:nsid w:val="1716703B"/>
    <w:multiLevelType w:val="hybridMultilevel"/>
    <w:lvl w:ilvl="0">
      <w:lvlJc w:val="left"/>
      <w:lvlText w:val="4"/>
      <w:numFmt w:val="bullet"/>
      <w:start w:val="1"/>
    </w:lvl>
  </w:abstractNum>
  <w:abstractNum w:abstractNumId="45">
    <w:nsid w:val="14E17E33"/>
    <w:multiLevelType w:val="hybridMultilevel"/>
    <w:lvl w:ilvl="0">
      <w:lvlJc w:val="left"/>
      <w:lvlText w:val="5"/>
      <w:numFmt w:val="bullet"/>
      <w:start w:val="1"/>
    </w:lvl>
  </w:abstractNum>
  <w:abstractNum w:abstractNumId="46">
    <w:nsid w:val="3222E7CD"/>
    <w:multiLevelType w:val="hybridMultilevel"/>
    <w:lvl w:ilvl="0">
      <w:lvlJc w:val="left"/>
      <w:lvlText w:val="6"/>
      <w:numFmt w:val="bullet"/>
      <w:start w:val="1"/>
    </w:lvl>
  </w:abstractNum>
  <w:abstractNum w:abstractNumId="47">
    <w:nsid w:val="74DE0EE3"/>
    <w:multiLevelType w:val="hybridMultilevel"/>
    <w:lvl w:ilvl="0">
      <w:lvlJc w:val="left"/>
      <w:lvlText w:val="7"/>
      <w:numFmt w:val="bullet"/>
      <w:start w:val="1"/>
    </w:lvl>
  </w:abstractNum>
  <w:abstractNum w:abstractNumId="48">
    <w:nsid w:val="68EBC550"/>
    <w:multiLevelType w:val="hybridMultilevel"/>
    <w:lvl w:ilvl="0">
      <w:lvlJc w:val="left"/>
      <w:lvlText w:val="1"/>
      <w:numFmt w:val="bullet"/>
      <w:start w:val="1"/>
    </w:lvl>
  </w:abstractNum>
  <w:abstractNum w:abstractNumId="49">
    <w:nsid w:val="2DF6D648"/>
    <w:multiLevelType w:val="hybridMultilevel"/>
    <w:lvl w:ilvl="0">
      <w:lvlJc w:val="left"/>
      <w:lvlText w:val="(%1)"/>
      <w:numFmt w:val="lowerLetter"/>
      <w:start w:val="8"/>
    </w:lvl>
  </w:abstractNum>
  <w:abstractNum w:abstractNumId="50">
    <w:nsid w:val="46B7D447"/>
    <w:multiLevelType w:val="hybridMultilevel"/>
    <w:lvl w:ilvl="0">
      <w:lvlJc w:val="left"/>
      <w:lvlText w:val="2"/>
      <w:numFmt w:val="bullet"/>
      <w:start w:val="1"/>
    </w:lvl>
  </w:abstractNum>
  <w:abstractNum w:abstractNumId="51">
    <w:nsid w:val="4A2AC315"/>
    <w:multiLevelType w:val="hybridMultilevel"/>
    <w:lvl w:ilvl="0">
      <w:lvlJc w:val="left"/>
      <w:lvlText w:val="3"/>
      <w:numFmt w:val="bullet"/>
      <w:start w:val="1"/>
    </w:lvl>
  </w:abstractNum>
  <w:abstractNum w:abstractNumId="52">
    <w:nsid w:val="39EE015C"/>
    <w:multiLevelType w:val="hybridMultilevel"/>
    <w:lvl w:ilvl="0">
      <w:lvlJc w:val="left"/>
      <w:lvlText w:val="4"/>
      <w:numFmt w:val="bullet"/>
      <w:start w:val="1"/>
    </w:lvl>
  </w:abstractNum>
  <w:abstractNum w:abstractNumId="53">
    <w:nsid w:val="57FC4FBB"/>
    <w:multiLevelType w:val="hybridMultilevel"/>
    <w:lvl w:ilvl="0">
      <w:lvlJc w:val="left"/>
      <w:lvlText w:val="5"/>
      <w:numFmt w:val="bullet"/>
      <w:start w:val="1"/>
    </w:lvl>
  </w:abstractNum>
  <w:abstractNum w:abstractNumId="54">
    <w:nsid w:val="CC1016F"/>
    <w:multiLevelType w:val="hybridMultilevel"/>
    <w:lvl w:ilvl="0">
      <w:lvlJc w:val="left"/>
      <w:lvlText w:val="6"/>
      <w:numFmt w:val="bullet"/>
      <w:start w:val="1"/>
    </w:lvl>
  </w:abstractNum>
  <w:abstractNum w:abstractNumId="55">
    <w:nsid w:val="43F18422"/>
    <w:multiLevelType w:val="hybridMultilevel"/>
    <w:lvl w:ilvl="0">
      <w:lvlJc w:val="left"/>
      <w:lvlText w:val="7"/>
      <w:numFmt w:val="bullet"/>
      <w:start w:val="1"/>
    </w:lvl>
  </w:abstractNum>
  <w:abstractNum w:abstractNumId="56">
    <w:nsid w:val="60EF0119"/>
    <w:multiLevelType w:val="hybridMultilevel"/>
    <w:lvl w:ilvl="0">
      <w:lvlJc w:val="left"/>
      <w:lvlText w:val="8"/>
      <w:numFmt w:val="bullet"/>
      <w:start w:val="1"/>
    </w:lvl>
  </w:abstractNum>
  <w:abstractNum w:abstractNumId="57">
    <w:nsid w:val="26F324BA"/>
    <w:multiLevelType w:val="hybridMultilevel"/>
    <w:lvl w:ilvl="0">
      <w:lvlJc w:val="left"/>
      <w:lvlText w:val="(%1)"/>
      <w:numFmt w:val="lowerLetter"/>
      <w:start w:val="1"/>
    </w:lvl>
  </w:abstractNum>
  <w:abstractNum w:abstractNumId="58">
    <w:nsid w:val="7F01579B"/>
    <w:multiLevelType w:val="hybridMultilevel"/>
    <w:lvl w:ilvl="0">
      <w:lvlJc w:val="left"/>
      <w:lvlText w:val="9"/>
      <w:numFmt w:val="bullet"/>
      <w:start w:val="1"/>
    </w:lvl>
  </w:abstractNum>
  <w:abstractNum w:abstractNumId="59">
    <w:nsid w:val="49DA307D"/>
    <w:multiLevelType w:val="hybridMultilevel"/>
    <w:lvl w:ilvl="0">
      <w:lvlJc w:val="left"/>
      <w:lvlText w:val="%1"/>
      <w:numFmt w:val="decimal"/>
      <w:start w:val="11"/>
    </w:lvl>
  </w:abstractNum>
  <w:abstractNum w:abstractNumId="60">
    <w:nsid w:val="7055A5F5"/>
    <w:multiLevelType w:val="hybridMultilevel"/>
    <w:lvl w:ilvl="0">
      <w:lvlJc w:val="left"/>
      <w:lvlText w:val="(%1)"/>
      <w:numFmt w:val="lowerLetter"/>
      <w:start w:val="1"/>
    </w:lvl>
  </w:abstractNum>
  <w:abstractNum w:abstractNumId="61">
    <w:nsid w:val="5FB8370B"/>
    <w:multiLevelType w:val="hybridMultilevel"/>
    <w:lvl w:ilvl="0">
      <w:lvlJc w:val="left"/>
      <w:lvlText w:val="(%1)"/>
      <w:numFmt w:val="lowerLetter"/>
      <w:start w:val="3"/>
    </w:lvl>
  </w:abstractNum>
  <w:abstractNum w:abstractNumId="62">
    <w:nsid w:val="50801EE1"/>
    <w:multiLevelType w:val="hybridMultilevel"/>
    <w:lvl w:ilvl="0">
      <w:lvlJc w:val="left"/>
      <w:lvlText w:val="(%1)"/>
      <w:numFmt w:val="lowerLetter"/>
      <w:start w:val="1"/>
    </w:lvl>
  </w:abstractNum>
  <w:abstractNum w:abstractNumId="63">
    <w:nsid w:val="488AC1A"/>
    <w:multiLevelType w:val="hybridMultilevel"/>
    <w:lvl w:ilvl="0">
      <w:lvlJc w:val="left"/>
      <w:lvlText w:val="%1"/>
      <w:numFmt w:val="decimal"/>
      <w:start w:val="19"/>
    </w:lvl>
  </w:abstractNum>
  <w:abstractNum w:abstractNumId="64">
    <w:nsid w:val="5FB8011C"/>
    <w:multiLevelType w:val="hybridMultilevel"/>
    <w:lvl w:ilvl="0">
      <w:lvlJc w:val="left"/>
      <w:lvlText w:val="(%1)"/>
      <w:numFmt w:val="lowerLetter"/>
      <w:start w:val="1"/>
    </w:lvl>
  </w:abstractNum>
  <w:abstractNum w:abstractNumId="65">
    <w:nsid w:val="6AA78F7F"/>
    <w:multiLevelType w:val="hybridMultilevel"/>
    <w:lvl w:ilvl="0">
      <w:lvlJc w:val="left"/>
      <w:lvlText w:val="%1"/>
      <w:numFmt w:val="decimal"/>
      <w:start w:val="26"/>
    </w:lvl>
  </w:abstractNum>
  <w:abstractNum w:abstractNumId="66">
    <w:nsid w:val="7672BD23"/>
    <w:multiLevelType w:val="hybridMultilevel"/>
    <w:lvl w:ilvl="0">
      <w:lvlJc w:val="left"/>
      <w:lvlText w:val="%1"/>
      <w:numFmt w:val="decimal"/>
      <w:start w:val="30"/>
    </w:lvl>
    <w:lvl w:ilvl="1">
      <w:lvlJc w:val="left"/>
      <w:lvlText w:val="(%2)"/>
      <w:numFmt w:val="lowerLetter"/>
      <w:start w:val="1"/>
    </w:lvl>
  </w:abstractNum>
  <w:abstractNum w:abstractNumId="67">
    <w:nsid w:val="6FC75AF8"/>
    <w:multiLevelType w:val="hybridMultilevel"/>
    <w:lvl w:ilvl="0">
      <w:lvlJc w:val="left"/>
      <w:lvlText w:val="%1"/>
      <w:numFmt w:val="decimal"/>
      <w:start w:val="32"/>
    </w:lvl>
  </w:abstractNum>
  <w:abstractNum w:abstractNumId="68">
    <w:nsid w:val="6A5F7029"/>
    <w:multiLevelType w:val="hybridMultilevel"/>
    <w:lvl w:ilvl="0">
      <w:lvlJc w:val="left"/>
      <w:lvlText w:val="%1"/>
      <w:numFmt w:val="decimal"/>
      <w:start w:val="34"/>
    </w:lvl>
  </w:abstractNum>
  <w:abstractNum w:abstractNumId="69">
    <w:nsid w:val="7D5E18F8"/>
    <w:multiLevelType w:val="hybridMultilevel"/>
    <w:lvl w:ilvl="0">
      <w:lvlJc w:val="left"/>
      <w:lvlText w:val="%1"/>
      <w:numFmt w:val="decimal"/>
      <w:start w:val="36"/>
    </w:lvl>
  </w:abstractNum>
  <w:abstractNum w:abstractNumId="70">
    <w:nsid w:val="5F3534A4"/>
    <w:multiLevelType w:val="hybridMultilevel"/>
    <w:lvl w:ilvl="0">
      <w:lvlJc w:val="left"/>
      <w:lvlText w:val="%1"/>
      <w:numFmt w:val="decimal"/>
      <w:start w:val="40"/>
    </w:lvl>
  </w:abstractNum>
  <w:abstractNum w:abstractNumId="71">
    <w:nsid w:val="73A1821B"/>
    <w:multiLevelType w:val="hybridMultilevel"/>
    <w:lvl w:ilvl="0">
      <w:lvlJc w:val="left"/>
      <w:lvlText w:val="(%1)"/>
      <w:numFmt w:val="lowerLetter"/>
      <w:start w:val="1"/>
    </w:lvl>
  </w:abstractNum>
  <w:abstractNum w:abstractNumId="72">
    <w:nsid w:val="7DE67713"/>
    <w:multiLevelType w:val="hybridMultilevel"/>
    <w:lvl w:ilvl="0">
      <w:lvlJc w:val="left"/>
      <w:lvlText w:val="(%1)"/>
      <w:numFmt w:val="lowerLetter"/>
      <w:start w:val="1"/>
    </w:lvl>
  </w:abstractNum>
  <w:abstractNum w:abstractNumId="73">
    <w:nsid w:val="555C55B5"/>
    <w:multiLevelType w:val="hybridMultilevel"/>
    <w:lvl w:ilvl="0">
      <w:lvlJc w:val="left"/>
      <w:lvlText w:val="%1"/>
      <w:numFmt w:val="decimal"/>
      <w:start w:val="46"/>
    </w:lvl>
  </w:abstractNum>
  <w:abstractNum w:abstractNumId="74">
    <w:nsid w:val="3FA62ACA"/>
    <w:multiLevelType w:val="hybridMultilevel"/>
    <w:lvl w:ilvl="0">
      <w:lvlJc w:val="left"/>
      <w:lvlText w:val="(%1)"/>
      <w:numFmt w:val="lowerLetter"/>
      <w:start w:val="1"/>
    </w:lvl>
  </w:abstractNum>
  <w:abstractNum w:abstractNumId="75">
    <w:nsid w:val="14FCE74E"/>
    <w:multiLevelType w:val="hybridMultilevel"/>
    <w:lvl w:ilvl="0">
      <w:lvlJc w:val="left"/>
      <w:lvlText w:val="(%1)"/>
      <w:numFmt w:val="lowerLetter"/>
      <w:start w:val="1"/>
    </w:lvl>
  </w:abstractNum>
  <w:abstractNum w:abstractNumId="76">
    <w:nsid w:val="6A3DD3E8"/>
    <w:multiLevelType w:val="hybridMultilevel"/>
    <w:lvl w:ilvl="0">
      <w:lvlJc w:val="left"/>
      <w:lvlText w:val="(%1)"/>
      <w:numFmt w:val="lowerLetter"/>
      <w:start w:val="1"/>
    </w:lvl>
  </w:abstractNum>
  <w:abstractNum w:abstractNumId="77">
    <w:nsid w:val="71C91298"/>
    <w:multiLevelType w:val="hybridMultilevel"/>
    <w:lvl w:ilvl="0">
      <w:lvlJc w:val="left"/>
      <w:lvlText w:val="(%1)"/>
      <w:numFmt w:val="lowerLetter"/>
      <w:start w:val="1"/>
    </w:lvl>
  </w:abstractNum>
  <w:abstractNum w:abstractNumId="78">
    <w:nsid w:val="9DAF632"/>
    <w:multiLevelType w:val="hybridMultilevel"/>
    <w:lvl w:ilvl="0">
      <w:lvlJc w:val="left"/>
      <w:lvlText w:val="%1."/>
      <w:numFmt w:val="decimal"/>
      <w:start w:val="1"/>
    </w:lvl>
  </w:abstractNum>
  <w:abstractNum w:abstractNumId="79">
    <w:nsid w:val="53299938"/>
    <w:multiLevelType w:val="hybridMultilevel"/>
    <w:lvl w:ilvl="0">
      <w:lvlJc w:val="left"/>
      <w:lvlText w:val="(%1)"/>
      <w:numFmt w:val="lowerLetter"/>
      <w:start w:val="35"/>
    </w:lvl>
    <w:lvl w:ilvl="1">
      <w:lvlJc w:val="left"/>
      <w:lvlText w:val="(%2)"/>
      <w:numFmt w:val="lowerLetter"/>
      <w:start w:val="1"/>
    </w:lvl>
  </w:abstractNum>
  <w:abstractNum w:abstractNumId="80">
    <w:nsid w:val="1FBFE8E0"/>
    <w:multiLevelType w:val="hybridMultilevel"/>
    <w:lvl w:ilvl="0">
      <w:lvlJc w:val="left"/>
      <w:lvlText w:val="(%1)"/>
      <w:numFmt w:val="lowerLetter"/>
      <w:start w:val="2"/>
    </w:lvl>
  </w:abstractNum>
  <w:abstractNum w:abstractNumId="81">
    <w:nsid w:val="5092CA79"/>
    <w:multiLevelType w:val="hybridMultilevel"/>
    <w:lvl w:ilvl="0">
      <w:lvlJc w:val="left"/>
      <w:lvlText w:val="%1."/>
      <w:numFmt w:val="decimal"/>
      <w:start w:val="3"/>
    </w:lvl>
  </w:abstractNum>
  <w:abstractNum w:abstractNumId="82">
    <w:nsid w:val="1D545C4D"/>
    <w:multiLevelType w:val="hybridMultilevel"/>
    <w:lvl w:ilvl="0">
      <w:lvlJc w:val="left"/>
      <w:lvlText w:val="(%1)"/>
      <w:numFmt w:val="lowerLetter"/>
      <w:start w:val="26"/>
    </w:lvl>
  </w:abstractNum>
  <w:abstractNum w:abstractNumId="83">
    <w:nsid w:val="59ADEA3D"/>
    <w:multiLevelType w:val="hybridMultilevel"/>
    <w:lvl w:ilvl="0">
      <w:lvlJc w:val="left"/>
      <w:lvlText w:val="(%1)"/>
      <w:numFmt w:val="lowerLetter"/>
      <w:start w:val="1"/>
    </w:lvl>
  </w:abstractNum>
  <w:abstractNum w:abstractNumId="84">
    <w:nsid w:val="288F1A34"/>
    <w:multiLevelType w:val="hybridMultilevel"/>
    <w:lvl w:ilvl="0">
      <w:lvlJc w:val="left"/>
      <w:lvlText w:val="(%1)"/>
      <w:numFmt w:val="lowerLetter"/>
      <w:start w:val="3"/>
    </w:lvl>
  </w:abstractNum>
  <w:abstractNum w:abstractNumId="85">
    <w:nsid w:val="2A155DBC"/>
    <w:multiLevelType w:val="hybridMultilevel"/>
    <w:lvl w:ilvl="0">
      <w:lvlJc w:val="left"/>
      <w:lvlText w:val="%1."/>
      <w:numFmt w:val="decimal"/>
      <w:start w:val="4"/>
    </w:lvl>
  </w:abstractNum>
  <w:abstractNum w:abstractNumId="86">
    <w:nsid w:val="1D9F6E5F"/>
    <w:multiLevelType w:val="hybridMultilevel"/>
    <w:lvl w:ilvl="0">
      <w:lvlJc w:val="left"/>
      <w:lvlText w:val="%1."/>
      <w:numFmt w:val="decimal"/>
      <w:start w:val="5"/>
    </w:lvl>
  </w:abstractNum>
  <w:abstractNum w:abstractNumId="87">
    <w:nsid w:val="97E1B4E"/>
    <w:multiLevelType w:val="hybridMultilevel"/>
    <w:lvl w:ilvl="0">
      <w:lvlJc w:val="left"/>
      <w:lvlText w:val="%1."/>
      <w:numFmt w:val="decimal"/>
      <w:start w:val="6"/>
    </w:lvl>
  </w:abstractNum>
  <w:abstractNum w:abstractNumId="88">
    <w:nsid w:val="51088277"/>
    <w:multiLevelType w:val="hybridMultilevel"/>
    <w:lvl w:ilvl="0">
      <w:lvlJc w:val="left"/>
      <w:lvlText w:val="%1."/>
      <w:numFmt w:val="decimal"/>
      <w:start w:val="7"/>
    </w:lvl>
  </w:abstractNum>
  <w:abstractNum w:abstractNumId="89">
    <w:nsid w:val="1CA0C5FA"/>
    <w:multiLevelType w:val="hybridMultilevel"/>
    <w:lvl w:ilvl="0">
      <w:lvlJc w:val="left"/>
      <w:lvlText w:val="%1."/>
      <w:numFmt w:val="decimal"/>
      <w:start w:val="8"/>
    </w:lvl>
  </w:abstractNum>
  <w:abstractNum w:abstractNumId="90">
    <w:nsid w:val="53584BCB"/>
    <w:multiLevelType w:val="hybridMultilevel"/>
    <w:lvl w:ilvl="0">
      <w:lvlJc w:val="left"/>
      <w:lvlText w:val="%1."/>
      <w:numFmt w:val="decimal"/>
      <w:start w:val="9"/>
    </w:lvl>
  </w:abstractNum>
  <w:abstractNum w:abstractNumId="91">
    <w:nsid w:val="415E286C"/>
    <w:multiLevelType w:val="hybridMultilevel"/>
    <w:lvl w:ilvl="0">
      <w:lvlJc w:val="left"/>
      <w:lvlText w:val="(%1)"/>
      <w:numFmt w:val="lowerRoman"/>
      <w:start w:val="1"/>
    </w:lvl>
  </w:abstractNum>
  <w:abstractNum w:abstractNumId="92">
    <w:nsid w:val="7C58FD05"/>
    <w:multiLevelType w:val="hybridMultilevel"/>
    <w:lvl w:ilvl="0">
      <w:lvlJc w:val="left"/>
      <w:lvlText w:val="(%1)"/>
      <w:numFmt w:val="lowerRoman"/>
      <w:start w:val="1"/>
    </w:lvl>
  </w:abstractNum>
  <w:abstractNum w:abstractNumId="93">
    <w:nsid w:val="23D86AAC"/>
    <w:multiLevelType w:val="hybridMultilevel"/>
    <w:lvl w:ilvl="0">
      <w:lvlJc w:val="left"/>
      <w:lvlText w:val="(%1)"/>
      <w:numFmt w:val="lowerRoman"/>
      <w:start w:val="1"/>
    </w:lvl>
  </w:abstractNum>
  <w:abstractNum w:abstractNumId="94">
    <w:nsid w:val="45E6D486"/>
    <w:multiLevelType w:val="hybridMultilevel"/>
    <w:lvl w:ilvl="0">
      <w:lvlJc w:val="left"/>
      <w:lvlText w:val="(%1)"/>
      <w:numFmt w:val="lowerRoman"/>
      <w:start w:val="1"/>
    </w:lvl>
  </w:abstractNum>
  <w:abstractNum w:abstractNumId="95">
    <w:nsid w:val="5C10FE21"/>
    <w:multiLevelType w:val="hybridMultilevel"/>
    <w:lvl w:ilvl="0">
      <w:lvlJc w:val="left"/>
      <w:lvlText w:val="(%1)"/>
      <w:numFmt w:val="lowerRoman"/>
      <w:start w:val="4"/>
    </w:lvl>
  </w:abstractNum>
  <w:abstractNum w:abstractNumId="96">
    <w:nsid w:val="E7FFA2B"/>
    <w:multiLevelType w:val="hybridMultilevel"/>
    <w:lvl w:ilvl="0">
      <w:lvlJc w:val="left"/>
      <w:lvlText w:val="%1."/>
      <w:numFmt w:val="decimal"/>
      <w:start w:val="1"/>
    </w:lvl>
    <w:lvl w:ilvl="1">
      <w:lvlJc w:val="left"/>
      <w:lvlText w:val="(%2)"/>
      <w:numFmt w:val="lowerLetter"/>
      <w:start w:val="1"/>
    </w:lvl>
  </w:abstractNum>
  <w:abstractNum w:abstractNumId="97">
    <w:nsid w:val="3C5991AA"/>
    <w:multiLevelType w:val="hybridMultilevel"/>
    <w:lvl w:ilvl="0">
      <w:lvlJc w:val="left"/>
      <w:lvlText w:val="(%1)"/>
      <w:numFmt w:val="lowerLetter"/>
      <w:start w:val="2"/>
    </w:lvl>
  </w:abstractNum>
  <w:abstractNum w:abstractNumId="98">
    <w:nsid w:val="4BD8591A"/>
    <w:multiLevelType w:val="hybridMultilevel"/>
    <w:lvl w:ilvl="0">
      <w:lvlJc w:val="left"/>
      <w:lvlText w:val="%1"/>
      <w:numFmt w:val="decimal"/>
      <w:start w:val="1"/>
    </w:lvl>
    <w:lvl w:ilvl="1">
      <w:lvlJc w:val="left"/>
      <w:lvlText w:val="(%2)"/>
      <w:numFmt w:val="lowerLetter"/>
      <w:start w:val="10"/>
    </w:lvl>
  </w:abstractNum>
  <w:abstractNum w:abstractNumId="99">
    <w:nsid w:val="78DF6A55"/>
    <w:multiLevelType w:val="hybridMultilevel"/>
    <w:lvl w:ilvl="0">
      <w:lvlJc w:val="left"/>
      <w:lvlText w:val="%1."/>
      <w:numFmt w:val="decimal"/>
      <w:start w:val="2"/>
    </w:lvl>
    <w:lvl w:ilvl="1">
      <w:lvlJc w:val="left"/>
      <w:lvlText w:val="(%2)"/>
      <w:numFmt w:val="lowerLetter"/>
      <w:start w:val="1"/>
    </w:lvl>
  </w:abstractNum>
  <w:abstractNum w:abstractNumId="100">
    <w:nsid w:val="39B7AAA2"/>
    <w:multiLevelType w:val="hybridMultilevel"/>
    <w:lvl w:ilvl="0">
      <w:lvlJc w:val="left"/>
      <w:lvlText w:val="(%1)"/>
      <w:numFmt w:val="lowerLetter"/>
      <w:start w:val="3"/>
    </w:lvl>
  </w:abstractNum>
  <w:abstractNum w:abstractNumId="101">
    <w:nsid w:val="2B0D8DBE"/>
    <w:multiLevelType w:val="hybridMultilevel"/>
    <w:lvl w:ilvl="0">
      <w:lvlJc w:val="left"/>
      <w:lvlText w:val="%1"/>
      <w:numFmt w:val="decimal"/>
      <w:start w:val="1"/>
    </w:lvl>
    <w:lvl w:ilvl="1">
      <w:lvlJc w:val="left"/>
      <w:lvlText w:val="(%2)"/>
      <w:numFmt w:val="lowerLetter"/>
      <w:start w:val="9"/>
    </w:lvl>
  </w:abstractNum>
  <w:abstractNum w:abstractNumId="102">
    <w:nsid w:val="6C80EC70"/>
    <w:multiLevelType w:val="hybridMultilevel"/>
    <w:lvl w:ilvl="0">
      <w:lvlJc w:val="left"/>
      <w:lvlText w:val="%1."/>
      <w:numFmt w:val="decimal"/>
      <w:start w:val="3"/>
    </w:lvl>
    <w:lvl w:ilvl="1">
      <w:lvlJc w:val="left"/>
      <w:lvlText w:val="(%2)"/>
      <w:numFmt w:val="lowerLetter"/>
      <w:start w:val="1"/>
    </w:lvl>
  </w:abstractNum>
  <w:abstractNum w:abstractNumId="103">
    <w:nsid w:val="379E21B5"/>
    <w:multiLevelType w:val="hybridMultilevel"/>
    <w:lvl w:ilvl="0">
      <w:lvlJc w:val="left"/>
      <w:lvlText w:val="%1"/>
      <w:numFmt w:val="decimal"/>
      <w:start w:val="1"/>
    </w:lvl>
    <w:lvl w:ilvl="1">
      <w:lvlJc w:val="left"/>
      <w:lvlText w:val="(%2)"/>
      <w:numFmt w:val="lowerLetter"/>
      <w:start w:val="8"/>
    </w:lvl>
  </w:abstractNum>
  <w:abstractNum w:abstractNumId="104">
    <w:nsid w:val="69E373"/>
    <w:multiLevelType w:val="hybridMultilevel"/>
    <w:lvl w:ilvl="0">
      <w:lvlJc w:val="left"/>
      <w:lvlText w:val="%1."/>
      <w:numFmt w:val="decimal"/>
      <w:start w:val="4"/>
    </w:lvl>
    <w:lvl w:ilvl="1">
      <w:lvlJc w:val="left"/>
      <w:lvlText w:val="(%2)"/>
      <w:numFmt w:val="lowerLetter"/>
      <w:start w:val="1"/>
    </w:lvl>
  </w:abstractNum>
  <w:abstractNum w:abstractNumId="105">
    <w:nsid w:val="2C27173B"/>
    <w:multiLevelType w:val="hybridMultilevel"/>
    <w:lvl w:ilvl="0">
      <w:lvlJc w:val="left"/>
      <w:lvlText w:val="%1."/>
      <w:numFmt w:val="decimal"/>
      <w:start w:val="6"/>
    </w:lvl>
    <w:lvl w:ilvl="1">
      <w:lvlJc w:val="left"/>
      <w:lvlText w:val="(%2)"/>
      <w:numFmt w:val="lowerLetter"/>
      <w:start w:val="1"/>
    </w:lvl>
  </w:abstractNum>
  <w:abstractNum w:abstractNumId="106">
    <w:nsid w:val="4C9B0904"/>
    <w:multiLevelType w:val="hybridMultilevel"/>
    <w:lvl w:ilvl="0">
      <w:lvlJc w:val="left"/>
      <w:lvlText w:val="(%1)"/>
      <w:numFmt w:val="lowerLetter"/>
      <w:start w:val="5"/>
    </w:lvl>
  </w:abstractNum>
  <w:abstractNum w:abstractNumId="107">
    <w:nsid w:val="6AA7B75C"/>
    <w:multiLevelType w:val="hybridMultilevel"/>
    <w:lvl w:ilvl="0">
      <w:lvlJc w:val="left"/>
      <w:lvlText w:val="(%1)"/>
      <w:numFmt w:val="lowerLetter"/>
      <w:start w:val="6"/>
    </w:lvl>
  </w:abstractNum>
  <w:abstractNum w:abstractNumId="108">
    <w:nsid w:val="1DF029D3"/>
    <w:multiLevelType w:val="hybridMultilevel"/>
    <w:lvl w:ilvl="0">
      <w:lvlJc w:val="left"/>
      <w:lvlText w:val="%1:"/>
      <w:numFmt w:val="lowerLetter"/>
      <w:start w:val="29"/>
    </w:lvl>
  </w:abstractNum>
  <w:abstractNum w:abstractNumId="109">
    <w:nsid w:val="5675FF36"/>
    <w:multiLevelType w:val="hybridMultilevel"/>
    <w:lvl w:ilvl="0">
      <w:lvlJc w:val="left"/>
      <w:lvlText w:val="%1:"/>
      <w:numFmt w:val="lowerLetter"/>
      <w:start w:val="29"/>
    </w:lvl>
  </w:abstractNum>
  <w:abstractNum w:abstractNumId="110">
    <w:nsid w:val="3DD15094"/>
    <w:multiLevelType w:val="hybridMultilevel"/>
    <w:lvl w:ilvl="0">
      <w:lvlJc w:val="left"/>
      <w:lvlText w:val="%1:"/>
      <w:numFmt w:val="lowerLetter"/>
      <w:start w:val="29"/>
    </w:lvl>
  </w:abstractNum>
  <w:abstractNum w:abstractNumId="111">
    <w:nsid w:val="3DB012B3"/>
    <w:multiLevelType w:val="hybridMultilevel"/>
    <w:lvl w:ilvl="0">
      <w:lvlJc w:val="left"/>
      <w:lvlText w:val="%1:"/>
      <w:numFmt w:val="lowerLetter"/>
      <w:start w:val="29"/>
    </w:lvl>
  </w:abstractNum>
  <w:abstractNum w:abstractNumId="112">
    <w:nsid w:val="2708C9AF"/>
    <w:multiLevelType w:val="hybridMultilevel"/>
    <w:lvl w:ilvl="0">
      <w:lvlJc w:val="left"/>
      <w:lvlText w:val="(%1)"/>
      <w:numFmt w:val="upperLetter"/>
      <w:start w:val="1"/>
    </w:lvl>
  </w:abstractNum>
  <w:abstractNum w:abstractNumId="113">
    <w:nsid w:val="5B25ACE2"/>
    <w:multiLevelType w:val="hybridMultilevel"/>
    <w:lvl w:ilvl="0">
      <w:lvlJc w:val="left"/>
      <w:lvlText w:val="(%1)"/>
      <w:numFmt w:val="upperLetter"/>
      <w:start w:val="6"/>
    </w:lvl>
  </w:abstractNum>
  <w:abstractNum w:abstractNumId="114">
    <w:nsid w:val="175DFCF0"/>
    <w:multiLevelType w:val="hybridMultilevel"/>
    <w:lvl w:ilvl="0">
      <w:lvlJc w:val="left"/>
      <w:lvlText w:val="%1"/>
      <w:numFmt w:val="upperLetter"/>
      <w:start w:val="1"/>
    </w:lvl>
    <w:lvl w:ilvl="1">
      <w:lvlJc w:val="left"/>
      <w:lvlText w:val="(%2)"/>
      <w:numFmt w:val="lowerLetter"/>
      <w:start w:val="1"/>
    </w:lvl>
  </w:abstractNum>
  <w:abstractNum w:abstractNumId="115">
    <w:nsid w:val="4F97E3E4"/>
    <w:multiLevelType w:val="hybridMultilevel"/>
    <w:lvl w:ilvl="0">
      <w:lvlJc w:val="left"/>
      <w:lvlText w:val="(%1)"/>
      <w:numFmt w:val="upperLetter"/>
      <w:start w:val="2"/>
    </w:lvl>
    <w:lvl w:ilvl="1">
      <w:lvlJc w:val="left"/>
      <w:lvlText w:val="%2"/>
      <w:numFmt w:val="lowerLetter"/>
      <w:start w:val="1"/>
    </w:lvl>
  </w:abstractNum>
  <w:abstractNum w:abstractNumId="116">
    <w:nsid w:val="53B0A9E"/>
    <w:multiLevelType w:val="hybridMultilevel"/>
    <w:lvl w:ilvl="0">
      <w:lvlJc w:val="left"/>
      <w:lvlText w:val="(%1)"/>
      <w:numFmt w:val="upperLetter"/>
      <w:start w:val="1"/>
    </w:lvl>
    <w:lvl w:ilvl="1">
      <w:lvlJc w:val="left"/>
      <w:lvlText w:val="%2"/>
      <w:numFmt w:val="lowerLetter"/>
      <w:start w:val="1"/>
    </w:lvl>
  </w:abstractNum>
  <w:abstractNum w:abstractNumId="117">
    <w:nsid w:val="34FD6B4F"/>
    <w:multiLevelType w:val="hybridMultilevel"/>
    <w:lvl w:ilvl="0">
      <w:lvlJc w:val="left"/>
      <w:lvlText w:val="(%1)"/>
      <w:numFmt w:val="lowerLetter"/>
      <w:start w:val="2"/>
    </w:lvl>
  </w:abstractNum>
  <w:abstractNum w:abstractNumId="118">
    <w:nsid w:val="5915FF32"/>
    <w:multiLevelType w:val="hybridMultilevel"/>
    <w:lvl w:ilvl="0">
      <w:lvlJc w:val="left"/>
      <w:lvlText w:val="(%1)"/>
      <w:numFmt w:val="lowerRoman"/>
      <w:start w:val="1"/>
    </w:lvl>
  </w:abstractNum>
  <w:abstractNum w:abstractNumId="119">
    <w:nsid w:val="56438D15"/>
    <w:multiLevelType w:val="hybridMultilevel"/>
    <w:lvl w:ilvl="0">
      <w:lvlJc w:val="left"/>
      <w:lvlText w:val="%1."/>
      <w:numFmt w:val="decimal"/>
      <w:start w:val="1"/>
    </w:lvl>
  </w:abstractNum>
  <w:abstractNum w:abstractNumId="120">
    <w:nsid w:val="519E3149"/>
    <w:multiLevelType w:val="hybridMultilevel"/>
    <w:lvl w:ilvl="0">
      <w:lvlJc w:val="left"/>
      <w:lvlText w:val="%1."/>
      <w:numFmt w:val="decimal"/>
      <w:start w:val="3"/>
    </w:lvl>
    <w:lvl w:ilvl="1">
      <w:lvlJc w:val="left"/>
      <w:lvlText w:val="(%2)"/>
      <w:numFmt w:val="lowerLetter"/>
      <w:start w:val="2"/>
    </w:lvl>
  </w:abstractNum>
  <w:abstractNum w:abstractNumId="121">
    <w:nsid w:val="2C6E4AFD"/>
    <w:multiLevelType w:val="hybridMultilevel"/>
    <w:lvl w:ilvl="0">
      <w:lvlJc w:val="left"/>
      <w:lvlText w:val="%1"/>
      <w:numFmt w:val="decimal"/>
      <w:start w:val="1"/>
    </w:lvl>
    <w:lvl w:ilvl="1">
      <w:lvlJc w:val="left"/>
      <w:lvlText w:val="(%2)"/>
      <w:numFmt w:val="lowerLetter"/>
      <w:start w:val="4"/>
    </w:lvl>
  </w:abstractNum>
  <w:abstractNum w:abstractNumId="122">
    <w:nsid w:val="17A1B582"/>
    <w:multiLevelType w:val="hybridMultilevel"/>
    <w:lvl w:ilvl="0">
      <w:lvlJc w:val="left"/>
      <w:lvlText w:val="%1."/>
      <w:numFmt w:val="decimal"/>
      <w:start w:val="6"/>
    </w:lvl>
    <w:lvl w:ilvl="1">
      <w:lvlJc w:val="left"/>
      <w:lvlText w:val="(%2)"/>
      <w:numFmt w:val="lowerLetter"/>
      <w:start w:val="24"/>
    </w:lvl>
  </w:abstractNum>
  <w:abstractNum w:abstractNumId="123">
    <w:nsid w:val="4DF72E4E"/>
    <w:multiLevelType w:val="hybridMultilevel"/>
    <w:lvl w:ilvl="0">
      <w:lvlJc w:val="left"/>
      <w:lvlText w:val="%1."/>
      <w:numFmt w:val="decimal"/>
      <w:start w:val="9"/>
    </w:lvl>
  </w:abstractNum>
  <w:abstractNum w:abstractNumId="124">
    <w:nsid w:val="5046B5A9"/>
    <w:multiLevelType w:val="hybridMultilevel"/>
    <w:lvl w:ilvl="0">
      <w:lvlJc w:val="left"/>
      <w:lvlText w:val="%1."/>
      <w:numFmt w:val="decimal"/>
      <w:start w:val="1"/>
    </w:lvl>
  </w:abstractNum>
  <w:abstractNum w:abstractNumId="125">
    <w:nsid w:val="5D888A08"/>
    <w:multiLevelType w:val="hybridMultilevel"/>
    <w:lvl w:ilvl="0">
      <w:lvlJc w:val="left"/>
      <w:lvlText w:val="%1."/>
      <w:numFmt w:val="decimal"/>
      <w:start w:val="3"/>
    </w:lvl>
  </w:abstractNum>
  <w:abstractNum w:abstractNumId="126">
    <w:nsid w:val="2A082C70"/>
    <w:multiLevelType w:val="hybridMultilevel"/>
    <w:lvl w:ilvl="0">
      <w:lvlJc w:val="left"/>
      <w:lvlText w:val="(%1)"/>
      <w:numFmt w:val="lowerLetter"/>
      <w:start w:val="2"/>
    </w:lvl>
  </w:abstractNum>
  <w:abstractNum w:abstractNumId="127">
    <w:nsid w:val="5EC6AFD4"/>
    <w:multiLevelType w:val="hybridMultilevel"/>
    <w:lvl w:ilvl="0">
      <w:lvlJc w:val="left"/>
      <w:lvlText w:val="%1"/>
      <w:numFmt w:val="decimal"/>
      <w:start w:val="1"/>
    </w:lvl>
    <w:lvl w:ilvl="1">
      <w:lvlJc w:val="left"/>
      <w:lvlText w:val="(%2)"/>
      <w:numFmt w:val="lowerLetter"/>
      <w:start w:val="5"/>
    </w:lvl>
  </w:abstractNum>
  <w:abstractNum w:abstractNumId="128">
    <w:nsid w:val="19E21BB2"/>
    <w:multiLevelType w:val="hybridMultilevel"/>
    <w:lvl w:ilvl="0">
      <w:lvlJc w:val="left"/>
      <w:lvlText w:val="%1."/>
      <w:numFmt w:val="decimal"/>
      <w:start w:val="6"/>
    </w:lvl>
    <w:lvl w:ilvl="1">
      <w:lvlJc w:val="left"/>
      <w:lvlText w:val="(%2)"/>
      <w:numFmt w:val="lowerLetter"/>
      <w:start w:val="2"/>
    </w:lvl>
  </w:abstractNum>
  <w:abstractNum w:abstractNumId="129">
    <w:nsid w:val="75E0858A"/>
    <w:multiLevelType w:val="hybridMultilevel"/>
    <w:lvl w:ilvl="0">
      <w:lvlJc w:val="left"/>
      <w:lvlText w:val="%1."/>
      <w:numFmt w:val="decimal"/>
      <w:start w:val="7"/>
    </w:lvl>
    <w:lvl w:ilvl="1">
      <w:lvlJc w:val="left"/>
      <w:lvlText w:val="(%2)"/>
      <w:numFmt w:val="lowerLetter"/>
      <w:start w:val="1"/>
    </w:lvl>
  </w:abstractNum>
  <w:abstractNum w:abstractNumId="130">
    <w:nsid w:val="57A61A29"/>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2020-05-08T16:16:35Z</dcterms:created>
  <dcterms:modified xsi:type="dcterms:W3CDTF">2020-05-08T16:16:35Z</dcterms:modified>
</cp:coreProperties>
</file>