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8,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Cayman Islands</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1601 Bryan Street, Suite 4141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87"/>
              </w:rPr>
              <w:t>Dallas, Texas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02"/>
        </w:trPr>
        <w:tc>
          <w:tcPr>
            <w:tcW w:w="4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Class A Ordinary Share,</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SOAC.U</w:t>
            </w:r>
          </w:p>
        </w:tc>
        <w:tc>
          <w:tcPr>
            <w:tcW w:w="1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4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$0.0001 par value, and one-half of one redeemable warrant</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 Ordinary Shares included as part of the units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SOAC</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02"/>
        </w:trPr>
        <w:tc>
          <w:tcPr>
            <w:tcW w:w="46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Warrants included as part of the units, each whole warrant</w:t>
            </w:r>
          </w:p>
        </w:tc>
        <w:tc>
          <w:tcPr>
            <w:tcW w:w="21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SOAC WS</w:t>
            </w:r>
          </w:p>
        </w:tc>
        <w:tc>
          <w:tcPr>
            <w:tcW w:w="4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16"/>
        </w:trPr>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exercisable for one Class A Ordinary Share at an exercise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30"/>
        </w:trPr>
        <w:tc>
          <w:tcPr>
            <w:tcW w:w="4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price of $11.50</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8, 2020, Sustainable Opportunities Acquisition Corp. (the “Company”) consummated an initial public offering (the “IPO”) of 30,000,000 units (the “Units”) at an offering price of $10.00 per Unit and a private placement with Sustainable Opportunities Holdings LLC (the “Sponsor”) of 9,500,000 private placement warrants at a price of $1.00 per warrant (the “Private Placement”). The net proceeds from the IPO together with certain of the proceeds from the Private Placement, $300,000,000 in the aggregate (the “Offering Proceeds”), were placed in a trust account established for the benefit of the Company’s public shareholders and the underwriter of the IPO with Continental Stock Transfer &amp; Trust Company acting as trustee. Except for the withdrawal from interest earned on the Offering Proceeds in the trust account to fund income taxes payable, or upon the redemption by public shareholders of Class A ordinary shares in connection with certain amendments to the Company’s amended and restated memorandum and articles of association, none of the funds held in the trust account will be released until the earlier of the completion of the Company’s initial business combination or the redemption of 100% of the Class A ordinary shares included in the Units and issued by the Company in the IPO if the Company is unable to consummate an initial business combination within 18 months from the closing of the IPO.</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audited balance sheet as of May 8, 2020 reflecting receipt of the Offering Proceeds has been issued by the Company and is included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4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Audited Balance Sheet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14, 2020</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140" w:type="dxa"/>
            <w:vAlign w:val="bottom"/>
            <w:gridSpan w:val="2"/>
          </w:tcPr>
          <w:p>
            <w:pPr>
              <w:ind w:left="120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912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Independent Registered Public Accounting Firm</w:t>
              </w:r>
            </w:hyperlink>
          </w:p>
        </w:tc>
        <w:tc>
          <w:tcPr>
            <w:tcW w:w="21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Balance Sheet</w:t>
              </w:r>
            </w:hyperlink>
          </w:p>
        </w:tc>
        <w:tc>
          <w:tcPr>
            <w:tcW w:w="2120" w:type="dxa"/>
            <w:vAlign w:val="bottom"/>
          </w:tcPr>
          <w:p>
            <w:pPr>
              <w:ind w:left="1500"/>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Balance Sheet</w:t>
              </w:r>
            </w:hyperlink>
          </w:p>
        </w:tc>
        <w:tc>
          <w:tcPr>
            <w:tcW w:w="212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9120" w:type="dxa"/>
            <w:vAlign w:val="bottom"/>
            <w:tcBorders>
              <w:bottom w:val="single" w:sz="8" w:color="auto"/>
            </w:tcBorders>
          </w:tcPr>
          <w:p>
            <w:pPr>
              <w:jc w:val="center"/>
              <w:ind w:left="2030"/>
              <w:spacing w:after="0"/>
              <w:rPr>
                <w:sz w:val="20"/>
                <w:szCs w:val="20"/>
                <w:color w:val="auto"/>
              </w:rPr>
            </w:pPr>
            <w:r>
              <w:rPr>
                <w:rFonts w:ascii="Arial" w:cs="Arial" w:eastAsia="Arial" w:hAnsi="Arial"/>
                <w:sz w:val="18"/>
                <w:szCs w:val="18"/>
                <w:color w:val="auto"/>
                <w:w w:val="88"/>
              </w:rPr>
              <w:t>F-1</w:t>
            </w:r>
          </w:p>
        </w:tc>
        <w:tc>
          <w:tcPr>
            <w:tcW w:w="2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Sustainable Opportunities Acquisition Corp. (the “Company”) as of May 8, 2020, and the related notes (collectively referred to as the “financial statement”). In our opinion, the financial statement presents fairly, in all material respects, the financial position of the Company as of May 8, 2020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14, 2020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May 8,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2,969,182</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371,800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3,340,982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held in Trust Account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300,000,000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303,340,982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694,936</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104,852</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11,299,788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A ordinary shares, $0.0001 par value; 28,704,119 shares subject to possible redemption at $10.00 per share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287,041,190</w:t>
            </w: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p>
      <w:pPr>
        <w:spacing w:after="0" w:line="9" w:lineRule="exact"/>
        <w:rPr>
          <w:sz w:val="20"/>
          <w:szCs w:val="20"/>
          <w:color w:val="auto"/>
        </w:rPr>
      </w:pPr>
    </w:p>
    <w:p>
      <w:pPr>
        <w:ind w:left="180" w:right="100" w:hanging="179"/>
        <w:spacing w:after="0" w:line="250" w:lineRule="auto"/>
        <w:rPr>
          <w:sz w:val="20"/>
          <w:szCs w:val="20"/>
          <w:color w:val="auto"/>
        </w:rPr>
      </w:pPr>
      <w:r>
        <w:rPr>
          <w:rFonts w:ascii="Arial" w:cs="Arial" w:eastAsia="Arial" w:hAnsi="Arial"/>
          <w:sz w:val="18"/>
          <w:szCs w:val="18"/>
          <w:color w:val="auto"/>
        </w:rPr>
        <w:t>Class A ordinary shares, $0.0001 par value; 300,000,000 shares authorized; 1,295,881 shares issued and outstanding (excluding 28,704,119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Class B ordinary shares, $0.0001 par value; 30,000,000 shares authorized; 8,625,000 shares issued and outstanding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5,113,134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(114,123)</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5,000,004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$ 303,340,982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796" w:right="339" w:bottom="1440" w:gutter="0" w:footer="0" w:header="0"/>
          <w:type w:val="continuous"/>
        </w:sectPr>
      </w:pPr>
    </w:p>
    <w:p>
      <w:pPr>
        <w:spacing w:after="0" w:line="124" w:lineRule="exact"/>
        <w:rPr>
          <w:sz w:val="20"/>
          <w:szCs w:val="20"/>
          <w:color w:val="auto"/>
        </w:rPr>
      </w:pPr>
    </w:p>
    <w:p>
      <w:pPr>
        <w:ind w:left="460" w:right="20" w:hanging="452"/>
        <w:spacing w:after="0" w:line="27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includes up to 1,125,000 shares subject to forfeiture if the over-allotment option is not exercised in full or in part by the underwriter (see Note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balance sheet.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May 8, 2020, the Company had not commenced any operations. All activity for the period from December 18, 2019 (inception) through May 8, 2020 relates to the Company’s formation and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(as defined below). The Company has selected December 31 as its fiscal year end.</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 The Company has granted the underwriter a 45-day option to purchase up to an additional 4,500,000 Units at the Initial Public Offering price to cover over-allotments, if any. To date, the over-allotment option has not been exercised yet.</w:t>
      </w:r>
    </w:p>
    <w:p>
      <w:pPr>
        <w:spacing w:after="0" w:line="16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May 8, 2020, the Company had approximately $3.0 million in its operating bank account, and working capital of approximately $2.5 million.</w:t>
      </w:r>
    </w:p>
    <w:p>
      <w:pPr>
        <w:spacing w:after="0" w:line="2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liquidity needs to date have been satisfied through a $25,000 contribution from the Sponsor in exchange for the issuance of the Founder Shares to the Sponsor, the advancement of funds by the Sponsor of approximately $163,000 under the Note (see Note 4) to the Company to cover for offering costs in connection with the Initial Public Offering, and the proceeds from the consummation of the Private Placement not held in the Trust Account. The Company fully repaid the Note on May 8, 2020. In addition, in order to finance transaction costs in connection with a Business Combination, the Sponsor or an affiliate of the Sponsor, or certain of the Company’s officers and directors may, but are not obligated to, provide the Company Working Capital Loans (see Note 4). As of May 8, 2020, there were no amounts outstanding under any Working Capital Loans.</w:t>
      </w:r>
    </w:p>
    <w:p>
      <w:pPr>
        <w:spacing w:after="0" w:line="17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accompanying balance sheet is presented in U.S. dollars in conformity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At May 8, 2020,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the balance sheet in conformity with U.S. GAAP requires the Company’s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Offering costs consist of legal, accounting, underwriting fees and other costs that were directly related to the Initial Public Offering and that were charged to additional paid-in capital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were presented at redemption value as temporary equity, outside of the shareholders’ equity section of the Company’s balance sheet.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May 8,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May 8,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31, 2019, the Sponsor purchased 8,625,000 shares (the “Founder Shares”) of the Company’s Class B ordinary shares, par value $0.0001 for an aggregate price of $25,000.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so that the Founder Shares will represent 20.0% of the Company’s issued and outstanding shares after the Initial Public Offering.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jc w:val="both"/>
        <w:ind w:firstLine="8"/>
        <w:spacing w:after="0" w:line="271" w:lineRule="auto"/>
        <w:tabs>
          <w:tab w:leader="none" w:pos="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in a private placement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“Note”). This loan is non-interest bearing and payable upon the completion of the Initial Public Offering. The Company borrowed approximately $163,000 under the Note and fully repaid this amount on May 8, 2020.</w:t>
      </w:r>
    </w:p>
    <w:p>
      <w:pPr>
        <w:spacing w:after="0" w:line="1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To date, the over-allotment option has not been exercised yet</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 over-allotment option is exercise in full, the underwriter will be entitled to an aggregate of $900,000 in fees payable upon closing and an additional deferred underwriting commissions of approximately $1.58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is authorized to issue 1,000,000 preference shares with such designations, voting and other rights and preferences as may be determined from time to time by the Company’s board of directors. As of May 8, 2020, there were no preference shares issued or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8, 2020, there were 30,000,000 Class A ordinary shares outstanding, including 28,704,119 Class A ordinary shares subject to possible conversion were classified as temporary equity in the accompanying balance sheet.</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30,000,000 Class B ordinary shares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B ordinary shares are entitled to one vote for each share. As of May 8, 2020, there were 8,625,000 Class B ordinary shares outstanding. Of these,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Initial Public Offering.</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Class A ordinary shares issuable upon exercise of the warrants is not effective by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w:t>
      </w:r>
    </w:p>
    <w:p>
      <w:pPr>
        <w:spacing w:after="0" w:line="19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760" w:hanging="320"/>
        <w:spacing w:after="0" w:line="27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The Company has evaluated subsequent events and transactions that occurred after the balance sheet date up to the date that the financial statement was issued. Based upon this review, the Company did not identify any subsequent events that would have required adjustment or disclosure in the financial statement.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2020-05-14T15:26:27Z</dcterms:created>
  <dcterms:modified xsi:type="dcterms:W3CDTF">2020-05-14T15:26:27Z</dcterms:modified>
</cp:coreProperties>
</file>