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80" w:type="dxa"/>
            <w:vAlign w:val="bottom"/>
            <w:gridSpan w:val="4"/>
          </w:tcPr>
          <w:p>
            <w:pPr>
              <w:ind w:left="220"/>
              <w:spacing w:after="0"/>
              <w:rPr>
                <w:sz w:val="20"/>
                <w:szCs w:val="20"/>
                <w:color w:val="auto"/>
              </w:rPr>
            </w:pPr>
            <w:r>
              <w:rPr>
                <w:rFonts w:ascii="Arial" w:cs="Arial" w:eastAsia="Arial" w:hAnsi="Arial"/>
                <w:sz w:val="18"/>
                <w:szCs w:val="18"/>
                <w:color w:val="auto"/>
              </w:rPr>
              <w:t>For the transition period from</w:t>
            </w:r>
          </w:p>
        </w:tc>
        <w:tc>
          <w:tcPr>
            <w:tcW w:w="1720" w:type="dxa"/>
            <w:vAlign w:val="bottom"/>
            <w:gridSpan w:val="3"/>
          </w:tcPr>
          <w:p>
            <w:pPr>
              <w:ind w:left="260"/>
              <w:spacing w:after="0"/>
              <w:rPr>
                <w:sz w:val="20"/>
                <w:szCs w:val="20"/>
                <w:color w:val="auto"/>
              </w:rPr>
            </w:pPr>
            <w:r>
              <w:rPr>
                <w:rFonts w:ascii="Arial" w:cs="Arial" w:eastAsia="Arial" w:hAnsi="Arial"/>
                <w:sz w:val="18"/>
                <w:szCs w:val="18"/>
                <w:color w:val="auto"/>
              </w:rPr>
              <w:t>to</w:t>
            </w:r>
          </w:p>
        </w:tc>
        <w:tc>
          <w:tcPr>
            <w:tcW w:w="3220" w:type="dxa"/>
            <w:vAlign w:val="bottom"/>
          </w:tcPr>
          <w:p>
            <w:pPr>
              <w:spacing w:after="0"/>
              <w:rPr>
                <w:sz w:val="20"/>
                <w:szCs w:val="20"/>
                <w:color w:val="auto"/>
              </w:rPr>
            </w:pPr>
          </w:p>
        </w:tc>
      </w:tr>
      <w:tr>
        <w:trPr>
          <w:trHeight w:val="414"/>
        </w:trPr>
        <w:tc>
          <w:tcPr>
            <w:tcW w:w="3280" w:type="dxa"/>
            <w:vAlign w:val="bottom"/>
          </w:tcPr>
          <w:p>
            <w:pPr>
              <w:spacing w:after="0"/>
              <w:rPr>
                <w:sz w:val="24"/>
                <w:szCs w:val="24"/>
                <w:color w:val="auto"/>
              </w:rPr>
            </w:pPr>
          </w:p>
        </w:tc>
        <w:tc>
          <w:tcPr>
            <w:tcW w:w="4740" w:type="dxa"/>
            <w:vAlign w:val="bottom"/>
            <w:gridSpan w:val="8"/>
          </w:tcPr>
          <w:p>
            <w:pPr>
              <w:jc w:val="center"/>
              <w:ind w:right="60"/>
              <w:spacing w:after="0"/>
              <w:rPr>
                <w:sz w:val="20"/>
                <w:szCs w:val="20"/>
                <w:color w:val="auto"/>
              </w:rPr>
            </w:pPr>
            <w:r>
              <w:rPr>
                <w:rFonts w:ascii="Arial" w:cs="Arial" w:eastAsia="Arial" w:hAnsi="Arial"/>
                <w:sz w:val="18"/>
                <w:szCs w:val="18"/>
                <w:b w:val="1"/>
                <w:bCs w:val="1"/>
                <w:color w:val="auto"/>
                <w:w w:val="99"/>
              </w:rPr>
              <w:t>SUSTAINABLE OPPORTUNITIES ACQUISITION CORP.</w:t>
            </w:r>
          </w:p>
        </w:tc>
        <w:tc>
          <w:tcPr>
            <w:tcW w:w="3220" w:type="dxa"/>
            <w:vAlign w:val="bottom"/>
          </w:tcPr>
          <w:p>
            <w:pPr>
              <w:spacing w:after="0"/>
              <w:rPr>
                <w:sz w:val="24"/>
                <w:szCs w:val="24"/>
                <w:color w:val="auto"/>
              </w:rPr>
            </w:pPr>
          </w:p>
        </w:tc>
      </w:tr>
      <w:tr>
        <w:trPr>
          <w:trHeight w:val="234"/>
        </w:trPr>
        <w:tc>
          <w:tcPr>
            <w:tcW w:w="3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3220" w:type="dxa"/>
            <w:vAlign w:val="bottom"/>
          </w:tcPr>
          <w:p>
            <w:pPr>
              <w:spacing w:after="0"/>
              <w:rPr>
                <w:sz w:val="20"/>
                <w:szCs w:val="20"/>
                <w:color w:val="auto"/>
              </w:rPr>
            </w:pPr>
          </w:p>
        </w:tc>
      </w:tr>
      <w:tr>
        <w:trPr>
          <w:trHeight w:val="439"/>
        </w:trPr>
        <w:tc>
          <w:tcPr>
            <w:tcW w:w="328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Cayman Islands</w:t>
            </w:r>
          </w:p>
        </w:tc>
        <w:tc>
          <w:tcPr>
            <w:tcW w:w="3020" w:type="dxa"/>
            <w:vAlign w:val="bottom"/>
            <w:gridSpan w:val="5"/>
          </w:tcPr>
          <w:p>
            <w:pPr>
              <w:jc w:val="center"/>
              <w:ind w:left="1590"/>
              <w:spacing w:after="0"/>
              <w:rPr>
                <w:sz w:val="20"/>
                <w:szCs w:val="20"/>
                <w:color w:val="auto"/>
              </w:rPr>
            </w:pPr>
            <w:r>
              <w:rPr>
                <w:rFonts w:ascii="Arial" w:cs="Arial" w:eastAsia="Arial" w:hAnsi="Arial"/>
                <w:sz w:val="18"/>
                <w:szCs w:val="18"/>
                <w:b w:val="1"/>
                <w:bCs w:val="1"/>
                <w:color w:val="auto"/>
                <w:w w:val="90"/>
              </w:rPr>
              <w:t>001-39281</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98-1523768</w:t>
            </w:r>
          </w:p>
        </w:tc>
      </w:tr>
      <w:tr>
        <w:trPr>
          <w:trHeight w:val="198"/>
        </w:trPr>
        <w:tc>
          <w:tcPr>
            <w:tcW w:w="3280" w:type="dxa"/>
            <w:vAlign w:val="bottom"/>
            <w:tcBorders>
              <w:top w:val="single" w:sz="8" w:color="auto"/>
            </w:tcBorders>
          </w:tcPr>
          <w:p>
            <w:pPr>
              <w:jc w:val="center"/>
              <w:ind w:left="250"/>
              <w:spacing w:after="0" w:line="198" w:lineRule="exact"/>
              <w:rPr>
                <w:sz w:val="20"/>
                <w:szCs w:val="20"/>
                <w:color w:val="auto"/>
              </w:rPr>
            </w:pPr>
            <w:r>
              <w:rPr>
                <w:rFonts w:ascii="Arial" w:cs="Arial" w:eastAsia="Arial" w:hAnsi="Arial"/>
                <w:sz w:val="18"/>
                <w:szCs w:val="18"/>
                <w:b w:val="1"/>
                <w:bCs w:val="1"/>
                <w:color w:val="auto"/>
                <w:w w:val="91"/>
              </w:rPr>
              <w:t>(State or other jurisdiction of</w:t>
            </w:r>
          </w:p>
        </w:tc>
        <w:tc>
          <w:tcPr>
            <w:tcW w:w="3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4"/>
          </w:tcPr>
          <w:p>
            <w:pPr>
              <w:jc w:val="center"/>
              <w:spacing w:after="0" w:line="198" w:lineRule="exact"/>
              <w:rPr>
                <w:sz w:val="20"/>
                <w:szCs w:val="20"/>
                <w:color w:val="auto"/>
              </w:rPr>
            </w:pPr>
            <w:r>
              <w:rPr>
                <w:rFonts w:ascii="Arial" w:cs="Arial" w:eastAsia="Arial" w:hAnsi="Arial"/>
                <w:sz w:val="18"/>
                <w:szCs w:val="18"/>
                <w:b w:val="1"/>
                <w:bCs w:val="1"/>
                <w:color w:val="auto"/>
                <w:w w:val="90"/>
              </w:rPr>
              <w:t>(Commission File Number)</w:t>
            </w: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27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28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incorporation or organization)</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20" w:type="dxa"/>
            <w:vAlign w:val="bottom"/>
          </w:tcPr>
          <w:p>
            <w:pPr>
              <w:jc w:val="center"/>
              <w:ind w:right="270"/>
              <w:spacing w:after="0"/>
              <w:rPr>
                <w:sz w:val="20"/>
                <w:szCs w:val="20"/>
                <w:color w:val="auto"/>
              </w:rPr>
            </w:pPr>
            <w:r>
              <w:rPr>
                <w:rFonts w:ascii="Arial" w:cs="Arial" w:eastAsia="Arial" w:hAnsi="Arial"/>
                <w:sz w:val="18"/>
                <w:szCs w:val="18"/>
                <w:b w:val="1"/>
                <w:bCs w:val="1"/>
                <w:color w:val="auto"/>
                <w:w w:val="93"/>
              </w:rPr>
              <w:t>Identification Number)</w:t>
            </w:r>
          </w:p>
        </w:tc>
      </w:tr>
      <w:tr>
        <w:trPr>
          <w:trHeight w:val="414"/>
        </w:trPr>
        <w:tc>
          <w:tcPr>
            <w:tcW w:w="6300" w:type="dxa"/>
            <w:vAlign w:val="bottom"/>
            <w:gridSpan w:val="6"/>
          </w:tcPr>
          <w:p>
            <w:pPr>
              <w:jc w:val="center"/>
              <w:ind w:right="780"/>
              <w:spacing w:after="0"/>
              <w:rPr>
                <w:sz w:val="20"/>
                <w:szCs w:val="20"/>
                <w:color w:val="auto"/>
              </w:rPr>
            </w:pPr>
            <w:r>
              <w:rPr>
                <w:rFonts w:ascii="Arial" w:cs="Arial" w:eastAsia="Arial" w:hAnsi="Arial"/>
                <w:sz w:val="18"/>
                <w:szCs w:val="18"/>
                <w:b w:val="1"/>
                <w:bCs w:val="1"/>
                <w:color w:val="auto"/>
                <w:w w:val="90"/>
              </w:rPr>
              <w:t>1601 Bryan Street, Suite 4141</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41"/>
        </w:trPr>
        <w:tc>
          <w:tcPr>
            <w:tcW w:w="3280" w:type="dxa"/>
            <w:vAlign w:val="bottom"/>
            <w:tcBorders>
              <w:bottom w:val="single" w:sz="8" w:color="auto"/>
            </w:tcBorders>
          </w:tcPr>
          <w:p>
            <w:pPr>
              <w:jc w:val="center"/>
              <w:ind w:left="2150"/>
              <w:spacing w:after="0"/>
              <w:rPr>
                <w:sz w:val="20"/>
                <w:szCs w:val="20"/>
                <w:color w:val="auto"/>
              </w:rPr>
            </w:pPr>
            <w:r>
              <w:rPr>
                <w:rFonts w:ascii="Arial" w:cs="Arial" w:eastAsia="Arial" w:hAnsi="Arial"/>
                <w:sz w:val="18"/>
                <w:szCs w:val="18"/>
                <w:b w:val="1"/>
                <w:bCs w:val="1"/>
                <w:color w:val="auto"/>
                <w:w w:val="87"/>
              </w:rPr>
              <w:t>Dallas, Texas</w:t>
            </w: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75201</w:t>
            </w:r>
          </w:p>
        </w:tc>
      </w:tr>
      <w:tr>
        <w:trPr>
          <w:trHeight w:val="234"/>
        </w:trPr>
        <w:tc>
          <w:tcPr>
            <w:tcW w:w="55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20" w:type="dxa"/>
            <w:vAlign w:val="bottom"/>
          </w:tcPr>
          <w:p>
            <w:pPr>
              <w:jc w:val="center"/>
              <w:ind w:right="2170"/>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(952) 456-5304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2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206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2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206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2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4"/>
        </w:trPr>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w:t>
            </w:r>
          </w:p>
        </w:tc>
      </w:tr>
      <w:tr>
        <w:trPr>
          <w:trHeight w:val="241"/>
        </w:trPr>
        <w:tc>
          <w:tcPr>
            <w:tcW w:w="4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02"/>
        </w:trPr>
        <w:tc>
          <w:tcPr>
            <w:tcW w:w="48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Units, each consisting of one Class A Ordinary Share, $0.0001 par</w:t>
            </w:r>
          </w:p>
        </w:tc>
        <w:tc>
          <w:tcPr>
            <w:tcW w:w="12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SOAC.U</w:t>
            </w:r>
          </w:p>
        </w:tc>
        <w:tc>
          <w:tcPr>
            <w:tcW w:w="12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The New York Stock Exchange</w:t>
            </w:r>
          </w:p>
        </w:tc>
      </w:tr>
      <w:tr>
        <w:trPr>
          <w:trHeight w:val="230"/>
        </w:trPr>
        <w:tc>
          <w:tcPr>
            <w:tcW w:w="4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value, and one-half of one redeemable warrant</w:t>
            </w:r>
          </w:p>
        </w:tc>
        <w:tc>
          <w:tcPr>
            <w:tcW w:w="1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r>
        <w:trPr>
          <w:trHeight w:val="216"/>
        </w:trPr>
        <w:tc>
          <w:tcPr>
            <w:tcW w:w="49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Class A Ordinary Shares included as part of the units</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SOAC</w:t>
            </w:r>
          </w:p>
        </w:tc>
        <w:tc>
          <w:tcPr>
            <w:tcW w:w="426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r>
      <w:tr>
        <w:trPr>
          <w:trHeight w:val="202"/>
        </w:trPr>
        <w:tc>
          <w:tcPr>
            <w:tcW w:w="49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Warrants included as part of the units, each whole warrant</w:t>
            </w:r>
          </w:p>
        </w:tc>
        <w:tc>
          <w:tcPr>
            <w:tcW w:w="202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SOAC WS</w:t>
            </w:r>
          </w:p>
        </w:tc>
        <w:tc>
          <w:tcPr>
            <w:tcW w:w="42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The New York Stock Exchange</w:t>
            </w:r>
          </w:p>
        </w:tc>
      </w:tr>
      <w:tr>
        <w:trPr>
          <w:trHeight w:val="216"/>
        </w:trPr>
        <w:tc>
          <w:tcPr>
            <w:tcW w:w="4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exercisable for one Class A Ordinary Share at an exercise price of</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r>
      <w:tr>
        <w:trPr>
          <w:trHeight w:val="230"/>
        </w:trPr>
        <w:tc>
          <w:tcPr>
            <w:tcW w:w="4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$11.50</w:t>
            </w:r>
          </w:p>
        </w:tc>
        <w:tc>
          <w:tcPr>
            <w:tcW w:w="1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17, 2020, 30,000,000 Class A ordinary shares, par value $0.0001 per share, and 8,625,000 Class B ordinary shares,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0" w:type="dxa"/>
            <w:vAlign w:val="bottom"/>
          </w:tcPr>
          <w:p>
            <w:pPr>
              <w:spacing w:after="0"/>
              <w:rPr>
                <w:sz w:val="20"/>
                <w:szCs w:val="20"/>
                <w:color w:val="auto"/>
              </w:rPr>
            </w:pPr>
          </w:p>
        </w:tc>
        <w:tc>
          <w:tcPr>
            <w:tcW w:w="9340" w:type="dxa"/>
            <w:vAlign w:val="bottom"/>
          </w:tcPr>
          <w:p>
            <w:pPr>
              <w:spacing w:after="0"/>
              <w:rPr>
                <w:sz w:val="20"/>
                <w:szCs w:val="20"/>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Page No.</w:t>
            </w:r>
          </w:p>
        </w:tc>
      </w:tr>
      <w:tr>
        <w:trPr>
          <w:trHeight w:val="432"/>
        </w:trPr>
        <w:tc>
          <w:tcPr>
            <w:tcW w:w="1012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112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Balance Sheets as of March 31, 2020 (unaudited) and December 31, 2019</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Condensed Statement of Operations for the three months ended March 31, 2020</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9340" w:type="dxa"/>
            <w:vAlign w:val="bottom"/>
            <w:shd w:val="clear" w:color="auto" w:fill="CCEEFF"/>
          </w:tcPr>
          <w:p>
            <w:pPr>
              <w:ind w:left="140"/>
              <w:spacing w:after="0"/>
              <w:rPr>
                <w:rFonts w:ascii="Arial" w:cs="Arial" w:eastAsia="Arial" w:hAnsi="Arial"/>
                <w:sz w:val="18"/>
                <w:szCs w:val="18"/>
                <w:u w:val="single" w:color="auto"/>
                <w:color w:val="0000EE"/>
                <w:w w:val="94"/>
              </w:rPr>
            </w:pPr>
            <w:hyperlink w:anchor="page5">
              <w:r>
                <w:rPr>
                  <w:rFonts w:ascii="Arial" w:cs="Arial" w:eastAsia="Arial" w:hAnsi="Arial"/>
                  <w:sz w:val="18"/>
                  <w:szCs w:val="18"/>
                  <w:u w:val="single" w:color="auto"/>
                  <w:color w:val="0000EE"/>
                  <w:w w:val="94"/>
                </w:rPr>
                <w:t>Unaudited Condensed Statement of Changes in Shareholders’ Equity (Deficit) for the three months ended March 31, 2020</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Condensed Statement of Cash Flows for the three months ended March 31, 2020</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Unaudited Condensed Financial Statements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2.</w:t>
              </w:r>
            </w:hyperlink>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Management’s Discussion and Analysis of Financial Condition and Results of Operations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3.</w:t>
              </w:r>
            </w:hyperlink>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Quantitative and Qualitative Disclosures About Market Risk</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4.</w:t>
              </w:r>
            </w:hyperlink>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Controls and Procedures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PART II. OTHER INFORMATION</w:t>
              </w:r>
            </w:hyperlink>
          </w:p>
        </w:tc>
        <w:tc>
          <w:tcPr>
            <w:tcW w:w="112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1.</w:t>
              </w:r>
            </w:hyperlink>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Legal Proceedings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rFonts w:ascii="Arial" w:cs="Arial" w:eastAsia="Arial" w:hAnsi="Arial"/>
                <w:sz w:val="18"/>
                <w:szCs w:val="18"/>
                <w:color w:val="0000EE"/>
              </w:rPr>
            </w:pPr>
            <w:hyperlink w:anchor="page20">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Risk Factors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2.</w:t>
              </w:r>
            </w:hyperlink>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Unregistered Sales of Equity Securities and Use of Proceeds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3.</w:t>
              </w:r>
            </w:hyperlink>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Defaults Upon Senior Securities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4.</w:t>
              </w:r>
            </w:hyperlink>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Mine Safety Disclosures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5.</w:t>
              </w:r>
            </w:hyperlink>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Other Information</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6.</w:t>
              </w:r>
            </w:hyperlink>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Exhibits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SIGNATURES</w:t>
            </w:r>
          </w:p>
        </w:tc>
        <w:tc>
          <w:tcPr>
            <w:tcW w:w="11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7720" w:type="dxa"/>
            <w:vAlign w:val="bottom"/>
          </w:tcPr>
          <w:p>
            <w:pPr>
              <w:jc w:val="center"/>
              <w:ind w:left="153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Unaudited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772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SUSTAINABLE OPPORTUNITIES ACQUISITION CORP.</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7720" w:type="dxa"/>
            <w:vAlign w:val="bottom"/>
          </w:tcPr>
          <w:p>
            <w:pPr>
              <w:jc w:val="center"/>
              <w:ind w:left="1510"/>
              <w:spacing w:after="0"/>
              <w:rPr>
                <w:sz w:val="20"/>
                <w:szCs w:val="20"/>
                <w:color w:val="auto"/>
              </w:rPr>
            </w:pPr>
            <w:r>
              <w:rPr>
                <w:rFonts w:ascii="Arial" w:cs="Arial" w:eastAsia="Arial" w:hAnsi="Arial"/>
                <w:sz w:val="18"/>
                <w:szCs w:val="18"/>
                <w:b w:val="1"/>
                <w:bCs w:val="1"/>
                <w:color w:val="auto"/>
                <w:w w:val="98"/>
              </w:rPr>
              <w:t>CONDENSED BALANCE SHEETS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7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960" w:type="dxa"/>
            <w:vAlign w:val="bottom"/>
            <w:vMerge w:val="continue"/>
          </w:tcPr>
          <w:p>
            <w:pPr>
              <w:spacing w:after="0"/>
              <w:rPr>
                <w:sz w:val="15"/>
                <w:szCs w:val="15"/>
                <w:color w:val="auto"/>
              </w:rPr>
            </w:pPr>
          </w:p>
        </w:tc>
        <w:tc>
          <w:tcPr>
            <w:tcW w:w="7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16,865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15,961</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16,865</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15,961</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offering costs associated with initial public offering</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605,232</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103,660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w w:val="87"/>
              </w:rPr>
              <w:t>Total Assets</w:t>
            </w:r>
          </w:p>
        </w:tc>
        <w:tc>
          <w:tcPr>
            <w:tcW w:w="7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60" w:type="dxa"/>
            <w:vAlign w:val="bottom"/>
            <w:vMerge w:val="continue"/>
          </w:tcPr>
          <w:p>
            <w:pPr>
              <w:spacing w:after="0"/>
              <w:rPr>
                <w:sz w:val="24"/>
                <w:szCs w:val="24"/>
                <w:color w:val="auto"/>
              </w:rPr>
            </w:pPr>
          </w:p>
        </w:tc>
        <w:tc>
          <w:tcPr>
            <w:tcW w:w="77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622,097</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119,621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Borders>
              <w:top w:val="single" w:sz="8" w:color="CCEEFF"/>
            </w:tcBorders>
            <w:shd w:val="clear" w:color="auto" w:fill="CCEEFF"/>
          </w:tcPr>
          <w:p>
            <w:pPr>
              <w:spacing w:after="0"/>
              <w:rPr>
                <w:sz w:val="18"/>
                <w:szCs w:val="18"/>
                <w:color w:val="auto"/>
              </w:rPr>
            </w:pPr>
          </w:p>
        </w:tc>
        <w:tc>
          <w:tcPr>
            <w:tcW w:w="7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 (Deficit):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2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111,227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23,060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407,596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80,600</w:t>
            </w:r>
          </w:p>
        </w:tc>
        <w:tc>
          <w:tcPr>
            <w:tcW w:w="0" w:type="dxa"/>
            <w:vAlign w:val="bottom"/>
          </w:tcPr>
          <w:p>
            <w:pPr>
              <w:spacing w:after="0"/>
              <w:rPr>
                <w:sz w:val="1"/>
                <w:szCs w:val="1"/>
                <w:color w:val="auto"/>
              </w:rPr>
            </w:pPr>
          </w:p>
        </w:tc>
      </w:tr>
      <w:tr>
        <w:trPr>
          <w:trHeight w:val="237"/>
        </w:trPr>
        <w:tc>
          <w:tcPr>
            <w:tcW w:w="8680" w:type="dxa"/>
            <w:vAlign w:val="bottom"/>
            <w:gridSpan w:val="2"/>
          </w:tcPr>
          <w:p>
            <w:pPr>
              <w:ind w:left="260"/>
              <w:spacing w:after="0"/>
              <w:rPr>
                <w:sz w:val="20"/>
                <w:szCs w:val="20"/>
                <w:color w:val="auto"/>
              </w:rPr>
            </w:pPr>
            <w:r>
              <w:rPr>
                <w:rFonts w:ascii="Arial" w:cs="Arial" w:eastAsia="Arial" w:hAnsi="Arial"/>
                <w:sz w:val="18"/>
                <w:szCs w:val="18"/>
                <w:color w:val="auto"/>
              </w:rPr>
              <w:t>Note payable - related party</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146,312</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665,135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 (Deficit):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ordinary shares, $0.0001 par value; 300,000,000 shares authorized; none issued and outstanding</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w w:val="90"/>
              </w:rPr>
              <w:t>Class B ordinary shares, $0.0001 par value; 30,000,000 shares authorized; 8,625,000 shares issued and outstanding (1)</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863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24,137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24,137</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(68,038)</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 (deficit)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(43,038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15,961</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 (Deficit)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622,097</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119,621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20" w:hanging="332"/>
        <w:spacing w:after="0" w:line="277"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This number includes up to 1,125,000 shares subject to forfeiture if the over-allotment option is not exercised in full or in part by the underwriters (see Note 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SUSTAINABLE OPPORTUNITIES ACQUISITION CORP.</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UNAUDITED CONDENSED STATEMENT OF OPERATIONS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0020" w:type="dxa"/>
            <w:vAlign w:val="bottom"/>
          </w:tcPr>
          <w:p>
            <w:pPr>
              <w:jc w:val="center"/>
              <w:ind w:left="1150"/>
              <w:spacing w:after="0"/>
              <w:rPr>
                <w:sz w:val="20"/>
                <w:szCs w:val="20"/>
                <w:color w:val="auto"/>
              </w:rPr>
            </w:pPr>
            <w:r>
              <w:rPr>
                <w:rFonts w:ascii="Arial" w:cs="Arial" w:eastAsia="Arial" w:hAnsi="Arial"/>
                <w:sz w:val="18"/>
                <w:szCs w:val="18"/>
                <w:b w:val="1"/>
                <w:bCs w:val="1"/>
                <w:color w:val="auto"/>
                <w:w w:val="99"/>
              </w:rPr>
              <w:t>FOR THE THREE MONTHS ENDED MARCH 31, 2020</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58,999</w:t>
            </w:r>
          </w:p>
        </w:tc>
        <w:tc>
          <w:tcPr>
            <w:tcW w:w="80" w:type="dxa"/>
            <w:vAlign w:val="bottom"/>
            <w:shd w:val="clear" w:color="auto" w:fill="CCEEFF"/>
          </w:tcPr>
          <w:p>
            <w:pPr>
              <w:spacing w:after="0"/>
              <w:rPr>
                <w:sz w:val="21"/>
                <w:szCs w:val="21"/>
                <w:color w:val="auto"/>
              </w:rPr>
            </w:pPr>
          </w:p>
        </w:tc>
      </w:tr>
      <w:tr>
        <w:trPr>
          <w:trHeight w:val="278"/>
        </w:trPr>
        <w:tc>
          <w:tcPr>
            <w:tcW w:w="100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(58,999</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6"/>
        </w:trPr>
        <w:tc>
          <w:tcPr>
            <w:tcW w:w="10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345"/>
        </w:trPr>
        <w:tc>
          <w:tcPr>
            <w:tcW w:w="10020" w:type="dxa"/>
            <w:vAlign w:val="bottom"/>
          </w:tcPr>
          <w:p>
            <w:pPr>
              <w:spacing w:after="0" w:line="296" w:lineRule="exact"/>
              <w:rPr>
                <w:sz w:val="20"/>
                <w:szCs w:val="20"/>
                <w:color w:val="auto"/>
              </w:rPr>
            </w:pPr>
            <w:r>
              <w:rPr>
                <w:rFonts w:ascii="Arial" w:cs="Arial" w:eastAsia="Arial" w:hAnsi="Arial"/>
                <w:sz w:val="18"/>
                <w:szCs w:val="18"/>
                <w:b w:val="1"/>
                <w:bCs w:val="1"/>
                <w:color w:val="auto"/>
              </w:rPr>
              <w:t xml:space="preserve">Weighted average shares outstanding, basic and diluted </w:t>
            </w:r>
            <w:r>
              <w:rPr>
                <w:rFonts w:ascii="Arial" w:cs="Arial" w:eastAsia="Arial" w:hAnsi="Arial"/>
                <w:sz w:val="29"/>
                <w:szCs w:val="29"/>
                <w:b w:val="1"/>
                <w:bCs w:val="1"/>
                <w:color w:val="auto"/>
                <w:vertAlign w:val="superscript"/>
              </w:rPr>
              <w:t>(1)</w:t>
            </w:r>
          </w:p>
        </w:tc>
        <w:tc>
          <w:tcPr>
            <w:tcW w:w="2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7,500,000</w:t>
            </w:r>
          </w:p>
        </w:tc>
        <w:tc>
          <w:tcPr>
            <w:tcW w:w="80" w:type="dxa"/>
            <w:vAlign w:val="bottom"/>
          </w:tcPr>
          <w:p>
            <w:pPr>
              <w:spacing w:after="0"/>
              <w:rPr>
                <w:sz w:val="24"/>
                <w:szCs w:val="24"/>
                <w:color w:val="auto"/>
              </w:rPr>
            </w:pP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1002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40"/>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r>
      <w:tr>
        <w:trPr>
          <w:trHeight w:val="21"/>
        </w:trPr>
        <w:tc>
          <w:tcPr>
            <w:tcW w:w="10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This number excludes an aggregate of up to 1,125,000 shares subject to forfeiture if the over-allotment option is not exercised in full or in part by the underwriters (see Note 4).</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 OF CHANGES IN SHAREHOLDERS’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74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8"/>
                <w:szCs w:val="18"/>
                <w:b w:val="1"/>
                <w:bCs w:val="1"/>
                <w:color w:val="auto"/>
              </w:rPr>
              <w:t>Ordinary Shares</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Additional</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Total</w:t>
            </w:r>
          </w:p>
        </w:tc>
      </w:tr>
      <w:tr>
        <w:trPr>
          <w:trHeight w:val="263"/>
        </w:trPr>
        <w:tc>
          <w:tcPr>
            <w:tcW w:w="3740" w:type="dxa"/>
            <w:vAlign w:val="bottom"/>
          </w:tcPr>
          <w:p>
            <w:pPr>
              <w:spacing w:after="0"/>
              <w:rPr>
                <w:sz w:val="22"/>
                <w:szCs w:val="22"/>
                <w:color w:val="auto"/>
              </w:rPr>
            </w:pPr>
          </w:p>
        </w:tc>
        <w:tc>
          <w:tcPr>
            <w:tcW w:w="1640" w:type="dxa"/>
            <w:vAlign w:val="bottom"/>
            <w:tcBorders>
              <w:bottom w:val="single" w:sz="8" w:color="auto"/>
            </w:tcBorders>
            <w:gridSpan w:val="5"/>
          </w:tcPr>
          <w:p>
            <w:pPr>
              <w:jc w:val="right"/>
              <w:ind w:right="416"/>
              <w:spacing w:after="0"/>
              <w:rPr>
                <w:sz w:val="20"/>
                <w:szCs w:val="20"/>
                <w:color w:val="auto"/>
              </w:rPr>
            </w:pPr>
            <w:r>
              <w:rPr>
                <w:rFonts w:ascii="Arial" w:cs="Arial" w:eastAsia="Arial" w:hAnsi="Arial"/>
                <w:sz w:val="18"/>
                <w:szCs w:val="18"/>
                <w:b w:val="1"/>
                <w:bCs w:val="1"/>
                <w:color w:val="auto"/>
              </w:rPr>
              <w:t>Class A</w:t>
            </w:r>
          </w:p>
        </w:tc>
        <w:tc>
          <w:tcPr>
            <w:tcW w:w="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Borders>
              <w:bottom w:val="single" w:sz="8" w:color="auto"/>
            </w:tcBorders>
            <w:gridSpan w:val="4"/>
          </w:tcPr>
          <w:p>
            <w:pPr>
              <w:jc w:val="right"/>
              <w:ind w:right="38"/>
              <w:spacing w:after="0" w:line="256" w:lineRule="exact"/>
              <w:rPr>
                <w:sz w:val="20"/>
                <w:szCs w:val="20"/>
                <w:color w:val="auto"/>
              </w:rPr>
            </w:pPr>
            <w:r>
              <w:rPr>
                <w:rFonts w:ascii="Arial" w:cs="Arial" w:eastAsia="Arial" w:hAnsi="Arial"/>
                <w:sz w:val="18"/>
                <w:szCs w:val="18"/>
                <w:b w:val="1"/>
                <w:bCs w:val="1"/>
                <w:color w:val="auto"/>
              </w:rPr>
              <w:t xml:space="preserve">Class B </w:t>
            </w:r>
            <w:r>
              <w:rPr>
                <w:rFonts w:ascii="Arial" w:cs="Arial" w:eastAsia="Arial" w:hAnsi="Arial"/>
                <w:sz w:val="29"/>
                <w:szCs w:val="29"/>
                <w:b w:val="1"/>
                <w:bCs w:val="1"/>
                <w:color w:val="auto"/>
                <w:vertAlign w:val="superscript"/>
              </w:rPr>
              <w:t>(1)</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4"/>
          </w:tcPr>
          <w:p>
            <w:pPr>
              <w:ind w:left="100"/>
              <w:spacing w:after="0"/>
              <w:rPr>
                <w:sz w:val="20"/>
                <w:szCs w:val="20"/>
                <w:color w:val="auto"/>
              </w:rPr>
            </w:pPr>
            <w:r>
              <w:rPr>
                <w:rFonts w:ascii="Arial" w:cs="Arial" w:eastAsia="Arial" w:hAnsi="Arial"/>
                <w:sz w:val="18"/>
                <w:szCs w:val="18"/>
                <w:b w:val="1"/>
                <w:bCs w:val="1"/>
                <w:color w:val="auto"/>
              </w:rPr>
              <w:t>Accumulated</w:t>
            </w:r>
          </w:p>
        </w:tc>
        <w:tc>
          <w:tcPr>
            <w:tcW w:w="1300" w:type="dxa"/>
            <w:vAlign w:val="bottom"/>
            <w:gridSpan w:val="3"/>
          </w:tcPr>
          <w:p>
            <w:pPr>
              <w:ind w:left="60"/>
              <w:spacing w:after="0"/>
              <w:rPr>
                <w:sz w:val="20"/>
                <w:szCs w:val="20"/>
                <w:color w:val="auto"/>
              </w:rPr>
            </w:pPr>
            <w:r>
              <w:rPr>
                <w:rFonts w:ascii="Arial" w:cs="Arial" w:eastAsia="Arial" w:hAnsi="Arial"/>
                <w:sz w:val="18"/>
                <w:szCs w:val="18"/>
                <w:b w:val="1"/>
                <w:bCs w:val="1"/>
                <w:color w:val="auto"/>
              </w:rPr>
              <w:t>Shareholders'</w:t>
            </w:r>
          </w:p>
        </w:tc>
      </w:tr>
      <w:tr>
        <w:trPr>
          <w:trHeight w:val="237"/>
        </w:trPr>
        <w:tc>
          <w:tcPr>
            <w:tcW w:w="3740" w:type="dxa"/>
            <w:vAlign w:val="bottom"/>
          </w:tcPr>
          <w:p>
            <w:pPr>
              <w:spacing w:after="0"/>
              <w:rPr>
                <w:sz w:val="20"/>
                <w:szCs w:val="20"/>
                <w:color w:val="auto"/>
              </w:rPr>
            </w:pPr>
          </w:p>
        </w:tc>
        <w:tc>
          <w:tcPr>
            <w:tcW w:w="660" w:type="dxa"/>
            <w:vAlign w:val="bottom"/>
          </w:tcPr>
          <w:p>
            <w:pPr>
              <w:ind w:left="100"/>
              <w:spacing w:after="0"/>
              <w:rPr>
                <w:sz w:val="20"/>
                <w:szCs w:val="20"/>
                <w:color w:val="auto"/>
              </w:rPr>
            </w:pPr>
            <w:r>
              <w:rPr>
                <w:rFonts w:ascii="Arial" w:cs="Arial" w:eastAsia="Arial" w:hAnsi="Arial"/>
                <w:sz w:val="18"/>
                <w:szCs w:val="18"/>
                <w:b w:val="1"/>
                <w:bCs w:val="1"/>
                <w:color w:val="auto"/>
                <w:w w:val="89"/>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7"/>
              </w:rPr>
              <w:t>Amount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Deficit</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Equity (Deficit)</w:t>
            </w:r>
          </w:p>
        </w:tc>
      </w:tr>
      <w:tr>
        <w:trPr>
          <w:trHeight w:val="236"/>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2019</w:t>
            </w:r>
          </w:p>
        </w:tc>
        <w:tc>
          <w:tcPr>
            <w:tcW w:w="66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Arial" w:cs="Arial" w:eastAsia="Arial" w:hAnsi="Arial"/>
                <w:sz w:val="15"/>
                <w:szCs w:val="15"/>
                <w:b w:val="1"/>
                <w:bCs w:val="1"/>
                <w:color w:val="auto"/>
                <w:w w:val="71"/>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8,625,000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98"/>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37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Net loss</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(58,999</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(58,999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50"/>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2020 (unaudited)</w:t>
            </w:r>
          </w:p>
        </w:tc>
        <w:tc>
          <w:tcPr>
            <w:tcW w:w="6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w:t>
            </w:r>
          </w:p>
        </w:tc>
        <w:tc>
          <w:tcPr>
            <w:tcW w:w="800" w:type="dxa"/>
            <w:vAlign w:val="bottom"/>
            <w:gridSpan w:val="2"/>
            <w:shd w:val="clear" w:color="auto" w:fill="CCEEFF"/>
          </w:tcPr>
          <w:p>
            <w:pPr>
              <w:jc w:val="right"/>
              <w:ind w:right="516"/>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8,625,000</w:t>
            </w:r>
          </w:p>
        </w:tc>
        <w:tc>
          <w:tcPr>
            <w:tcW w:w="48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24,137</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(68,038</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(43,038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77"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This number includes up to 1,125,000 shares subject to forfeiture if the over-allotment option is not exercised in full or in part by the underwriters (see Note 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left="1940"/>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ind w:left="1940"/>
        <w:spacing w:after="0"/>
        <w:rPr>
          <w:sz w:val="20"/>
          <w:szCs w:val="20"/>
          <w:color w:val="auto"/>
        </w:rPr>
      </w:pPr>
      <w:r>
        <w:rPr>
          <w:rFonts w:ascii="Arial" w:cs="Arial" w:eastAsia="Arial" w:hAnsi="Arial"/>
          <w:sz w:val="18"/>
          <w:szCs w:val="18"/>
          <w:b w:val="1"/>
          <w:bCs w:val="1"/>
          <w:color w:val="auto"/>
        </w:rPr>
        <w:t>UNAUDITED CONDENSED STATEMENT OF CASH FLOWS</w:t>
      </w:r>
    </w:p>
    <w:p>
      <w:pPr>
        <w:spacing w:after="0" w:line="27" w:lineRule="exact"/>
        <w:rPr>
          <w:sz w:val="20"/>
          <w:szCs w:val="20"/>
          <w:color w:val="auto"/>
        </w:rPr>
      </w:pPr>
    </w:p>
    <w:p>
      <w:pPr>
        <w:jc w:val="center"/>
        <w:ind w:left="1940"/>
        <w:spacing w:after="0"/>
        <w:rPr>
          <w:sz w:val="20"/>
          <w:szCs w:val="20"/>
          <w:color w:val="auto"/>
        </w:rPr>
      </w:pPr>
      <w:r>
        <w:rPr>
          <w:rFonts w:ascii="Arial" w:cs="Arial" w:eastAsia="Arial" w:hAnsi="Arial"/>
          <w:sz w:val="18"/>
          <w:szCs w:val="18"/>
          <w:b w:val="1"/>
          <w:bCs w:val="1"/>
          <w:color w:val="auto"/>
        </w:rPr>
        <w:t>FOR THE THREE MONTHS ENDED MARCH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General and administrative expenses paid by related party under note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Prepaid expenses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Accounts payable</w:t>
      </w:r>
    </w:p>
    <w:p>
      <w:pPr>
        <w:spacing w:after="0" w:line="1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Deferred offering costs included in accounts payable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Deferred offering costs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Deferred offering costs included in note payable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Use of retainer for deferred offering costs</w:t>
      </w:r>
    </w:p>
    <w:p>
      <w:pPr>
        <w:spacing w:after="0" w:line="211" w:lineRule="exact"/>
        <w:rPr>
          <w:sz w:val="20"/>
          <w:szCs w:val="20"/>
          <w:color w:val="auto"/>
        </w:rPr>
      </w:pPr>
    </w:p>
    <w:p>
      <w:pPr>
        <w:jc w:val="right"/>
        <w:ind w:right="200"/>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60" w:hanging="555"/>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(58,999)</w:t>
      </w:r>
    </w:p>
    <w:p>
      <w:pPr>
        <w:spacing w:after="0" w:line="248"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53,456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(4,175)</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9,718</w:t>
      </w:r>
    </w:p>
    <w:p>
      <w:pPr>
        <w:spacing w:after="0" w:line="3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59" w:lineRule="exact"/>
        <w:rPr>
          <w:sz w:val="20"/>
          <w:szCs w:val="20"/>
          <w:color w:val="auto"/>
        </w:rPr>
      </w:pPr>
    </w:p>
    <w:p>
      <w:pPr>
        <w:ind w:left="1060" w:hanging="1055"/>
        <w:spacing w:after="0"/>
        <w:tabs>
          <w:tab w:leader="none" w:pos="10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620" w:hanging="6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78,449</w:t>
      </w:r>
    </w:p>
    <w:p>
      <w:pPr>
        <w:spacing w:after="0" w:line="23" w:lineRule="exact"/>
        <w:rPr>
          <w:sz w:val="20"/>
          <w:szCs w:val="20"/>
          <w:color w:val="auto"/>
        </w:rPr>
      </w:pPr>
    </w:p>
    <w:p>
      <w:pPr>
        <w:ind w:left="520" w:hanging="515"/>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326,996</w:t>
      </w:r>
    </w:p>
    <w:p>
      <w:pPr>
        <w:spacing w:after="0" w:line="9" w:lineRule="exact"/>
        <w:rPr>
          <w:sz w:val="20"/>
          <w:szCs w:val="20"/>
          <w:color w:val="auto"/>
        </w:rPr>
      </w:pPr>
    </w:p>
    <w:p>
      <w:pPr>
        <w:ind w:left="620" w:hanging="615"/>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92,856</w:t>
      </w:r>
    </w:p>
    <w:p>
      <w:pPr>
        <w:spacing w:after="0" w:line="9" w:lineRule="exact"/>
        <w:rPr>
          <w:rFonts w:ascii="Arial" w:cs="Arial" w:eastAsia="Arial" w:hAnsi="Arial"/>
          <w:sz w:val="18"/>
          <w:szCs w:val="18"/>
          <w:color w:val="auto"/>
        </w:rPr>
      </w:pPr>
    </w:p>
    <w:p>
      <w:pPr>
        <w:ind w:left="640" w:hanging="635"/>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(3,271)</w:t>
      </w:r>
    </w:p>
    <w:p>
      <w:pPr>
        <w:sectPr>
          <w:pgSz w:w="11900" w:h="16838" w:orient="portrait"/>
          <w:cols w:equalWidth="0" w:num="2">
            <w:col w:w="9300" w:space="720"/>
            <w:col w:w="1180"/>
          </w:cols>
          <w:pgMar w:left="320" w:top="904"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Sustainable Opportunities Acquisition Corp. (the “Company”) is a newly organized blank check company incorporated as a Cayman Islands exempted company on December 18, 2019. The Company was incorporated for the purpose of effecting a merger, share exchange, asset acquisition, share purchase, reorganization or similar business combination with one or more businesses or entities (the “Business Combination”). The Company has not selected any Business Combination target and the Company has not, nor has anyone on its behalf, initiated any substantive discussions, directly or indirectly, with any Business Combination target. The Company is an emerging growth company and, as such, the Company is subject to all of the risks associated with emerging growth companies.</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March 31, 2020, the Company had not commenced any operations. All activity for the period from December 18, 2019 (inception) through March 31, 2020 relates to the Company’s formation and the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(as defined below). The Company has selected December 31 as its fiscal year end.</w:t>
      </w:r>
    </w:p>
    <w:p>
      <w:pPr>
        <w:spacing w:after="0" w:line="18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sponsor is Sustainable Opportunities Holdings LLC, a Delaware limited liability company (the “Sponsor”). The registration statement for the Company’s Initial Public Offering was declared effective on May 5, 2020. On May 8, 2020, the Company consummated its Initial Public Offering of 30,000,000 units (the “Units” and, with respect to the Class A ordinary shares included in the Units being offered, the “Public Shares”) at $10.00 per Unit, generating gross proceeds of $300.0 million, and incurring offering costs of approximately $17.4 million, inclusive of $10.5 million in deferred underwriting commissions (Note 5). The Company has granted the underwriter a 45-day option to purchase up to an additional 4,500,000 Units at the Initial Public Offering price to cover over-allotments, if any. To date, the over-allotment option has not been exercised yet.</w:t>
      </w:r>
    </w:p>
    <w:p>
      <w:pPr>
        <w:spacing w:after="0" w:line="1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9,500,000 warrants (each, a “Private Placement Warrant” and collectively, the “Private Placement Warrants”) at a price of $1.00 per Private Placement Warrant in a private placement to the Sponsor, generating gross proceeds of $9.5 million (Note 4).</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Upon the closing of the Initial Public Offering and the Private Placement, $300.0 million ($10.00 per Unit) of the net proceeds of the sale of the Units in the Initial Public Offering and the Private Placement were placed in a trust account (the “Trust Account”), located in the United States at J.P. Morgan Chase Bank, N.A., with Continental Stock Transfer &amp; Trust Company acting as trustee, and invested only in U.S. government securities, within the meaning set forth in Section 2(a)(16) of the Investment Company Act, with a maturity of 185 days or less or in any open-ended investment company that holds itself out as a money market fund selected by the Company meeting the conditions of paragraphs (d)(2), (d)(3) and (d)(4) of Rule 2a-7 of the Investment Company Act, as determined by the Company, until the earlier of: (i) the completion of a Business Combination and (ii) the distribution of the Trust Account as described below.</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assets held in the Trust Account (as defined below) (excluding the deferred underwriting commissions and taxes payable on income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w:t>
      </w:r>
    </w:p>
    <w:p>
      <w:pPr>
        <w:spacing w:after="0" w:line="16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will provide the holders (the “Public Shareholders”) of its Class A ordinary shares, par value $0.0001 per share sold in the Initial Public Offering (the “Public Shares”) with the opportunity to redeem all or a portion of their Public Shares upon the completion of a Business Combination either</w:t>
      </w:r>
    </w:p>
    <w:p>
      <w:pPr>
        <w:jc w:val="both"/>
        <w:ind w:firstLine="8"/>
        <w:spacing w:after="0" w:line="284" w:lineRule="auto"/>
        <w:tabs>
          <w:tab w:leader="none" w:pos="221"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The per-share amount to be distributed to Public Shareholders who redeem their Public Shares will not be reduced by the deferred underwriting commissions the Company will pay to the underwriter (as discussed in Note 5). These Public Shares will be recorded at a redemption value and classified as temporary equity upon the completion of the Initial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the Company adopted upon the consummation of the Initial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Initial Shareholders (as defined below) have agreed to vote their Founder Shares (as defined below in Note 4) and any Public Shares purchased during or after the Initial Public Offering in favor of a Business Combination. In addition, the Initial Shareholders have agreed to waive their redemption rights with respect to their Founder Shares and Public Shares in connection with the completion of a Business Combination.</w:t>
      </w:r>
    </w:p>
    <w:p>
      <w:pPr>
        <w:spacing w:after="0" w:line="16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Notwithstanding the foregoing, the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Sponsor, officers and directors (the “Initial Shareholders”) have agreed not to propose an amendment to the Amended and Restated Memorandum and Articles of Association that would affect the substance or timing of the Company’s obligation to provide holders of its Public Shares the right to have their shares redeemed in connection with its initial business combination or to redeem 100% of its Public Shares if the Company does not complete a Business Combination within 18 months from the closing of the Initial Public Offering, or November 8, 2021 (the “Combination Period”) unless the Company provides the Public Shareholders with the opportunity to redeem their Class A ordinary shares in conjunction with any such amendment.</w:t>
      </w:r>
    </w:p>
    <w:p>
      <w:pPr>
        <w:spacing w:after="0" w:line="19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tax obligations,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liquidate and dissolve, subject in the case of clauses (ii) and (iii), to the Company’s obligations under Cayman Islands law to provide for claims of creditors and the requirements of other applicable law.</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 Initial Shareholders have agreed to waive their liquidation rights with respect to the Founder Shares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 has agreed to waive its rights to its deferred underwriting commission (see Note 5) held in the Trust Account in the event the Company does not complete a Business Combination within 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2020, the Company had no cash and working capital deficit of approximately $648,000.</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Company’s liquidity needs up to March 31, 2020 have been satisfied through a $25,000 contribution from the Sponsor in exchange for the issuance of the Founder Shares to the Sponsor and the advancement of funds by the Sponsor of approximately $146,000 under the Note (see Note 4) to the Company to cover for offering costs in connection with the Initial Public Offering. Subsequent to March 31, 2020, the Company borrowed an additional amount of approximately $17,000, for a total amount of approximately $163,000 under the Note. The Company fully repaid the Note on May 8, 2020. Subsequent to the consummation of the Initial Public Offering and the Private Placement Warrants, the Company’s liquidity has been satisfied through the proceeds from the consummation of the Private Placement not held in the Trust Account of approximately $3.1 million. In addition, in order to finance transaction costs in connection with a Business Combination, the Sponsor or an affiliate of the Sponsor, or certain of the Company’s officers and directors may, but are not obligated to, provide the Company Working Capital Loans (see Note 4). As of March 31, 2020, there were no amounts outstanding under any Working Capital Loans.</w:t>
      </w:r>
    </w:p>
    <w:p>
      <w:pPr>
        <w:spacing w:after="0" w:line="19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accompanying unaudited condensed financial statements are presented in U.S. dollars in conformity with accounting principles generally accepted in the United States of America (“GAAP”) for financial information and pursuant to the rules and regulations of the SEC. Accordingly, they do not include all of the information and footnotes required by GAAP. In the opinion of management, the unaudited condensed financial statements reflect all adjustments, which include only normal recurring adjustments necessary for the fair statement of the balances and results for the periods presented. Operating results for the period for the three months ended March 31, 2020 are not necessarily indicative of the results that may be expected through December 31, 2020.</w:t>
      </w:r>
    </w:p>
    <w:p>
      <w:pPr>
        <w:spacing w:after="0" w:line="16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accompanying unaudited condensed financial statements should be read in conjunction with the audited financial statements and notes thereto included in the Form 8-K and the final prospectus filed by the Company with the SEC on May 14, 2020 and May 6, 2020, respectively.</w:t>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accounts in a financial institution, which, at times, may exceed the Federal Depository Insurance Coverage of $250,000. At March 31, 2020 and December 31, 2019, the Company has not experienced losses on these accounts and management believes the Company is not exposed to significant risks on such accounts.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820, “Fair Value Measurements” approximates the carrying amounts represented in the balance sheets primarily due to their short-term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preparation of the balance sheets in conformity with GAAP requires the Company’s management to make estimates and assumptions that affect the reported amounts of assets and liabilities and disclosure of contingent assets and liabilities at the date of the balance sheets.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 Associated with the Initial Public Offering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Deferred offering costs consist of legal, accounting, underwriting fees and other costs that were directly related to the Initial Public Offering and that were charged to additional paid-in capital upon the completion of the Initial Public Offering in May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Ordinary Share</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complies with accounting and disclosure requirements of FASB ASC Topic 260, “Earnings Per Share.” Net loss per share is computed by dividing net loss by the weighted average number of ordinary shares outstanding during the period. Weighted average shares were reduced for the effect of an aggregate of 1,125,000 ordinary shares that are subject to forfeiture if the over-allotment option is not exercised by the underwriters. At March 31, 2020, the Company did not have any dilutive securities and other contracts that could, potentially, be exercised or converted into ordinary shares and then share in the earnings of the Company. As a result, diluted loss per share is the same as basic loss per share for the period presented.</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March 31, 2020 and December 31, 2019.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as of March 31, 2020 and December 31,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6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is considered an exempted Cayman Islands company and is presently not subject to income taxes or income tax filing requirements in the Cayman Islands or the United States. As such, the Company’s tax provision is zero for the period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management does not believe that any recently issued, but not yet effective, accounting standards, if currently adopted, would have a material effect on the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8, 2020, the Company consummated its Initial Public Offering of 30,000,000 Units at $10.00 per Unit, generating gross proceeds of $300.0 million, and incurring offering costs of approximately $17.4 million, inclusive of $10.5 million in deferred underwriting commissions. Each Unit consists of one Class A ordinary share and one-half of one redeemable warrant (each, a “Public Warrant”). Each Public Warrant entitles the holder to purchase one Class A ordinary share at a price of $11.50 per share, subject to adjustment (see Note 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December 31, 2019, the Sponsor purchased 8,625,000 shares (the “Founder Shares”) of the Company’s Class B ordinary shares, par value $0.0001 for an aggregate price of $25,000. In March 2020, the Sponsor transferred 30,000 Founder Shares to each of the Company’s independent directors. The Founder Shares will automatically convert into Class A ordinary shares at the time of the Company’s initial Business Combination and are subject to certain transfer restrictions, as described in Note 6. The Sponsor has agreed to forfeit up to 1,125,000 Founder Shares to the extent that the over-allotment option is not exercised in full by the underwriter so that the Founder Shares will represent 20.0% of the Company’s issued and outstanding shares after the Initial Public Offering.</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Initial Shareholders agreed, subject to limited exceptions, not to transfer, assign or sell any of their Founder Shares until the earlier to occur of: (A) one year after the completion of the initial Business Combination or (B) subsequent to the initial Business Combination, (x) if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Company’s shareholders having the right to exchange their Class A ordinary shares for cash, securities or other property.</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of 9,500,000 Private Placement Warrants at a price of $1.00 per Private Placement Warrant in a private placement to the Sponsor, generating gross proceeds of $9.5 million. Each Private Placement Warrant is exercisable for one whole Class A ordinary share at a price of $11.50 per share.</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portion of the proceeds from the sale of the Private Placement Warrants was added to the proceeds from the Initial Public Offering held in the Trust Account. If the Company does not complete a Business Combination within the Combination Period, the Private Placement Warrants will expire worthless. The Private Placement Warrants will be non-redeemable and exercisable on a cashless basis so long as they are held by the Sponsor or its permitted transferees.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December 31, 2019, the Sponsor agreed to loan the Company an aggregate of up to $300,000 to cover expenses related to the Initial Public Offering pursuant to a promissory note (the “Note”). This loan was non-interest bearing and payable upon the completion of the Initial Public Offering. The Company borrowed approximately $146,000 under the Note. Subsequent to March 31, 2020, the Company borrowed an additional amount of approximately $17,000, for a total amount of approximately $163,000 under the Note and fully repaid this amount on May 8, 2020.</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$1.00 per warrant. The warrants would be identical to the Private Placement Warrants. To date, the Company had no borrowings under the Working Capital Loans.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entered into an agreement, commencing on May 8, 2020 through the earlier of the Company’s consummation of a Business Combination and its liquidation, to reimburse the Sponsor a total of $10,000 per month for office space, secretarial and administrative services.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Commitments &amp;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holders of Founder Shares, Private Placement Warrants and warrants that may be issued upon conversion of Working Capital Loans, if any, will be entitled to registration rights (in the case of the Founder Shares, only after conversion of such shares to Class A ordinary shares) pursuant to a registration and shareholder rights agreement. These holders will be entitled to certain demand and “piggyback” registration rights. However, the registration and shareholder rights agreement provides that the Company will not permit any registration statement filed under the Securities Act to become effective until the termination of the applicable lock-up period for the securities to be registered. The Company will bear the expenses incurred in connection with the filing of any such registration statements.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granted the underwriter a 45-day option from the date of the final prospectus relating to the Initial Public Offering to purchase up to 4,500,000 additional Units to cover over-allotments, if any, at $10.00 per Unit, less the underwriting discounts and commissions. To date, the over-allotment option has not been exercised yet.</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underwriter was entitled to an underwriting discount of $0.20 per unit, or $6.0 million in the aggregate paid upon the closing of the Initial Public Offering. In addition, $0.35 per unit, or $10.5 million in the aggregate will be payable to the underwriter for deferred underwriting commissions. The deferred underwriting commissions will become payable to the underwriter from the amounts held in the Trust Account solely in the event that the Company completes a Business Combination, subject to the terms of the underwriting agreement.</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over-allotment option is exercised in full, the underwriter will be entitled to an aggregate of $900,000 in fees payable upon closing and an additional deferred underwriting commissions of approximately $1.58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January 30, 2020, the World Health Organization (“WHO”) announced a global health emergency because of a new strain of coronavirus (the “COVID-19 outbreak”). In March 2020, the WHO classified the COVID-19 outbreak as a pandemic, based on the rapid increase in exposure globally. The full impact of the COVID-19 outbreak continues to evolve. The impact of the COVID-19 outbreak on the Company’s results of operations, financial position and cash flows will depend on future developments, including the duration and spread of the outbreak and related advisories and restrictions. These developments and the impact of the COVID-19 outbreak on the financial markets and the overall economy are highly uncertain and cannot be predicted. If the financial markets and/or the overall economy are impacted for an extended period, the Company’s results of operations, financial position and cash flows may be materially adversely affected. Additionally, the Company’s ability to complete an Initial Business Combination may be materially adversely affected due to significant governmental measures being implemented to contain the COVID-19 outbreak or treat its impact, including travel restrictions, the shutdown of businesses and quarantines, among others, which may limit the Company’s ability to have meetings with potential investors or affect the ability of a potential target company’s personnel, vendors and service providers to negotiate and consummate an Initial Business Combination in a timely manner. The Company’s ability to consummate an Initial Business Combination may also be dependent on the ability to raise additional equity and debt financing, which may be impacted by the COVID-19 outbreak and the resulting market downturn. The financial statements do not include any adjustments that might result from the outcome of this uncertainty.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Shareholders’ Equity (Deficit)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Preference Shares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 authorized to issue 1,000,000 preference shares with such designations, voting and other rights and preferences as may be determined from time to time by the Company’s board of directors. As of March 31, 2020 and December 31, 2019, there were no preference shares issued or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Class A Ordinary Shares </w:t>
      </w:r>
      <w:r>
        <w:rPr>
          <w:rFonts w:ascii="Arial" w:cs="Arial" w:eastAsia="Arial" w:hAnsi="Arial"/>
          <w:sz w:val="18"/>
          <w:szCs w:val="18"/>
          <w:color w:val="auto"/>
        </w:rPr>
        <w:t>— The Company is authorized to issue 300,000,000 Class A ordinary shares with a par value of $0.0001 per share.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2020 and December 31, 2019, there were no Class A ordinary shares issued or outstanding.</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Class B Ordinary Shares </w:t>
      </w:r>
      <w:r>
        <w:rPr>
          <w:rFonts w:ascii="Arial" w:cs="Arial" w:eastAsia="Arial" w:hAnsi="Arial"/>
          <w:sz w:val="18"/>
          <w:szCs w:val="18"/>
          <w:color w:val="auto"/>
        </w:rPr>
        <w:t>— The Company is authorized to issue 30,000,000 Class B ordinary shares with a par value of $0.0001 per share.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B ordinary shares are entitled to one vote for each share. As of March 31, 2020 and December 31, 2019, there were 8,625,000 Class B ordinary shares outstanding. Of these, an aggregate of up to 1,125,000 shares are subject to forfeiture to the Company by the Sponsor for no consideration to the extent that the underwriter’s over-allotment option is not exercised in full or in part, so that the Initial Shareholders will collectively own 20% of the Company’s issued and outstanding ordinary shares after the Initial Public Offering.</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Holders of the Class A ordinary shares and holders of the Class B ordinary shares will vote together as a single class on all matters submitted to a vote of the Company’s shareholders except as required by law.</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Class B ordinary shares will automatically convert into Class A ordinary shares at the time of the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the Sponsor upon conversion of Working Capital Loans. Any conversion of Class B ordinary shares will take effect as a compulsory redemption of Class B ordinary shares and an issuance of Class A ordinary shares as a matter of Cayman Islands law. In no event will the Class B ordinary shares convert into Class A ordinary shares at a rate of less than one-to-one.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or (b) 12 months from the closing of the Initial Public Offering; provided in each case that the Company has an effective registration 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the Company permits holders to exercise their warrants on a cashless basis under certain circumstances). The Company has agreed that as soon as practicable, but in no event later than 20 business days, after the closing of a Business Combination, the Company will use its commercially reasonable efforts to file with the SEC a registration statement covering the Class A ordinary shares issuable upon exercise of the warrants and to maintain a current prospectus relating to those Class A ordinary shares until the warrants expire or are redeemed. If a registration statement covering</w:t>
      </w:r>
    </w:p>
    <w:p>
      <w:pPr>
        <w:spacing w:after="0" w:line="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Class A ordinary shares issuable upon exercise of the warrants is not effective by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The Public Warrants will expire five years after the completion of a Business Combination or earlier upon redemption or liquidation.</w:t>
      </w:r>
    </w:p>
    <w:p>
      <w:pPr>
        <w:spacing w:after="0" w:line="18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Each whole Public Warrant entitles the holder to purchase one Class A ordinary share at a price of $11.50 per share.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Company and, (i) in the case of any such issuance to the Sponsor or its affiliates, without taking into account any Founder Shares held by the Sponsor or such affiliates, as applicable, prior to such issuance, and (ii) without taking into account the transfer of Founder Shares or Private Placement Warrants (including if such transfer is effectuated as a surrender to us and subsequent reissuance by the Company) by the Sponsor in connection with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Company’s Class A ordinary shares during the 20-trading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discussed below will be adjusted (to the nearest cent) to be equal to 180% of the higher of the Market Value and the Newly Issued Price.</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may call the Public Warrants for redemption (except with respect to the Private Placement Warrants):</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and only if, the closing price of the Company’s Class A ordinary shares equals or exceeds $18.00 per share (as adjusted for share subdivisions, share capitalizations, reorganizations, recapitalizations and the like) for any 20 trading days within a 30-trading day period ending on the third trading day prior to the date on which the Company sends the notice of redemption to the warrant holders.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and the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in no event will the Company be required to net cash settle any Warrants. If the Company is unable to complete the initial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Subsequent Events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evaluated subsequent events and transactions that occurred after the balance sheet date up to the date that the financial statements were issued. Based upon this review, other than as described in these financial statements, the Company did not identify any subsequent events that would have required adjustment or disclosure in the financial statements.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80"/>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References to the “Company,” “Sustainable Opportunities Acquisition Corp.,” “our,” “us” or “we” refer to Sustainable Opportunities Acquisition Corp. The following discussion and analysis of the Company’s financial condition and results of operations should be read in conjunction with the unaudited condensed financial statements and the notes thereto contained elsewhere in this report. Certain information contained in the discussion and analysis set forth below includes forward-looking statements that involve risks and uncertainties.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This Quarterly Report on Form 10-Q includes forward-looking statements within the meaning of Section 27A of the Securities Act of 1933, as amended (the “Securities Act”),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U.S. Securities and Exchange Commission (“SEC”) filings.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a blank check company incorporated as a Cayman Islands exempted company on December 18, 2019 for the purpose of effecting a merger, share exchange, asset acquisition, share purchase, reorganization or similar business combination with one or more businesses that we have not yet identified (“Business Combination”). Although we are not limited to a particular industry or geographic region for purposes of consummating a Business Combination, we intend to focus within industries that benefit from strong Environmental, Social and Governance (“ESG”) profiles. While investing in ESG covers a broad range of themes, we are focused on evaluating suitable targets that have existing environmental sustainability practices or that may benefit, both operationally and economically, from our management team’s commitment and expertise in executing such practices. Our sponsor is Sustainable Opportunities Holdings LLC, a Delaware limited liability company (the “Sponsor”).</w:t>
      </w:r>
    </w:p>
    <w:p>
      <w:pPr>
        <w:spacing w:after="0" w:line="17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registration statement for our Initial Public Offering was declared effective on May 5, 2020. On May 8, 2020, we consummated our Initial Public Offering of 30,000,000 units (the “Units” and, with respect to the Class A ordinary shares included in the Units being offered, the “Public Shares”) at $10.00 per Unit, generating gross proceeds of $300.0 million, and incurring offering costs of approximately $17.4 million, inclusive of $10.5 million in deferred underwriting commissions. We granted the underwriter a 45-day option to purchase up to an additional 4,500,000 Units at the Initial Public Offering price to cover over-allotments, if any. To date, the over-allotment option has not yet been exercised.</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Simultaneously with the closing of the Initial Public Offering, we consummated the private placement (“Private Placement”) of 9,500,000 warrants (each, a “Private Placement Warrant” and collectively, the “Private Placement Warrants”) at a price of $1.00 per Private Placement Warrant in a private placement to our Sponsor, generating gross proceeds of $9.5 million.</w:t>
      </w:r>
    </w:p>
    <w:p>
      <w:pPr>
        <w:spacing w:after="0" w:line="18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Upon the closing of the Initial Public Offering and the Private Placement, $300.0 million ($10.00 per Unit) of the net proceeds of the sale of the Units in the Initial Public Offering and the Private Placement were placed in a trust account (the “Trust Account”), located in the United States at J.P. Morgan Chase Bank, N.A., with Continental Stock Transfer &amp; Trust Company acting as trustee, and invested only in U.S. government securities, within the meaning set forth in Section 2(a)(16) of the Investment Company Act, with a maturity of 185 days or less or in any open-ended investment company that holds itself out as a money market fund selected by us meeting the conditions of paragraphs (d)(2), (d)(3) and (d)(4) of Rule 2a-7 of the Investment Company Act, as determined by us, until the earlier of: (i) the completion of a Business Combination and (ii) the distribution of the Trust Account as described below. Our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324"/>
        <w:spacing w:after="0" w:line="253" w:lineRule="auto"/>
        <w:rPr>
          <w:sz w:val="20"/>
          <w:szCs w:val="20"/>
          <w:color w:val="auto"/>
        </w:rPr>
      </w:pPr>
      <w:r>
        <w:rPr>
          <w:rFonts w:ascii="Arial" w:cs="Arial" w:eastAsia="Arial" w:hAnsi="Arial"/>
          <w:sz w:val="18"/>
          <w:szCs w:val="18"/>
          <w:color w:val="auto"/>
        </w:rPr>
        <w:t>If we are unable to complete a Business Combination within 18 months from the closing of the Initial Public Offering, or November 8, 2021 (the “Combination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for our tax obligations,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our board of directors, liquidate and dissolve, subject in the case of clauses (ii) and (iii), to our obligations under Cayman Islands law to provide for claims of creditors and the requirements of other applicable law.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entire activity from December 18, 2019 (inception) through March 31, 2020, was in preparation for our Initial Public Offering, and since such offering, our activity has been limited to the search for a prospective initial Business Combination. We will not generate any operating revenues until the closing and completion of our initial Business Combination.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three months ended March 31, 2020, we had net loss of approximately $59,000, which consisted solely of general and administrative expenses.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2020, we had no cash and working capital deficit of approximately $648,000.</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liquidity needs up to March 31, 2020 have been satisfied through a $25,000 contribution from our Sponsor in exchange for the issuance of the Founder Shares to our Sponsor and the advancement of funds by our Sponsor of approximately $146,000 under the Note to us to cover for offering costs in connection with the Initial Public Offering. Subsequent to March 31, 2020, we borrowed an additional amount of approximately $17,000, for a total amount of approximately $163,000 under the Note. We fully repaid the Note on May 8, 2020. Subsequent to the consummation of the Initial Public Offering and the Private Placement Warrants, our liquidity has been satisfied through the proceeds from the consummation of the Private Placement not held in the Trust Account of approximately $3.1 million. In addition, in order to finance transaction costs in connection with a Business Combination, our Sponsor or an affiliate of our Sponsor, or certain of our officers and directors may, but are not obligated to, provide the Company Working Capital Loans. As of March 31, 2020, there were no amounts outstanding under any Working Capital Loans.</w:t>
      </w:r>
    </w:p>
    <w:p>
      <w:pPr>
        <w:spacing w:after="0" w:line="17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Based on the foregoing, management believes that we will have sufficient working capital and borrowing capacity from our Sponsor or an affiliate of our Sponsor, or certain of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and Shareholder Rights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holders of Founder Shares, Private Placement Warrants and warrants that may be issued upon conversion of Working Capital Loans, if any, will be entitled to registration rights (in the case of the Founder Shares, only after conversion of such shares to Class A ordinary shares) pursuant to a registration and shareholder rights agreement. These holders will be entitled to certain demand and “piggyback” registration rights. However, the registration and shareholder rights agreement provides that the Company will not permit any registration statement filed under the Securities Act to become effective until the termination of the applicable lock-up period for the securities to be registered. The Company will bear the expenses incurred in connection with the filing of any such registration statements.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Underwriting Agreement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granted the underwriter a 45-day option from the date of the final prospectus relating to the Initial Public Offering to purchase up to 4,500,000 additional Units to cover over-allotments, if any, at $10.00 per Unit, less the underwriting discounts and commissions. To date, the over-allotment option has not been exercised yet.</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underwriter was entitled to an underwriting discount of $0.20 per unit, or $6.0 million in the aggregate paid upon the closing of the Initial Public Offering. In addition, $0.35 per unit, or $10.5 million in the aggregate will be payable to the underwriter for deferred underwriting commissions. The deferred underwriting commissions will become payable to the underwriter from the amounts held in the Trust Account solely in the event that the Company completes a Business Combination, subject to the terms of the underwriting agreement.</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over-allotment option is exercised in full, the underwriter will be entitled to an aggregate of $900,000 in fees payable upon closing and an additional deferred underwriting commissions of approximately $1.58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Administrative Support Agreement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entered into an agreement, commencing on May 8, 2020 through the earlier of our consummation of a Business Combination and our liquidation, to reimburse our Sponsor a total of $10,000 per month for office space, secretarial and administrative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and Uncertainties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January 30, 2020, the World Health Organization (“WHO”) announced a global health emergency because of a new strain of coronavirus (the “COVID-19 outbreak”). In March 2020, the WHO classified the COVID-19 outbreak as a pandemic, based on the rapid increase in exposure globally. The full impact of the COVID-19 outbreak continues to evolve. The impact of the COVID-19 outbreak on the Company’s results of operations, financial position and cash flows will depend on future developments, including the duration and spread of the outbreak and related advisories and restrictions. These developments and the impact of the COVID-19 outbreak on the financial markets and the overall economy are highly uncertain and cannot be predicted. If the financial markets and/or the overall economy are impacted for an extended period, the Company’s results of operations, financial position and cash flows may be materially adversely affected. Additionally, the Company’s ability to complete an Initial Business Combination may be materially adversely affected due to significant governmental measures being implemented to contain the COVID-19 outbreak or treat its impact, including travel restrictions, the shutdown of businesses and quarantines, among others, which may limit the Company’s ability to have meetings with potential investors or affect the ability of a potential target company’s personnel, vendors and service providers to negotiate and consummate an Initial Business Combination in a timely manner. The Company’s ability to consummate an Initial Business Combination may also be dependent on the ability to raise additional equity and debt financing, which may be impacted by the COVID-19 outbreak and the resulting market downturn.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This management’s discussion and analysis of our financial condition and results of operations is based on our unaudited condensed financial statements, which have been prepared in accordance with U.S. GAAP. The preparation of these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believe there have been no significant changes in our critical accounting policies as discussed in the Form 8-K and the final prospectus filed by us with the SEC on May 14, 2020 and May 6, 2020, respectively.</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2020, we did not have any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such, our financial statements may not be comparable to companies that comply with public company effective 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166"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2020, we were not subject to any market or interest rate risk. Following the consummation of our Initial Public Offering, the net proceeds of our Initial Public Offering, including amounts in the Trust Account, were invested in U.S. government treasury bills, notes or bonds or in certain money market funds that invest solely in direct U.S. government treasury obligations. Due to the short-term nature of these investments, we believe there will be no associated material exposure to interest rate risk.</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not engaged in any hedging activities since our inception and we do not expect to engage in any hedging activities with respect to the market risk to which we are exposed.</w:t>
      </w:r>
    </w:p>
    <w:p>
      <w:pPr>
        <w:spacing w:after="0" w:line="166" w:lineRule="exact"/>
        <w:rPr>
          <w:sz w:val="20"/>
          <w:szCs w:val="20"/>
          <w:color w:val="auto"/>
        </w:rPr>
      </w:pPr>
    </w:p>
    <w:p>
      <w:pPr>
        <w:ind w:left="28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quarter ended March 31, 2020, as such term is defined in Rules 13a-15(e) and 15d-15(e) under the Exchange Act. Based on this evaluation, our principal executive officer and principal financial and accounting officer has concluded that during the period covered by this report, our disclosure controls and procedures were effective.</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There was no change in our internal control over financial reporting that occurred during the fiscal quarter ended March 31, 2020 covered by this Quarterly Report on Form 10-Q that has materially affected, or is reasonably likely to materially affect, our internal control over financial reporting.</w:t>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the date of this Quarterly Report on Form 10-Q, there have been no material changes to the risk factors disclosed in our final prospectus filed with the SEC on May 6, 2020.</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 from 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December 31, 2019, the Sponsor paid $25,000, or approximately $0.003 per share, in consideration of 8,625,000 Class B ordinary shares, par value $0.0001 per share. Such securities were issued in connection with the Company’s organization pursuant to the exemption from registration contained in Section 4(a)(2) of the Securities Act of 1933, as amended (the “Securities Act”).</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May 5, 2020, the Sponsor purchased 9,500,000 Private Placement Warrants, each exercisable to purchase one ordinary share at $11.50 per share, at a price of $1.00 per warrant ($9,500,000 in the aggregate), in a private placement that closed simultaneously with the closing of the Initial Public Offering. This issuance was made pursuant to the exemption from registration contained in Section 4(a)(2) of the Securities Act.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connection with the Initial Public Offering, we incurred offering costs of approximately $17.4 million (including deferred underwriting commissions of approximately $10.5 million). Other incurred offering costs consisted principally preparation fees related to the Initial Public Offering. After deducting the underwriting discounts and commissions (excluding the deferred portion, which amount will be payable upon consummation of the Initial Business Combination, if consummated) and the Initial Public Offering expenses, $300 million of the net proceeds from our Initial Public Offering and certain of the proceeds from the private placement of the Private Placement Warrants (or $10.00 per Unit sold in the Initial Public Offering) was placed in the Trust Account. The net proceeds of the Initial Public Offering and certain proceeds from the sale of the Private Placement Warrants are held in the Trust Account and invested as described elsewhere in this Quarterly Report on Form 10-Q.</w:t>
      </w:r>
    </w:p>
    <w:p>
      <w:pPr>
        <w:spacing w:after="0" w:line="17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has been no material change in the planned use of the proceeds from the Initial Public Offering and Private Placement as is described in the Company’s final prospectus related to the Initial Public Offering.</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0" w:name="page21"/>
    <w:bookmarkEnd w:id="20"/>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20" w:type="dxa"/>
            <w:vAlign w:val="bottom"/>
            <w:gridSpan w:val="6"/>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14"/>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590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Certification of Chief Executive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20" w:type="dxa"/>
            <w:vAlign w:val="bottom"/>
            <w:gridSpan w:val="5"/>
            <w:shd w:val="clear" w:color="auto" w:fill="CCEEFF"/>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Pursuant to Section 302 of the Sarbanes-Oxley Act of 2002.</w:t>
              </w:r>
            </w:hyperlink>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460" w:type="dxa"/>
            <w:vAlign w:val="bottom"/>
            <w:tcBorders>
              <w:top w:val="single" w:sz="8" w:color="0000EE"/>
            </w:tcBorders>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5"/>
                <w:szCs w:val="15"/>
                <w:color w:val="auto"/>
              </w:rPr>
            </w:pPr>
          </w:p>
        </w:tc>
        <w:tc>
          <w:tcPr>
            <w:tcW w:w="10220" w:type="dxa"/>
            <w:vAlign w:val="bottom"/>
            <w:gridSpan w:val="5"/>
            <w:shd w:val="clear" w:color="auto" w:fill="CCEEFF"/>
          </w:tcPr>
          <w:p>
            <w:pPr>
              <w:spacing w:after="0" w:line="176" w:lineRule="exact"/>
              <w:rPr>
                <w:rFonts w:ascii="Arial" w:cs="Arial" w:eastAsia="Arial" w:hAnsi="Arial"/>
                <w:sz w:val="18"/>
                <w:szCs w:val="18"/>
                <w:color w:val="0000EE"/>
                <w:w w:val="93"/>
              </w:rPr>
            </w:pPr>
            <w:hyperlink w:anchor="page24">
              <w:r>
                <w:rPr>
                  <w:rFonts w:ascii="Arial" w:cs="Arial" w:eastAsia="Arial" w:hAnsi="Arial"/>
                  <w:sz w:val="18"/>
                  <w:szCs w:val="18"/>
                  <w:color w:val="0000EE"/>
                  <w:w w:val="93"/>
                </w:rPr>
                <w:t>Certification of Chief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217"/>
        </w:trPr>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0" w:type="dxa"/>
            <w:vAlign w:val="bottom"/>
            <w:tcBorders>
              <w:top w:val="single" w:sz="8" w:color="0000EE"/>
            </w:tcBorders>
            <w:gridSpan w:val="4"/>
            <w:shd w:val="clear" w:color="auto" w:fill="CCEEFF"/>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Pursuant to Section 302 of the Sarbanes-Oxley Act of 2002.</w:t>
              </w:r>
            </w:hyperlink>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460" w:type="dxa"/>
            <w:vAlign w:val="bottom"/>
            <w:tcBorders>
              <w:top w:val="single" w:sz="8" w:color="0000EE"/>
            </w:tcBorders>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217"/>
        </w:trPr>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20" w:type="dxa"/>
            <w:vAlign w:val="bottom"/>
            <w:gridSpan w:val="5"/>
            <w:shd w:val="clear" w:color="auto" w:fill="CCEEFF"/>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5"/>
                <w:szCs w:val="15"/>
                <w:color w:val="auto"/>
              </w:rPr>
            </w:pPr>
          </w:p>
        </w:tc>
        <w:tc>
          <w:tcPr>
            <w:tcW w:w="10220" w:type="dxa"/>
            <w:vAlign w:val="bottom"/>
            <w:gridSpan w:val="5"/>
            <w:shd w:val="clear" w:color="auto" w:fill="CCEEFF"/>
          </w:tcPr>
          <w:p>
            <w:pPr>
              <w:spacing w:after="0" w:line="17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Certification of Chief Financial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29"/>
        </w:trPr>
        <w:tc>
          <w:tcPr>
            <w:tcW w:w="920" w:type="dxa"/>
            <w:vAlign w:val="bottom"/>
            <w:tcBorders>
              <w:top w:val="single" w:sz="8" w:color="CCEEFF"/>
            </w:tcBorders>
            <w:vMerge w:val="continue"/>
            <w:shd w:val="clear" w:color="auto" w:fill="CCEEFF"/>
          </w:tcPr>
          <w:p>
            <w:pPr>
              <w:spacing w:after="0"/>
              <w:rPr>
                <w:sz w:val="11"/>
                <w:szCs w:val="11"/>
                <w:color w:val="auto"/>
              </w:rPr>
            </w:pPr>
          </w:p>
        </w:tc>
        <w:tc>
          <w:tcPr>
            <w:tcW w:w="100" w:type="dxa"/>
            <w:vAlign w:val="bottom"/>
            <w:tcBorders>
              <w:top w:val="single" w:sz="8" w:color="CCEEFF"/>
            </w:tcBorders>
            <w:vMerge w:val="restart"/>
            <w:shd w:val="clear" w:color="auto" w:fill="CCEEFF"/>
          </w:tcPr>
          <w:p>
            <w:pPr>
              <w:spacing w:after="0"/>
              <w:rPr>
                <w:sz w:val="11"/>
                <w:szCs w:val="11"/>
                <w:color w:val="auto"/>
              </w:rPr>
            </w:pPr>
          </w:p>
        </w:tc>
        <w:tc>
          <w:tcPr>
            <w:tcW w:w="860" w:type="dxa"/>
            <w:vAlign w:val="bottom"/>
            <w:tcBorders>
              <w:top w:val="single" w:sz="8" w:color="0000EE"/>
            </w:tcBorders>
            <w:gridSpan w:val="2"/>
            <w:vMerge w:val="restart"/>
            <w:shd w:val="clear" w:color="auto" w:fill="CCEEFF"/>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2002</w:t>
              </w:r>
            </w:hyperlink>
          </w:p>
        </w:tc>
        <w:tc>
          <w:tcPr>
            <w:tcW w:w="3460" w:type="dxa"/>
            <w:vAlign w:val="bottom"/>
            <w:tcBorders>
              <w:top w:val="single" w:sz="8" w:color="0000EE"/>
            </w:tcBorders>
            <w:shd w:val="clear" w:color="auto" w:fill="CCEEFF"/>
          </w:tcPr>
          <w:p>
            <w:pPr>
              <w:spacing w:after="0"/>
              <w:rPr>
                <w:sz w:val="11"/>
                <w:szCs w:val="11"/>
                <w:color w:val="auto"/>
              </w:rPr>
            </w:pPr>
          </w:p>
        </w:tc>
        <w:tc>
          <w:tcPr>
            <w:tcW w:w="5880" w:type="dxa"/>
            <w:vAlign w:val="bottom"/>
            <w:tcBorders>
              <w:top w:val="single" w:sz="8" w:color="0000EE"/>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920" w:type="dxa"/>
            <w:vAlign w:val="bottom"/>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3460" w:type="dxa"/>
            <w:vAlign w:val="bottom"/>
            <w:shd w:val="clear" w:color="auto" w:fill="CCEEFF"/>
          </w:tcPr>
          <w:p>
            <w:pPr>
              <w:spacing w:after="0"/>
              <w:rPr>
                <w:sz w:val="7"/>
                <w:szCs w:val="7"/>
                <w:color w:val="auto"/>
              </w:rPr>
            </w:pPr>
          </w:p>
        </w:tc>
        <w:tc>
          <w:tcPr>
            <w:tcW w:w="58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0" w:type="dxa"/>
            <w:vAlign w:val="bottom"/>
            <w:shd w:val="clear" w:color="auto" w:fill="CCEEFF"/>
          </w:tcPr>
          <w:p>
            <w:pPr>
              <w:spacing w:after="0"/>
              <w:rPr>
                <w:sz w:val="18"/>
                <w:szCs w:val="18"/>
                <w:color w:val="auto"/>
              </w:rPr>
            </w:pPr>
          </w:p>
        </w:tc>
        <w:tc>
          <w:tcPr>
            <w:tcW w:w="10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0" w:type="dxa"/>
            <w:vAlign w:val="bottom"/>
            <w:shd w:val="clear" w:color="auto" w:fill="CCEEFF"/>
          </w:tcPr>
          <w:p>
            <w:pPr>
              <w:spacing w:after="0"/>
              <w:rPr>
                <w:sz w:val="18"/>
                <w:szCs w:val="18"/>
                <w:color w:val="auto"/>
              </w:rPr>
            </w:pPr>
          </w:p>
        </w:tc>
        <w:tc>
          <w:tcPr>
            <w:tcW w:w="10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0" w:type="dxa"/>
            <w:vAlign w:val="bottom"/>
            <w:shd w:val="clear" w:color="auto" w:fill="CCEEFF"/>
          </w:tcPr>
          <w:p>
            <w:pPr>
              <w:spacing w:after="0"/>
              <w:rPr>
                <w:sz w:val="18"/>
                <w:szCs w:val="18"/>
                <w:color w:val="auto"/>
              </w:rPr>
            </w:pPr>
          </w:p>
        </w:tc>
        <w:tc>
          <w:tcPr>
            <w:tcW w:w="10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0" w:type="dxa"/>
            <w:vAlign w:val="bottom"/>
            <w:shd w:val="clear" w:color="auto" w:fill="CCEEFF"/>
          </w:tcPr>
          <w:p>
            <w:pPr>
              <w:spacing w:after="0"/>
              <w:rPr>
                <w:sz w:val="18"/>
                <w:szCs w:val="18"/>
                <w:color w:val="auto"/>
              </w:rPr>
            </w:pPr>
          </w:p>
        </w:tc>
        <w:tc>
          <w:tcPr>
            <w:tcW w:w="10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0" w:type="dxa"/>
            <w:vAlign w:val="bottom"/>
            <w:shd w:val="clear" w:color="auto" w:fill="CCEEFF"/>
          </w:tcPr>
          <w:p>
            <w:pPr>
              <w:spacing w:after="0"/>
              <w:rPr>
                <w:sz w:val="18"/>
                <w:szCs w:val="18"/>
                <w:color w:val="auto"/>
              </w:rPr>
            </w:pPr>
          </w:p>
        </w:tc>
        <w:tc>
          <w:tcPr>
            <w:tcW w:w="10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0" w:type="dxa"/>
            <w:vAlign w:val="bottom"/>
            <w:shd w:val="clear" w:color="auto" w:fill="CCEEFF"/>
          </w:tcPr>
          <w:p>
            <w:pPr>
              <w:spacing w:after="0"/>
              <w:rPr>
                <w:sz w:val="18"/>
                <w:szCs w:val="18"/>
                <w:color w:val="auto"/>
              </w:rPr>
            </w:pPr>
          </w:p>
        </w:tc>
        <w:tc>
          <w:tcPr>
            <w:tcW w:w="10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40" w:hanging="232"/>
        <w:spacing w:after="0" w:line="263" w:lineRule="auto"/>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Pr>
          <w:p>
            <w:pPr>
              <w:spacing w:after="0"/>
              <w:rPr>
                <w:sz w:val="20"/>
                <w:szCs w:val="20"/>
                <w:color w:val="auto"/>
              </w:rPr>
            </w:pPr>
            <w:r>
              <w:rPr>
                <w:rFonts w:ascii="Arial" w:cs="Arial" w:eastAsia="Arial" w:hAnsi="Arial"/>
                <w:sz w:val="18"/>
                <w:szCs w:val="18"/>
                <w:color w:val="auto"/>
              </w:rPr>
              <w:t>Date: June 17, 2020</w:t>
            </w:r>
          </w:p>
        </w:tc>
        <w:tc>
          <w:tcPr>
            <w:tcW w:w="3320" w:type="dxa"/>
            <w:vAlign w:val="bottom"/>
          </w:tcPr>
          <w:p>
            <w:pPr>
              <w:ind w:left="25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Leonard</w:t>
            </w:r>
          </w:p>
        </w:tc>
      </w:tr>
      <w:tr>
        <w:trPr>
          <w:trHeight w:val="202"/>
        </w:trPr>
        <w:tc>
          <w:tcPr>
            <w:tcW w:w="4000" w:type="dxa"/>
            <w:vAlign w:val="bottom"/>
          </w:tcPr>
          <w:p>
            <w:pPr>
              <w:spacing w:after="0"/>
              <w:rPr>
                <w:sz w:val="17"/>
                <w:szCs w:val="17"/>
                <w:color w:val="auto"/>
              </w:rPr>
            </w:pPr>
          </w:p>
        </w:tc>
        <w:tc>
          <w:tcPr>
            <w:tcW w:w="3320" w:type="dxa"/>
            <w:vAlign w:val="bottom"/>
          </w:tcPr>
          <w:p>
            <w:pPr>
              <w:ind w:left="25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Scott Leonard</w:t>
            </w:r>
          </w:p>
        </w:tc>
      </w:tr>
      <w:tr>
        <w:trPr>
          <w:trHeight w:val="230"/>
        </w:trPr>
        <w:tc>
          <w:tcPr>
            <w:tcW w:w="4000" w:type="dxa"/>
            <w:vAlign w:val="bottom"/>
          </w:tcPr>
          <w:p>
            <w:pPr>
              <w:spacing w:after="0"/>
              <w:rPr>
                <w:sz w:val="20"/>
                <w:szCs w:val="20"/>
                <w:color w:val="auto"/>
              </w:rPr>
            </w:pPr>
          </w:p>
        </w:tc>
        <w:tc>
          <w:tcPr>
            <w:tcW w:w="3320" w:type="dxa"/>
            <w:vAlign w:val="bottom"/>
          </w:tcPr>
          <w:p>
            <w:pPr>
              <w:ind w:left="25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2" w:name="page23"/>
    <w:bookmarkEnd w:id="22"/>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Scott Leonard,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March 31, 2020 of Sustainable Opportunities Acquisition Corp.;</w:t>
      </w:r>
    </w:p>
    <w:p>
      <w:pPr>
        <w:spacing w:after="0" w:line="236"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June 17,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Scott Leonard</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3" w:name="page24"/>
    <w:bookmarkEnd w:id="23"/>
    <w:p>
      <w:pPr>
        <w:ind w:left="101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Quiram,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March 31, 2020 of Sustainable Opportunities Acquisition Corp.;</w:t>
      </w:r>
    </w:p>
    <w:p>
      <w:pPr>
        <w:spacing w:after="0" w:line="236"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June 17,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Quiram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David Quiram</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24" w:name="page25"/>
    <w:bookmarkEnd w:id="24"/>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Sustainable Opportunities Acquisition Corp.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quarter ended March 31, 2020,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Scott Leonard, Chief Executive Officer of the Company, certify, pursuant to 18 U.S.C. Section 1350, as adopted pursuant to Section 906 of the Sarbanes-Oxley Act of 2002, that, to my knowledge:</w:t>
      </w:r>
    </w:p>
    <w:p>
      <w:pPr>
        <w:spacing w:after="0" w:line="14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00" w:firstLine="8"/>
        <w:spacing w:after="0" w:line="500" w:lineRule="auto"/>
        <w:tabs>
          <w:tab w:leader="none" w:pos="4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June 17, 2020</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Scott Leonard</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Sustainable Opportunities Acquisition Corp.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quarter ended March 31, 2020,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David Quiram, Chief Financial Officer of the Company, certify, pursuant to 18 U.S.C. Section 1350, as adopted pursuant to Section 906 of the Sarbanes-Oxley Act of 2002, that, to my knowledge:</w:t>
      </w:r>
    </w:p>
    <w:p>
      <w:pPr>
        <w:spacing w:after="0" w:line="14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00" w:firstLine="8"/>
        <w:spacing w:after="0" w:line="500" w:lineRule="auto"/>
        <w:tabs>
          <w:tab w:leader="none" w:pos="4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June 17, 2020</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David Quiram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David Quiram</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lowerRoman"/>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2020-06-17T15:18:25Z</dcterms:created>
  <dcterms:modified xsi:type="dcterms:W3CDTF">2020-06-17T15:18:25Z</dcterms:modified>
</cp:coreProperties>
</file>