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Honour Scott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53" w:lineRule="auto"/>
        <w:rPr>
          <w:sz w:val="20"/>
          <w:szCs w:val="20"/>
          <w:color w:val="auto"/>
        </w:rPr>
      </w:pPr>
      <w:r>
        <w:rPr>
          <w:rFonts w:ascii="Arial" w:cs="Arial" w:eastAsia="Arial" w:hAnsi="Arial"/>
          <w:sz w:val="16"/>
          <w:szCs w:val="16"/>
          <w:color w:val="0000FF"/>
        </w:rPr>
        <w:t>C/O SUSTAINABLE OPPORTUNITIES ACQ CORP., 1601 BRYAN STREET, SUITE 4141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Sustainable Opportunities Acquisition Corp</w:t>
        </w:r>
        <w:r>
          <w:rPr>
            <w:rFonts w:ascii="Arial" w:cs="Arial" w:eastAsia="Arial" w:hAnsi="Arial"/>
            <w:sz w:val="18"/>
            <w:szCs w:val="18"/>
            <w:color w:val="0000EE"/>
          </w:rPr>
          <w:t xml:space="preserve">. </w:t>
        </w:r>
      </w:hyperlink>
      <w:r>
        <w:rPr>
          <w:rFonts w:ascii="Arial" w:cs="Arial" w:eastAsia="Arial" w:hAnsi="Arial"/>
          <w:sz w:val="18"/>
          <w:szCs w:val="18"/>
          <w:color w:val="000000"/>
        </w:rPr>
        <w: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 xml:space="preserve">SOAC </w:t>
      </w:r>
      <w:r>
        <w:rPr>
          <w:rFonts w:ascii="Arial" w:cs="Arial" w:eastAsia="Arial" w:hAnsi="Arial"/>
          <w:sz w:val="19"/>
          <w:szCs w:val="19"/>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06/19/2020</w:t>
      </w:r>
    </w:p>
    <w:p>
      <w:pPr>
        <w:spacing w:after="0" w:line="20" w:lineRule="exact"/>
        <w:rPr>
          <w:sz w:val="24"/>
          <w:szCs w:val="24"/>
          <w:color w:val="auto"/>
        </w:rPr>
      </w:pPr>
      <w:r>
        <w:rPr>
          <w:sz w:val="24"/>
          <w:szCs w:val="24"/>
          <w:color w:val="auto"/>
        </w:rPr>
        <w:br w:type="column"/>
      </w: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1756" w:val="left"/>
          <w:tab w:leader="none" w:pos="20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0" w:lineRule="exact"/>
        <w:rPr>
          <w:sz w:val="24"/>
          <w:szCs w:val="24"/>
          <w:color w:val="auto"/>
        </w:rPr>
      </w:pPr>
    </w:p>
    <w:p>
      <w:pPr>
        <w:sectPr>
          <w:pgSz w:w="11900" w:h="16838" w:orient="portrait"/>
          <w:cols w:equalWidth="0" w:num="3">
            <w:col w:w="3700" w:space="200"/>
            <w:col w:w="3660" w:space="183"/>
            <w:col w:w="3337"/>
          </w:cols>
          <w:pgMar w:left="460" w:top="220"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75201</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00" w:type="dxa"/>
            <w:vAlign w:val="bottom"/>
          </w:tcPr>
          <w:p>
            <w:pPr>
              <w:ind w:left="3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ind w:left="4040"/>
        <w:spacing w:after="0" w:line="230"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jc w:val="right"/>
        <w:ind w:right="220"/>
        <w:spacing w:after="0"/>
        <w:rPr>
          <w:sz w:val="20"/>
          <w:szCs w:val="20"/>
          <w:color w:val="auto"/>
        </w:rPr>
      </w:pP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236855</wp:posOffset>
            </wp:positionV>
            <wp:extent cx="6972935" cy="84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845820"/>
                    </a:xfrm>
                    <a:prstGeom prst="rect">
                      <a:avLst/>
                    </a:prstGeom>
                    <a:noFill/>
                  </pic:spPr>
                </pic:pic>
              </a:graphicData>
            </a:graphic>
          </wp:anchor>
        </w:drawing>
      </w:r>
    </w:p>
    <w:p>
      <w:pPr>
        <w:spacing w:after="0" w:line="431"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794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79451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120"/>
              <w:spacing w:after="0" w:line="274"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9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right"/>
              <w:ind w:right="225"/>
              <w:spacing w:after="0"/>
              <w:rPr>
                <w:sz w:val="20"/>
                <w:szCs w:val="20"/>
                <w:color w:val="auto"/>
              </w:rPr>
            </w:pPr>
            <w:r>
              <w:rPr>
                <w:rFonts w:ascii="Arial" w:cs="Arial" w:eastAsia="Arial" w:hAnsi="Arial"/>
                <w:sz w:val="10"/>
                <w:szCs w:val="10"/>
                <w:color w:val="008000"/>
              </w:rPr>
              <w:t>(2)</w:t>
            </w: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Class A</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0000FF"/>
                <w:w w:val="95"/>
              </w:rPr>
              <w:t>1,125,000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900" w:type="dxa"/>
            <w:vAlign w:val="bottom"/>
          </w:tcPr>
          <w:p>
            <w:pPr>
              <w:spacing w:after="0"/>
              <w:rPr>
                <w:sz w:val="11"/>
                <w:szCs w:val="11"/>
                <w:color w:val="auto"/>
              </w:rPr>
            </w:pPr>
          </w:p>
        </w:tc>
        <w:tc>
          <w:tcPr>
            <w:tcW w:w="720" w:type="dxa"/>
            <w:vAlign w:val="bottom"/>
            <w:vMerge w:val="restart"/>
          </w:tcPr>
          <w:p>
            <w:pPr>
              <w:ind w:left="280"/>
              <w:spacing w:after="0" w:line="274"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w:t>
            </w:r>
          </w:p>
        </w:tc>
        <w:tc>
          <w:tcPr>
            <w:tcW w:w="800" w:type="dxa"/>
            <w:vAlign w:val="bottom"/>
          </w:tcPr>
          <w:p>
            <w:pPr>
              <w:ind w:left="60"/>
              <w:spacing w:after="0" w:line="137"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ordinary</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06/19/2019</w:t>
            </w:r>
          </w:p>
        </w:tc>
        <w:tc>
          <w:tcPr>
            <w:tcW w:w="10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tcPr>
          <w:p>
            <w:pPr>
              <w:ind w:left="360"/>
              <w:spacing w:after="0" w:line="137" w:lineRule="exact"/>
              <w:rPr>
                <w:sz w:val="20"/>
                <w:szCs w:val="20"/>
                <w:color w:val="auto"/>
              </w:rPr>
            </w:pPr>
            <w:r>
              <w:rPr>
                <w:rFonts w:ascii="Arial" w:cs="Arial" w:eastAsia="Arial" w:hAnsi="Arial"/>
                <w:sz w:val="12"/>
                <w:szCs w:val="12"/>
                <w:color w:val="0000FF"/>
              </w:rPr>
              <w:t>1,125,000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rPr>
              <w:t>ordinary</w:t>
            </w:r>
          </w:p>
        </w:tc>
        <w:tc>
          <w:tcPr>
            <w:tcW w:w="7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ind w:left="220"/>
              <w:spacing w:after="0" w:line="137" w:lineRule="exact"/>
              <w:rPr>
                <w:sz w:val="20"/>
                <w:szCs w:val="20"/>
                <w:color w:val="auto"/>
              </w:rPr>
            </w:pPr>
            <w:r>
              <w:rPr>
                <w:rFonts w:ascii="Arial" w:cs="Arial" w:eastAsia="Arial" w:hAnsi="Arial"/>
                <w:sz w:val="12"/>
                <w:szCs w:val="12"/>
                <w:color w:val="0000FF"/>
              </w:rPr>
              <w:t>7,410,000</w:t>
            </w:r>
          </w:p>
        </w:tc>
        <w:tc>
          <w:tcPr>
            <w:tcW w:w="720" w:type="dxa"/>
            <w:vAlign w:val="bottom"/>
            <w:vMerge w:val="continue"/>
          </w:tcPr>
          <w:p>
            <w:pPr>
              <w:spacing w:after="0"/>
              <w:rPr>
                <w:sz w:val="11"/>
                <w:szCs w:val="11"/>
                <w:color w:val="auto"/>
              </w:rPr>
            </w:pPr>
          </w:p>
        </w:tc>
        <w:tc>
          <w:tcPr>
            <w:tcW w:w="800" w:type="dxa"/>
            <w:vAlign w:val="bottom"/>
          </w:tcPr>
          <w:p>
            <w:pPr>
              <w:ind w:left="60"/>
              <w:spacing w:after="0" w:line="137" w:lineRule="exact"/>
              <w:rPr>
                <w:sz w:val="20"/>
                <w:szCs w:val="20"/>
                <w:color w:val="auto"/>
              </w:rPr>
            </w:pPr>
            <w:r>
              <w:rPr>
                <w:rFonts w:ascii="Arial" w:cs="Arial" w:eastAsia="Arial" w:hAnsi="Arial"/>
                <w:sz w:val="12"/>
                <w:szCs w:val="12"/>
                <w:color w:val="0000FF"/>
              </w:rPr>
              <w:t>Opportunities</w:t>
            </w:r>
          </w:p>
        </w:tc>
        <w:tc>
          <w:tcPr>
            <w:tcW w:w="0" w:type="dxa"/>
            <w:vAlign w:val="bottom"/>
          </w:tcPr>
          <w:p>
            <w:pPr>
              <w:spacing w:after="0"/>
              <w:rPr>
                <w:sz w:val="1"/>
                <w:szCs w:val="1"/>
                <w:color w:val="auto"/>
              </w:rPr>
            </w:pPr>
          </w:p>
        </w:tc>
      </w:tr>
      <w:tr>
        <w:trPr>
          <w:trHeight w:val="147"/>
        </w:trPr>
        <w:tc>
          <w:tcPr>
            <w:tcW w:w="660" w:type="dxa"/>
            <w:vAlign w:val="bottom"/>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Arial" w:cs="Arial" w:eastAsia="Arial" w:hAnsi="Arial"/>
                <w:sz w:val="12"/>
                <w:szCs w:val="12"/>
                <w:color w:val="0000FF"/>
              </w:rPr>
              <w:t>shares</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bl>
    <w:p>
      <w:pPr>
        <w:ind w:left="10320"/>
        <w:spacing w:after="0"/>
        <w:rPr>
          <w:sz w:val="20"/>
          <w:szCs w:val="20"/>
          <w:color w:val="auto"/>
        </w:rPr>
      </w:pPr>
      <w:r>
        <w:rPr>
          <w:rFonts w:ascii="Arial" w:cs="Arial" w:eastAsia="Arial" w:hAnsi="Arial"/>
          <w:sz w:val="12"/>
          <w:szCs w:val="12"/>
          <w:color w:val="0000FF"/>
        </w:rPr>
        <w:t>LLC</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520" w:hanging="3"/>
        <w:spacing w:after="0" w:line="30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reflects the automatic surrender to the issuer of 1,125,000 of the issuer's Class B ordinary shares, par value $0.0001 per share, for no consideration by Sustainable Opportunities Holdings LLC (the "Sponsor") pursuant to contractual arrangements with the issuer, triggered by the expiration of the option of the underwriter of the issuer's initial public offering to purchase additional units.</w:t>
      </w:r>
    </w:p>
    <w:p>
      <w:pPr>
        <w:ind w:left="40" w:right="14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described in the issuer's registration statement on Form S-1 (File No. 333-237245) under the heading "Description of Securities -- Founder Shares", the Class B ordinary shares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2" w:lineRule="exact"/>
        <w:rPr>
          <w:rFonts w:ascii="Arial" w:cs="Arial" w:eastAsia="Arial" w:hAnsi="Arial"/>
          <w:sz w:val="12"/>
          <w:szCs w:val="12"/>
          <w:color w:val="008000"/>
        </w:rPr>
      </w:pPr>
    </w:p>
    <w:p>
      <w:pPr>
        <w:ind w:left="40" w:right="20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the Sponsor. The reporting person has voting and investment discretion with respect to the securities held by the the Sponsor and may be deemed to have shared beneficial ownership of the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ectPr>
          <w:pgSz w:w="11900" w:h="16838" w:orient="portrait"/>
          <w:cols w:equalWidth="0" w:num="1">
            <w:col w:w="11080"/>
          </w:cols>
          <w:pgMar w:left="460" w:top="220" w:right="359" w:bottom="1440" w:gutter="0" w:footer="0" w:header="0"/>
          <w:type w:val="continuous"/>
        </w:sectPr>
      </w:pPr>
    </w:p>
    <w:p>
      <w:pPr>
        <w:spacing w:after="0" w:line="47"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Scott Leonard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6350</wp:posOffset>
            </wp:positionV>
            <wp:extent cx="13239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25"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 for Scott Honour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8763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76300" cy="7620"/>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1460" w:hanging="3"/>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0000FF"/>
        </w:rPr>
        <w:t>06/22/2020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782" w:lineRule="exact"/>
        <w:rPr>
          <w:sz w:val="24"/>
          <w:szCs w:val="24"/>
          <w:color w:val="auto"/>
        </w:rPr>
      </w:pPr>
    </w:p>
    <w:p>
      <w:pPr>
        <w:sectPr>
          <w:pgSz w:w="11900" w:h="16838" w:orient="portrait"/>
          <w:cols w:equalWidth="0" w:num="2">
            <w:col w:w="8680" w:space="12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37760"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2020-06-22T15:17:06Z</dcterms:created>
  <dcterms:modified xsi:type="dcterms:W3CDTF">2020-06-22T15:17:06Z</dcterms:modified>
</cp:coreProperties>
</file>