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-589915</wp:posOffset>
            </wp:positionV>
            <wp:extent cx="825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055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-597535</wp:posOffset>
            </wp:positionV>
            <wp:extent cx="8255"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-573405</wp:posOffset>
            </wp:positionV>
            <wp:extent cx="1268095" cy="55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05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25400</wp:posOffset>
            </wp:positionV>
            <wp:extent cx="6971665" cy="1571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57162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00" w:space="440"/>
            <w:col w:w="844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5"/>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5"/>
            <w:vMerge w:val="restart"/>
          </w:tcPr>
          <w:p>
            <w:pPr>
              <w:ind w:left="20"/>
              <w:spacing w:after="0"/>
              <w:rPr>
                <w:rFonts w:ascii="Arial" w:cs="Arial" w:eastAsia="Arial" w:hAnsi="Arial"/>
                <w:sz w:val="20"/>
                <w:szCs w:val="20"/>
                <w:u w:val="single" w:color="auto"/>
                <w:color w:val="0000EE"/>
                <w:w w:val="96"/>
              </w:rPr>
            </w:pPr>
            <w:hyperlink r:id="rId13">
              <w:r>
                <w:rPr>
                  <w:rFonts w:ascii="Arial" w:cs="Arial" w:eastAsia="Arial" w:hAnsi="Arial"/>
                  <w:sz w:val="20"/>
                  <w:szCs w:val="20"/>
                  <w:u w:val="single" w:color="auto"/>
                  <w:color w:val="0000EE"/>
                  <w:w w:val="96"/>
                </w:rPr>
                <w:t>Sustainable Opportunities Holdings LLC</w:t>
              </w:r>
            </w:hyperlink>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80" w:type="dxa"/>
            <w:vAlign w:val="bottom"/>
            <w:gridSpan w:val="12"/>
          </w:tcPr>
          <w:p>
            <w:pPr>
              <w:ind w:left="60"/>
              <w:spacing w:after="0" w:line="188" w:lineRule="exact"/>
              <w:rPr>
                <w:rFonts w:ascii="Arial" w:cs="Arial" w:eastAsia="Arial" w:hAnsi="Arial"/>
                <w:sz w:val="17"/>
                <w:szCs w:val="17"/>
                <w:color w:val="0000EE"/>
              </w:rPr>
            </w:pPr>
            <w:hyperlink r:id="rId14">
              <w:r>
                <w:rPr>
                  <w:rFonts w:ascii="Arial" w:cs="Arial" w:eastAsia="Arial" w:hAnsi="Arial"/>
                  <w:sz w:val="17"/>
                  <w:szCs w:val="17"/>
                  <w:u w:val="single" w:color="auto"/>
                  <w:color w:val="0000EE"/>
                </w:rPr>
                <w:t>Sustainable Opportunities Acquisition Corp</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1"/>
                <w:szCs w:val="21"/>
                <w:color w:val="000000"/>
                <w:vertAlign w:val="superscript"/>
              </w:rPr>
              <w:t>(Check all applicable)</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restart"/>
          </w:tcPr>
          <w:p>
            <w:pPr>
              <w:ind w:left="60"/>
              <w:spacing w:after="0" w:line="114" w:lineRule="exact"/>
              <w:rPr>
                <w:sz w:val="20"/>
                <w:szCs w:val="20"/>
                <w:color w:val="auto"/>
              </w:rPr>
            </w:pPr>
            <w:r>
              <w:rPr>
                <w:rFonts w:ascii="Arial" w:cs="Arial" w:eastAsia="Arial" w:hAnsi="Arial"/>
                <w:sz w:val="11"/>
                <w:szCs w:val="11"/>
                <w:color w:val="0000FF"/>
              </w:rPr>
              <w:t xml:space="preserve">SOAC </w:t>
            </w:r>
            <w:r>
              <w:rPr>
                <w:rFonts w:ascii="Arial" w:cs="Arial" w:eastAsia="Arial" w:hAnsi="Arial"/>
                <w:sz w:val="13"/>
                <w:szCs w:val="13"/>
                <w:color w:val="000000"/>
              </w:rPr>
              <w:t>]</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8"/>
                <w:szCs w:val="8"/>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line="142"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4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auto"/>
              </w:rPr>
              <w:t>(First)</w:t>
            </w:r>
          </w:p>
        </w:tc>
        <w:tc>
          <w:tcPr>
            <w:tcW w:w="1000" w:type="dxa"/>
            <w:vAlign w:val="bottom"/>
            <w:vMerge w:val="restart"/>
          </w:tcPr>
          <w:p>
            <w:pPr>
              <w:spacing w:after="0" w:line="142" w:lineRule="exact"/>
              <w:rPr>
                <w:sz w:val="20"/>
                <w:szCs w:val="20"/>
                <w:color w:val="auto"/>
              </w:rPr>
            </w:pPr>
            <w:r>
              <w:rPr>
                <w:rFonts w:ascii="Arial" w:cs="Arial" w:eastAsia="Arial" w:hAnsi="Arial"/>
                <w:sz w:val="13"/>
                <w:szCs w:val="13"/>
                <w:color w:val="auto"/>
              </w:rPr>
              <w:t>(Middle)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560" w:type="dxa"/>
            <w:vAlign w:val="bottom"/>
            <w:tcBorders>
              <w:top w:val="single" w:sz="8" w:color="2C2C2C"/>
            </w:tcBorders>
          </w:tcPr>
          <w:p>
            <w:pPr>
              <w:spacing w:after="0"/>
              <w:rPr>
                <w:sz w:val="9"/>
                <w:szCs w:val="9"/>
                <w:color w:val="auto"/>
              </w:rPr>
            </w:pPr>
          </w:p>
        </w:tc>
        <w:tc>
          <w:tcPr>
            <w:tcW w:w="28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ind w:left="180"/>
              <w:spacing w:after="0" w:line="10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5"/>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4"/>
          </w:tcPr>
          <w:p>
            <w:pPr>
              <w:ind w:left="20"/>
              <w:spacing w:after="0"/>
              <w:rPr>
                <w:sz w:val="20"/>
                <w:szCs w:val="20"/>
                <w:color w:val="auto"/>
              </w:rPr>
            </w:pPr>
            <w:r>
              <w:rPr>
                <w:rFonts w:ascii="Arial" w:cs="Arial" w:eastAsia="Arial" w:hAnsi="Arial"/>
                <w:sz w:val="16"/>
                <w:szCs w:val="16"/>
                <w:color w:val="0000FF"/>
                <w:w w:val="93"/>
              </w:rPr>
              <w:t>1601 BRYAN STREET, SUITE 4141</w:t>
            </w:r>
          </w:p>
        </w:tc>
        <w:tc>
          <w:tcPr>
            <w:tcW w:w="1000" w:type="dxa"/>
            <w:vAlign w:val="bottom"/>
          </w:tcPr>
          <w:p>
            <w:pPr>
              <w:spacing w:after="0"/>
              <w:rPr>
                <w:sz w:val="20"/>
                <w:szCs w:val="20"/>
                <w:color w:val="auto"/>
              </w:rPr>
            </w:pPr>
          </w:p>
        </w:tc>
        <w:tc>
          <w:tcPr>
            <w:tcW w:w="1740" w:type="dxa"/>
            <w:vAlign w:val="bottom"/>
            <w:gridSpan w:val="4"/>
          </w:tcPr>
          <w:p>
            <w:pPr>
              <w:ind w:left="340"/>
              <w:spacing w:after="0"/>
              <w:rPr>
                <w:sz w:val="20"/>
                <w:szCs w:val="20"/>
                <w:color w:val="auto"/>
              </w:rPr>
            </w:pPr>
            <w:r>
              <w:rPr>
                <w:rFonts w:ascii="Arial" w:cs="Arial" w:eastAsia="Arial" w:hAnsi="Arial"/>
                <w:sz w:val="16"/>
                <w:szCs w:val="16"/>
                <w:color w:val="0000FF"/>
              </w:rPr>
              <w:t>06/19/2020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4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6"/>
                <w:szCs w:val="16"/>
                <w:color w:val="0000FF"/>
              </w:rPr>
              <w:t>TX</w:t>
            </w:r>
          </w:p>
        </w:tc>
        <w:tc>
          <w:tcPr>
            <w:tcW w:w="1000" w:type="dxa"/>
            <w:vAlign w:val="bottom"/>
          </w:tcPr>
          <w:p>
            <w:pPr>
              <w:spacing w:after="0"/>
              <w:rPr>
                <w:sz w:val="20"/>
                <w:szCs w:val="20"/>
                <w:color w:val="auto"/>
              </w:rPr>
            </w:pPr>
            <w:r>
              <w:rPr>
                <w:rFonts w:ascii="Arial" w:cs="Arial" w:eastAsia="Arial" w:hAnsi="Arial"/>
                <w:sz w:val="16"/>
                <w:szCs w:val="16"/>
                <w:color w:val="0000FF"/>
              </w:rPr>
              <w:t>75201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10"/>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8"/>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5"/>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0" w:type="dxa"/>
            <w:vAlign w:val="bottom"/>
            <w:gridSpan w:val="4"/>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8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7"/>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50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40" w:type="dxa"/>
            <w:vAlign w:val="bottom"/>
          </w:tcPr>
          <w:p>
            <w:pPr>
              <w:spacing w:after="0"/>
              <w:rPr>
                <w:sz w:val="10"/>
                <w:szCs w:val="10"/>
                <w:color w:val="auto"/>
              </w:rPr>
            </w:pP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40" w:type="dxa"/>
            <w:vAlign w:val="bottom"/>
          </w:tcPr>
          <w:p>
            <w:pPr>
              <w:spacing w:after="0"/>
              <w:rPr>
                <w:sz w:val="10"/>
                <w:szCs w:val="10"/>
                <w:color w:val="auto"/>
              </w:rPr>
            </w:pP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(1)</w:t>
            </w: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560" w:type="dxa"/>
            <w:vAlign w:val="bottom"/>
          </w:tcPr>
          <w:p>
            <w:pPr>
              <w:ind w:left="80"/>
              <w:spacing w:after="0"/>
              <w:rPr>
                <w:sz w:val="20"/>
                <w:szCs w:val="20"/>
                <w:color w:val="auto"/>
              </w:rPr>
            </w:pPr>
            <w:r>
              <w:rPr>
                <w:rFonts w:ascii="Arial" w:cs="Arial" w:eastAsia="Arial" w:hAnsi="Arial"/>
                <w:sz w:val="13"/>
                <w:szCs w:val="13"/>
                <w:color w:val="0000FF"/>
              </w:rPr>
              <w:t>Class A</w:t>
            </w:r>
          </w:p>
        </w:tc>
        <w:tc>
          <w:tcPr>
            <w:tcW w:w="780" w:type="dxa"/>
            <w:vAlign w:val="bottom"/>
            <w:gridSpan w:val="3"/>
            <w:vMerge w:val="restart"/>
          </w:tcPr>
          <w:p>
            <w:pPr>
              <w:ind w:left="60"/>
              <w:spacing w:after="0"/>
              <w:rPr>
                <w:sz w:val="20"/>
                <w:szCs w:val="20"/>
                <w:color w:val="auto"/>
              </w:rPr>
            </w:pPr>
            <w:r>
              <w:rPr>
                <w:rFonts w:ascii="Arial" w:cs="Arial" w:eastAsia="Arial" w:hAnsi="Arial"/>
                <w:sz w:val="16"/>
                <w:szCs w:val="16"/>
                <w:color w:val="0000FF"/>
                <w:w w:val="98"/>
              </w:rPr>
              <w:t>1,125,000</w:t>
            </w:r>
          </w:p>
        </w:tc>
        <w:tc>
          <w:tcPr>
            <w:tcW w:w="70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ind w:left="2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ordinary</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ind w:left="240"/>
              <w:spacing w:after="0" w:line="138" w:lineRule="exact"/>
              <w:rPr>
                <w:sz w:val="20"/>
                <w:szCs w:val="20"/>
                <w:color w:val="auto"/>
              </w:rPr>
            </w:pPr>
            <w:r>
              <w:rPr>
                <w:rFonts w:ascii="Arial" w:cs="Arial" w:eastAsia="Arial" w:hAnsi="Arial"/>
                <w:sz w:val="13"/>
                <w:szCs w:val="13"/>
                <w:color w:val="0000FF"/>
              </w:rPr>
              <w:t>06/19/2019</w:t>
            </w:r>
          </w:p>
        </w:tc>
        <w:tc>
          <w:tcPr>
            <w:tcW w:w="10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40" w:type="dxa"/>
            <w:vAlign w:val="bottom"/>
          </w:tcPr>
          <w:p>
            <w:pPr>
              <w:ind w:left="340"/>
              <w:spacing w:after="0" w:line="138" w:lineRule="exact"/>
              <w:rPr>
                <w:sz w:val="20"/>
                <w:szCs w:val="20"/>
                <w:color w:val="auto"/>
              </w:rPr>
            </w:pPr>
            <w:r>
              <w:rPr>
                <w:rFonts w:ascii="Arial" w:cs="Arial" w:eastAsia="Arial" w:hAnsi="Arial"/>
                <w:sz w:val="13"/>
                <w:szCs w:val="13"/>
                <w:color w:val="0000FF"/>
              </w:rPr>
              <w:t>1,125,000</w:t>
            </w:r>
          </w:p>
        </w:tc>
        <w:tc>
          <w:tcPr>
            <w:tcW w:w="7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ind w:left="60"/>
              <w:spacing w:after="0" w:line="138" w:lineRule="exact"/>
              <w:rPr>
                <w:sz w:val="20"/>
                <w:szCs w:val="20"/>
                <w:color w:val="auto"/>
              </w:rPr>
            </w:pPr>
            <w:r>
              <w:rPr>
                <w:rFonts w:ascii="Arial" w:cs="Arial" w:eastAsia="Arial" w:hAnsi="Arial"/>
                <w:sz w:val="13"/>
                <w:szCs w:val="13"/>
                <w:color w:val="0000FF"/>
              </w:rPr>
              <w:t>ordinary</w:t>
            </w:r>
          </w:p>
        </w:tc>
        <w:tc>
          <w:tcPr>
            <w:tcW w:w="78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7,410,000</w:t>
            </w:r>
          </w:p>
        </w:tc>
        <w:tc>
          <w:tcPr>
            <w:tcW w:w="6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0000FF"/>
              </w:rPr>
              <w:t>shares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-2447290</wp:posOffset>
            </wp:positionV>
            <wp:extent cx="7035800" cy="2488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248856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52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reflects the automatic surrender to the issuer of 1,125,000 of the issuer's Class B ordinary shares, par value $0.0001 per share, for no consideration by the reporting person pursuant to contractual arrangements with the issuer, triggered by the expiration of the option of the underwriter of the issuer's initial public offering to purchase additional units.</w:t>
      </w:r>
    </w:p>
    <w:p>
      <w:pPr>
        <w:spacing w:after="0" w:line="31" w:lineRule="exact"/>
        <w:rPr>
          <w:rFonts w:ascii="Arial" w:cs="Arial" w:eastAsia="Arial" w:hAnsi="Arial"/>
          <w:sz w:val="13"/>
          <w:szCs w:val="13"/>
          <w:color w:val="008000"/>
        </w:rPr>
      </w:pPr>
    </w:p>
    <w:p>
      <w:pPr>
        <w:jc w:val="both"/>
        <w:ind w:left="40" w:right="340" w:hanging="2"/>
        <w:spacing w:after="0" w:line="257"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described in the issuer's registration statement on Form S-1 (File No. 333-237245) under the heading "Description of Securities -- Founder Shares", the Class B ordinary shares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1" w:lineRule="exact"/>
        <w:rPr>
          <w:rFonts w:ascii="Arial" w:cs="Arial" w:eastAsia="Arial" w:hAnsi="Arial"/>
          <w:sz w:val="12"/>
          <w:szCs w:val="12"/>
          <w:color w:val="008000"/>
        </w:rPr>
      </w:pPr>
    </w:p>
    <w:p>
      <w:pPr>
        <w:ind w:left="40" w:right="500" w:hanging="2"/>
        <w:spacing w:after="0" w:line="275"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Scott Leonard and Scott Honour have voting and investment discretion with respect to the securities held by the reporting person and may be deemed to have shared beneficial ownership of the securities held directly by the reporting person. The business address of each of these individuals is c/o Sustainable Opportunities Acquisition Corp., 1601 Bryan Street, Suite 4141, Dallas, TX 75201.</w:t>
      </w:r>
    </w:p>
    <w:p>
      <w:pPr>
        <w:spacing w:after="0" w:line="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Scott Leonard as Manager</w:t>
            </w:r>
          </w:p>
        </w:tc>
        <w:tc>
          <w:tcPr>
            <w:tcW w:w="740" w:type="dxa"/>
            <w:vAlign w:val="bottom"/>
          </w:tcPr>
          <w:p>
            <w:pPr>
              <w:spacing w:after="0"/>
              <w:rPr>
                <w:sz w:val="20"/>
                <w:szCs w:val="20"/>
                <w:color w:val="auto"/>
              </w:rPr>
            </w:pPr>
            <w:r>
              <w:rPr>
                <w:rFonts w:ascii="Arial" w:cs="Arial" w:eastAsia="Arial" w:hAnsi="Arial"/>
                <w:sz w:val="16"/>
                <w:szCs w:val="16"/>
                <w:color w:val="0000FF"/>
                <w:w w:val="89"/>
              </w:rPr>
              <w:t>06/22/2020</w:t>
            </w:r>
          </w:p>
        </w:tc>
      </w:tr>
      <w:tr>
        <w:trPr>
          <w:trHeight w:val="217"/>
        </w:trPr>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Signature of Reporting Person</w:t>
            </w: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8234"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2020-06-22T15:19:40Z</dcterms:created>
  <dcterms:modified xsi:type="dcterms:W3CDTF">2020-06-22T15:19:40Z</dcterms:modified>
</cp:coreProperties>
</file>