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SUSTAINABLE OPPORTUNITIES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Cayman Islands</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1601 Bryan Street, Suite 4141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87"/>
              </w:rPr>
              <w:t>Dallas, Texas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02"/>
        </w:trPr>
        <w:tc>
          <w:tcPr>
            <w:tcW w:w="4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Class A Ordinary Share,</w:t>
            </w:r>
          </w:p>
        </w:tc>
        <w:tc>
          <w:tcPr>
            <w:tcW w:w="24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SOAC.U</w:t>
            </w:r>
          </w:p>
        </w:tc>
        <w:tc>
          <w:tcPr>
            <w:tcW w:w="22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4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$0.0001 par value, and one-half of one redeemable warrant</w:t>
            </w:r>
          </w:p>
        </w:tc>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Class A Ordinary Shares included as part of the units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SOAC</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02"/>
        </w:trPr>
        <w:tc>
          <w:tcPr>
            <w:tcW w:w="47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Warrants included as part of the units, each whole warrant</w:t>
            </w:r>
          </w:p>
        </w:tc>
        <w:tc>
          <w:tcPr>
            <w:tcW w:w="31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4"/>
              </w:rPr>
              <w:t>SOAC WS</w:t>
            </w:r>
          </w:p>
        </w:tc>
        <w:tc>
          <w:tcPr>
            <w:tcW w:w="3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16"/>
        </w:trPr>
        <w:tc>
          <w:tcPr>
            <w:tcW w:w="4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exercisable for one Class A Ordinary Share at an exercise</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30"/>
        </w:trPr>
        <w:tc>
          <w:tcPr>
            <w:tcW w:w="4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price of $11.50</w:t>
            </w:r>
          </w:p>
        </w:tc>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June 24, 2020, Sustainable Opportunities Acquisition Corp. (the “Company”) announced that the holders of the Company’s units (the “Units”) may elect to separately trade the Class A ordinary shares, par value $0.0001 per share (the “Class A ordinary shares”), and warrants included in the Units commencing on June 26, 2020. Each Unit consists of one Class A ordinary share and one-half of one warrant to purchase one Class A ordinary share. Any Units not separated will continue to trade on the New York Stock Exchange (“NYSE”) under the symbol “SOAC.U”. Any underlying Class A ordinary shares and warrants that are separated will trade on the NYSE under the symbols “SOAC” and “SOAC WS,” respectively. No fractional warrants will be issued upon separation of the Units and only whole warrants will trade. Holders of Units will need to have their brokers contact Continental Stock Transfer &amp; Trust Company, the Company’s transfer agent, in order to separate the holders’ Units into Class A ordinary shares and warrants.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 copy of the press release issued by the Company announcing the separate trading of the securities underlying the Units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24, 2020</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Sustainable Opportunities Acquisition Corp. Announces the Separate Trading of its Class A Ordinary Shares and Warrants Commencing June 26, 2020</w:t>
      </w:r>
    </w:p>
    <w:p>
      <w:pPr>
        <w:spacing w:after="0" w:line="162"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color w:val="auto"/>
        </w:rPr>
        <w:t>New York, New York, June 24, 2020</w:t>
      </w:r>
      <w:r>
        <w:rPr>
          <w:rFonts w:ascii="Arial" w:cs="Arial" w:eastAsia="Arial" w:hAnsi="Arial"/>
          <w:sz w:val="17"/>
          <w:szCs w:val="17"/>
          <w:color w:val="auto"/>
        </w:rPr>
        <w:t>—Sustainable Opportunities Acquisition Corp. (NYSE: SOAC.U) (the “Company”) announced that, commencing</w:t>
      </w:r>
      <w:r>
        <w:rPr>
          <w:rFonts w:ascii="Arial" w:cs="Arial" w:eastAsia="Arial" w:hAnsi="Arial"/>
          <w:sz w:val="17"/>
          <w:szCs w:val="17"/>
          <w:b w:val="1"/>
          <w:bCs w:val="1"/>
          <w:color w:val="auto"/>
        </w:rPr>
        <w:t xml:space="preserve"> </w:t>
      </w:r>
      <w:r>
        <w:rPr>
          <w:rFonts w:ascii="Arial" w:cs="Arial" w:eastAsia="Arial" w:hAnsi="Arial"/>
          <w:sz w:val="17"/>
          <w:szCs w:val="17"/>
          <w:color w:val="auto"/>
        </w:rPr>
        <w:t>June 26, 2020, holders of the units sold in the Company’s initial public offering of 30,000,000 units, completed on May 8, 2020, may elect to separately trade the Class A ordinary shares and warrants included in the units. Those units not separated will continue to trade on the New York Stock Exchange (“NYSE”) under the symbol “SOAC.U,” and the Class A ordinary shares and warrants that are separated will trade on the NYSE under the symbols “SOAC” and “SOAC WS,” respectively. Holders of units will need to have their brokers contact Continental Stock Transfer &amp; Trust Company, the Company’s transfer agent, in order to separate the units into Class A ordinary shares and warrants.</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units were initially offered by the Company in an underwritten offering. Citigroup acted as sole book-running manager for the offering. A registration statement relating to the units and the underlying securities was declared effective by the Securities and Exchange Commission (the “SEC”) on May 5, 2020.</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press release shall not constitute an offer to sell or the solicitation of an offer to buy the securities of the Company, nor shall there be any sale of these securities in any state or jurisdiction in which such offer, solicitation or sale would be unlawful prior to registration or qualification under the securities laws of any such state or jurisdiction. The offering was made only by means of a prospectus. Copies of the prospectus may be obtained from Citigroup, c/o Broadridge Financial Solutions, 1155 Long Island Avenue, Edgewood, New York 11717, Telephone: (800) 831-9146.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Sustainable Opportunities Acquisition Corp., led by Scott Leonard (CEO) and Scott Honour (Chairman) of Northern Pacific Group, is a special purpose acquisition company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Jackie Tilden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jackie.tilden@soa-corp.com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914 7652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investors@soa-corp.com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may include “forward-looking statements” within the meaning of Section 27A of the Securities Act of 1933, as amended, and Section 21E of the Securities Exchange Act of 1934, as amended. All statements other than statements of historical fact included in this press release are forward-looking statements. When used in this press release, words such as “anticipate,” “believe,” “estimate,” “expect,” “intend”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relating to the Company’s initial public offering filed with the SEC. The Company undertakes no obligation to update these statements for revisions or changes after the date of this release, except as required by law.</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2020-06-24T15:17:22Z</dcterms:created>
  <dcterms:modified xsi:type="dcterms:W3CDTF">2020-06-24T15:17:22Z</dcterms:modified>
</cp:coreProperties>
</file>