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1160" w:hanging="210"/>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1160" w:hanging="217"/>
        <w:spacing w:after="0"/>
        <w:tabs>
          <w:tab w:leader="none" w:pos="11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00" w:type="dxa"/>
            <w:vAlign w:val="bottom"/>
            <w:gridSpan w:val="4"/>
          </w:tcPr>
          <w:p>
            <w:pPr>
              <w:ind w:left="160"/>
              <w:spacing w:after="0"/>
              <w:rPr>
                <w:sz w:val="20"/>
                <w:szCs w:val="20"/>
                <w:color w:val="auto"/>
              </w:rPr>
            </w:pPr>
            <w:r>
              <w:rPr>
                <w:rFonts w:ascii="Arial" w:cs="Arial" w:eastAsia="Arial" w:hAnsi="Arial"/>
                <w:sz w:val="18"/>
                <w:szCs w:val="18"/>
                <w:color w:val="auto"/>
              </w:rPr>
              <w:t>For the transition period from</w:t>
            </w:r>
          </w:p>
        </w:tc>
        <w:tc>
          <w:tcPr>
            <w:tcW w:w="1700" w:type="dxa"/>
            <w:vAlign w:val="bottom"/>
            <w:gridSpan w:val="3"/>
          </w:tcPr>
          <w:p>
            <w:pPr>
              <w:ind w:left="280"/>
              <w:spacing w:after="0"/>
              <w:rPr>
                <w:sz w:val="20"/>
                <w:szCs w:val="20"/>
                <w:color w:val="auto"/>
              </w:rPr>
            </w:pPr>
            <w:r>
              <w:rPr>
                <w:rFonts w:ascii="Arial" w:cs="Arial" w:eastAsia="Arial" w:hAnsi="Arial"/>
                <w:sz w:val="18"/>
                <w:szCs w:val="18"/>
                <w:color w:val="auto"/>
              </w:rPr>
              <w:t>to</w:t>
            </w:r>
          </w:p>
        </w:tc>
        <w:tc>
          <w:tcPr>
            <w:tcW w:w="3220" w:type="dxa"/>
            <w:vAlign w:val="bottom"/>
          </w:tcPr>
          <w:p>
            <w:pPr>
              <w:spacing w:after="0"/>
              <w:rPr>
                <w:sz w:val="20"/>
                <w:szCs w:val="20"/>
                <w:color w:val="auto"/>
              </w:rPr>
            </w:pPr>
          </w:p>
        </w:tc>
      </w:tr>
      <w:tr>
        <w:trPr>
          <w:trHeight w:val="414"/>
        </w:trPr>
        <w:tc>
          <w:tcPr>
            <w:tcW w:w="3280" w:type="dxa"/>
            <w:vAlign w:val="bottom"/>
          </w:tcPr>
          <w:p>
            <w:pPr>
              <w:spacing w:after="0"/>
              <w:rPr>
                <w:sz w:val="24"/>
                <w:szCs w:val="24"/>
                <w:color w:val="auto"/>
              </w:rPr>
            </w:pPr>
          </w:p>
        </w:tc>
        <w:tc>
          <w:tcPr>
            <w:tcW w:w="4740" w:type="dxa"/>
            <w:vAlign w:val="bottom"/>
            <w:gridSpan w:val="8"/>
          </w:tcPr>
          <w:p>
            <w:pPr>
              <w:jc w:val="center"/>
              <w:ind w:right="60"/>
              <w:spacing w:after="0"/>
              <w:rPr>
                <w:sz w:val="20"/>
                <w:szCs w:val="20"/>
                <w:color w:val="auto"/>
              </w:rPr>
            </w:pPr>
            <w:r>
              <w:rPr>
                <w:rFonts w:ascii="Arial" w:cs="Arial" w:eastAsia="Arial" w:hAnsi="Arial"/>
                <w:sz w:val="18"/>
                <w:szCs w:val="18"/>
                <w:b w:val="1"/>
                <w:bCs w:val="1"/>
                <w:color w:val="auto"/>
                <w:w w:val="99"/>
              </w:rPr>
              <w:t>SUSTAINABLE OPPORTUNITIES ACQUISITION CORP.</w:t>
            </w:r>
          </w:p>
        </w:tc>
        <w:tc>
          <w:tcPr>
            <w:tcW w:w="3220" w:type="dxa"/>
            <w:vAlign w:val="bottom"/>
          </w:tcPr>
          <w:p>
            <w:pPr>
              <w:spacing w:after="0"/>
              <w:rPr>
                <w:sz w:val="24"/>
                <w:szCs w:val="24"/>
                <w:color w:val="auto"/>
              </w:rPr>
            </w:pPr>
          </w:p>
        </w:tc>
      </w:tr>
      <w:tr>
        <w:trPr>
          <w:trHeight w:val="234"/>
        </w:trPr>
        <w:tc>
          <w:tcPr>
            <w:tcW w:w="3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3220" w:type="dxa"/>
            <w:vAlign w:val="bottom"/>
          </w:tcPr>
          <w:p>
            <w:pPr>
              <w:spacing w:after="0"/>
              <w:rPr>
                <w:sz w:val="20"/>
                <w:szCs w:val="20"/>
                <w:color w:val="auto"/>
              </w:rPr>
            </w:pPr>
          </w:p>
        </w:tc>
      </w:tr>
      <w:tr>
        <w:trPr>
          <w:trHeight w:val="439"/>
        </w:trPr>
        <w:tc>
          <w:tcPr>
            <w:tcW w:w="328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Cayman Islands</w:t>
            </w:r>
          </w:p>
        </w:tc>
        <w:tc>
          <w:tcPr>
            <w:tcW w:w="3040" w:type="dxa"/>
            <w:vAlign w:val="bottom"/>
            <w:gridSpan w:val="5"/>
          </w:tcPr>
          <w:p>
            <w:pPr>
              <w:jc w:val="center"/>
              <w:ind w:left="1570"/>
              <w:spacing w:after="0"/>
              <w:rPr>
                <w:sz w:val="20"/>
                <w:szCs w:val="20"/>
                <w:color w:val="auto"/>
              </w:rPr>
            </w:pPr>
            <w:r>
              <w:rPr>
                <w:rFonts w:ascii="Arial" w:cs="Arial" w:eastAsia="Arial" w:hAnsi="Arial"/>
                <w:sz w:val="18"/>
                <w:szCs w:val="18"/>
                <w:b w:val="1"/>
                <w:bCs w:val="1"/>
                <w:color w:val="auto"/>
                <w:w w:val="90"/>
              </w:rPr>
              <w:t>001-39281</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98-1523768</w:t>
            </w:r>
          </w:p>
        </w:tc>
      </w:tr>
      <w:tr>
        <w:trPr>
          <w:trHeight w:val="198"/>
        </w:trPr>
        <w:tc>
          <w:tcPr>
            <w:tcW w:w="3280" w:type="dxa"/>
            <w:vAlign w:val="bottom"/>
            <w:tcBorders>
              <w:top w:val="single" w:sz="8" w:color="auto"/>
            </w:tcBorders>
          </w:tcPr>
          <w:p>
            <w:pPr>
              <w:jc w:val="center"/>
              <w:ind w:left="250"/>
              <w:spacing w:after="0" w:line="198" w:lineRule="exact"/>
              <w:rPr>
                <w:sz w:val="20"/>
                <w:szCs w:val="20"/>
                <w:color w:val="auto"/>
              </w:rPr>
            </w:pPr>
            <w:r>
              <w:rPr>
                <w:rFonts w:ascii="Arial" w:cs="Arial" w:eastAsia="Arial" w:hAnsi="Arial"/>
                <w:sz w:val="18"/>
                <w:szCs w:val="18"/>
                <w:b w:val="1"/>
                <w:bCs w:val="1"/>
                <w:color w:val="auto"/>
                <w:w w:val="91"/>
              </w:rPr>
              <w:t>(State or other jurisdiction of</w:t>
            </w:r>
          </w:p>
        </w:tc>
        <w:tc>
          <w:tcPr>
            <w:tcW w:w="3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4"/>
          </w:tcPr>
          <w:p>
            <w:pPr>
              <w:jc w:val="center"/>
              <w:spacing w:after="0" w:line="198" w:lineRule="exact"/>
              <w:rPr>
                <w:sz w:val="20"/>
                <w:szCs w:val="20"/>
                <w:color w:val="auto"/>
              </w:rPr>
            </w:pPr>
            <w:r>
              <w:rPr>
                <w:rFonts w:ascii="Arial" w:cs="Arial" w:eastAsia="Arial" w:hAnsi="Arial"/>
                <w:sz w:val="18"/>
                <w:szCs w:val="18"/>
                <w:b w:val="1"/>
                <w:bCs w:val="1"/>
                <w:color w:val="auto"/>
                <w:w w:val="90"/>
              </w:rPr>
              <w:t>(Commission File Number)</w:t>
            </w: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27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28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incorporation or organization)</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20" w:type="dxa"/>
            <w:vAlign w:val="bottom"/>
          </w:tcPr>
          <w:p>
            <w:pPr>
              <w:jc w:val="center"/>
              <w:ind w:right="270"/>
              <w:spacing w:after="0"/>
              <w:rPr>
                <w:sz w:val="20"/>
                <w:szCs w:val="20"/>
                <w:color w:val="auto"/>
              </w:rPr>
            </w:pPr>
            <w:r>
              <w:rPr>
                <w:rFonts w:ascii="Arial" w:cs="Arial" w:eastAsia="Arial" w:hAnsi="Arial"/>
                <w:sz w:val="18"/>
                <w:szCs w:val="18"/>
                <w:b w:val="1"/>
                <w:bCs w:val="1"/>
                <w:color w:val="auto"/>
                <w:w w:val="93"/>
              </w:rPr>
              <w:t>Identification Number)</w:t>
            </w:r>
          </w:p>
        </w:tc>
      </w:tr>
      <w:tr>
        <w:trPr>
          <w:trHeight w:val="414"/>
        </w:trPr>
        <w:tc>
          <w:tcPr>
            <w:tcW w:w="6320" w:type="dxa"/>
            <w:vAlign w:val="bottom"/>
            <w:gridSpan w:val="6"/>
          </w:tcPr>
          <w:p>
            <w:pPr>
              <w:jc w:val="center"/>
              <w:ind w:right="800"/>
              <w:spacing w:after="0"/>
              <w:rPr>
                <w:sz w:val="20"/>
                <w:szCs w:val="20"/>
                <w:color w:val="auto"/>
              </w:rPr>
            </w:pPr>
            <w:r>
              <w:rPr>
                <w:rFonts w:ascii="Arial" w:cs="Arial" w:eastAsia="Arial" w:hAnsi="Arial"/>
                <w:sz w:val="18"/>
                <w:szCs w:val="18"/>
                <w:b w:val="1"/>
                <w:bCs w:val="1"/>
                <w:color w:val="auto"/>
                <w:w w:val="90"/>
              </w:rPr>
              <w:t>1601 Bryan Street, Suite 4141</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41"/>
        </w:trPr>
        <w:tc>
          <w:tcPr>
            <w:tcW w:w="3280" w:type="dxa"/>
            <w:vAlign w:val="bottom"/>
            <w:tcBorders>
              <w:bottom w:val="single" w:sz="8" w:color="auto"/>
            </w:tcBorders>
          </w:tcPr>
          <w:p>
            <w:pPr>
              <w:jc w:val="center"/>
              <w:ind w:left="2150"/>
              <w:spacing w:after="0"/>
              <w:rPr>
                <w:sz w:val="20"/>
                <w:szCs w:val="20"/>
                <w:color w:val="auto"/>
              </w:rPr>
            </w:pPr>
            <w:r>
              <w:rPr>
                <w:rFonts w:ascii="Arial" w:cs="Arial" w:eastAsia="Arial" w:hAnsi="Arial"/>
                <w:sz w:val="18"/>
                <w:szCs w:val="18"/>
                <w:b w:val="1"/>
                <w:bCs w:val="1"/>
                <w:color w:val="auto"/>
                <w:w w:val="87"/>
              </w:rPr>
              <w:t>Dallas, Texas</w:t>
            </w: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75201</w:t>
            </w:r>
          </w:p>
        </w:tc>
      </w:tr>
      <w:tr>
        <w:trPr>
          <w:trHeight w:val="234"/>
        </w:trPr>
        <w:tc>
          <w:tcPr>
            <w:tcW w:w="55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20" w:type="dxa"/>
            <w:vAlign w:val="bottom"/>
          </w:tcPr>
          <w:p>
            <w:pPr>
              <w:jc w:val="center"/>
              <w:ind w:right="2170"/>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(952) 456-5304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212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212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14"/>
        </w:trPr>
        <w:tc>
          <w:tcPr>
            <w:tcW w:w="5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41"/>
        </w:trPr>
        <w:tc>
          <w:tcPr>
            <w:tcW w:w="5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02"/>
        </w:trPr>
        <w:tc>
          <w:tcPr>
            <w:tcW w:w="55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Units, each consisting of one Class A Ordinary Share, $0.0001 par value,</w:t>
            </w:r>
          </w:p>
        </w:tc>
        <w:tc>
          <w:tcPr>
            <w:tcW w:w="1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SOAC.U</w:t>
            </w:r>
          </w:p>
        </w:tc>
        <w:tc>
          <w:tcPr>
            <w:tcW w:w="120" w:type="dxa"/>
            <w:vAlign w:val="bottom"/>
            <w:tcBorders>
              <w:top w:val="single" w:sz="8" w:color="CCEEFF"/>
            </w:tcBorders>
            <w:shd w:val="clear" w:color="auto" w:fill="CCEEFF"/>
          </w:tcPr>
          <w:p>
            <w:pPr>
              <w:spacing w:after="0"/>
              <w:rPr>
                <w:sz w:val="17"/>
                <w:szCs w:val="17"/>
                <w:color w:val="auto"/>
              </w:rPr>
            </w:pPr>
          </w:p>
        </w:tc>
        <w:tc>
          <w:tcPr>
            <w:tcW w:w="38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New York Stock Exchange</w:t>
            </w:r>
          </w:p>
        </w:tc>
      </w:tr>
      <w:tr>
        <w:trPr>
          <w:trHeight w:val="230"/>
        </w:trPr>
        <w:tc>
          <w:tcPr>
            <w:tcW w:w="5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and one-half of one redeemable warrant</w:t>
            </w: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r>
      <w:tr>
        <w:trPr>
          <w:trHeight w:val="216"/>
        </w:trPr>
        <w:tc>
          <w:tcPr>
            <w:tcW w:w="5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Class A Ordinary Shares included as part of the units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SOAC</w:t>
            </w:r>
          </w:p>
        </w:tc>
        <w:tc>
          <w:tcPr>
            <w:tcW w:w="3800" w:type="dxa"/>
            <w:vAlign w:val="bottom"/>
          </w:tcPr>
          <w:p>
            <w:pPr>
              <w:jc w:val="center"/>
              <w:spacing w:after="0"/>
              <w:rPr>
                <w:sz w:val="20"/>
                <w:szCs w:val="20"/>
                <w:color w:val="auto"/>
              </w:rPr>
            </w:pPr>
            <w:r>
              <w:rPr>
                <w:rFonts w:ascii="Arial" w:cs="Arial" w:eastAsia="Arial" w:hAnsi="Arial"/>
                <w:sz w:val="18"/>
                <w:szCs w:val="18"/>
                <w:color w:val="auto"/>
                <w:w w:val="91"/>
              </w:rPr>
              <w:t>The New York Stock Exchange</w:t>
            </w:r>
          </w:p>
        </w:tc>
      </w:tr>
      <w:tr>
        <w:trPr>
          <w:trHeight w:val="202"/>
        </w:trPr>
        <w:tc>
          <w:tcPr>
            <w:tcW w:w="56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0"/>
              </w:rPr>
              <w:t>Warrants included as part of the units, each whole warrant exercisable for</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4"/>
              </w:rPr>
              <w:t>SOAC WS</w:t>
            </w:r>
          </w:p>
        </w:tc>
        <w:tc>
          <w:tcPr>
            <w:tcW w:w="3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New York Stock Exchange</w:t>
            </w:r>
          </w:p>
        </w:tc>
      </w:tr>
      <w:tr>
        <w:trPr>
          <w:trHeight w:val="230"/>
        </w:trPr>
        <w:tc>
          <w:tcPr>
            <w:tcW w:w="5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one Class A Ordinary Share at an exercise price of $11.50</w:t>
            </w: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As of August 12, 2020, 30,000,000 Class A ordinary shares, par value $0.0001 per share, and 7,500,000 Class B ordinary shares,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0" w:type="dxa"/>
            <w:vAlign w:val="bottom"/>
          </w:tcPr>
          <w:p>
            <w:pPr>
              <w:spacing w:after="0"/>
              <w:rPr>
                <w:sz w:val="20"/>
                <w:szCs w:val="20"/>
                <w:color w:val="auto"/>
              </w:rPr>
            </w:pPr>
          </w:p>
        </w:tc>
        <w:tc>
          <w:tcPr>
            <w:tcW w:w="9340" w:type="dxa"/>
            <w:vAlign w:val="bottom"/>
          </w:tcPr>
          <w:p>
            <w:pPr>
              <w:spacing w:after="0"/>
              <w:rPr>
                <w:sz w:val="20"/>
                <w:szCs w:val="20"/>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Page No.</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112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Balance Sheets as of June 30, 2020 (unaudited) and December 31, 2019</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Condensed Statements of Operations for the three and six months ended June 30, 2020</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9340" w:type="dxa"/>
            <w:vAlign w:val="bottom"/>
            <w:shd w:val="clear" w:color="auto" w:fill="CCEEFF"/>
          </w:tcPr>
          <w:p>
            <w:pPr>
              <w:ind w:left="140"/>
              <w:spacing w:after="0"/>
              <w:rPr>
                <w:rFonts w:ascii="Arial" w:cs="Arial" w:eastAsia="Arial" w:hAnsi="Arial"/>
                <w:sz w:val="18"/>
                <w:szCs w:val="18"/>
                <w:u w:val="single" w:color="auto"/>
                <w:color w:val="0000EE"/>
                <w:w w:val="95"/>
              </w:rPr>
            </w:pPr>
            <w:hyperlink w:anchor="page5">
              <w:r>
                <w:rPr>
                  <w:rFonts w:ascii="Arial" w:cs="Arial" w:eastAsia="Arial" w:hAnsi="Arial"/>
                  <w:sz w:val="18"/>
                  <w:szCs w:val="18"/>
                  <w:u w:val="single" w:color="auto"/>
                  <w:color w:val="0000EE"/>
                  <w:w w:val="95"/>
                </w:rPr>
                <w:t>Unaudited Condensed Statements of Changes in Shareholders’ Equity for the three and six months ended June 30, 2020</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Condensed Statement of Cash Flows for the six months ended June 30, 2020</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Unaudited Condensed Financial Statements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Management’s Discussion and Analysis of Financial Condition and Results of Operations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Quantitative and Qualitative Disclosures About Market Risk</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Controls and Procedures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PART II. OTHER INFORMATION</w:t>
              </w:r>
            </w:hyperlink>
          </w:p>
        </w:tc>
        <w:tc>
          <w:tcPr>
            <w:tcW w:w="112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Legal Proceedings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Risk Factors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Unregistered Sales of Equity Securities and Use of Proceeds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Defaults Upon Senior Securities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Mine Safety Disclosures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Other Information</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7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340" w:type="dxa"/>
            <w:vAlign w:val="bottom"/>
            <w:shd w:val="clear" w:color="auto" w:fill="CCEEFF"/>
          </w:tcPr>
          <w:p>
            <w:pPr>
              <w:ind w:left="1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Exhibits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rFonts w:ascii="Arial" w:cs="Arial" w:eastAsia="Arial" w:hAnsi="Arial"/>
                <w:sz w:val="18"/>
                <w:szCs w:val="18"/>
                <w:b w:val="1"/>
                <w:bCs w:val="1"/>
                <w:u w:val="single" w:color="auto"/>
                <w:color w:val="0000EE"/>
              </w:rPr>
            </w:pPr>
            <w:hyperlink w:anchor="page23">
              <w:r>
                <w:rPr>
                  <w:rFonts w:ascii="Arial" w:cs="Arial" w:eastAsia="Arial" w:hAnsi="Arial"/>
                  <w:sz w:val="18"/>
                  <w:szCs w:val="18"/>
                  <w:b w:val="1"/>
                  <w:bCs w:val="1"/>
                  <w:u w:val="single" w:color="auto"/>
                  <w:color w:val="0000EE"/>
                </w:rPr>
                <w:t>SIGNATURES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7720" w:type="dxa"/>
            <w:vAlign w:val="bottom"/>
          </w:tcPr>
          <w:p>
            <w:pPr>
              <w:jc w:val="center"/>
              <w:ind w:left="153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Unaudited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772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SUSTAINABLE OPPORTUNITIES ACQUISITION CORP.</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7720" w:type="dxa"/>
            <w:vAlign w:val="bottom"/>
          </w:tcPr>
          <w:p>
            <w:pPr>
              <w:jc w:val="center"/>
              <w:ind w:left="1510"/>
              <w:spacing w:after="0"/>
              <w:rPr>
                <w:sz w:val="20"/>
                <w:szCs w:val="20"/>
                <w:color w:val="auto"/>
              </w:rPr>
            </w:pPr>
            <w:r>
              <w:rPr>
                <w:rFonts w:ascii="Arial" w:cs="Arial" w:eastAsia="Arial" w:hAnsi="Arial"/>
                <w:sz w:val="18"/>
                <w:szCs w:val="18"/>
                <w:b w:val="1"/>
                <w:bCs w:val="1"/>
                <w:color w:val="auto"/>
                <w:w w:val="98"/>
              </w:rPr>
              <w:t>CONDENSED BALANCE SHEETS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7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960" w:type="dxa"/>
            <w:vAlign w:val="bottom"/>
            <w:vMerge w:val="continue"/>
          </w:tcPr>
          <w:p>
            <w:pPr>
              <w:spacing w:after="0"/>
              <w:rPr>
                <w:sz w:val="15"/>
                <w:szCs w:val="15"/>
                <w:color w:val="auto"/>
              </w:rPr>
            </w:pPr>
          </w:p>
        </w:tc>
        <w:tc>
          <w:tcPr>
            <w:tcW w:w="7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w:t>
            </w:r>
          </w:p>
        </w:tc>
        <w:tc>
          <w:tcPr>
            <w:tcW w:w="7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2,162,047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ind w:left="20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336,452</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15,961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2,498,499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300,041,768</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offering costs associated with initial public offering</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103,660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w w:val="87"/>
              </w:rPr>
              <w:t>Total Assets</w:t>
            </w:r>
          </w:p>
        </w:tc>
        <w:tc>
          <w:tcPr>
            <w:tcW w:w="7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60" w:type="dxa"/>
            <w:vAlign w:val="bottom"/>
            <w:vMerge w:val="continue"/>
          </w:tcPr>
          <w:p>
            <w:pPr>
              <w:spacing w:after="0"/>
              <w:rPr>
                <w:sz w:val="24"/>
                <w:szCs w:val="24"/>
                <w:color w:val="auto"/>
              </w:rPr>
            </w:pPr>
          </w:p>
        </w:tc>
        <w:tc>
          <w:tcPr>
            <w:tcW w:w="77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302,540,267</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119,621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Borders>
              <w:top w:val="single" w:sz="8" w:color="CCEEFF"/>
            </w:tcBorders>
            <w:shd w:val="clear" w:color="auto" w:fill="CCEEFF"/>
          </w:tcPr>
          <w:p>
            <w:pPr>
              <w:spacing w:after="0"/>
              <w:rPr>
                <w:sz w:val="18"/>
                <w:szCs w:val="18"/>
                <w:color w:val="auto"/>
              </w:rPr>
            </w:pPr>
          </w:p>
        </w:tc>
        <w:tc>
          <w:tcPr>
            <w:tcW w:w="7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151,271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23,060</w:t>
            </w: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102,000</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80,600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253,271</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103,660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10,500,000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10,753,271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103,660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Class A ordinary shares, $0.0001 par value; 28,678,699 and -0- shares subject to possible redemption at $10.00 per</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 at June 30, 2020 and December 31, 2019, respectively</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286,786,990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60" w:type="dxa"/>
            <w:vAlign w:val="bottom"/>
            <w:tcBorders>
              <w:top w:val="single" w:sz="8" w:color="CCEEFF"/>
            </w:tcBorders>
          </w:tcPr>
          <w:p>
            <w:pPr>
              <w:spacing w:after="0"/>
              <w:rPr>
                <w:sz w:val="18"/>
                <w:szCs w:val="18"/>
                <w:color w:val="auto"/>
              </w:rPr>
            </w:pPr>
          </w:p>
        </w:tc>
        <w:tc>
          <w:tcPr>
            <w:tcW w:w="77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Class A ordinary shares, $0.0001 par value; 300,000,000 shares authorized; 1,321,301 and -0- shares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outstanding (excluding 28,678,699 and -0- shares subject to possible redemption) at June 30, 2020 and December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31, 2019,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w w:val="90"/>
              </w:rPr>
              <w:t>Class B ordinary shares, $0.0001 par value; 30,000,000 shares authorized; 7,500,000 shares issued and outstanding at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June 30, 2020 and 8,625,000 shares issued and outstanding at December 31, 2020,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5,352,792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24,137</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(353,668)</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15,961</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302,540,267</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119,621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680" w:type="dxa"/>
            <w:vAlign w:val="bottom"/>
          </w:tcPr>
          <w:p>
            <w:pPr>
              <w:ind w:left="3300"/>
              <w:spacing w:after="0"/>
              <w:rPr>
                <w:sz w:val="20"/>
                <w:szCs w:val="20"/>
                <w:color w:val="auto"/>
              </w:rPr>
            </w:pPr>
            <w:r>
              <w:rPr>
                <w:rFonts w:ascii="Arial" w:cs="Arial" w:eastAsia="Arial" w:hAnsi="Arial"/>
                <w:sz w:val="18"/>
                <w:szCs w:val="18"/>
                <w:b w:val="1"/>
                <w:bCs w:val="1"/>
                <w:color w:val="auto"/>
              </w:rPr>
              <w:t>SUSTAINABLE OPPORTUNITIES ACQUISITION CORP.</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100"/>
              <w:spacing w:after="0"/>
              <w:rPr>
                <w:sz w:val="20"/>
                <w:szCs w:val="20"/>
                <w:color w:val="auto"/>
              </w:rPr>
            </w:pPr>
            <w:r>
              <w:rPr>
                <w:rFonts w:ascii="Arial" w:cs="Arial" w:eastAsia="Arial" w:hAnsi="Arial"/>
                <w:sz w:val="18"/>
                <w:szCs w:val="18"/>
                <w:b w:val="1"/>
                <w:bCs w:val="1"/>
                <w:color w:val="auto"/>
              </w:rPr>
              <w:t>UNAUDITED CONDENSED STATEMENTS OF OPERATIONS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0"/>
              </w:rPr>
              <w:t>For the three</w:t>
            </w:r>
          </w:p>
        </w:tc>
        <w:tc>
          <w:tcPr>
            <w:tcW w:w="120" w:type="dxa"/>
            <w:vAlign w:val="bottom"/>
          </w:tcPr>
          <w:p>
            <w:pPr>
              <w:spacing w:after="0"/>
              <w:rPr>
                <w:sz w:val="24"/>
                <w:szCs w:val="2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For the six</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months ended</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5"/>
              </w:rPr>
              <w:t>months 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327,417</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386,416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(327,417)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(386,416)</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earned on marketable securities held in Trust Account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41,787</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41,787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86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(285,630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(344,629</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8680" w:type="dxa"/>
            <w:vAlign w:val="bottom"/>
          </w:tcPr>
          <w:p>
            <w:pPr>
              <w:spacing w:after="0" w:line="296" w:lineRule="exact"/>
              <w:rPr>
                <w:sz w:val="20"/>
                <w:szCs w:val="20"/>
                <w:color w:val="auto"/>
              </w:rPr>
            </w:pPr>
            <w:r>
              <w:rPr>
                <w:rFonts w:ascii="Arial" w:cs="Arial" w:eastAsia="Arial" w:hAnsi="Arial"/>
                <w:sz w:val="18"/>
                <w:szCs w:val="18"/>
                <w:b w:val="1"/>
                <w:bCs w:val="1"/>
                <w:color w:val="auto"/>
              </w:rPr>
              <w:t xml:space="preserve">Weighted average ordinary shares outstanding, basic and diluted </w:t>
            </w:r>
            <w:r>
              <w:rPr>
                <w:rFonts w:ascii="Arial" w:cs="Arial" w:eastAsia="Arial" w:hAnsi="Arial"/>
                <w:sz w:val="29"/>
                <w:szCs w:val="29"/>
                <w:b w:val="1"/>
                <w:bCs w:val="1"/>
                <w:color w:val="auto"/>
                <w:vertAlign w:val="superscript"/>
              </w:rPr>
              <w:t>(1)</w:t>
            </w:r>
          </w:p>
        </w:tc>
        <w:tc>
          <w:tcPr>
            <w:tcW w:w="160" w:type="dxa"/>
            <w:vAlign w:val="bottom"/>
          </w:tcPr>
          <w:p>
            <w:pPr>
              <w:spacing w:after="0"/>
              <w:rPr>
                <w:sz w:val="24"/>
                <w:szCs w:val="24"/>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8,726,681</w:t>
            </w:r>
          </w:p>
        </w:tc>
        <w:tc>
          <w:tcPr>
            <w:tcW w:w="1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8,675,841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5"/>
                <w:szCs w:val="15"/>
                <w:b w:val="1"/>
                <w:bCs w:val="1"/>
                <w:color w:val="auto"/>
              </w:rPr>
              <w:t xml:space="preserve">Basic and diluted net loss per ordinary share </w:t>
            </w:r>
            <w:r>
              <w:rPr>
                <w:rFonts w:ascii="Arial" w:cs="Arial" w:eastAsia="Arial" w:hAnsi="Arial"/>
                <w:sz w:val="23"/>
                <w:szCs w:val="23"/>
                <w:b w:val="1"/>
                <w:bCs w:val="1"/>
                <w:color w:val="auto"/>
                <w:vertAlign w:val="superscript"/>
              </w:rPr>
              <w:t>(1)</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868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1180" w:type="dxa"/>
            <w:vAlign w:val="bottom"/>
            <w:gridSpan w:val="2"/>
          </w:tcPr>
          <w:p>
            <w:pPr>
              <w:jc w:val="right"/>
              <w:ind w:right="141"/>
              <w:spacing w:after="0" w:line="95" w:lineRule="exact"/>
              <w:rPr>
                <w:sz w:val="20"/>
                <w:szCs w:val="20"/>
                <w:color w:val="auto"/>
              </w:rPr>
            </w:pPr>
            <w:r>
              <w:rPr>
                <w:rFonts w:ascii="Arial" w:cs="Arial" w:eastAsia="Arial" w:hAnsi="Arial"/>
                <w:sz w:val="10"/>
                <w:szCs w:val="10"/>
                <w:color w:val="auto"/>
              </w:rPr>
              <w:t>(0.04</w:t>
            </w:r>
          </w:p>
        </w:tc>
        <w:tc>
          <w:tcPr>
            <w:tcW w:w="120" w:type="dxa"/>
            <w:vAlign w:val="bottom"/>
            <w:vMerge w:val="continue"/>
          </w:tcPr>
          <w:p>
            <w:pPr>
              <w:spacing w:after="0"/>
              <w:rPr>
                <w:sz w:val="8"/>
                <w:szCs w:val="8"/>
                <w:color w:val="auto"/>
              </w:rPr>
            </w:pPr>
          </w:p>
        </w:tc>
        <w:tc>
          <w:tcPr>
            <w:tcW w:w="102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(0.04</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This number excludes an aggregate of up to 28,678,699 shares subject to possible redemption at June 30,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5680" w:type="dxa"/>
            <w:vAlign w:val="bottom"/>
            <w:gridSpan w:val="17"/>
          </w:tcPr>
          <w:p>
            <w:pPr>
              <w:jc w:val="right"/>
              <w:ind w:right="780"/>
              <w:spacing w:after="0"/>
              <w:rPr>
                <w:sz w:val="20"/>
                <w:szCs w:val="20"/>
                <w:color w:val="auto"/>
              </w:rPr>
            </w:pPr>
            <w:r>
              <w:rPr>
                <w:rFonts w:ascii="Arial" w:cs="Arial" w:eastAsia="Arial" w:hAnsi="Arial"/>
                <w:sz w:val="18"/>
                <w:szCs w:val="18"/>
                <w:b w:val="1"/>
                <w:bCs w:val="1"/>
                <w:color w:val="auto"/>
              </w:rPr>
              <w:t>SUSTAINABLE OPPORTUNITIES ACQUISITION CORP.</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gridSpan w:val="22"/>
          </w:tcPr>
          <w:p>
            <w:pPr>
              <w:ind w:left="1960"/>
              <w:spacing w:after="0"/>
              <w:rPr>
                <w:sz w:val="20"/>
                <w:szCs w:val="20"/>
                <w:color w:val="auto"/>
              </w:rPr>
            </w:pPr>
            <w:r>
              <w:rPr>
                <w:rFonts w:ascii="Arial" w:cs="Arial" w:eastAsia="Arial" w:hAnsi="Arial"/>
                <w:sz w:val="18"/>
                <w:szCs w:val="18"/>
                <w:b w:val="1"/>
                <w:bCs w:val="1"/>
                <w:color w:val="auto"/>
              </w:rPr>
              <w:t>UNAUDITED CONDENSED STATEMENTS OF CHANGES IN SHAREHOLDERS’ EQUITY</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30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3"/>
          </w:tcPr>
          <w:p>
            <w:pPr>
              <w:ind w:left="20"/>
              <w:spacing w:after="0"/>
              <w:rPr>
                <w:sz w:val="20"/>
                <w:szCs w:val="20"/>
                <w:color w:val="auto"/>
              </w:rPr>
            </w:pPr>
            <w:r>
              <w:rPr>
                <w:rFonts w:ascii="Arial" w:cs="Arial" w:eastAsia="Arial" w:hAnsi="Arial"/>
                <w:sz w:val="18"/>
                <w:szCs w:val="18"/>
                <w:b w:val="1"/>
                <w:bCs w:val="1"/>
                <w:color w:val="auto"/>
                <w:w w:val="89"/>
              </w:rPr>
              <w:t>For the three and six months ended June 30, 2020</w:t>
            </w: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8"/>
                <w:szCs w:val="18"/>
                <w:b w:val="1"/>
                <w:bCs w:val="1"/>
                <w:color w:val="auto"/>
              </w:rPr>
              <w:t>Ordinary Shares</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212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Class A</w:t>
            </w:r>
          </w:p>
        </w:tc>
        <w:tc>
          <w:tcPr>
            <w:tcW w:w="160" w:type="dxa"/>
            <w:vAlign w:val="bottom"/>
          </w:tcPr>
          <w:p>
            <w:pPr>
              <w:spacing w:after="0"/>
              <w:rPr>
                <w:sz w:val="20"/>
                <w:szCs w:val="20"/>
                <w:color w:val="auto"/>
              </w:rPr>
            </w:pPr>
          </w:p>
        </w:tc>
        <w:tc>
          <w:tcPr>
            <w:tcW w:w="1960" w:type="dxa"/>
            <w:vAlign w:val="bottom"/>
            <w:gridSpan w:val="5"/>
          </w:tcPr>
          <w:p>
            <w:pPr>
              <w:jc w:val="right"/>
              <w:ind w:right="610"/>
              <w:spacing w:after="0"/>
              <w:rPr>
                <w:sz w:val="20"/>
                <w:szCs w:val="20"/>
                <w:color w:val="auto"/>
              </w:rPr>
            </w:pPr>
            <w:r>
              <w:rPr>
                <w:rFonts w:ascii="Arial" w:cs="Arial" w:eastAsia="Arial" w:hAnsi="Arial"/>
                <w:sz w:val="18"/>
                <w:szCs w:val="18"/>
                <w:b w:val="1"/>
                <w:bCs w:val="1"/>
                <w:color w:val="auto"/>
              </w:rPr>
              <w:t>Class B</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Paid-in</w:t>
            </w:r>
          </w:p>
        </w:tc>
        <w:tc>
          <w:tcPr>
            <w:tcW w:w="1300" w:type="dxa"/>
            <w:vAlign w:val="bottom"/>
            <w:gridSpan w:val="4"/>
          </w:tcPr>
          <w:p>
            <w:pPr>
              <w:ind w:left="80"/>
              <w:spacing w:after="0"/>
              <w:rPr>
                <w:sz w:val="20"/>
                <w:szCs w:val="20"/>
                <w:color w:val="auto"/>
              </w:rPr>
            </w:pPr>
            <w:r>
              <w:rPr>
                <w:rFonts w:ascii="Arial" w:cs="Arial" w:eastAsia="Arial" w:hAnsi="Arial"/>
                <w:sz w:val="18"/>
                <w:szCs w:val="18"/>
                <w:b w:val="1"/>
                <w:bCs w:val="1"/>
                <w:color w:val="auto"/>
              </w:rPr>
              <w:t>Accumulated</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8"/>
              </w:rPr>
              <w:t>Shareholders’</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11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w w:val="94"/>
              </w:rPr>
              <w:t>Deficit</w:t>
            </w:r>
          </w:p>
        </w:tc>
        <w:tc>
          <w:tcPr>
            <w:tcW w:w="120" w:type="dxa"/>
            <w:vAlign w:val="bottom"/>
          </w:tcPr>
          <w:p>
            <w:pPr>
              <w:spacing w:after="0"/>
              <w:rPr>
                <w:sz w:val="20"/>
                <w:szCs w:val="20"/>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8,625,000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24,137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15,961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(58,999)</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(58,999)</w:t>
            </w:r>
          </w:p>
        </w:tc>
        <w:tc>
          <w:tcPr>
            <w:tcW w:w="0" w:type="dxa"/>
            <w:vAlign w:val="bottom"/>
          </w:tcPr>
          <w:p>
            <w:pPr>
              <w:spacing w:after="0"/>
              <w:rPr>
                <w:sz w:val="1"/>
                <w:szCs w:val="1"/>
                <w:color w:val="auto"/>
              </w:rPr>
            </w:pPr>
          </w:p>
        </w:tc>
      </w:tr>
      <w:tr>
        <w:trPr>
          <w:trHeight w:val="216"/>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5"/>
              </w:rPr>
              <w:t>Balance - March 31, 2020 (unaudited)</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8,625,000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24,137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(68,038)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(43,038)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rPr>
              <w:t>Sale of units in initial public offering,</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40"/>
              <w:spacing w:after="0"/>
              <w:rPr>
                <w:sz w:val="20"/>
                <w:szCs w:val="20"/>
                <w:color w:val="auto"/>
              </w:rPr>
            </w:pPr>
            <w:r>
              <w:rPr>
                <w:rFonts w:ascii="Arial" w:cs="Arial" w:eastAsia="Arial" w:hAnsi="Arial"/>
                <w:sz w:val="18"/>
                <w:szCs w:val="18"/>
                <w:color w:val="auto"/>
              </w:rPr>
              <w:t>gross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30,000,000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3,000</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299,997,000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300,000,000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Offering costs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(17,384,336)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(17,384,336)</w:t>
            </w:r>
          </w:p>
        </w:tc>
        <w:tc>
          <w:tcPr>
            <w:tcW w:w="0" w:type="dxa"/>
            <w:vAlign w:val="bottom"/>
          </w:tcPr>
          <w:p>
            <w:pPr>
              <w:spacing w:after="0"/>
              <w:rPr>
                <w:sz w:val="1"/>
                <w:szCs w:val="1"/>
                <w:color w:val="auto"/>
              </w:rPr>
            </w:pP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rPr>
              <w:t>Sale of private placement warrants to</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40"/>
              <w:spacing w:after="0"/>
              <w:rPr>
                <w:sz w:val="20"/>
                <w:szCs w:val="20"/>
                <w:color w:val="auto"/>
              </w:rPr>
            </w:pPr>
            <w:r>
              <w:rPr>
                <w:rFonts w:ascii="Arial" w:cs="Arial" w:eastAsia="Arial" w:hAnsi="Arial"/>
                <w:sz w:val="18"/>
                <w:szCs w:val="18"/>
                <w:color w:val="auto"/>
              </w:rPr>
              <w:t>Sponsor in private placement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9,500,000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9,500,000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Forfeiture of Class B ordinary shares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(1,125,000)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rPr>
              <w:t>Ordinary shares subject to possible</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40"/>
              <w:spacing w:after="0"/>
              <w:rPr>
                <w:sz w:val="20"/>
                <w:szCs w:val="20"/>
                <w:color w:val="auto"/>
              </w:rPr>
            </w:pPr>
            <w:r>
              <w:rPr>
                <w:rFonts w:ascii="Arial" w:cs="Arial" w:eastAsia="Arial" w:hAnsi="Arial"/>
                <w:sz w:val="18"/>
                <w:szCs w:val="18"/>
                <w:color w:val="auto"/>
              </w:rPr>
              <w:t>redemption</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(28,678,699)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(2,868)</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(286,784,122)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(286,786,990)</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(285,630)</w:t>
            </w: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(285,630)</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w w:val="98"/>
              </w:rPr>
              <w:t>Balance - June 30, 2020 (unaudited)</w:t>
            </w: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40" w:type="dxa"/>
            <w:vAlign w:val="bottom"/>
            <w:vMerge w:val="continue"/>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1,321,301</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132</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7,500,000</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750</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5,352,792</w:t>
            </w:r>
          </w:p>
        </w:tc>
        <w:tc>
          <w:tcPr>
            <w:tcW w:w="30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(353,668</w:t>
            </w:r>
          </w:p>
        </w:tc>
        <w:tc>
          <w:tcPr>
            <w:tcW w:w="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5,000,006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left="1940"/>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UNAUDITED CONDENSED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General and administrative expenses paid by related party under note agreement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earned on marketable securities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Accrued expenses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deposited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Proceeds received from initial public offering,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Proceeds from private placement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Offering costs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Repayment of note payable from related party</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beginning of the period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Prepaid expenses included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Offering costs included in accrued expenses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Offering costs included in note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Use of retainer for offering costs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Deferred underwriting commissions in connection with the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Forfeiture of Class B ordinary shares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Initial value of Class A ordinary shares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Change in value of Class A ordinary shares subject to possible redemption</w:t>
      </w:r>
    </w:p>
    <w:p>
      <w:pPr>
        <w:spacing w:after="0" w:line="211" w:lineRule="exact"/>
        <w:rPr>
          <w:sz w:val="20"/>
          <w:szCs w:val="20"/>
          <w:color w:val="auto"/>
        </w:rPr>
      </w:pPr>
    </w:p>
    <w:p>
      <w:pPr>
        <w:jc w:val="right"/>
        <w:ind w:right="200"/>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3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20" w:right="60"/>
        <w:spacing w:after="0" w:line="261" w:lineRule="auto"/>
        <w:rPr>
          <w:sz w:val="20"/>
          <w:szCs w:val="20"/>
          <w:color w:val="auto"/>
        </w:rPr>
      </w:pPr>
      <w:r>
        <w:rPr>
          <w:rFonts w:ascii="Arial" w:cs="Arial" w:eastAsia="Arial" w:hAnsi="Arial"/>
          <w:sz w:val="18"/>
          <w:szCs w:val="18"/>
          <w:b w:val="1"/>
          <w:bCs w:val="1"/>
          <w:color w:val="auto"/>
        </w:rPr>
        <w:t>For the 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029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60" w:hanging="455"/>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(344,629)</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70,123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(41,768)</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(79,318)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(94,294)</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17,000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(472,886)</w:t>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(300,000,000)</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(300,000,000)</w:t>
      </w:r>
    </w:p>
    <w:p>
      <w:pPr>
        <w:spacing w:after="0" w:line="200" w:lineRule="exact"/>
        <w:rPr>
          <w:sz w:val="20"/>
          <w:szCs w:val="20"/>
          <w:color w:val="auto"/>
        </w:rPr>
      </w:pPr>
    </w:p>
    <w:p>
      <w:pPr>
        <w:spacing w:after="0" w:line="24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300,000,000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9,500,000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(6,702,088)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(162,979)</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302,634,933</w:t>
      </w:r>
    </w:p>
    <w:p>
      <w:pPr>
        <w:spacing w:after="0" w:line="26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2,162,047</w:t>
      </w:r>
    </w:p>
    <w:p>
      <w:pPr>
        <w:spacing w:after="0" w:line="25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59" w:lineRule="exact"/>
        <w:rPr>
          <w:sz w:val="20"/>
          <w:szCs w:val="20"/>
          <w:color w:val="auto"/>
        </w:rPr>
      </w:pPr>
    </w:p>
    <w:p>
      <w:pPr>
        <w:ind w:left="400" w:hanging="395"/>
        <w:spacing w:after="0"/>
        <w:tabs>
          <w:tab w:leader="none" w:pos="400" w:val="left"/>
        </w:tabs>
        <w:numPr>
          <w:ilvl w:val="0"/>
          <w:numId w:val="4"/>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2,162,047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7029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520" w:hanging="515"/>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244,444</w:t>
      </w:r>
    </w:p>
    <w:p>
      <w:pPr>
        <w:spacing w:after="0" w:line="23" w:lineRule="exact"/>
        <w:rPr>
          <w:sz w:val="20"/>
          <w:szCs w:val="20"/>
          <w:color w:val="auto"/>
        </w:rPr>
      </w:pPr>
    </w:p>
    <w:p>
      <w:pPr>
        <w:ind w:left="620" w:hanging="6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85,000</w:t>
      </w:r>
    </w:p>
    <w:p>
      <w:pPr>
        <w:spacing w:after="0" w:line="9" w:lineRule="exact"/>
        <w:rPr>
          <w:sz w:val="20"/>
          <w:szCs w:val="20"/>
          <w:color w:val="auto"/>
        </w:rPr>
      </w:pPr>
    </w:p>
    <w:p>
      <w:pPr>
        <w:ind w:left="620" w:hanging="6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92,856</w:t>
      </w:r>
    </w:p>
    <w:p>
      <w:pPr>
        <w:spacing w:after="0" w:line="9" w:lineRule="exact"/>
        <w:rPr>
          <w:sz w:val="20"/>
          <w:szCs w:val="20"/>
          <w:color w:val="auto"/>
        </w:rPr>
      </w:pPr>
    </w:p>
    <w:p>
      <w:pPr>
        <w:ind w:left="640" w:hanging="635"/>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(3,271)</w:t>
      </w:r>
    </w:p>
    <w:p>
      <w:pPr>
        <w:spacing w:after="0" w:line="20" w:lineRule="exact"/>
        <w:rPr>
          <w:rFonts w:ascii="Arial" w:cs="Arial" w:eastAsia="Arial" w:hAnsi="Arial"/>
          <w:sz w:val="17"/>
          <w:szCs w:val="17"/>
          <w:color w:val="auto"/>
        </w:rPr>
      </w:pPr>
    </w:p>
    <w:p>
      <w:pPr>
        <w:ind w:left="300" w:hanging="295"/>
        <w:spacing w:after="0"/>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10,500,000</w:t>
      </w:r>
    </w:p>
    <w:p>
      <w:pPr>
        <w:spacing w:after="0" w:line="21" w:lineRule="exact"/>
        <w:rPr>
          <w:sz w:val="20"/>
          <w:szCs w:val="20"/>
          <w:color w:val="auto"/>
        </w:rPr>
      </w:pPr>
    </w:p>
    <w:p>
      <w:pPr>
        <w:ind w:left="840" w:hanging="835"/>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113</w:t>
      </w:r>
    </w:p>
    <w:p>
      <w:pPr>
        <w:spacing w:after="0" w:line="9" w:lineRule="exact"/>
        <w:rPr>
          <w:rFonts w:ascii="Arial" w:cs="Arial" w:eastAsia="Arial" w:hAnsi="Arial"/>
          <w:sz w:val="18"/>
          <w:szCs w:val="18"/>
          <w:color w:val="auto"/>
        </w:rPr>
      </w:pPr>
    </w:p>
    <w:p>
      <w:pPr>
        <w:ind w:left="220" w:hanging="215"/>
        <w:spacing w:after="0"/>
        <w:tabs>
          <w:tab w:leader="none" w:pos="220" w:val="left"/>
        </w:tabs>
        <w:numPr>
          <w:ilvl w:val="0"/>
          <w:numId w:val="9"/>
        </w:numPr>
        <w:rPr>
          <w:rFonts w:ascii="Arial" w:cs="Arial" w:eastAsia="Arial" w:hAnsi="Arial"/>
          <w:sz w:val="17"/>
          <w:szCs w:val="17"/>
          <w:color w:val="auto"/>
        </w:rPr>
      </w:pPr>
      <w:r>
        <w:rPr>
          <w:rFonts w:ascii="Arial" w:cs="Arial" w:eastAsia="Arial" w:hAnsi="Arial"/>
          <w:sz w:val="17"/>
          <w:szCs w:val="17"/>
          <w:color w:val="auto"/>
        </w:rPr>
        <w:t>287,041,190</w:t>
      </w:r>
    </w:p>
    <w:p>
      <w:pPr>
        <w:spacing w:after="0" w:line="20" w:lineRule="exact"/>
        <w:rPr>
          <w:rFonts w:ascii="Arial" w:cs="Arial" w:eastAsia="Arial" w:hAnsi="Arial"/>
          <w:sz w:val="17"/>
          <w:szCs w:val="17"/>
          <w:color w:val="auto"/>
        </w:rPr>
      </w:pPr>
    </w:p>
    <w:p>
      <w:pPr>
        <w:ind w:left="460" w:hanging="455"/>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(254,200)</w:t>
      </w:r>
    </w:p>
    <w:p>
      <w:pPr>
        <w:sectPr>
          <w:pgSz w:w="11900" w:h="16838" w:orient="portrait"/>
          <w:cols w:equalWidth="0" w:num="2">
            <w:col w:w="9300" w:space="720"/>
            <w:col w:w="1180"/>
          </w:cols>
          <w:pgMar w:left="320" w:top="904"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Sustainable Opportunities Acquisition Corp. (the “Company”) is a newly organized blank check company incorporated as a Cayman Islands exempted company on December 18, 2019. The Company was incorporated for the purpose of effecting a merger, share exchange, asset acquisition, share purchase, reorganization or similar business combination with one or more businesses or entities (the “Business Combination”). The Company is an emerging growth company and, as such, the Company is subject to all of the risks associated with emerging growth companies.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June 30, 2020, the Company had not commenced any operations. All activity for the period from December 18, 2019 (inception) through June 30, 2020 relates to the Company’s formation and the initial public offering (the “Initial Public Offering”) described below, and, since the closing of the Initial Public Offering, a search for a business combination candidate.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 has selected December 31 as its fiscal year end.</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sponsor is Sustainable Opportunities Holdings LLC, a Delaware limited liability company (the “Sponsor”). The registration statement for the Company’s Initial Public Offering was declared effective on May 5, 2020. On May 8, 2020, the Company consummated its Initial Public Offering of 30,000,000 units (the “Units” and, with respect to the Class A ordinary shares included in the Units being offered, the “Public Shares”) at $10.00 per Unit, generating gross proceeds of $300.0 million, and incurring offering costs of approximately $17.4 million, inclusive of $10.5 million in deferred underwriting commissions (Note 5).</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9,500,000 warrants (each, a “Private Placement Warrant” and collectively, the “Private Placement Warrants”) at a price of $1.00 per Private Placement Warrant in a private placement to the Sponsor, generating gross proceeds of $9.5 million (Note 4).</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Upon the closing of the Initial Public Offering and the Private Placement, $300.0 million ($10.00 per Unit) of the net proceeds of the sale of the Units in the Initial Public Offering and the Private Placement were placed in a trust account (the “Trust Account”), located in the United States at J.P. Morgan Chase Bank, N.A., with Continental Stock Transfer &amp; Trust Company acting as trustee, and invested only in U.S. government securities, within the meaning set forth in Section 2(a)(16) of the Investment Company Act, with a maturity of 185 days or less or in any open-ended investment company that holds itself out as a money market fund selected by the Company meeting the conditions of paragraphs (d)(2), (d)(3) and (d)(4) of Rule 2a-7 of the Investment Company Act, as determined by the Company, until the earlier of: (i) the completion of a Business Combination and (ii) the distribution of the Trust Account as described below.</w:t>
      </w:r>
    </w:p>
    <w:p>
      <w:pPr>
        <w:spacing w:after="0" w:line="19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assets held in the Trust Account (as defined below) (excluding the deferred underwriting commissions and taxes payable on income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Company will provide the holders (the “Public Shareholders”) of its Class A ordinary shares, par value $0.0001 per share sold in the Initial Public Offering (the “Public Shares”) with the opportunity to redeem all or a portion of their Public Shares upon the completion of a Business Combination either</w:t>
      </w:r>
    </w:p>
    <w:p>
      <w:pPr>
        <w:jc w:val="both"/>
        <w:ind w:firstLine="8"/>
        <w:spacing w:after="0" w:line="284" w:lineRule="auto"/>
        <w:tabs>
          <w:tab w:leader="none" w:pos="22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The per-share amount to be distributed to Public Shareholders who redeem their Public Shares will not be reduced by the deferred underwriting commissions the Company will pay to the underwriter (as discussed in Note 5). These Public Shares will be recorded at a redemption value and classified as temporary equity upon the completion of the Initial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the Company adopted upon the consummation of the Initial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Initial Shareholders (as defined below) have agreed to vote their Founder Shares (as defined below in Note 4) and any Public Shares purchased during or after the Initial Public Offering in favor of a Business Combination. In addition, the Initial Shareholders have agreed to waive their redemption rights with respect to their Founder Shares and Public Shares in connection with the completion of a Business Combination.</w:t>
      </w:r>
    </w:p>
    <w:p>
      <w:pPr>
        <w:spacing w:after="0" w:line="16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Notwithstanding the foregoing, the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Sponsor, officers and directors (the “Initial Shareholders”) have agreed not to propose an amendment to the Amended and Restated Memorandum and Articles of Association that would affect the substance or timing of the Company’s obligation to provide holders of its Public Shares the right to have their shares redeemed in connection with its initial business combination or to redeem 100% of its Public Shares if the Company does not complete a Business Combination within 18 months from the closing of the Initial Public Offering, or November 8, 2021 (the “Combination Period”) unless the Company provides the Public Shareholders with the opportunity to redeem their Class A ordinary shares in conjunction with any such amendment.</w:t>
      </w:r>
    </w:p>
    <w:p>
      <w:pPr>
        <w:spacing w:after="0" w:line="19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tax obligations,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liquidate and dissolve, subject in the case of clauses (ii) and (iii), to the Company’s obligations under Cayman Islands law to provide for claims of creditors and the requirements of other applicable law.</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 Initial Shareholders have agreed to waive their liquidation rights with respect to the Founder Shares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 has agreed to waive its rights to its deferred underwriting commission (see Note 5) held in the Trust Account in the event the Company does not complete a Business Combination within 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2020, the Company had approximately $2.2 million in cash and working capital of approximately $2.2 million.</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Company’s liquidity needs to date have been satisfied through a $25,000 contribution from the Sponsor in exchange for the issuance of the Founder Shares to the Sponsor, the advancement of funds by the Sponsor of approximately $163,000 under the Note (see Note 4) to the Company to cover for offering costs in connection with the Initial Public Offering, and the proceeds from the consummation of the Private Placement not held in the Trust Account. The Company fully repaid the Note on May 8, 2020. In addition, in order to finance transaction costs in connection with a Business Combination, the Sponsor or an affiliate of the Sponsor, or certain of the Company’s officers and directors may, but are not obligated to, provide the Company Working Capital Loans (see Note 4). As of June 30, 2020, there were no amounts outstanding under any Working Capital Loans.</w:t>
      </w:r>
    </w:p>
    <w:p>
      <w:pPr>
        <w:spacing w:after="0" w:line="17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accompanying unaudited condensed financial statements are presented in U.S. dollars in conformity with accounting principles generally accepted in the United States of America (“GAAP”) for financial information and pursuant to the rules and regulations of the SEC. Accordingly, they do not include all of the information and footnotes required by GAAP. In the opinion of management, the unaudited condensed financial statements reflect all adjustments, which include only normal recurring adjustments necessary for the fair statement of the balances and results for the periods presented. Operating results for the period for the three and six months ended June 30, 2020 are not necessarily indicative of the results that may be expected through December 31, 2020.</w:t>
      </w:r>
    </w:p>
    <w:p>
      <w:pPr>
        <w:spacing w:after="0" w:line="16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accompanying unaudited condensed financial statements should be read in conjunction with the audited financial statements and notes thereto included in the Form 8-K and the final prospectus filed by the Company with the SEC on May 14, 2020 and May 6, 2020, respectively.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accounts in a financial institution, which, at times, may exceed the Federal Depository Insurance Coverage of $250,000. At June 30, 2020 and December 31, 2019, the Company has not experienced losses on these accounts and management believes the Company is not exposed to significant risks on such accounts.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As of June 30, 2020, the Company had no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portfolio of marketable securities is comprised solely of U.S. government securities, within the meaning set forth in Section 2(a)(16) of the Investment Company Act, with a maturity of 185 days or less or in any open-ended investment company that holds itself out as a money market fund selected by the Company meeting the conditions of paragraphs (d)(2), (d)(3) and (d)(4) of Rule 2a-7 of the Investment Company Act, classified as trading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820, “Fair Value Measurements” approximates the carrying amounts represented in the balance sheets primarily due to their short-term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preparation of the financial statements in conformity with GAAP requires the Company’s management to make estimates and assumptions that affect the reported amounts of assets and liabilities and disclosure of contingent assets and liabilities at the date of the financial statements.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 Associated with the Initial Public Offering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Offering costs consist of legal, accounting, underwriting fees and other costs that were directly related to the Initial Public Offering and that were charged to additional paid-in capital upon the completion of the Initial Public Offering on May 8, 2020.</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occurrence of uncertain future events. Accordingly, Class A ordinary shares subject to possible redemption were presented at redemption value as temporary equity, outside of the shareholders’ equity section of the Company’s balance sheet.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Ordinary Share</w:t>
      </w:r>
    </w:p>
    <w:p>
      <w:pPr>
        <w:spacing w:after="0" w:line="225"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color w:val="auto"/>
        </w:rPr>
        <w:t>The Company applies the two-class method in calculating earnings per share. Net loss per share is computed by dividing net loss by the weighted-average number of ordinary shares outstanding during the periods. An aggregate of 28,678,699 Class A ordinary shares subject to possible redemption at June 30, 2020 has been excluded from the calculation of basic loss per ordinary share, since such shares, if redeemed, only participate in their pro rata share of the Trust earnings. The Company has not considered the effect of the warrants sold in the Initial Public Offering and Private Placement to purchase an aggregate of 24,500,000 Class A ordinary shares in the calculation of diluted loss per ordinary share, since the exercise of the warrants are contingent upon the occurrence of future events. As a result, diluted net loss per ordinary share is the same as basic net loss per ordinary share for the periods presented.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per ordinary share</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net income (loss) is adjusted for the portion of income (loss) that is attributable to ordinary shares subject to redemption, as these shares only participate in the earnings of the Trust Account and not the income or losses of the Company. Accordingly, basic and diluted loss per ordinary share is calculated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3"/>
              </w:rPr>
              <w:t>For the Three</w:t>
            </w: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0"/>
              </w:rPr>
              <w:t>For the Six</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3"/>
              </w:rPr>
              <w:t>Months</w:t>
            </w: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3"/>
              </w:rPr>
              <w:t>Months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10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(285,630)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(344,629)</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Less: Income attributable to Class A ordinary shares subject to possible redemption</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(39,930)</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(39,930)</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(325,560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(384,559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ordinary shares outstanding, basic and diluted</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8,726,681</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8,675,841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ordinary share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b w:val="1"/>
                <w:bCs w:val="1"/>
                <w:color w:val="auto"/>
              </w:rPr>
              <w:t>(0.04</w:t>
            </w:r>
            <w:r>
              <w:rPr>
                <w:rFonts w:ascii="Arial" w:cs="Arial" w:eastAsia="Arial" w:hAnsi="Arial"/>
                <w:sz w:val="29"/>
                <w:szCs w:val="29"/>
                <w:b w:val="1"/>
                <w:bCs w:val="1"/>
                <w:color w:val="auto"/>
                <w:vertAlign w:val="superscript"/>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b w:val="1"/>
                <w:bCs w:val="1"/>
                <w:color w:val="auto"/>
              </w:rPr>
              <w:t>(0.04</w:t>
            </w:r>
            <w:r>
              <w:rPr>
                <w:rFonts w:ascii="Arial" w:cs="Arial" w:eastAsia="Arial" w:hAnsi="Arial"/>
                <w:sz w:val="29"/>
                <w:szCs w:val="29"/>
                <w:b w:val="1"/>
                <w:bCs w:val="1"/>
                <w:color w:val="auto"/>
                <w:vertAlign w:val="superscript"/>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Income Taxes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June 30, 2020 and December 31, 2019.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as of June 30, 2020 and December 31,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6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is considered an exempted Cayman Islands company and is presently not subject to income taxes or income tax filing requirements in the Cayman Islands or the United States. As such, the Company’s tax provision is zero for the period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management does not believe that any recently issued, but not yet effective, accounting standards, if currently adopted, would have a material effect on the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8, 2020, the Company consummated its Initial Public Offering of 30,000,000 Units at $10.00 per Unit, generating gross proceeds of $300.0 million, and incurring offering costs of approximately $17.4 million, inclusive of $10.5 million in deferred underwriting commissions. Each Unit consists of one Class A ordinary share and one-half of one redeemable warrant (each, a “Public Warrant”). Each Public Warrant entitles the holder to purchase one Class A ordinary share at a price of $11.50 per share, subject to adjustment (see Note 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December 31, 2019, the Sponsor purchased 8,625,000 shares (the “Founder Shares”) of the Company’s Class B ordinary shares, par value $0.0001 for an aggregate price of $25,000. In March 2020, the Sponsor transferred 30,000 Founder Shares to each of the Company’s independent directors. The Founder Shares will automatically convert into Class A ordinary shares at the time of the Company’s initial Business Combination and are subject to certain transfer restrictions, as described in Note 6. The Sponsor has agreed to forfeit up to 1,125,000 Founder Shares to the extent that the over-allotment option is not exercised in full by the underwriter so that the Founder Shares will represent 20.0% of the Company’s issued and outstanding shares after the Initial Public Offering. The over-allotment option expired in June 2020; thus, these Founder Shares were forfeited accordingly.</w:t>
      </w:r>
    </w:p>
    <w:p>
      <w:pPr>
        <w:spacing w:after="0" w:line="16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Initial Shareholders agreed, subject to limited exceptions, not to transfer, assign or sell any of their Founder Shares until the earlier to occur of: (A) one year after the completion of the initial Business Combination or (B) subsequent to the initial Business Combination, (x) if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Company’s shareholders having the right to exchange their Class A ordinary shares for cash, securities or other property.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of 9,500,000 Private Placement Warrants at a price of $1.00 per Private Placement Warrant to the Sponsor, generating gross proceeds of $9.5 million. Each Private Placement Warrant is exercisable for one whole Class A ordinary share at a price of $11.50 per share.</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portion of the proceeds from the sale of the Private Placement Warrants was added to the proceeds from the Initial Public Offering held in the Trust Account. If the Company does not complete a Business Combination within the Combination Period, the Private Placement Warrants will expire worthless. The Private Placement Warrants will be non-redeemable and exercisable on a cashless basis so long as they are held by the Sponsor or its permitted transferees.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December 31, 2019, the Sponsor agreed to loan the Company an aggregate of up to $300,000 to cover expenses related to the Initial Public Offering pursuant to a promissory note (the “Note”). This loan was non-interest bearing and payable upon the completion of the Initial Public Offering. The Company borrowed approximately $163,000 under the Note and fully repaid this amount on May 8, 2020.</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$1.00 per warrant. The warrants would be identical to the Private Placement Warrants. To date, the Company had no borrowings under the Working Capital Loans.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entered into an agreement, commencing on May 8, 2020 through the earlier of the Company’s consummation of a Business Combination and its liquidation, to reimburse the Sponsor a total of $10,000 per month for office space, secretarial and administrative services. The Company incurred and paid $20,000 in expenses in connection with such services and recorded in general and administrative expenses in the statements of operations for the three and six months ended June 30,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Commitments &amp;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holders of Founder Shares, Private Placement Warrants and warrants that may be issued upon conversion of Working Capital Loans, if any, will be entitled to registration rights (in the case of the Founder Shares, only after conversion of such shares to Class A ordinary shares) pursuant to a registration and shareholder rights agreement. These holders will be entitled to certain demand and “piggyback” registration rights. However, the registration and shareholder rights agreement provides that the Company will not permit any registration statement filed under the Securities Act to become effective until the termination of the applicable lock-up period for the securities to be registered. The Company will bear the expenses incurred in connection with the filing of any such registration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granted the underwriter a 45-day option from the date of the final prospectus relating to the Initial Public Offering to purchase up to 4,500,000 additional Units to cover over-allotments, if any, at $10.00 per Unit, less the underwriting discounts and commissions. The over-allotment option expired in June 2020.</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underwriter was entitled to an underwriting discount of $0.20 per unit, or $6.0 million in the aggregate paid upon the closing of the Initial Public Offering. In addition, $0.35 per unit, or $10.5 million in the aggregate will be payable to the underwriter for deferred underwriting commissions. The deferred underwriting commissions will become payable to the underwriter from the amounts held in the Trust Account solely in the event that the Company completes a Business Combination, subject to the terms of the underwriting agreement.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Preference Shares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is authorized to issue 1,000,000 preference shares with such designations, voting and other rights and preferences as may be determined from time to time by the Company’s board of directors. As of June 30, 2020 and December 31, 2019, there were no preference shares issued or outstanding.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Class A Ordinary Shares </w:t>
      </w:r>
      <w:r>
        <w:rPr>
          <w:rFonts w:ascii="Arial" w:cs="Arial" w:eastAsia="Arial" w:hAnsi="Arial"/>
          <w:sz w:val="17"/>
          <w:szCs w:val="17"/>
          <w:color w:val="auto"/>
        </w:rPr>
        <w:t>— The Company is authorized to issue 300,000,000 Class A ordinary shares with a par value of $0.0001 per share. As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2020 and December 31, 2019, there were 30,000,000 and none Class A ordinary shares outstanding, including 28,678,699 and none Class A ordinary shares subject to possible conversion were classified as temporary equity in the accompanying balance sheets, respectively.</w:t>
      </w:r>
    </w:p>
    <w:p>
      <w:pPr>
        <w:spacing w:after="0" w:line="16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b w:val="1"/>
          <w:bCs w:val="1"/>
          <w:i w:val="1"/>
          <w:iCs w:val="1"/>
          <w:color w:val="auto"/>
        </w:rPr>
        <w:t xml:space="preserve">Class B Ordinary Shares </w:t>
      </w:r>
      <w:r>
        <w:rPr>
          <w:rFonts w:ascii="Arial" w:cs="Arial" w:eastAsia="Arial" w:hAnsi="Arial"/>
          <w:sz w:val="16"/>
          <w:szCs w:val="16"/>
          <w:color w:val="auto"/>
        </w:rPr>
        <w:t>— The Company is authorized to issue 30,000,000 Class B ordinary shares with a par value of $0.0001 per share. Holders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 B ordinary shares are entitled to one vote for each share. As of December 31, 2019, there were 8,625,000 Class B ordinary shares outstanding. Of these, an aggregate of up to 1,125,000 shares are subject to forfeiture to the Company by the Sponsor for no consideration to the extent that the underwriter’s over-allotment option is not exercised in full or in part, so that the Initial Shareholders will collectively own 20% of the Company’s issued and outstanding ordinary shares after the Initial Public Offering. The over-allotment option expired in June 2020; thus, an aggregate of 1,125,000 Class B ordinary shares was forfeited accordingly. As of June 30, 2020, there were 7,500,000 Class B ordinary shares outstanding.</w:t>
      </w:r>
    </w:p>
    <w:p>
      <w:pPr>
        <w:spacing w:after="0" w:line="1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Holders of the Class A ordinary shares and holders of the Class B ordinary shares will vote together as a single class on all matters submitted to a vote of the Company’s shareholders except as required by law.</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Class B ordinary shares will automatically convert into Class A ordinary shares at the time of the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the Sponsor upon conversion of Working Capital Loans. Any conversion of Class B ordinary shares will take effect as a compulsory redemption of Class B ordinary shares and an issuance of Class A ordinary shares as a matter of Cayman Islands law. In no event will the Class B ordinary shares convert into Class A ordinary shares at a rate of less than one-to-one.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or (b) 12 months from the closing of the Initial Public Offering; provided in each case that the Company has an effective registration 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the Company permits holders to exercise their warrants on a cashless basis under certain circumstances). The Company has agreed that as soon as practicable, but in no event later than 20 business days, after the closing of a Business Combination, the Company will use its commercially reasonable efforts to file with the SEC a registration statement covering the Class A ordinary shares issuable upon exercise of the warrants and to maintain a current prospectus relating to those Class A ordinary shares until the warrants expire or are redeemed. If a registration statement covering</w:t>
      </w:r>
    </w:p>
    <w:p>
      <w:pPr>
        <w:spacing w:after="0" w:line="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Class A ordinary shares issuable upon exercise of the warrants is not effective by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The Public Warrants will expire five years after the completion of a Business Combination or earlier upon redemption or liquidation.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Each whole Public Warrant entitles the holder to purchase one Class A ordinary share at a price of $11.50 per share.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Company and, (i) in the case of any such issuance to the Sponsor or its affiliates, without taking into account any Founder Shares held by the Sponsor or such affiliates, as applicable, prior to such issuance, and (ii) without taking into account the transfer of Founder Shares or Private Placement Warrants (including if such transfer is effectuated as a surrender to us and subsequent reissuance by the Company) by the Sponsor in connection with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Company’s Class A ordinary shares during the 20-trading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discussed below will be adjusted (to the nearest cent) to be equal to 180% of the higher of the Market Value and the Newly Issued Price.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may call the Public Warrants for redemption (except with respect to the Private Placement Warrants):</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and only if, the closing price of the Company’s Class A ordinary shares equals or exceeds $18.00 per share (as adjusted for share subdivisions, share capitalizations, reorganizations, recapitalizations and the like) for any 20 trading days within a 30-trading day period ending on the third trading day prior to the date on which the Company sends the notice of redemption to the warrant holders.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and the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in no event will the Company be required to net cash settle any Warrants. If the Company is unable to complete the initial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Fair Value Measurements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jc w:val="both"/>
        <w:ind w:left="720" w:right="20" w:hanging="701"/>
        <w:spacing w:after="0" w:line="277" w:lineRule="auto"/>
        <w:rPr>
          <w:sz w:val="20"/>
          <w:szCs w:val="20"/>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70" w:lineRule="exact"/>
        <w:rPr>
          <w:sz w:val="20"/>
          <w:szCs w:val="20"/>
          <w:color w:val="auto"/>
        </w:rPr>
      </w:pPr>
    </w:p>
    <w:p>
      <w:pPr>
        <w:jc w:val="both"/>
        <w:ind w:left="720" w:right="20" w:hanging="701"/>
        <w:spacing w:after="0" w:line="277"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based on our assessment of the assumptions that market participants would use in pricing the asset or liability.</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June 30, 2020, and indicates the fair value hierarchy of the valuation inputs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340" w:type="dxa"/>
            <w:vAlign w:val="bottom"/>
            <w:gridSpan w:val="2"/>
          </w:tcPr>
          <w:p>
            <w:pPr>
              <w:ind w:left="400"/>
              <w:spacing w:after="0"/>
              <w:rPr>
                <w:sz w:val="20"/>
                <w:szCs w:val="20"/>
                <w:color w:val="auto"/>
              </w:rPr>
            </w:pPr>
            <w:r>
              <w:rPr>
                <w:rFonts w:ascii="Arial" w:cs="Arial" w:eastAsia="Arial" w:hAnsi="Arial"/>
                <w:sz w:val="18"/>
                <w:szCs w:val="18"/>
                <w:b w:val="1"/>
                <w:bCs w:val="1"/>
                <w:color w:val="auto"/>
              </w:rPr>
              <w:t>Level</w:t>
            </w: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300,041,768</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Subsequent Events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evaluated subsequent events and transactions that occurred after the balance sheet date up to the date that the financial statements were issued. Based upon this review, other than as described in these financial statements, the Company did not identify any subsequent events that would have required adjustment or disclosure in the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References to the “Company,” “Sustainable Opportunities Acquisition Corp.,” “our,” “us” or “we” refer to Sustainable Opportunities Acquisition Corp. The following discussion and analysis of the Company’s financial condition and results of operations should be read in conjunction with the unaudited condensed financial statements and the notes thereto contained elsewhere in this report. Certain information contained in the discussion and analysis set forth below includes forward-looking statements that involve risks and uncertainties.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This Quarterly Report on Form 10-Q includes forward-looking statements within the meaning of Section 27A of the Securities Act of 1933, as amended (the “Securities Act”),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U.S. Securities and Exchange Commission (“SEC”) filings.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a blank check company incorporated as a Cayman Islands exempted company on December 18, 2019 for the purpose of effecting a merger, share exchange, asset acquisition, share purchase, reorganization or similar business combination with one or more businesses that we have not yet identified (“Business Combination”). Although we are not limited to a particular industry or geographic region for purposes of consummating a Business Combination, we intend to focus within industries that benefit from strong Environmental, Social and Governance (“ESG”) profiles. While investing in ESG covers a broad range of themes, we are focused on evaluating suitable targets that have existing environmental sustainability practices or that may benefit, both operationally and economically, from our management team’s commitment and expertise in executing such practices. Our sponsor is Sustainable Opportunities Holdings LLC, a Delaware limited liability company (the “Sponsor”).</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registration statement for our Initial Public Offering was declared effective on May 5, 2020. On May 8, 2020, we consummated our Initial Public Offering of 30,000,000 units (the “Units” and, with respect to the Class A ordinary shares included in the Units being offered, the “Public Shares”) at $10.00 per Unit, generating gross proceeds of $300.0 million, and incurring offering costs of approximately $17.4 million, inclusive of $10.5 million in deferred underwriting commissions. We granted the underwriter a 45-day option to purchase up to an additional 4,500,000 Units at the Initial Public Offering price to cover over-allotments, if any.</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Simultaneously with the closing of the Initial Public Offering, we consummated the private placement (“Private Placement”) of 9,500,000 warrants (each, a “Private Placement Warrant” and collectively, the “Private Placement Warrants”) at a price of $1.00 per Private Placement Warrant in a private placement to our Sponsor, generating gross proceeds of $9.5 million.</w:t>
      </w:r>
    </w:p>
    <w:p>
      <w:pPr>
        <w:spacing w:after="0" w:line="18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Upon the closing of the Initial Public Offering and the Private Placement, $300.0 million ($10.00 per Unit) of the net proceeds of the sale of the Units in the Initial Public Offering and the Private Placement were placed in a trust account (the “Trust Account”), located in the United States at J.P. Morgan Chase Bank, N.A., with Continental Stock Transfer &amp; Trust Company acting as trustee, and invested only in U.S. government securities, within the meaning set forth in Section 2(a)(16) of the Investment Company Act, with a maturity of 185 days or less or in any open-ended investment company that holds itself out as a money market fund selected by us meeting the conditions of paragraphs (d)(2), (d)(3) and (d)(4) of Rule 2a-7 of the Investment Company Act, as determined by us, until the earlier of: (i) the completion of a Business Combination and (ii) the distribution of the Trust Account as described below. Our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jc w:val="both"/>
        <w:ind w:firstLine="324"/>
        <w:spacing w:after="0" w:line="253" w:lineRule="auto"/>
        <w:rPr>
          <w:sz w:val="20"/>
          <w:szCs w:val="20"/>
          <w:color w:val="auto"/>
        </w:rPr>
      </w:pPr>
      <w:r>
        <w:rPr>
          <w:rFonts w:ascii="Arial" w:cs="Arial" w:eastAsia="Arial" w:hAnsi="Arial"/>
          <w:sz w:val="18"/>
          <w:szCs w:val="18"/>
          <w:color w:val="auto"/>
        </w:rPr>
        <w:t>If we are unable to complete a Business Combination within 18 months from the closing of the Initial Public Offering, or November 8, 2021 (the “Combination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for our tax obligations,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our board of directors, liquidate and dissolve, subject in the case of clauses (ii) and (iii), to our obligations under Cayman Islands law to provide for claims of creditors and the requirements of other applicable law.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entire activity from December 18, 2019 (inception) through June 30, 2020, was in preparation for our Initial Public Offering, and since such offering, our activity has been limited to the search for a prospective initial Business Combination. We will not generate any operating revenues until the closing and completion of our initial Business Combination.</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June 30, 2020, we had net loss of approximately $286,000, which consisted of general and administrative expenses of approximately $327,000, offset by approximately $42,000 in interest earned on marketable securities held in Trust Account.</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six months ended June 30, 2020, we had net loss of approximately $345,000, which consisted of general and administrative expenses of approximately $386,000, offset by approximately $42,000 in interest earned on marketable securities held in Trust Account.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2020, we had approximately $2.2 million in cash and working capital of approximately $2.2 million.</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liquidity needs to date have been satisfied through a $25,000 contribution from our Sponsor in exchange for the issuance of the Founder Shares to our Sponsor, the advancement of funds by our Sponsor of approximately $163,000 under the Note to us to cover for offering costs in connection with the Initial Public Offering, and the proceeds from the consummation of the Private Placement not held in the Trust Account. We fully repaid the Note on May 8, 2020. In addition, in order to finance transaction costs in connection with a Business Combination, our Sponsor or an affiliate of our Sponsor, or certain of our officers and directors may, but are not obligated to, provide the Company Working Capital Loans. As of June 30, 2020, there were no amounts outstanding under any Working Capital Loans.</w:t>
      </w:r>
    </w:p>
    <w:p>
      <w:pPr>
        <w:spacing w:after="0" w:line="19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Based on the foregoing, our management believes that we will have sufficient working capital and borrowing capacity from our Sponsor or an affiliate of our Sponsor, or certain of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Other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Agreement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underwriter was entitled to an underwriting discount of $0.20 per unit, or $6.0 million in the aggregate paid upon the closing of the Initial Public Offering. In addition, $0.35 per unit, or $10.5 million in the aggregate will be payable to the underwriter for deferred underwriting commissions. The deferred underwriting commissions will become payable to the underwriter from the amounts held in the Trust Account solely in the event that we complete a Business Combination, subject to the terms of the underwriting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Administrative Support Agreement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entered into an agreement, commencing on May 8, 2020 through the earlier of our consummation of a Business Combination and our liquidation, to reimburse our Sponsor a total of $10,000 per month for office space, secretarial and administrative services. We incurred and paid $20,000 in expenses in connection with such services and recorded in general and administrative expenses in the statements of operations for the three and six months ended June 30,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The Company has identified the following as its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our control) are classified as temporary equity. At all other times, Class A ordinary shares are classified as shareholders’ equity. Our Class A ordinary shares feature certain redemption rights that are considered to be outside of our control and subject to occurrence of uncertain future events. Accordingly, Class A ordinary shares subject to possible redemption were presented at redemption value as temporary equity, outside of the shareholders’ equity section of our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Ordinary Share</w:t>
      </w:r>
    </w:p>
    <w:p>
      <w:pPr>
        <w:spacing w:after="0" w:line="225"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color w:val="auto"/>
        </w:rPr>
        <w:t>We apply the two-class method in calculating earnings per share. Net loss per share is computed by dividing net loss by the weighted-average number of ordinary shares outstanding during the periods. An aggregate of 28,678,699 Class A ordinary shares subject to possible redemption at June 30, 2020 has been excluded from the calculation of basic loss per ordinary share, since such shares, if redeemed, only participate in their pro rata share of the Trust earnings. We have not considered the effect of the warrants sold in the Initial Public Offering and Private Placement to purchase an aggregate of 24,500,000 Class A ordinary shares in the calculation of diluted loss per ordinary share, since the exercise of the warrants are contingent upon the occurrence of future events. As a result, diluted net loss per ordinary share is the same as basic net loss per ordinary share for the periods presented.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2020, we did not have any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such, our financial statements may not be comparable to companies that comply with public company effective dates.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166"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June 30, 2020, we were not subject to any market or interest rate risk. Following the consummation of our Initial Public Offering, the net proceeds of our Initial Public Offering, including amounts in the Trust Account, were invested in U.S. government treasury bills, notes or bonds or in certain money market funds that invest solely in direct U.S. government treasury obligations. Due to the short-term nature of these investments, we believe there will be no associated material exposure to interest rate risk.</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not engaged in any hedging activities since our inception and we do not expect to engage in any hedging activities with respect to the market risk to which we are exposed.</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quarter ended June 30, 2020, as such term is defined in Rules 13a-15(e) and 15d-15(e) under the Exchange Act. Based on this evaluation, our principal executive officer and principal financial and accounting officer has concluded that during the period covered by this report, our disclosure controls and procedures were effective.</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There was no change in our internal control over financial reporting that occurred during the fiscal quarter ended June 30, 2020 covered by this Quarterly Report on Form 10-Q that has materially affected, or is reasonably likely to materially affect, our internal control over financial reporting.</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the date of this Quarterly Report on Form 10-Q, there have been no material changes to the risk factors disclosed in our final prospectus filed with the SEC on May 6, 2020 except for the below risk factor. We may disclose changes to such factors or disclose additional factors from time to time in our future filings with the SEC.</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4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memorandum and articles of association, our public shareholders are entitled to receive their pro-rata share of the proceeds held in the trust account, plus any interest income, net of income taxes paid or payable (less, in the case we are unable to complete our initial business combination, $100,000 of interest to pay dissolution expenses). Negative interest rates could reduce the value of the assets held in trust such that the per-share redemption amount received by public shareholders may be less than $10.00 per share.</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 from 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December 31, 2019, the Sponsor paid $25,000, or approximately $0.003 per share, in consideration of 8,625,000 Class B ordinary shares, par value $0.0001 per share. Such securities were issued in connection with the Company’s organization pursuant to the exemption from registration contained in Section 4(a)(2) of the Securities Act of 1933, as amended (the “Securities Act”).</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May 5, 2020, the Sponsor purchased 9,500,000 Private Placement Warrants, each exercisable to purchase one ordinary share at $11.50 per share, at a price of $1.00 per warrant ($9,500,000 in the aggregate), in a private placement that closed simultaneously with the closing of the Initial Public Offering. This issuance was made pursuant to the exemption from registration contained in Section 4(a)(2) of the Securities Act.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connection with the Initial Public Offering, we incurred offering costs of approximately $17.4 million (including deferred underwriting commissions of approximately $10.5 million). Other incurred offering costs consisted principally preparation fees related to the Initial Public Offering. After deducting the underwriting discounts and commissions (excluding the deferred portion, which amount will be payable upon consummation of the Initial Business Combination, if consummated) and the Initial Public Offering expenses, $300 million of the net proceeds from our Initial Public Offering and certain of the proceeds from the private placement of the Private Placement Warrants (or $10.00 per Unit sold in the Initial Public Offering) was placed in the Trust Account. The net proceeds of the Initial Public Offering and certain proceeds from the sale of the Private Placement Warrants are held in the Trust Account and invested as described elsewhere in this Quarterly Report on Form 10-Q.</w:t>
      </w:r>
    </w:p>
    <w:p>
      <w:pPr>
        <w:spacing w:after="0" w:line="17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has been no material change in the planned use of the proceeds from the Initial Public Offering and Private Placement as is described in the Company’s final prospectus related to the Initial Public Offering.</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20" w:type="dxa"/>
            <w:vAlign w:val="bottom"/>
            <w:gridSpan w:val="6"/>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14"/>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590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Certification of Chief Executive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217"/>
        </w:trPr>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20" w:type="dxa"/>
            <w:vAlign w:val="bottom"/>
            <w:gridSpan w:val="5"/>
            <w:shd w:val="clear" w:color="auto" w:fill="CCEEFF"/>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Pursuant to Section 302 of the Sarbanes-Oxley Act of 2002.</w:t>
              </w:r>
            </w:hyperlink>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460" w:type="dxa"/>
            <w:vAlign w:val="bottom"/>
            <w:tcBorders>
              <w:top w:val="single" w:sz="8" w:color="0000EE"/>
            </w:tcBorders>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5"/>
                <w:szCs w:val="15"/>
                <w:color w:val="auto"/>
              </w:rPr>
            </w:pPr>
          </w:p>
        </w:tc>
        <w:tc>
          <w:tcPr>
            <w:tcW w:w="10220" w:type="dxa"/>
            <w:vAlign w:val="bottom"/>
            <w:gridSpan w:val="5"/>
            <w:shd w:val="clear" w:color="auto" w:fill="CCEEFF"/>
          </w:tcPr>
          <w:p>
            <w:pPr>
              <w:spacing w:after="0" w:line="17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Certification of Chief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0" w:type="dxa"/>
            <w:vAlign w:val="bottom"/>
            <w:tcBorders>
              <w:top w:val="single" w:sz="8" w:color="0000EE"/>
            </w:tcBorders>
            <w:gridSpan w:val="4"/>
            <w:shd w:val="clear" w:color="auto" w:fill="CCEEFF"/>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Pursuant to Section 302 of the Sarbanes-Oxley Act of 2002.</w:t>
              </w:r>
            </w:hyperlink>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460" w:type="dxa"/>
            <w:vAlign w:val="bottom"/>
            <w:tcBorders>
              <w:top w:val="single" w:sz="8" w:color="0000EE"/>
            </w:tcBorders>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217"/>
        </w:trPr>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20" w:type="dxa"/>
            <w:vAlign w:val="bottom"/>
            <w:gridSpan w:val="5"/>
            <w:shd w:val="clear" w:color="auto" w:fill="CCEEFF"/>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5"/>
                <w:szCs w:val="15"/>
                <w:color w:val="auto"/>
              </w:rPr>
            </w:pPr>
          </w:p>
        </w:tc>
        <w:tc>
          <w:tcPr>
            <w:tcW w:w="10220" w:type="dxa"/>
            <w:vAlign w:val="bottom"/>
            <w:gridSpan w:val="5"/>
            <w:shd w:val="clear" w:color="auto" w:fill="CCEEFF"/>
          </w:tcPr>
          <w:p>
            <w:pPr>
              <w:spacing w:after="0" w:line="17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Certification of Chief Financial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28"/>
        </w:trPr>
        <w:tc>
          <w:tcPr>
            <w:tcW w:w="920" w:type="dxa"/>
            <w:vAlign w:val="bottom"/>
            <w:tcBorders>
              <w:top w:val="single" w:sz="8" w:color="CCEEFF"/>
            </w:tcBorders>
            <w:vMerge w:val="continue"/>
            <w:shd w:val="clear" w:color="auto" w:fill="CCEEFF"/>
          </w:tcPr>
          <w:p>
            <w:pPr>
              <w:spacing w:after="0"/>
              <w:rPr>
                <w:sz w:val="11"/>
                <w:szCs w:val="11"/>
                <w:color w:val="auto"/>
              </w:rPr>
            </w:pPr>
          </w:p>
        </w:tc>
        <w:tc>
          <w:tcPr>
            <w:tcW w:w="100" w:type="dxa"/>
            <w:vAlign w:val="bottom"/>
            <w:tcBorders>
              <w:top w:val="single" w:sz="8" w:color="CCEEFF"/>
            </w:tcBorders>
            <w:vMerge w:val="restart"/>
            <w:shd w:val="clear" w:color="auto" w:fill="CCEEFF"/>
          </w:tcPr>
          <w:p>
            <w:pPr>
              <w:spacing w:after="0"/>
              <w:rPr>
                <w:sz w:val="11"/>
                <w:szCs w:val="11"/>
                <w:color w:val="auto"/>
              </w:rPr>
            </w:pPr>
          </w:p>
        </w:tc>
        <w:tc>
          <w:tcPr>
            <w:tcW w:w="860" w:type="dxa"/>
            <w:vAlign w:val="bottom"/>
            <w:tcBorders>
              <w:top w:val="single" w:sz="8" w:color="0000EE"/>
            </w:tcBorders>
            <w:gridSpan w:val="2"/>
            <w:vMerge w:val="restart"/>
            <w:shd w:val="clear" w:color="auto" w:fill="CCEEFF"/>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2002</w:t>
              </w:r>
            </w:hyperlink>
          </w:p>
        </w:tc>
        <w:tc>
          <w:tcPr>
            <w:tcW w:w="3460" w:type="dxa"/>
            <w:vAlign w:val="bottom"/>
            <w:tcBorders>
              <w:top w:val="single" w:sz="8" w:color="0000EE"/>
            </w:tcBorders>
            <w:shd w:val="clear" w:color="auto" w:fill="CCEEFF"/>
          </w:tcPr>
          <w:p>
            <w:pPr>
              <w:spacing w:after="0"/>
              <w:rPr>
                <w:sz w:val="11"/>
                <w:szCs w:val="11"/>
                <w:color w:val="auto"/>
              </w:rPr>
            </w:pPr>
          </w:p>
        </w:tc>
        <w:tc>
          <w:tcPr>
            <w:tcW w:w="5880" w:type="dxa"/>
            <w:vAlign w:val="bottom"/>
            <w:tcBorders>
              <w:top w:val="single" w:sz="8" w:color="0000EE"/>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920" w:type="dxa"/>
            <w:vAlign w:val="bottom"/>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3460" w:type="dxa"/>
            <w:vAlign w:val="bottom"/>
            <w:shd w:val="clear" w:color="auto" w:fill="CCEEFF"/>
          </w:tcPr>
          <w:p>
            <w:pPr>
              <w:spacing w:after="0"/>
              <w:rPr>
                <w:sz w:val="7"/>
                <w:szCs w:val="7"/>
                <w:color w:val="auto"/>
              </w:rPr>
            </w:pPr>
          </w:p>
        </w:tc>
        <w:tc>
          <w:tcPr>
            <w:tcW w:w="58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0" w:type="dxa"/>
            <w:vAlign w:val="bottom"/>
            <w:shd w:val="clear" w:color="auto" w:fill="CCEEFF"/>
          </w:tcPr>
          <w:p>
            <w:pPr>
              <w:spacing w:after="0"/>
              <w:rPr>
                <w:sz w:val="18"/>
                <w:szCs w:val="18"/>
                <w:color w:val="auto"/>
              </w:rPr>
            </w:pPr>
          </w:p>
        </w:tc>
        <w:tc>
          <w:tcPr>
            <w:tcW w:w="10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0" w:type="dxa"/>
            <w:vAlign w:val="bottom"/>
            <w:shd w:val="clear" w:color="auto" w:fill="CCEEFF"/>
          </w:tcPr>
          <w:p>
            <w:pPr>
              <w:spacing w:after="0"/>
              <w:rPr>
                <w:sz w:val="18"/>
                <w:szCs w:val="18"/>
                <w:color w:val="auto"/>
              </w:rPr>
            </w:pPr>
          </w:p>
        </w:tc>
        <w:tc>
          <w:tcPr>
            <w:tcW w:w="10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0" w:type="dxa"/>
            <w:vAlign w:val="bottom"/>
            <w:shd w:val="clear" w:color="auto" w:fill="CCEEFF"/>
          </w:tcPr>
          <w:p>
            <w:pPr>
              <w:spacing w:after="0"/>
              <w:rPr>
                <w:sz w:val="18"/>
                <w:szCs w:val="18"/>
                <w:color w:val="auto"/>
              </w:rPr>
            </w:pPr>
          </w:p>
        </w:tc>
        <w:tc>
          <w:tcPr>
            <w:tcW w:w="10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0" w:type="dxa"/>
            <w:vAlign w:val="bottom"/>
            <w:shd w:val="clear" w:color="auto" w:fill="CCEEFF"/>
          </w:tcPr>
          <w:p>
            <w:pPr>
              <w:spacing w:after="0"/>
              <w:rPr>
                <w:sz w:val="18"/>
                <w:szCs w:val="18"/>
                <w:color w:val="auto"/>
              </w:rPr>
            </w:pPr>
          </w:p>
        </w:tc>
        <w:tc>
          <w:tcPr>
            <w:tcW w:w="10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0" w:type="dxa"/>
            <w:vAlign w:val="bottom"/>
            <w:shd w:val="clear" w:color="auto" w:fill="CCEEFF"/>
          </w:tcPr>
          <w:p>
            <w:pPr>
              <w:spacing w:after="0"/>
              <w:rPr>
                <w:sz w:val="18"/>
                <w:szCs w:val="18"/>
                <w:color w:val="auto"/>
              </w:rPr>
            </w:pPr>
          </w:p>
        </w:tc>
        <w:tc>
          <w:tcPr>
            <w:tcW w:w="10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0" w:type="dxa"/>
            <w:vAlign w:val="bottom"/>
            <w:shd w:val="clear" w:color="auto" w:fill="CCEEFF"/>
          </w:tcPr>
          <w:p>
            <w:pPr>
              <w:spacing w:after="0"/>
              <w:rPr>
                <w:sz w:val="18"/>
                <w:szCs w:val="18"/>
                <w:color w:val="auto"/>
              </w:rPr>
            </w:pPr>
          </w:p>
        </w:tc>
        <w:tc>
          <w:tcPr>
            <w:tcW w:w="10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except as shall be expressly set forth by specific reference in such filing.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80" w:type="dxa"/>
            <w:vAlign w:val="bottom"/>
          </w:tcPr>
          <w:p>
            <w:pPr>
              <w:spacing w:after="0"/>
              <w:rPr>
                <w:sz w:val="20"/>
                <w:szCs w:val="20"/>
                <w:color w:val="auto"/>
              </w:rPr>
            </w:pPr>
            <w:r>
              <w:rPr>
                <w:rFonts w:ascii="Arial" w:cs="Arial" w:eastAsia="Arial" w:hAnsi="Arial"/>
                <w:sz w:val="18"/>
                <w:szCs w:val="18"/>
                <w:color w:val="auto"/>
              </w:rPr>
              <w:t>Date: August 12, 2020</w:t>
            </w:r>
          </w:p>
        </w:tc>
        <w:tc>
          <w:tcPr>
            <w:tcW w:w="3740" w:type="dxa"/>
            <w:vAlign w:val="bottom"/>
          </w:tcPr>
          <w:p>
            <w:pPr>
              <w:ind w:left="318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Leonard</w:t>
            </w:r>
          </w:p>
        </w:tc>
      </w:tr>
      <w:tr>
        <w:trPr>
          <w:trHeight w:val="202"/>
        </w:trPr>
        <w:tc>
          <w:tcPr>
            <w:tcW w:w="3580" w:type="dxa"/>
            <w:vAlign w:val="bottom"/>
          </w:tcPr>
          <w:p>
            <w:pPr>
              <w:spacing w:after="0"/>
              <w:rPr>
                <w:sz w:val="17"/>
                <w:szCs w:val="17"/>
                <w:color w:val="auto"/>
              </w:rPr>
            </w:pPr>
          </w:p>
        </w:tc>
        <w:tc>
          <w:tcPr>
            <w:tcW w:w="3740" w:type="dxa"/>
            <w:vAlign w:val="bottom"/>
          </w:tcPr>
          <w:p>
            <w:pPr>
              <w:ind w:left="318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Scott Leonard</w:t>
            </w:r>
          </w:p>
        </w:tc>
      </w:tr>
      <w:tr>
        <w:trPr>
          <w:trHeight w:val="230"/>
        </w:trPr>
        <w:tc>
          <w:tcPr>
            <w:tcW w:w="3580" w:type="dxa"/>
            <w:vAlign w:val="bottom"/>
          </w:tcPr>
          <w:p>
            <w:pPr>
              <w:spacing w:after="0"/>
              <w:rPr>
                <w:sz w:val="20"/>
                <w:szCs w:val="20"/>
                <w:color w:val="auto"/>
              </w:rPr>
            </w:pPr>
          </w:p>
        </w:tc>
        <w:tc>
          <w:tcPr>
            <w:tcW w:w="3740" w:type="dxa"/>
            <w:vAlign w:val="bottom"/>
          </w:tcPr>
          <w:p>
            <w:pPr>
              <w:ind w:left="318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55"/>
        </w:trPr>
        <w:tc>
          <w:tcPr>
            <w:tcW w:w="35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color w:val="auto"/>
              </w:rPr>
              <w:t>21</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Scott Leonard,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2020 of Sustainable Opportunities Acquisition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August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Scott Leonard</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Quiram,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2020 of Sustainable Opportunities Acquisition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August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Quiram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David Quiram</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25" w:name="page26"/>
    <w:bookmarkEnd w:id="25"/>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Sustainable Opportunities Acquisition Corp.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quarter ended June 30, 2020,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Scott Leonard, Chief Executive Officer of the Company, certify, pursuant to 18 U.S.C. Section 1350, as adopted pursuant to Section 906 of the Sarbanes-Oxley Act of 2002, that, to my knowledge:</w:t>
      </w:r>
    </w:p>
    <w:p>
      <w:pPr>
        <w:spacing w:after="0" w:line="14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20" w:firstLine="8"/>
        <w:spacing w:after="0" w:line="500" w:lineRule="auto"/>
        <w:tabs>
          <w:tab w:leader="none" w:pos="33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12, 2020</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Scott Leonard</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Sustainable Opportunities Acquisition Corp.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quarter ended June 30, 2020,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David Quiram, Chief Financial Officer of the Company, certify, pursuant to 18 U.S.C. Section 1350, as adopted pursuant to Section 906 of the Sarbanes-Oxley Act of 2002, that, to my knowledge:</w:t>
      </w:r>
    </w:p>
    <w:p>
      <w:pPr>
        <w:spacing w:after="0" w:line="14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20" w:firstLine="8"/>
        <w:spacing w:after="0" w:line="500" w:lineRule="auto"/>
        <w:tabs>
          <w:tab w:leader="none" w:pos="3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12, 2020</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David Quiram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David Quiram</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lowerRoman"/>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2020-08-12T15:20:07Z</dcterms:created>
  <dcterms:modified xsi:type="dcterms:W3CDTF">2020-08-12T15:20:07Z</dcterms:modified>
</cp:coreProperties>
</file>