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17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to</w:t>
            </w:r>
          </w:p>
        </w:tc>
        <w:tc>
          <w:tcPr>
            <w:tcW w:w="3220" w:type="dxa"/>
            <w:vAlign w:val="bottom"/>
          </w:tcPr>
          <w:p>
            <w:pPr>
              <w:spacing w:after="0"/>
              <w:rPr>
                <w:sz w:val="20"/>
                <w:szCs w:val="20"/>
                <w:color w:val="auto"/>
              </w:rPr>
            </w:pPr>
          </w:p>
        </w:tc>
      </w:tr>
      <w:tr>
        <w:trPr>
          <w:trHeight w:val="410"/>
        </w:trPr>
        <w:tc>
          <w:tcPr>
            <w:tcW w:w="3280" w:type="dxa"/>
            <w:vAlign w:val="bottom"/>
          </w:tcPr>
          <w:p>
            <w:pPr>
              <w:spacing w:after="0"/>
              <w:rPr>
                <w:sz w:val="24"/>
                <w:szCs w:val="24"/>
                <w:color w:val="auto"/>
              </w:rPr>
            </w:pPr>
          </w:p>
        </w:tc>
        <w:tc>
          <w:tcPr>
            <w:tcW w:w="474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SUSTAINABLE OPPORTUNITIES ACQUISITION CORP.</w:t>
            </w:r>
          </w:p>
        </w:tc>
        <w:tc>
          <w:tcPr>
            <w:tcW w:w="3220" w:type="dxa"/>
            <w:vAlign w:val="bottom"/>
          </w:tcPr>
          <w:p>
            <w:pPr>
              <w:spacing w:after="0"/>
              <w:rPr>
                <w:sz w:val="24"/>
                <w:szCs w:val="24"/>
                <w:color w:val="auto"/>
              </w:rPr>
            </w:pPr>
          </w:p>
        </w:tc>
      </w:tr>
      <w:tr>
        <w:trPr>
          <w:trHeight w:val="238"/>
        </w:trPr>
        <w:tc>
          <w:tcPr>
            <w:tcW w:w="3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220" w:type="dxa"/>
            <w:vAlign w:val="bottom"/>
          </w:tcPr>
          <w:p>
            <w:pPr>
              <w:spacing w:after="0"/>
              <w:rPr>
                <w:sz w:val="20"/>
                <w:szCs w:val="20"/>
                <w:color w:val="auto"/>
              </w:rPr>
            </w:pPr>
          </w:p>
        </w:tc>
      </w:tr>
      <w:tr>
        <w:trPr>
          <w:trHeight w:val="453"/>
        </w:trPr>
        <w:tc>
          <w:tcPr>
            <w:tcW w:w="3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040" w:type="dxa"/>
            <w:vAlign w:val="bottom"/>
            <w:gridSpan w:val="5"/>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001-39281</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98-1523768</w:t>
            </w:r>
          </w:p>
        </w:tc>
      </w:tr>
      <w:tr>
        <w:trPr>
          <w:trHeight w:val="194"/>
        </w:trPr>
        <w:tc>
          <w:tcPr>
            <w:tcW w:w="3280" w:type="dxa"/>
            <w:vAlign w:val="bottom"/>
            <w:tcBorders>
              <w:top w:val="single" w:sz="8" w:color="auto"/>
            </w:tcBorders>
          </w:tcPr>
          <w:p>
            <w:pPr>
              <w:jc w:val="center"/>
              <w:ind w:left="21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gridSpan w:val="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tcPr>
          <w:p>
            <w:pPr>
              <w:jc w:val="center"/>
              <w:ind w:right="3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2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6320" w:type="dxa"/>
            <w:vAlign w:val="bottom"/>
            <w:gridSpan w:val="6"/>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1601 Bryan Street, Suite 4141</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59"/>
        </w:trPr>
        <w:tc>
          <w:tcPr>
            <w:tcW w:w="3280" w:type="dxa"/>
            <w:vAlign w:val="bottom"/>
            <w:tcBorders>
              <w:bottom w:val="single" w:sz="8" w:color="auto"/>
            </w:tcBorders>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238"/>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(952) 456-5304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04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5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194"/>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91"/>
        </w:trPr>
        <w:tc>
          <w:tcPr>
            <w:tcW w:w="36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900" w:type="dxa"/>
            <w:vAlign w:val="bottom"/>
            <w:tcBorders>
              <w:top w:val="single" w:sz="8" w:color="auto"/>
            </w:tcBorders>
            <w:shd w:val="clear" w:color="auto" w:fill="CCEEFF"/>
          </w:tcPr>
          <w:p>
            <w:pPr>
              <w:jc w:val="center"/>
              <w:ind w:right="610"/>
              <w:spacing w:after="0" w:line="191" w:lineRule="exact"/>
              <w:rPr>
                <w:sz w:val="20"/>
                <w:szCs w:val="20"/>
                <w:color w:val="auto"/>
              </w:rPr>
            </w:pPr>
            <w:r>
              <w:rPr>
                <w:rFonts w:ascii="Times New Roman" w:cs="Times New Roman" w:eastAsia="Times New Roman" w:hAnsi="Times New Roman"/>
                <w:sz w:val="18"/>
                <w:szCs w:val="18"/>
                <w:color w:val="auto"/>
                <w:w w:val="97"/>
              </w:rPr>
              <w:t>SOAC.U</w:t>
            </w:r>
          </w:p>
        </w:tc>
        <w:tc>
          <w:tcPr>
            <w:tcW w:w="20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New York Stock Exchange</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rPr>
              <w:t>Share, $0.0001 par value, and one-half of one</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w w:val="99"/>
              </w:rPr>
              <w:t>redeemable warrant</w:t>
            </w:r>
          </w:p>
        </w:tc>
        <w:tc>
          <w:tcPr>
            <w:tcW w:w="2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gridSpan w:val="3"/>
          </w:tcPr>
          <w:p>
            <w:pPr>
              <w:jc w:val="center"/>
              <w:ind w:right="920"/>
              <w:spacing w:after="0" w:line="198" w:lineRule="exact"/>
              <w:rPr>
                <w:sz w:val="20"/>
                <w:szCs w:val="20"/>
                <w:color w:val="auto"/>
              </w:rPr>
            </w:pPr>
            <w:r>
              <w:rPr>
                <w:rFonts w:ascii="Times New Roman" w:cs="Times New Roman" w:eastAsia="Times New Roman" w:hAnsi="Times New Roman"/>
                <w:sz w:val="18"/>
                <w:szCs w:val="18"/>
                <w:color w:val="auto"/>
                <w:w w:val="99"/>
              </w:rPr>
              <w:t>Class A Ordinary Shares included as part of the</w:t>
            </w:r>
          </w:p>
        </w:tc>
        <w:tc>
          <w:tcPr>
            <w:tcW w:w="3100" w:type="dxa"/>
            <w:vAlign w:val="bottom"/>
            <w:gridSpan w:val="2"/>
          </w:tcPr>
          <w:p>
            <w:pPr>
              <w:jc w:val="center"/>
              <w:ind w:right="900"/>
              <w:spacing w:after="0" w:line="198" w:lineRule="exact"/>
              <w:rPr>
                <w:sz w:val="20"/>
                <w:szCs w:val="20"/>
                <w:color w:val="auto"/>
              </w:rPr>
            </w:pPr>
            <w:r>
              <w:rPr>
                <w:rFonts w:ascii="Times New Roman" w:cs="Times New Roman" w:eastAsia="Times New Roman" w:hAnsi="Times New Roman"/>
                <w:sz w:val="18"/>
                <w:szCs w:val="18"/>
                <w:color w:val="auto"/>
                <w:w w:val="99"/>
              </w:rPr>
              <w:t>SOAC</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New York Stock Exchange</w:t>
            </w:r>
          </w:p>
        </w:tc>
        <w:tc>
          <w:tcPr>
            <w:tcW w:w="0" w:type="dxa"/>
            <w:vAlign w:val="bottom"/>
          </w:tcPr>
          <w:p>
            <w:pPr>
              <w:spacing w:after="0"/>
              <w:rPr>
                <w:sz w:val="1"/>
                <w:szCs w:val="1"/>
                <w:color w:val="auto"/>
              </w:rPr>
            </w:pPr>
          </w:p>
        </w:tc>
      </w:tr>
      <w:tr>
        <w:trPr>
          <w:trHeight w:val="234"/>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6"/>
              </w:rPr>
              <w:t>units</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40" w:type="dxa"/>
            <w:vAlign w:val="bottom"/>
            <w:gridSpan w:val="3"/>
            <w:shd w:val="clear" w:color="auto" w:fill="CCEEFF"/>
          </w:tcPr>
          <w:p>
            <w:pPr>
              <w:jc w:val="center"/>
              <w:ind w:right="920"/>
              <w:spacing w:after="0" w:line="198" w:lineRule="exact"/>
              <w:rPr>
                <w:sz w:val="20"/>
                <w:szCs w:val="20"/>
                <w:color w:val="auto"/>
              </w:rPr>
            </w:pPr>
            <w:r>
              <w:rPr>
                <w:rFonts w:ascii="Times New Roman" w:cs="Times New Roman" w:eastAsia="Times New Roman" w:hAnsi="Times New Roman"/>
                <w:sz w:val="18"/>
                <w:szCs w:val="18"/>
                <w:color w:val="auto"/>
                <w:w w:val="99"/>
              </w:rPr>
              <w:t>Warrants included as part of the Units, each</w:t>
            </w:r>
          </w:p>
        </w:tc>
        <w:tc>
          <w:tcPr>
            <w:tcW w:w="3100" w:type="dxa"/>
            <w:vAlign w:val="bottom"/>
            <w:gridSpan w:val="2"/>
            <w:shd w:val="clear" w:color="auto" w:fill="CCEEFF"/>
          </w:tcPr>
          <w:p>
            <w:pPr>
              <w:jc w:val="center"/>
              <w:ind w:right="900"/>
              <w:spacing w:after="0" w:line="198" w:lineRule="exact"/>
              <w:rPr>
                <w:sz w:val="20"/>
                <w:szCs w:val="20"/>
                <w:color w:val="auto"/>
              </w:rPr>
            </w:pPr>
            <w:r>
              <w:rPr>
                <w:rFonts w:ascii="Times New Roman" w:cs="Times New Roman" w:eastAsia="Times New Roman" w:hAnsi="Times New Roman"/>
                <w:sz w:val="18"/>
                <w:szCs w:val="18"/>
                <w:color w:val="auto"/>
              </w:rPr>
              <w:t>SOAC WS</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New York Stock Exchange</w:t>
            </w:r>
          </w:p>
        </w:tc>
        <w:tc>
          <w:tcPr>
            <w:tcW w:w="0" w:type="dxa"/>
            <w:vAlign w:val="bottom"/>
          </w:tcPr>
          <w:p>
            <w:pPr>
              <w:spacing w:after="0"/>
              <w:rPr>
                <w:sz w:val="1"/>
                <w:szCs w:val="1"/>
                <w:color w:val="auto"/>
              </w:rPr>
            </w:pP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rPr>
              <w:t>whole warrant exercisable for one Class A</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gridSpan w:val="3"/>
            <w:shd w:val="clear" w:color="auto" w:fill="CCEEFF"/>
          </w:tcPr>
          <w:p>
            <w:pPr>
              <w:jc w:val="center"/>
              <w:ind w:right="920"/>
              <w:spacing w:after="0"/>
              <w:rPr>
                <w:sz w:val="20"/>
                <w:szCs w:val="20"/>
                <w:color w:val="auto"/>
              </w:rPr>
            </w:pPr>
            <w:r>
              <w:rPr>
                <w:rFonts w:ascii="Times New Roman" w:cs="Times New Roman" w:eastAsia="Times New Roman" w:hAnsi="Times New Roman"/>
                <w:sz w:val="18"/>
                <w:szCs w:val="18"/>
                <w:color w:val="auto"/>
                <w:w w:val="99"/>
              </w:rPr>
              <w:t>Ordinary Share at an exercise price of $11.50</w:t>
            </w:r>
          </w:p>
        </w:tc>
        <w:tc>
          <w:tcPr>
            <w:tcW w:w="2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13, 2020, 30,000,000 Class A ordinary shares, par value $0.0001 per share, and 7,500,000 Class B ordinary shares,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113"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40" w:type="dxa"/>
            <w:vAlign w:val="bottom"/>
          </w:tcPr>
          <w:p>
            <w:pPr>
              <w:spacing w:after="0"/>
              <w:rPr>
                <w:sz w:val="22"/>
                <w:szCs w:val="22"/>
                <w:color w:val="auto"/>
              </w:rPr>
            </w:pPr>
          </w:p>
        </w:tc>
        <w:tc>
          <w:tcPr>
            <w:tcW w:w="9380" w:type="dxa"/>
            <w:vAlign w:val="bottom"/>
          </w:tcPr>
          <w:p>
            <w:pPr>
              <w:spacing w:after="0"/>
              <w:rPr>
                <w:sz w:val="22"/>
                <w:szCs w:val="22"/>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ind w:left="20"/>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FINANCIAL INFORMATION</w:t>
              </w:r>
            </w:hyperlink>
          </w:p>
        </w:tc>
        <w:tc>
          <w:tcPr>
            <w:tcW w:w="11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w:t>
              </w:r>
            </w:hyperlink>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Unaudited Condensed Balance Sheets as of September 30, 2020 and December 31, 2019</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Unaudited Condensed Statements of Operations for the three and nine months ended September 30, 2020</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Unaudited Condensed Statements of Changes in Shareholders’ Equity for the three and nine months ended September 30, 2020</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Unaudited Condensed Statement of Cash Flows for the nine months ended September 30, 2020</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Unaudited Condensed Financial Statements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Item 2.</w:t>
              </w:r>
            </w:hyperlink>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3.</w:t>
              </w:r>
            </w:hyperlink>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Quantitative and Qualitative Disclosures About Market Risk</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Item 4.</w:t>
              </w:r>
            </w:hyperlink>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Controls and Procedures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ind w:left="20"/>
              <w:spacing w:after="0"/>
              <w:rPr>
                <w:rFonts w:ascii="Times New Roman" w:cs="Times New Roman" w:eastAsia="Times New Roman" w:hAnsi="Times New Roman"/>
                <w:sz w:val="18"/>
                <w:szCs w:val="18"/>
                <w:b w:val="1"/>
                <w:bCs w:val="1"/>
                <w:u w:val="single" w:color="auto"/>
                <w:color w:val="0000EE"/>
              </w:rPr>
            </w:pPr>
            <w:hyperlink w:anchor="page20">
              <w:r>
                <w:rPr>
                  <w:rFonts w:ascii="Times New Roman" w:cs="Times New Roman" w:eastAsia="Times New Roman" w:hAnsi="Times New Roman"/>
                  <w:sz w:val="18"/>
                  <w:szCs w:val="18"/>
                  <w:b w:val="1"/>
                  <w:bCs w:val="1"/>
                  <w:u w:val="single" w:color="auto"/>
                  <w:color w:val="0000EE"/>
                </w:rPr>
                <w:t>PART II. OTHER INFORMATION</w:t>
              </w:r>
            </w:hyperlink>
          </w:p>
        </w:tc>
        <w:tc>
          <w:tcPr>
            <w:tcW w:w="112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1.</w:t>
              </w:r>
            </w:hyperlink>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Legal Proceedings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1A.</w:t>
              </w:r>
            </w:hyperlink>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Risk Factors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2.</w:t>
              </w:r>
            </w:hyperlink>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Unregistered Sales of Equity Securities and Use of Proceeds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3.</w:t>
              </w:r>
            </w:hyperlink>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Defaults Upon Senior Securities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4.</w:t>
              </w:r>
            </w:hyperlink>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Mine Safety Disclosures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Item 5.</w:t>
              </w:r>
            </w:hyperlink>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Other Information</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4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40" w:type="dxa"/>
            <w:vAlign w:val="bottom"/>
            <w:shd w:val="clear" w:color="auto" w:fill="CCEEFF"/>
          </w:tcPr>
          <w:p>
            <w:pPr>
              <w:ind w:left="2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 6.</w:t>
              </w:r>
            </w:hyperlink>
          </w:p>
        </w:tc>
        <w:tc>
          <w:tcPr>
            <w:tcW w:w="9380" w:type="dxa"/>
            <w:vAlign w:val="bottom"/>
            <w:shd w:val="clear" w:color="auto" w:fill="CCEEFF"/>
          </w:tcPr>
          <w:p>
            <w:pPr>
              <w:ind w:left="6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Exhibits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ind w:left="20"/>
              <w:spacing w:after="0"/>
              <w:rPr>
                <w:rFonts w:ascii="Times New Roman" w:cs="Times New Roman" w:eastAsia="Times New Roman" w:hAnsi="Times New Roman"/>
                <w:sz w:val="18"/>
                <w:szCs w:val="18"/>
                <w:b w:val="1"/>
                <w:bCs w:val="1"/>
                <w:u w:val="single" w:color="auto"/>
                <w:color w:val="0000EE"/>
              </w:rPr>
            </w:pPr>
            <w:hyperlink w:anchor="page22">
              <w:r>
                <w:rPr>
                  <w:rFonts w:ascii="Times New Roman" w:cs="Times New Roman" w:eastAsia="Times New Roman" w:hAnsi="Times New Roman"/>
                  <w:sz w:val="18"/>
                  <w:szCs w:val="18"/>
                  <w:b w:val="1"/>
                  <w:bCs w:val="1"/>
                  <w:u w:val="single" w:color="auto"/>
                  <w:color w:val="0000EE"/>
                </w:rPr>
                <w:t>SIGNATURES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77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Unaudited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60" w:type="dxa"/>
            <w:vAlign w:val="bottom"/>
          </w:tcPr>
          <w:p>
            <w:pPr>
              <w:spacing w:after="0"/>
              <w:rPr>
                <w:sz w:val="24"/>
                <w:szCs w:val="24"/>
                <w:color w:val="auto"/>
              </w:rPr>
            </w:pPr>
          </w:p>
        </w:tc>
        <w:tc>
          <w:tcPr>
            <w:tcW w:w="77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SUSTAINABLE OPPORTUNITIES ACQUISITION CORP.</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77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UNAUDITED CONDENSED BALANCE SHEETS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77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1,650,064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285,677</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15,961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1,935,741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300,064,524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associated with initial public offering</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103,660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60" w:type="dxa"/>
            <w:vAlign w:val="bottom"/>
            <w:vMerge w:val="continue"/>
          </w:tcPr>
          <w:p>
            <w:pPr>
              <w:spacing w:after="0"/>
              <w:rPr>
                <w:sz w:val="24"/>
                <w:szCs w:val="24"/>
                <w:color w:val="auto"/>
              </w:rPr>
            </w:pPr>
          </w:p>
        </w:tc>
        <w:tc>
          <w:tcPr>
            <w:tcW w:w="77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302,000,265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119,621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Borders>
              <w:top w:val="single" w:sz="8" w:color="CCEEFF"/>
            </w:tcBorders>
            <w:shd w:val="clear" w:color="auto" w:fill="CCEEFF"/>
          </w:tcPr>
          <w:p>
            <w:pPr>
              <w:spacing w:after="0"/>
              <w:rPr>
                <w:sz w:val="18"/>
                <w:szCs w:val="18"/>
                <w:color w:val="auto"/>
              </w:rPr>
            </w:pPr>
          </w:p>
        </w:tc>
        <w:tc>
          <w:tcPr>
            <w:tcW w:w="7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197,890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23,060</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745,200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943,090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103,660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underwriting commissions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10,500,000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11,443,090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103,660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28,555,717 and -0- shares subject to possible redemption at $10.00 per</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at September 30, 2020 and December 31, 2019,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285,557,170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Preference shares, $0.0001 par value; 1,000,000 shares authorized; none issued and outstanding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300,000,000 shares authorized; 1,444,283 and -0- shares issued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(excluding 28,555,717 and -0- shares subject to possible redemption) at September 30, 2020 and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$0.0001 par value; 30,000,000 shares authorized; 7,500,000 shares issued and outstanding at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30, 2020 and 8,625,000 shares issued and outstanding at December 31, 2019, respectively</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6,582,601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24,137</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(1,583,490)</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(9,039)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302,000,265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119,621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For the nine</w:t>
            </w:r>
          </w:p>
        </w:tc>
      </w:tr>
      <w:tr>
        <w:trPr>
          <w:trHeight w:val="216"/>
        </w:trPr>
        <w:tc>
          <w:tcPr>
            <w:tcW w:w="86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16"/>
        </w:trPr>
        <w:tc>
          <w:tcPr>
            <w:tcW w:w="86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36"/>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1,252,578</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1,638,975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86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(1,252,578)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(1,638,975)</w:t>
            </w:r>
          </w:p>
        </w:tc>
        <w:tc>
          <w:tcPr>
            <w:tcW w:w="100" w:type="dxa"/>
            <w:vAlign w:val="bottom"/>
          </w:tcPr>
          <w:p>
            <w:pPr>
              <w:spacing w:after="0"/>
              <w:rPr>
                <w:sz w:val="17"/>
                <w:szCs w:val="17"/>
                <w:color w:val="auto"/>
              </w:rPr>
            </w:pPr>
          </w:p>
        </w:tc>
      </w:tr>
      <w:tr>
        <w:trPr>
          <w:trHeight w:val="216"/>
        </w:trPr>
        <w:tc>
          <w:tcPr>
            <w:tcW w:w="8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in Trust Account</w:t>
            </w: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22,756</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64,524</w:t>
            </w:r>
          </w:p>
        </w:tc>
      </w:tr>
      <w:tr>
        <w:trPr>
          <w:trHeight w:val="278"/>
        </w:trPr>
        <w:tc>
          <w:tcPr>
            <w:tcW w:w="86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(1,229,822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(1,574,451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45"/>
        </w:trPr>
        <w:tc>
          <w:tcPr>
            <w:tcW w:w="8640" w:type="dxa"/>
            <w:vAlign w:val="bottom"/>
          </w:tcPr>
          <w:p>
            <w:pPr>
              <w:spacing w:after="0" w:line="296" w:lineRule="exact"/>
              <w:rPr>
                <w:sz w:val="20"/>
                <w:szCs w:val="20"/>
                <w:color w:val="auto"/>
              </w:rPr>
            </w:pPr>
            <w:r>
              <w:rPr>
                <w:rFonts w:ascii="Times New Roman" w:cs="Times New Roman" w:eastAsia="Times New Roman" w:hAnsi="Times New Roman"/>
                <w:sz w:val="18"/>
                <w:szCs w:val="18"/>
                <w:b w:val="1"/>
                <w:bCs w:val="1"/>
                <w:color w:val="auto"/>
              </w:rPr>
              <w:t xml:space="preserve">Weighted average ordinary shares outstanding, basic and diluted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8,821,301</w:t>
            </w:r>
          </w:p>
        </w:tc>
        <w:tc>
          <w:tcPr>
            <w:tcW w:w="220" w:type="dxa"/>
            <w:vAlign w:val="bottom"/>
          </w:tcPr>
          <w:p>
            <w:pPr>
              <w:spacing w:after="0"/>
              <w:rPr>
                <w:sz w:val="24"/>
                <w:szCs w:val="24"/>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8,724,681</w:t>
            </w:r>
          </w:p>
        </w:tc>
      </w:tr>
      <w:tr>
        <w:trPr>
          <w:trHeight w:val="216"/>
        </w:trPr>
        <w:tc>
          <w:tcPr>
            <w:tcW w:w="8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 xml:space="preserve">Basic and diluted net loss per ordinary share </w:t>
      </w:r>
      <w:r>
        <w:rPr>
          <w:rFonts w:ascii="Times New Roman" w:cs="Times New Roman" w:eastAsia="Times New Roman" w:hAnsi="Times New Roman"/>
          <w:sz w:val="28"/>
          <w:szCs w:val="28"/>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4"/>
        </w:trPr>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340"/>
              <w:spacing w:after="0" w:line="297" w:lineRule="exact"/>
              <w:rPr>
                <w:sz w:val="20"/>
                <w:szCs w:val="20"/>
                <w:color w:val="auto"/>
              </w:rPr>
            </w:pPr>
            <w:r>
              <w:rPr>
                <w:rFonts w:ascii="Times New Roman" w:cs="Times New Roman" w:eastAsia="Times New Roman" w:hAnsi="Times New Roman"/>
                <w:sz w:val="18"/>
                <w:szCs w:val="18"/>
                <w:color w:val="auto"/>
              </w:rPr>
              <w:t>(0.14</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w:t>
            </w:r>
          </w:p>
        </w:tc>
        <w:tc>
          <w:tcPr>
            <w:tcW w:w="780" w:type="dxa"/>
            <w:vAlign w:val="bottom"/>
            <w:gridSpan w:val="2"/>
          </w:tcPr>
          <w:p>
            <w:pPr>
              <w:jc w:val="right"/>
              <w:spacing w:after="0" w:line="297" w:lineRule="exact"/>
              <w:rPr>
                <w:sz w:val="20"/>
                <w:szCs w:val="20"/>
                <w:color w:val="auto"/>
              </w:rPr>
            </w:pPr>
            <w:r>
              <w:rPr>
                <w:rFonts w:ascii="Times New Roman" w:cs="Times New Roman" w:eastAsia="Times New Roman" w:hAnsi="Times New Roman"/>
                <w:sz w:val="18"/>
                <w:szCs w:val="18"/>
                <w:color w:val="auto"/>
              </w:rPr>
              <w:t>(0.19</w:t>
            </w:r>
            <w:r>
              <w:rPr>
                <w:rFonts w:ascii="Times New Roman" w:cs="Times New Roman" w:eastAsia="Times New Roman" w:hAnsi="Times New Roman"/>
                <w:sz w:val="34"/>
                <w:szCs w:val="34"/>
                <w:color w:val="auto"/>
                <w:vertAlign w:val="superscript"/>
              </w:rPr>
              <w:t>)</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7920" w:space="720"/>
            <w:col w:w="2600"/>
          </w:cols>
          <w:pgMar w:left="320" w:top="900" w:right="339" w:bottom="1440" w:gutter="0" w:footer="0" w:header="0"/>
          <w:type w:val="continuous"/>
        </w:sectPr>
      </w:pPr>
    </w:p>
    <w:p>
      <w:pPr>
        <w:ind w:left="2140" w:right="2140" w:hanging="2065"/>
        <w:spacing w:after="0" w:line="580" w:lineRule="auto"/>
        <w:tabs>
          <w:tab w:leader="none" w:pos="393"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This number excludes an aggregate of up to 28,555,717 shares subject to possible redemption at September 30, 2020. The accompanying notes are an integral part of these unaudited condensed financial statements.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CHANGES IN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80" w:type="dxa"/>
            <w:vAlign w:val="bottom"/>
            <w:tcBorders>
              <w:bottom w:val="single" w:sz="8" w:color="auto"/>
            </w:tcBorders>
            <w:gridSpan w:val="16"/>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2020</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2280" w:type="dxa"/>
            <w:vAlign w:val="bottom"/>
            <w:gridSpan w:val="6"/>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96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12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(58,999)</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(58,999)</w:t>
            </w: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24,137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(68,038)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units in initial public offering,</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299,997,000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300,000,000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(17,384,335)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(17,384,335)</w:t>
            </w: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Sale of private placement warrants to</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Sponsor in private placement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9,500,000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9,500,000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Class B ordinary shares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subject to possible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(28,678,699)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(2,868)</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(286,784,122)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(286,786,990)</w:t>
            </w: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(285,630)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(285,630)</w:t>
            </w:r>
          </w:p>
        </w:tc>
        <w:tc>
          <w:tcPr>
            <w:tcW w:w="0" w:type="dxa"/>
            <w:vAlign w:val="bottom"/>
          </w:tcPr>
          <w:p>
            <w:pPr>
              <w:spacing w:after="0"/>
              <w:rPr>
                <w:sz w:val="1"/>
                <w:szCs w:val="1"/>
                <w:color w:val="auto"/>
              </w:rPr>
            </w:pPr>
          </w:p>
        </w:tc>
      </w:tr>
      <w:tr>
        <w:trPr>
          <w:trHeight w:val="203"/>
        </w:trPr>
        <w:tc>
          <w:tcPr>
            <w:tcW w:w="30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 June 30, 2020</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1,321,301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132</w:t>
            </w:r>
          </w:p>
        </w:tc>
        <w:tc>
          <w:tcPr>
            <w:tcW w:w="2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7,500,000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750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5,352,793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(353,668)</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5,000,007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subject to possible</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122,982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1,229,808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1,229,820</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(1,229,822)</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(1,229,822)</w:t>
            </w:r>
          </w:p>
        </w:tc>
        <w:tc>
          <w:tcPr>
            <w:tcW w:w="0" w:type="dxa"/>
            <w:vAlign w:val="bottom"/>
          </w:tcPr>
          <w:p>
            <w:pPr>
              <w:spacing w:after="0"/>
              <w:rPr>
                <w:sz w:val="1"/>
                <w:szCs w:val="1"/>
                <w:color w:val="auto"/>
              </w:rPr>
            </w:pPr>
          </w:p>
        </w:tc>
      </w:tr>
      <w:tr>
        <w:trPr>
          <w:trHeight w:val="27"/>
        </w:trPr>
        <w:tc>
          <w:tcPr>
            <w:tcW w:w="3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September 30, 2020</w:t>
            </w: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vMerge w:val="continue"/>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1,444,283</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7,500,000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750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6,582,601</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(1,583,490</w:t>
            </w:r>
          </w:p>
        </w:tc>
        <w:tc>
          <w:tcPr>
            <w:tcW w:w="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5,000,005</w:t>
            </w:r>
          </w:p>
        </w:tc>
        <w:tc>
          <w:tcPr>
            <w:tcW w:w="0" w:type="dxa"/>
            <w:vAlign w:val="bottom"/>
          </w:tcPr>
          <w:p>
            <w:pPr>
              <w:spacing w:after="0"/>
              <w:rPr>
                <w:sz w:val="1"/>
                <w:szCs w:val="1"/>
                <w:color w:val="auto"/>
              </w:rPr>
            </w:pPr>
          </w:p>
        </w:tc>
      </w:tr>
      <w:tr>
        <w:trPr>
          <w:trHeight w:val="21"/>
        </w:trPr>
        <w:tc>
          <w:tcPr>
            <w:tcW w:w="3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UNAUDITED CONDENSED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paid by related party under note agreement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deposited in Trust Account</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from initial public offering,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Proceeds from private placement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costs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Repayment of note payable from related party</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beginning of the period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Offering costs included in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Offering costs funded with note payable to Sponsor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Use of retainer for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underwriting commissions in connection with the initial public offering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Forfeiture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Initial value of Class A ordinary shares subject to possible redemption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Change in value of Class A ordinary shares subject to possible redemption</w:t>
      </w:r>
    </w:p>
    <w:p>
      <w:pPr>
        <w:spacing w:after="0" w:line="205" w:lineRule="exact"/>
        <w:rPr>
          <w:sz w:val="20"/>
          <w:szCs w:val="20"/>
          <w:color w:val="auto"/>
        </w:rPr>
      </w:pPr>
    </w:p>
    <w:p>
      <w:pPr>
        <w:jc w:val="right"/>
        <w:ind w:right="178"/>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8"/>
        <w:spacing w:after="0"/>
        <w:rPr>
          <w:sz w:val="20"/>
          <w:szCs w:val="20"/>
          <w:color w:val="auto"/>
        </w:rPr>
      </w:pPr>
      <w:r>
        <w:rPr>
          <w:rFonts w:ascii="Times New Roman" w:cs="Times New Roman" w:eastAsia="Times New Roman" w:hAnsi="Times New Roman"/>
          <w:sz w:val="18"/>
          <w:szCs w:val="18"/>
          <w:b w:val="1"/>
          <w:bCs w:val="1"/>
          <w:color w:val="auto"/>
        </w:rPr>
        <w:t>For the nine</w:t>
      </w:r>
    </w:p>
    <w:p>
      <w:pPr>
        <w:spacing w:after="0" w:line="31" w:lineRule="exact"/>
        <w:rPr>
          <w:sz w:val="20"/>
          <w:szCs w:val="20"/>
          <w:color w:val="auto"/>
        </w:rPr>
      </w:pPr>
    </w:p>
    <w:p>
      <w:pPr>
        <w:jc w:val="center"/>
        <w:ind w:left="2" w:right="78"/>
        <w:spacing w:after="0" w:line="255" w:lineRule="auto"/>
        <w:rPr>
          <w:sz w:val="20"/>
          <w:szCs w:val="20"/>
          <w:color w:val="auto"/>
        </w:rPr>
      </w:pPr>
      <w:r>
        <w:rPr>
          <w:rFonts w:ascii="Times New Roman" w:cs="Times New Roman" w:eastAsia="Times New Roman" w:hAnsi="Times New Roman"/>
          <w:sz w:val="18"/>
          <w:szCs w:val="18"/>
          <w:b w:val="1"/>
          <w:bCs w:val="1"/>
          <w:color w:val="auto"/>
        </w:rPr>
        <w:t>months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00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93" w:lineRule="exact"/>
        <w:rPr>
          <w:sz w:val="20"/>
          <w:szCs w:val="20"/>
          <w:color w:val="auto"/>
        </w:rPr>
      </w:pPr>
    </w:p>
    <w:p>
      <w:pPr>
        <w:ind w:left="362" w:hanging="362"/>
        <w:spacing w:after="0"/>
        <w:tabs>
          <w:tab w:leader="none" w:pos="3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(1,574,451)</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70,123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(64,524)</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(272,987)</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111,771</w:t>
      </w:r>
    </w:p>
    <w:p>
      <w:pPr>
        <w:spacing w:after="0" w:line="9" w:lineRule="exact"/>
        <w:rPr>
          <w:sz w:val="20"/>
          <w:szCs w:val="20"/>
          <w:color w:val="auto"/>
        </w:rPr>
      </w:pPr>
    </w:p>
    <w:p>
      <w:pPr>
        <w:ind w:left="542"/>
        <w:spacing w:after="0"/>
        <w:rPr>
          <w:sz w:val="20"/>
          <w:szCs w:val="20"/>
          <w:color w:val="auto"/>
        </w:rPr>
      </w:pPr>
      <w:r>
        <w:rPr>
          <w:rFonts w:ascii="Times New Roman" w:cs="Times New Roman" w:eastAsia="Times New Roman" w:hAnsi="Times New Roman"/>
          <w:sz w:val="18"/>
          <w:szCs w:val="18"/>
          <w:color w:val="auto"/>
        </w:rPr>
        <w:t>745,200</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(984,868)</w:t>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(300,000,000)</w:t>
      </w:r>
    </w:p>
    <w:p>
      <w:pPr>
        <w:spacing w:after="0" w:line="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(300,000,000)</w:t>
      </w:r>
    </w:p>
    <w:p>
      <w:pPr>
        <w:spacing w:after="0" w:line="200" w:lineRule="exact"/>
        <w:rPr>
          <w:sz w:val="20"/>
          <w:szCs w:val="20"/>
          <w:color w:val="auto"/>
        </w:rPr>
      </w:pPr>
    </w:p>
    <w:p>
      <w:pPr>
        <w:spacing w:after="0" w:line="27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300,000,000</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9,500,000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(6,702,089)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(162,979)</w:t>
      </w:r>
    </w:p>
    <w:p>
      <w:pPr>
        <w:spacing w:after="0" w:line="31" w:lineRule="exact"/>
        <w:rPr>
          <w:sz w:val="20"/>
          <w:szCs w:val="20"/>
          <w:color w:val="auto"/>
        </w:rPr>
      </w:pPr>
    </w:p>
    <w:p>
      <w:pPr>
        <w:ind w:left="242"/>
        <w:spacing w:after="0"/>
        <w:rPr>
          <w:sz w:val="20"/>
          <w:szCs w:val="20"/>
          <w:color w:val="auto"/>
        </w:rPr>
      </w:pPr>
      <w:r>
        <w:rPr>
          <w:rFonts w:ascii="Times New Roman" w:cs="Times New Roman" w:eastAsia="Times New Roman" w:hAnsi="Times New Roman"/>
          <w:sz w:val="18"/>
          <w:szCs w:val="18"/>
          <w:color w:val="auto"/>
        </w:rPr>
        <w:t>302,634,932</w:t>
      </w:r>
    </w:p>
    <w:p>
      <w:pPr>
        <w:spacing w:after="0" w:line="252"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8"/>
          <w:szCs w:val="18"/>
          <w:color w:val="auto"/>
        </w:rPr>
        <w:t>1,650,064</w:t>
      </w:r>
    </w:p>
    <w:p>
      <w:pPr>
        <w:spacing w:after="0" w:line="239" w:lineRule="exact"/>
        <w:rPr>
          <w:sz w:val="20"/>
          <w:szCs w:val="20"/>
          <w:color w:val="auto"/>
        </w:rPr>
      </w:pPr>
    </w:p>
    <w:p>
      <w:pPr>
        <w:ind w:left="1082"/>
        <w:spacing w:after="0"/>
        <w:rPr>
          <w:sz w:val="20"/>
          <w:szCs w:val="20"/>
          <w:color w:val="auto"/>
        </w:rPr>
      </w:pP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left="422" w:hanging="422"/>
        <w:spacing w:after="0"/>
        <w:tabs>
          <w:tab w:leader="none" w:pos="422" w:val="left"/>
        </w:tabs>
        <w:numPr>
          <w:ilvl w:val="0"/>
          <w:numId w:val="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1,650,064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200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42" w:hanging="642"/>
        <w:spacing w:after="0"/>
        <w:tabs>
          <w:tab w:leader="none" w:pos="6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w:t>
      </w:r>
    </w:p>
    <w:p>
      <w:pPr>
        <w:spacing w:after="0" w:line="27" w:lineRule="exact"/>
        <w:rPr>
          <w:sz w:val="20"/>
          <w:szCs w:val="20"/>
          <w:color w:val="auto"/>
        </w:rPr>
      </w:pPr>
    </w:p>
    <w:p>
      <w:pPr>
        <w:ind w:left="642" w:hanging="642"/>
        <w:spacing w:after="0"/>
        <w:tabs>
          <w:tab w:leader="none" w:pos="6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92,856</w:t>
      </w:r>
    </w:p>
    <w:p>
      <w:pPr>
        <w:spacing w:after="0" w:line="9" w:lineRule="exact"/>
        <w:rPr>
          <w:sz w:val="20"/>
          <w:szCs w:val="20"/>
          <w:color w:val="auto"/>
        </w:rPr>
      </w:pPr>
    </w:p>
    <w:p>
      <w:pPr>
        <w:ind w:left="722" w:hanging="722"/>
        <w:spacing w:after="0"/>
        <w:tabs>
          <w:tab w:leader="none" w:pos="7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3,271</w:t>
      </w:r>
    </w:p>
    <w:p>
      <w:pPr>
        <w:spacing w:after="0" w:line="9"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10,500,000</w:t>
      </w:r>
    </w:p>
    <w:p>
      <w:pPr>
        <w:spacing w:after="0" w:line="9" w:lineRule="exact"/>
        <w:rPr>
          <w:sz w:val="20"/>
          <w:szCs w:val="20"/>
          <w:color w:val="auto"/>
        </w:rPr>
      </w:pPr>
    </w:p>
    <w:p>
      <w:pPr>
        <w:ind w:left="862" w:hanging="862"/>
        <w:spacing w:after="0"/>
        <w:tabs>
          <w:tab w:leader="none" w:pos="8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w:t>
      </w:r>
    </w:p>
    <w:p>
      <w:pPr>
        <w:spacing w:after="0" w:line="9" w:lineRule="exact"/>
        <w:rPr>
          <w:rFonts w:ascii="Times New Roman" w:cs="Times New Roman" w:eastAsia="Times New Roman" w:hAnsi="Times New Roman"/>
          <w:sz w:val="18"/>
          <w:szCs w:val="18"/>
          <w:color w:val="auto"/>
        </w:rPr>
      </w:pPr>
    </w:p>
    <w:p>
      <w:pPr>
        <w:ind w:left="242" w:hanging="242"/>
        <w:spacing w:after="0"/>
        <w:tabs>
          <w:tab w:leader="none" w:pos="2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287,041,190</w:t>
      </w:r>
    </w:p>
    <w:p>
      <w:pPr>
        <w:spacing w:after="0" w:line="9" w:lineRule="exact"/>
        <w:rPr>
          <w:rFonts w:ascii="Times New Roman" w:cs="Times New Roman" w:eastAsia="Times New Roman" w:hAnsi="Times New Roman"/>
          <w:sz w:val="18"/>
          <w:szCs w:val="18"/>
          <w:color w:val="auto"/>
        </w:rPr>
      </w:pPr>
    </w:p>
    <w:p>
      <w:pPr>
        <w:ind w:left="362" w:hanging="362"/>
        <w:spacing w:after="0"/>
        <w:tabs>
          <w:tab w:leader="none" w:pos="3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(1,484,020)</w:t>
      </w:r>
    </w:p>
    <w:p>
      <w:pPr>
        <w:sectPr>
          <w:pgSz w:w="11900" w:h="16838" w:orient="portrait"/>
          <w:cols w:equalWidth="0" w:num="2">
            <w:col w:w="9278" w:space="720"/>
            <w:col w:w="1202"/>
          </w:cols>
          <w:pgMar w:left="320" w:top="900"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is an emerging growth company and, as such, the Company is subject to all of the risks associated with emerging growth companies.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had not commenced any operations. All activity for the period from December 18, 2019 (inception) through September 30, 2020 relates to the Company’s formation and the initial public offering (the “Initial Public Offering”)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on cash and cash equivalents from the proceeds derived from the Initial Public Offering. The Company has selected December 31 as its fiscal year end.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sponsor is Sustainable Opportunities Holdings LLC, a Delaware limited liability company (the “Sponsor”). The registration statement for the Company’s Initial Public Offering was declared effective on May 5, 2020. On May 8, 2020, the Company consummated its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(Note 5).</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(“Private Placement”) of 9,500,000 warrants (each, a “Private Placement Warrant” and collectively, the “Private Placement Warrants”) at a price of $1.00 per Private Placement Warrant in a private placement to the Sponsor, generating gross proceeds of $9.5 million (Note 4).</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will provide the holders (the “Public Shareholders”) of its Class A ordinary shares, par value $0.0001 per share sold in the Initial Public Offering (the “Public Shares”) with the opportunity to redeem all or a portion of their Public Shares upon the completion of a Business Combination either</w:t>
      </w:r>
    </w:p>
    <w:p>
      <w:pPr>
        <w:jc w:val="both"/>
        <w:ind w:firstLine="8"/>
        <w:spacing w:after="0" w:line="251" w:lineRule="auto"/>
        <w:tabs>
          <w:tab w:leader="none" w:pos="22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adopted upon the consummation of the Initial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its Public Shares the right to have their shares redeemed in connection with its initial business combination or to redeem 100% of its Public Shares if the Company does not complete a Business Combination within 18 months from the closing of the Initial Public Offering, or November 8, 2021 (the “Combination Period”) unless the Company provides the Public Shareholders with the opportunity to redeem their Class A ordinary shares in conjunction with any such amendment.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85"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the Company had approximately $1.7 million in cash and working capital of approximately $1.0 million.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liquidity needs to date have been satisfied through a $25,000 contribution from the Sponsor in exchange for the issuance of the Founder Shares to the Sponsor, the advancement of funds by the Sponsor of approximately $163,000 under the Note (see Note 4) to the Company to cover for offering costs in connection with the Initial Public Offering, and the proceeds from the consummation of the Private Placement not held in the Trust Account. The Company fully repaid the Note on May 8, 2020. In addition, in order to finance transaction costs in connection with a Business Combination, the Sponsor or an affiliate of the Sponsor, or certain of the Company’s officers and directors may, but are not obligated to, provide the Company Working Capital Loans (see Note 4). As of September 30, 2020, there were no amounts outstanding under any Working Capital Loans.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period for the three and nine months ended September 30, 2020 are not necessarily indicative of the results that may be expected for the year ending December 31, 2020.</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notes thereto included in the Form 8-K and the final prospectus filed by the Company with the SEC on May 14, 2020 and May 6, 2020,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September 30, 2020 and December 31, 2019, the Company has not experienced losses on these accounts and management believes the Company is not exposed to significant risks on such accounts.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approximately $300.1 million in cash equivalents held in the Trust Account as of September 30,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portfolio of marketable securities is comprised solely of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classified as trading securities. Upon the closing of the Initial Public Offering and the Private Placement $300 million was placed in the Trust Account and invested in money market funds that invest in U.S. government securities. All of the Company’s investments held in the Trust Account are classified as trading securities. Trading securities are presented on the balance sheet at fair value at the end of each reporting period.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the carrying values of cash, accounts payable and accrued expenses approximate their fair values due to the short-term nature of the instruments. As of September 30, 2020, the Company’s portfolio of investments held in Trust Account is comprised entirely of investments in money market funds that invest in U.S. government securities. The Company uses NAV as a practical expedient to fair value for its investments in money market funds.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the Initial Public Offering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Offering costs consist of legal, accounting, underwriting fees and other costs that were directly related to the Initial Public Offering and that were charged to additional paid-in capital upon the completion of the Initial Public Offering on May 8, 2020.</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subject to possible redemption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occurrence of uncertain future events. Accordingly, as of September 30, 2020, 28,555,717 Class A ordinary shares subject to possible redemption were presented at redemption value as temporary equity, outside of the shareholders’ equity section of the Company’s condensed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Ordinary Share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applies the two-class method in calculating earnings per share. Net loss per share is computed by dividing net loss by the weighted-average number of ordinary shares outstanding during the periods. An aggregate of 28,555,717 Class A ordinary shares subject to possible redemption at September 30, 2020 has been excluded from the calculation of basic loss per ordinary share, since such shares, if redeemed, only participate in their pro rata share of the Trust earnings. The Company has not considered the effect of the warrants sold in the Initial Public Offering and Private Placement to purchase an aggregate of 24,500,000 Class A ordinary shares in the calculation of diluted loss per ordinary share, since the exercise of the warrants are contingent upon the occurrence of future events. As a result, diluted net loss per ordinary share is the same as basic net loss per ordinary share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per ordinary share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net income (loss) is adjusted for the portion of income (loss) that is attributable to ordinary shares subject to redemption, as these shares only participate in the earnings of the Trust Account and not the income or losses of the Company. Accordingly, basic and diluted loss per ordinary share is calculated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8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 the Nine</w:t>
            </w:r>
          </w:p>
        </w:tc>
      </w:tr>
      <w:tr>
        <w:trPr>
          <w:trHeight w:val="216"/>
        </w:trPr>
        <w:tc>
          <w:tcPr>
            <w:tcW w:w="85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8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16"/>
        </w:trPr>
        <w:tc>
          <w:tcPr>
            <w:tcW w:w="856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5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(1,229,822)</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(1,574,451)</w:t>
            </w:r>
          </w:p>
        </w:tc>
      </w:tr>
      <w:tr>
        <w:trPr>
          <w:trHeight w:val="216"/>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attributable to Class A ordinary shares subject to possible redemption</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(21,662)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(61,421)</w:t>
            </w:r>
          </w:p>
        </w:tc>
      </w:tr>
      <w:tr>
        <w:trPr>
          <w:trHeight w:val="216"/>
        </w:trPr>
        <w:tc>
          <w:tcPr>
            <w:tcW w:w="8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line="256" w:lineRule="exact"/>
              <w:rPr>
                <w:sz w:val="20"/>
                <w:szCs w:val="20"/>
                <w:color w:val="auto"/>
              </w:rPr>
            </w:pPr>
            <w:r>
              <w:rPr>
                <w:rFonts w:ascii="Times New Roman" w:cs="Times New Roman" w:eastAsia="Times New Roman" w:hAnsi="Times New Roman"/>
                <w:sz w:val="16"/>
                <w:szCs w:val="16"/>
                <w:color w:val="auto"/>
              </w:rPr>
              <w:t>(1,251,484</w:t>
            </w:r>
            <w:r>
              <w:rPr>
                <w:rFonts w:ascii="Times New Roman" w:cs="Times New Roman" w:eastAsia="Times New Roman" w:hAnsi="Times New Roman"/>
                <w:sz w:val="29"/>
                <w:szCs w:val="29"/>
                <w:color w:val="auto"/>
                <w:vertAlign w:val="superscript"/>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(1,635,872</w:t>
            </w:r>
            <w:r>
              <w:rPr>
                <w:rFonts w:ascii="Times New Roman" w:cs="Times New Roman" w:eastAsia="Times New Roman" w:hAnsi="Times New Roman"/>
                <w:sz w:val="29"/>
                <w:szCs w:val="29"/>
                <w:color w:val="auto"/>
                <w:vertAlign w:val="superscript"/>
              </w:rPr>
              <w:t>)</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ordinary shares outstanding, basic and diluted</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8,821,301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8,724,681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ordinary share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80"/>
              <w:spacing w:after="0" w:line="256" w:lineRule="exact"/>
              <w:rPr>
                <w:sz w:val="20"/>
                <w:szCs w:val="20"/>
                <w:color w:val="auto"/>
              </w:rPr>
            </w:pPr>
            <w:r>
              <w:rPr>
                <w:rFonts w:ascii="Times New Roman" w:cs="Times New Roman" w:eastAsia="Times New Roman" w:hAnsi="Times New Roman"/>
                <w:sz w:val="16"/>
                <w:szCs w:val="16"/>
                <w:b w:val="1"/>
                <w:bCs w:val="1"/>
                <w:color w:val="auto"/>
              </w:rPr>
              <w:t>(0.14</w:t>
            </w:r>
            <w:r>
              <w:rPr>
                <w:rFonts w:ascii="Times New Roman" w:cs="Times New Roman" w:eastAsia="Times New Roman" w:hAnsi="Times New Roman"/>
                <w:sz w:val="29"/>
                <w:szCs w:val="29"/>
                <w:b w:val="1"/>
                <w:bCs w:val="1"/>
                <w:color w:val="auto"/>
                <w:vertAlign w:val="superscript"/>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Times New Roman" w:cs="Times New Roman" w:eastAsia="Times New Roman" w:hAnsi="Times New Roman"/>
                <w:sz w:val="16"/>
                <w:szCs w:val="16"/>
                <w:b w:val="1"/>
                <w:bCs w:val="1"/>
                <w:color w:val="auto"/>
              </w:rPr>
              <w:t>(0.19</w:t>
            </w:r>
            <w:r>
              <w:rPr>
                <w:rFonts w:ascii="Times New Roman" w:cs="Times New Roman" w:eastAsia="Times New Roman" w:hAnsi="Times New Roman"/>
                <w:sz w:val="29"/>
                <w:szCs w:val="29"/>
                <w:b w:val="1"/>
                <w:bCs w:val="1"/>
                <w:color w:val="auto"/>
                <w:vertAlign w:val="superscript"/>
              </w:rPr>
              <w:t>)</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September 30, 2020 and December 31, 2019.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as of September 30, 2020 and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considered an exempted Cayman Islands company and is presently not subject to income taxes or income tax filing requirements in the Cayman Islands or the United States. As such, the Company’s tax provision is zero for the period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management does not believe that any recently issued, but not yet effective, accounting standards, if currently adopted, would have a material effect on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8, 2020, the Company consummated its Initial Public Offering of 30,000,000 Units at $10.00 per Unit, generating gross proceeds of $300.0 million, and incurring offering costs of approximately $17.4 million, inclusive of $10.5 million in deferred underwriting commissions.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2019, the Sponsor purchased 8,625,000 shares (the “Founder Shares”) of the Company’s Class B ordinary shares, par value $0.0001 for an aggregate price of $25,000. In March 2020, the Sponsor transferred 30,000 Founder Shares to each of the Company’s independent directors. The Founder Shares will automatically convert into Class A ordinary shares at the time of the Company’s initial Business Combination and are subject to certain transfer restrictions, as described in Note 6. The Sponsor had agreed to forfeit up to 1,125,000 Founder Shares to the extent that the over-allotment option was not exercised in full by the underwriter so that the Founder Shares will represent 20.0% of the Company’s issued and outstanding shares after the Initial Public Offering. The over-allotment option expired in June 2020; thus, these Founder Shares were forfeited accordingly.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Initial Shareholders agreed,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Private Placement of 9,500,000 Private Placement Warrants at a price of $1.00 per Private Placement Warrant to the Sponsor, generating gross proceeds of $9.5 million. Each Private Placement Warrant is exercisable for one whole Class A ordinary share at a price of $11.50 per share.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31, 2019, the Sponsor agreed to loan the Company an aggregate of up to $300,000 to cover expenses related to the Initial Public Offering pursuant to a promissory note (the “Note”). This loan was non-interest bearing and payable upon the completion of the Initial Public Offering. The Company borrowed approximately $163,000 under the Note and fully repaid this amount on May 8, 2020.</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To date, the Company had no borrowings under the Working Capital Loans.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Support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commencing on May 8, 2020 through the earlier of the Company’s consummation of a Business Combination and its liquidation, to reimburse the Sponsor a total of $10,000 per month for office space, secretarial and administrative services. The Company incurred and paid $30,000 and $50,000 in expenses in connection with such services and recorded in general and administrative expenses in the statements of operations for the three and nine months ended September 30, 2020,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&amp;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and Shareholder Rights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granted the underwriter a 45-day option from the date of the final prospectus relating to the Initial Public Offering to purchase up to 4,500,000 additional Units to cover over-allotments, if any, at $10.00 per Unit, less the underwriting discounts and commissions. The over-allotment option expired in June 2020.</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receiving consulting services in connection with identification of potential targets for a Business Combination and due diligence on such targets. As compensation for such services, the Company paid a nonrefundable fixed fee of $350,000 and agreed to pay the consulting firm $2,650,000 solely in the event that the Company completes a Business Combination. The consulting agreement may be terminated early by either party to the agreement provided that the Company pays a termination fee to the consulting firm determined based on a monthly increasing amount through November 2021. As of September 30, 2020, the termination fee is $697,400, which has been accrued and recognized in general and administrative expenses within the condensed statements of operations.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Preference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preference shares with such designations, voting and other rights and preferences as may be determined from time to time by the Company’s board of directors. As of September 30, 2020 and December 31, 2019, there were no preference shares issued or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A Ordinary Shares </w:t>
      </w:r>
      <w:r>
        <w:rPr>
          <w:rFonts w:ascii="Times New Roman" w:cs="Times New Roman" w:eastAsia="Times New Roman" w:hAnsi="Times New Roman"/>
          <w:sz w:val="18"/>
          <w:szCs w:val="18"/>
          <w:color w:val="auto"/>
        </w:rPr>
        <w:t>— The Company is authorized to issue 300,000,000 Class A ordinary shares with a par value of $0.0001 per share.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2020 and December 31, 2019, there were 30,000,000 and none Class A ordinary shares outstanding, including 28,555,717 and none Class A ordinary shares subject to possible conversion were classified as temporary equity in the accompanying balance sheets, respectively.</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B Ordinary Shares </w:t>
      </w:r>
      <w:r>
        <w:rPr>
          <w:rFonts w:ascii="Times New Roman" w:cs="Times New Roman" w:eastAsia="Times New Roman" w:hAnsi="Times New Roman"/>
          <w:sz w:val="18"/>
          <w:szCs w:val="18"/>
          <w:color w:val="auto"/>
        </w:rPr>
        <w:t>— The Company is authorized to issue 30,000,000 Class B ordinary shares with a par value of $0.0001 per share. Holders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B ordinary shares are entitled to one vote for each share. As of December 31, 2019, there were 8,625,000 Class B ordinary shares outstanding. Of these, an aggregate of up to 1,125,000 shares were subject to forfeiture to the Company by the Sponsor for no consideration to the extent that the underwriter’s over-allotment option was not exercised in full or in part, so that the Initial Shareholders will collectively own 20% of the Company’s issued and outstanding ordinary shares after the Initial Public Offering. The over-allotment option expired in June 2020; thus, an aggregate of 1,125,000 Class B ordinary shares was forfeited accordingly. As of September 30, 2020, there were 7,500,000 Class B ordinary shares outstanding.</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Holders of the Class A ordinary shares and holders of the Class B ordinary shares will vote together as a single class on all matters submitted to a vote of the Company’s shareholders except as required by law.</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w:t>
      </w:r>
    </w:p>
    <w:p>
      <w:pPr>
        <w:spacing w:after="0" w:line="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Class A ordinary shares issuable upon exercise of the warrants is not effective by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SUSTAINABLE OPPORTUNITIES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call the Public Warrants for redemption (except with respect to the Private Placement Warrants):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and transactions that occurred after the balance sheet date up to the date that the financial statements were issued. Based upon this review, other than as described in these financial statements, the Company did not identify any subsequent events that would have required adjustment or disclosure in the financial statements.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References to the “Company,” “Sustainable Opportunities Acquisition Corp.,” “our,” “us” or “we” refer to Sustainable Opportunities Acquisition Corp.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U.S. Securities and Exchange Commission (“SEC”) filings.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blank check company incorporated as a Cayman Islands exempted company on December 18, 2019 for the purpose of effecting a merger, share exchange, asset acquisition, share purchase, reorganization or similar business combination with one or more businesses that we have not yet identified (“Business Combination”). Although we are not limited to a particular industry or geographic region for purposes of consummating a Business Combination, we intend to focus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Our sponsor is Sustainable Opportunities Holdings LLC, a Delaware limited liability company (the “Sponsor”).</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registration statement for our Initial Public Offering was declared effective on May 5, 2020. On May 8, 2020, we consummated our Initial Public Offering of 30,000,000 units (the “Units” and, with respect to the Class A ordinary shares included in the Units being offered, the “Public Shares”) at $10.00 per Unit, generating gross proceeds of $300.0 million, and incurring offering costs of approximately $17.4 million, inclusive of $10.5 million in deferred underwriting commissions. We granted the underwriter a 45-day option to purchase up to an additional 4,500,000 Units at the Initial Public Offering price to cover over-allotments, if any.</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we consummated the private placement (“Private Placement”) of 9,500,000 warrants (each, a “Private Placement Warrant” and collectively, the “Private Placement Warrants”) at a price of $1.00 per Private Placement Warrant in a private placement to our Sponsor, generating gross proceeds of $9.5 million.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Upon the closing of the Initial Public Offering and the Private Placement, $300.0 million ($10.00 per Unit) of the net proceeds of the sale of the Units in the Initial Public Offering and the Private Placement were placed in a trust account (the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us meeting the conditions of paragraphs (d)(2), (d)(3) and (d)(4) of Rule 2a-7 of the Investment Company Act, as determined by us, until the earlier of: (i) the completion of a Business Combination and (ii) the distribution of the Trust Account as described below. Our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unable to complete a Business Combination within 18 months from the closing of the Initial Public Offering, or November 8, 2021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for our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our board of directors, liquidate and dissolve, subject in the case of clauses (ii) and (iii), to our obligations under Cayman Islands law to provide for claims of creditors and the requirements of other applicable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entire activity from December 18, 2019 (inception) through September 30, 2020, was in preparation for our Initial Public Offering, and since such offering, our activity has been limited to the search for a prospective initial Business Combination. We will not generate any operating revenues until the closing and completion of our initial Business Combination.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2020, we had a net loss of approximately $1,230,000, which consisted of general and administrative expenses of approximately $1,250,000, offset by approximately $23,000 in interest incomein Trust Account.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we had a net loss of approximately $1,570,000, which consisted of general and administrative expenses of approximately $1,640,000, offset by approximately $65,000 in interest income in Trust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we had approximately $1.7 million in cash and working capital of approximately $1.0 million.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liquidity needs to date have been satisfied through a $25,000 contribution from our Sponsor in exchange for the issuance of the Founder Shares to our Sponsor, the advancement of funds by our Sponsor of approximately $163,000 a note agreement from our Sponsor to us to cover certain offering costs in connection with the Initial Public Offering (the “Note”), and the proceeds from the consummation of the Private Placement not held in the Trust Account. We fully repaid the Note on May 8, 2020. In addition, in order to finance transaction costs in connection with a Business Combination, our Sponsor or an affiliate of our Sponsor, or certain of our officers and directors may, but are not obligated to, provide the Company working capital loans. As of September 30, 2020, there were no amounts outstanding under any working capital loans.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Based on the foregoing, our management believes that we will have sufficient working capital and borrowing capacity from our Sponsor or an affiliate of our Sponsor, or certain of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Contractual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was entitled to an underwriting discount of $0.20 per unit, or $6.0 million in the aggregate paid upon the closing of the Initial Public Offering. In addition, $0.35 per unit, or $10.5 million in the aggregate will be payable to the underwriter for deferred underwriting commissions. The deferred underwriting commissions will become payable to the underwriter from the amounts held in the Trust Account solely in the event that we complete a Business Combination, subject to the terms of the underwriting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Support Agreement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entered into an agreement, commencing on May 8, 2020 through the earlier of our consummation of a Business Combination and our liquidation, to reimburse our Sponsor a total of $10,000 per month for office space, secretarial and administrative services. We incurred and paid $30,000 and $50,000 in expenses in connection with such services and recorded in general and administrative expenses in the statements of operations for the three and nine months ended September 30, 2020, respectively.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Consulting Agreement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receiving consulting services in connection with identification of potential targets for a Business Combination and due diligence on such targets. As compensation for such services, we have paid a nonrefundable fixed fee of $350,000 and agreed to pay the consulting firm $2,650,000 solely in the event that we complete a Business Combination. The consulting agreement may be terminated early by either party to the agreement provided that we pay a termination fee to the consulting firm determined based on a monthly increasing amount through November 2021. As of September 30, 2020, the termination fee is $697,400, which has been accrued and recognized in general and administrative expenses within the condensed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The Company has identified the following as its critical accounting policies: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Ordinary Shares subject to possible redemption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our control) are classified as temporary equity. At all other times, Class A ordinary shares are classified as shareholders’ equity. Our Class A ordinary shares feature certain redemption rights that are considered to be outside of our control and subject to occurrence of uncertain future events. Accordingly, Class A ordinary shares subject to possible redemption were presented at redemption value as temporary equity, outside of the shareholders’ equity section of our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Ordinary Share</w:t>
      </w:r>
    </w:p>
    <w:p>
      <w:pPr>
        <w:spacing w:after="0" w:line="227"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We apply the two-class method in calculating earnings per share. Net loss per share is computed by dividing net loss by the weighted-average number of ordinary shares outstanding during the periods. An aggregate of 28,555,717 Class A ordinary shares subject to possible redemption at September 30, 2020 has been excluded from the calculation of basic loss per ordinary share, since such shares, if redeemed, only participate in their pro rata share of the Trust earnings. We have not considered the effect of the warrants sold in the Initial Public Offering and Private Placement to purchase an aggregate of 24,500,000 Class A ordinary shares in the calculation of diluted loss per ordinary share, since the exercise of the warrants are contingent upon the occurrence of future events. As a result, diluted net loss per ordinary share is the same as basic net loss per ordinary share for the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2020,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such, our financial statements may not be comparable to companies that comply with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pronouncements, if currently adopted, would have a material effect on the Company’s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8" w:name="page19"/>
    <w:bookmarkEnd w:id="18"/>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we were not subject to any market or interest rate risk. Following the consummation of our Initial Public Offering, the net proceeds of our Initial Public Offering, including amounts in the Trust Account, were invested in U.S. government treasury bills, notes or bonds or in certain money market funds that invest solely in direct U.S. government treasury obligations. Due to the short-term nature of these investments, we believe there will be no associated material exposure to interest rate risk.</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not engaged in any hedging activities since our inception and we do not expect to engage in any hedging activities with respect to the market risk to which we are exposed.</w:t>
      </w:r>
    </w:p>
    <w:p>
      <w:pPr>
        <w:spacing w:after="0" w:line="158" w:lineRule="exact"/>
        <w:rPr>
          <w:sz w:val="20"/>
          <w:szCs w:val="20"/>
          <w:color w:val="auto"/>
        </w:rPr>
      </w:pPr>
    </w:p>
    <w:p>
      <w:pPr>
        <w:ind w:left="28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September 30, 2020, as such term is defined in Rules 13a-15(e) and 15d-15(e) under the Exchange Act. Based on this evaluation, our principal executive officer and principal financial and accounting officer has concluded that during the period covered by this report, our disclosure controls and procedures were effective.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September 30, 2020 covered by this Quarterly Report on Form 10-Q that has materially affected, or is reasonably likely to materially affect, our internal control over financial reporting.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Quarterly Report on Form 10-Q, there have been no material changes to the risk factors disclosed in our final prospectus filed with the SEC on May 6, 2020 except for the below risk factor. We may disclose changes to such factors or disclose additional factors from time to time in our future filings with the SEC.</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securities in which we invest the funds held in the trust account could bear a negative rate of interest, which could reduce the value of the assets held in trust such that the per-share redemption amount received by public shareholders may be less than $10.00 per share.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While short-term U.S. government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that we are unable to complete our initial business combination or make certain amendments to our amended and restated memorandum and articles of association, our public shareholders are entitled to receive their pro-rata share of the proceeds held in the trust account, plus any interest income, net of income taxes paid or payable (less, in the case we are unable to complete our initial business combination, $100,000 of interest to pay dissolution expenses). Negative interest rates could reduce the value of the assets held in trust such that the per-share redemption amount received by public shareholders may be less than $10.00 per share.</w:t>
      </w:r>
    </w:p>
    <w:p>
      <w:pPr>
        <w:spacing w:after="0" w:line="184"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 from Registered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31, 2019, the Sponsor paid $25,000, or approximately $0.003 per share, in consideration of 8,625,000 Class B ordinary shares, par value $0.0001 per share. Such securities were issued in connection with the Company’s organization pursuant to the exemption from registration contained in Section 4(a)(2) of the Securities Act of 1933, as amended (the “Securities Act”).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5, 2020, the Sponsor purchased 9,500,000 Private Placement Warrants, each exercisable to purchase one ordinary share at $11.50 per share, at a price of $1.00 per warrant ($9,500,000 in the aggregate), in a private placement that closed simultaneously with the closing of the Initial Public Offering. This issuance was made pursuant to the exemption from registration contained in Section 4(a)(2) of the Securities 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underwriting discounts or commissions were paid with respect to such sales.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Initial Public Offering, we incurred offering costs of approximately $17.4 million (including deferred underwriting commissions of approximately $10.5 million). Other incurred offering costs consisted principally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$300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158"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85"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0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41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tcPr>
          <w:p>
            <w:pPr>
              <w:spacing w:after="0"/>
              <w:rPr>
                <w:sz w:val="22"/>
                <w:szCs w:val="22"/>
                <w:color w:val="auto"/>
              </w:rPr>
            </w:pPr>
          </w:p>
        </w:tc>
        <w:tc>
          <w:tcPr>
            <w:tcW w:w="56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Certification of Chief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217"/>
        </w:trPr>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8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9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Certification of Chief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217"/>
        </w:trPr>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80" w:type="dxa"/>
            <w:vAlign w:val="bottom"/>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9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80" w:type="dxa"/>
            <w:vAlign w:val="bottom"/>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217"/>
        </w:trPr>
        <w:tc>
          <w:tcPr>
            <w:tcW w:w="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5"/>
            <w:shd w:val="clear" w:color="auto" w:fill="CCEEFF"/>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Oxley Act of 2002</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28"/>
        </w:trPr>
        <w:tc>
          <w:tcPr>
            <w:tcW w:w="840" w:type="dxa"/>
            <w:vAlign w:val="bottom"/>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980" w:type="dxa"/>
            <w:vAlign w:val="bottom"/>
            <w:gridSpan w:val="6"/>
            <w:vMerge w:val="restart"/>
            <w:shd w:val="clear" w:color="auto" w:fill="CCEEFF"/>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Act of 2002</w:t>
              </w:r>
            </w:hyperlink>
          </w:p>
        </w:tc>
        <w:tc>
          <w:tcPr>
            <w:tcW w:w="0" w:type="dxa"/>
            <w:vAlign w:val="bottom"/>
          </w:tcPr>
          <w:p>
            <w:pPr>
              <w:spacing w:after="0"/>
              <w:rPr>
                <w:sz w:val="1"/>
                <w:szCs w:val="1"/>
                <w:color w:val="auto"/>
              </w:rPr>
            </w:pPr>
          </w:p>
        </w:tc>
      </w:tr>
      <w:tr>
        <w:trPr>
          <w:trHeight w:val="88"/>
        </w:trPr>
        <w:tc>
          <w:tcPr>
            <w:tcW w:w="8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9980" w:type="dxa"/>
            <w:vAlign w:val="bottom"/>
            <w:gridSpan w:val="6"/>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2020</w:t>
            </w:r>
          </w:p>
        </w:tc>
        <w:tc>
          <w:tcPr>
            <w:tcW w:w="37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Leonard</w:t>
            </w:r>
          </w:p>
        </w:tc>
      </w:tr>
      <w:tr>
        <w:trPr>
          <w:trHeight w:val="198"/>
        </w:trPr>
        <w:tc>
          <w:tcPr>
            <w:tcW w:w="3700" w:type="dxa"/>
            <w:vAlign w:val="bottom"/>
          </w:tcPr>
          <w:p>
            <w:pPr>
              <w:spacing w:after="0"/>
              <w:rPr>
                <w:sz w:val="17"/>
                <w:szCs w:val="17"/>
                <w:color w:val="auto"/>
              </w:rPr>
            </w:pPr>
          </w:p>
        </w:tc>
        <w:tc>
          <w:tcPr>
            <w:tcW w:w="3740" w:type="dxa"/>
            <w:vAlign w:val="bottom"/>
          </w:tcPr>
          <w:p>
            <w:pPr>
              <w:ind w:left="30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Scott Leonard</w:t>
            </w:r>
          </w:p>
        </w:tc>
      </w:tr>
      <w:tr>
        <w:trPr>
          <w:trHeight w:val="234"/>
        </w:trPr>
        <w:tc>
          <w:tcPr>
            <w:tcW w:w="3700" w:type="dxa"/>
            <w:vAlign w:val="bottom"/>
          </w:tcPr>
          <w:p>
            <w:pPr>
              <w:spacing w:after="0"/>
              <w:rPr>
                <w:sz w:val="20"/>
                <w:szCs w:val="20"/>
                <w:color w:val="auto"/>
              </w:rPr>
            </w:pPr>
          </w:p>
        </w:tc>
        <w:tc>
          <w:tcPr>
            <w:tcW w:w="37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20</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1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Leonard,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2020 of Sustainable Opportunities Acquisition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ind w:left="20"/>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13, 2020</w:t>
      </w:r>
      <w:r>
        <w:rPr>
          <w:sz w:val="20"/>
          <w:szCs w:val="20"/>
          <w:color w:val="auto"/>
        </w:rPr>
        <w:tab/>
      </w:r>
      <w:r>
        <w:rPr>
          <w:rFonts w:ascii="Times New Roman" w:cs="Times New Roman" w:eastAsia="Times New Roman" w:hAnsi="Times New Roman"/>
          <w:sz w:val="18"/>
          <w:szCs w:val="18"/>
          <w:color w:val="auto"/>
        </w:rPr>
        <w:t>By:</w:t>
        <w:tab/>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Scott Leonard</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21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Quiram,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2020 of Sustainable Opportunities Acquisition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in accordance with SEC Release Nos. 34-47986 and 34-54942];</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ind w:left="20"/>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13, 2020</w:t>
      </w:r>
      <w:r>
        <w:rPr>
          <w:sz w:val="20"/>
          <w:szCs w:val="20"/>
          <w:color w:val="auto"/>
        </w:rPr>
        <w:tab/>
      </w:r>
      <w:r>
        <w:rPr>
          <w:rFonts w:ascii="Times New Roman" w:cs="Times New Roman" w:eastAsia="Times New Roman" w:hAnsi="Times New Roman"/>
          <w:sz w:val="18"/>
          <w:szCs w:val="18"/>
          <w:color w:val="auto"/>
        </w:rPr>
        <w:t>By:</w:t>
        <w:tab/>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David Quiram</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Sustainable Opportunities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September 30, 2020,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Scott Leonard,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40" w:hanging="228"/>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20" w:firstLine="12"/>
        <w:spacing w:after="0" w:line="500" w:lineRule="auto"/>
        <w:tabs>
          <w:tab w:leader="none" w:pos="2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13, 2020</w:t>
      </w:r>
    </w:p>
    <w:p>
      <w:pPr>
        <w:spacing w:after="0" w:line="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26035</wp:posOffset>
            </wp:positionV>
            <wp:extent cx="289750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7505" cy="17145"/>
                    </a:xfrm>
                    <a:prstGeom prst="rect">
                      <a:avLst/>
                    </a:prstGeom>
                    <a:noFill/>
                  </pic:spPr>
                </pic:pic>
              </a:graphicData>
            </a:graphic>
          </wp:anchor>
        </w:drawing>
      </w:r>
    </w:p>
    <w:p>
      <w:pPr>
        <w:spacing w:after="0" w:line="3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Name: Scott Leonard</w:t>
      </w:r>
    </w:p>
    <w:p>
      <w:pPr>
        <w:spacing w:after="0" w:line="27" w:lineRule="exact"/>
        <w:rPr>
          <w:sz w:val="20"/>
          <w:szCs w:val="20"/>
          <w:color w:val="auto"/>
        </w:rPr>
      </w:pPr>
    </w:p>
    <w:p>
      <w:pPr>
        <w:ind w:left="6680"/>
        <w:spacing w:after="0"/>
        <w:tabs>
          <w:tab w:leader="none" w:pos="7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Sustainable Opportunities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 ended September 30, 2020,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David Quiram,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40" w:hanging="228"/>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20" w:firstLine="12"/>
        <w:spacing w:after="0" w:line="500" w:lineRule="auto"/>
        <w:tabs>
          <w:tab w:leader="none" w:pos="2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13, 2020</w:t>
      </w:r>
    </w:p>
    <w:p>
      <w:pPr>
        <w:spacing w:after="0" w:line="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 David Quiram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26035</wp:posOffset>
            </wp:positionV>
            <wp:extent cx="28803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80360" cy="17145"/>
                    </a:xfrm>
                    <a:prstGeom prst="rect">
                      <a:avLst/>
                    </a:prstGeom>
                    <a:noFill/>
                  </pic:spPr>
                </pic:pic>
              </a:graphicData>
            </a:graphic>
          </wp:anchor>
        </w:drawing>
      </w:r>
    </w:p>
    <w:p>
      <w:pPr>
        <w:spacing w:after="0" w:line="3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Name:David Quiram</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2020-11-13T12:57:28Z</dcterms:created>
  <dcterms:modified xsi:type="dcterms:W3CDTF">2020-11-13T12:57:28Z</dcterms:modified>
</cp:coreProperties>
</file>