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WASHINGTON, D.C. 20549</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u w:val="single" w:color="auto"/>
          <w:color w:val="auto"/>
        </w:rPr>
        <w:t>Sustainable Opportunities Acquisition Corp.</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Class A ordinary shares, $0.0001 par value per share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G8598Y 109 (CUSIP Number)</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December 31, 2020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80" w:hanging="443"/>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65" w:lineRule="exact"/>
        <w:rPr>
          <w:rFonts w:ascii="MS PGothic" w:cs="MS PGothic" w:eastAsia="MS PGothic" w:hAnsi="MS PGothic"/>
          <w:sz w:val="18"/>
          <w:szCs w:val="18"/>
          <w:color w:val="auto"/>
        </w:rPr>
      </w:pPr>
    </w:p>
    <w:p>
      <w:pPr>
        <w:ind w:left="340" w:hanging="324"/>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18"/>
          <w:szCs w:val="18"/>
          <w:color w:val="auto"/>
        </w:rPr>
      </w:pPr>
    </w:p>
    <w:p>
      <w:pPr>
        <w:ind w:left="340" w:right="320"/>
        <w:spacing w:after="0" w:line="263" w:lineRule="auto"/>
        <w:rPr>
          <w:rFonts w:ascii="MS PGothic" w:cs="MS PGothic" w:eastAsia="MS PGothic" w:hAnsi="MS PGothic"/>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-859790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0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G8598Y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886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Sustainable Opportunities Holdings LLC</w:t>
      </w:r>
    </w:p>
    <w:p>
      <w:pPr>
        <w:spacing w:after="0" w:line="22" w:lineRule="exact"/>
        <w:rPr>
          <w:sz w:val="20"/>
          <w:szCs w:val="20"/>
          <w:color w:val="auto"/>
        </w:rPr>
      </w:pPr>
    </w:p>
    <w:p>
      <w:pPr>
        <w:ind w:left="1020" w:hanging="621"/>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1020"/>
        <w:spacing w:after="0" w:line="207" w:lineRule="exact"/>
        <w:tabs>
          <w:tab w:leader="none" w:pos="16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76" w:lineRule="exact"/>
        <w:rPr>
          <w:sz w:val="20"/>
          <w:szCs w:val="20"/>
          <w:color w:val="auto"/>
        </w:rPr>
      </w:pPr>
    </w:p>
    <w:p>
      <w:pPr>
        <w:ind w:left="1020" w:hanging="621"/>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020" w:right="7600" w:hanging="621"/>
        <w:spacing w:after="0" w:line="39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8"/>
          <w:szCs w:val="18"/>
          <w:u w:val="single" w:color="auto"/>
          <w:color w:val="auto"/>
        </w:rPr>
        <w:t>Delaware</w:t>
      </w:r>
    </w:p>
    <w:p>
      <w:pPr>
        <w:ind w:left="3480" w:hanging="624"/>
        <w:spacing w:after="0"/>
        <w:tabs>
          <w:tab w:leader="none" w:pos="3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2"/>
              </w:rPr>
              <w:t>Number of</w:t>
            </w:r>
          </w:p>
        </w:tc>
        <w:tc>
          <w:tcPr>
            <w:tcW w:w="7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7,500,000 (1)</w:t>
            </w:r>
          </w:p>
        </w:tc>
        <w:tc>
          <w:tcPr>
            <w:tcW w:w="0" w:type="dxa"/>
            <w:vAlign w:val="bottom"/>
          </w:tcPr>
          <w:p>
            <w:pPr>
              <w:spacing w:after="0"/>
              <w:rPr>
                <w:sz w:val="1"/>
                <w:szCs w:val="1"/>
                <w:color w:val="auto"/>
              </w:rPr>
            </w:pPr>
          </w:p>
        </w:tc>
      </w:tr>
      <w:tr>
        <w:trPr>
          <w:trHeight w:val="215"/>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0"/>
              </w:rPr>
              <w:t>Shares</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800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4"/>
              </w:rPr>
              <w:t>Beneficially</w:t>
            </w:r>
          </w:p>
        </w:tc>
        <w:tc>
          <w:tcPr>
            <w:tcW w:w="780" w:type="dxa"/>
            <w:vAlign w:val="bottom"/>
          </w:tcPr>
          <w:p>
            <w:pPr>
              <w:spacing w:after="0"/>
              <w:rPr>
                <w:sz w:val="18"/>
                <w:szCs w:val="18"/>
                <w:color w:val="auto"/>
              </w:rPr>
            </w:pPr>
          </w:p>
        </w:tc>
        <w:tc>
          <w:tcPr>
            <w:tcW w:w="80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3"/>
              </w:rPr>
              <w:t>Owned By</w:t>
            </w:r>
          </w:p>
        </w:tc>
        <w:tc>
          <w:tcPr>
            <w:tcW w:w="780" w:type="dxa"/>
            <w:vAlign w:val="bottom"/>
            <w:tcBorders>
              <w:bottom w:val="single" w:sz="8" w:color="auto"/>
            </w:tcBorders>
          </w:tcPr>
          <w:p>
            <w:pPr>
              <w:spacing w:after="0"/>
              <w:rPr>
                <w:sz w:val="19"/>
                <w:szCs w:val="19"/>
                <w:color w:val="auto"/>
              </w:rPr>
            </w:pPr>
          </w:p>
        </w:tc>
        <w:tc>
          <w:tcPr>
            <w:tcW w:w="8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40" w:type="dxa"/>
            <w:vAlign w:val="bottom"/>
          </w:tcPr>
          <w:p>
            <w:pPr>
              <w:jc w:val="center"/>
              <w:ind w:right="690"/>
              <w:spacing w:after="0" w:line="189" w:lineRule="exact"/>
              <w:rPr>
                <w:sz w:val="20"/>
                <w:szCs w:val="20"/>
                <w:color w:val="auto"/>
              </w:rPr>
            </w:pPr>
            <w:r>
              <w:rPr>
                <w:rFonts w:ascii="Arial" w:cs="Arial" w:eastAsia="Arial" w:hAnsi="Arial"/>
                <w:sz w:val="18"/>
                <w:szCs w:val="18"/>
                <w:color w:val="auto"/>
                <w:w w:val="82"/>
              </w:rPr>
              <w:t>Each</w:t>
            </w:r>
          </w:p>
        </w:tc>
        <w:tc>
          <w:tcPr>
            <w:tcW w:w="78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7.</w:t>
            </w:r>
          </w:p>
        </w:tc>
        <w:tc>
          <w:tcPr>
            <w:tcW w:w="800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9"/>
              </w:rPr>
              <w:t>Reporting</w:t>
            </w:r>
          </w:p>
        </w:tc>
        <w:tc>
          <w:tcPr>
            <w:tcW w:w="7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7"/>
              </w:rPr>
              <w:t>Person</w:t>
            </w:r>
          </w:p>
        </w:tc>
        <w:tc>
          <w:tcPr>
            <w:tcW w:w="78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8"/>
                <w:szCs w:val="18"/>
                <w:color w:val="auto"/>
              </w:rPr>
              <w:t>7,500,000 (1)</w:t>
            </w:r>
          </w:p>
        </w:tc>
        <w:tc>
          <w:tcPr>
            <w:tcW w:w="0" w:type="dxa"/>
            <w:vAlign w:val="bottom"/>
          </w:tcPr>
          <w:p>
            <w:pPr>
              <w:spacing w:after="0"/>
              <w:rPr>
                <w:sz w:val="1"/>
                <w:szCs w:val="1"/>
                <w:color w:val="auto"/>
              </w:rPr>
            </w:pPr>
          </w:p>
        </w:tc>
      </w:tr>
      <w:tr>
        <w:trPr>
          <w:trHeight w:val="35"/>
        </w:trPr>
        <w:tc>
          <w:tcPr>
            <w:tcW w:w="1640" w:type="dxa"/>
            <w:vAlign w:val="bottom"/>
            <w:vMerge w:val="restart"/>
          </w:tcPr>
          <w:p>
            <w:pPr>
              <w:jc w:val="center"/>
              <w:ind w:right="69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tcBorders>
          </w:tcPr>
          <w:p>
            <w:pPr>
              <w:spacing w:after="0"/>
              <w:rPr>
                <w:sz w:val="3"/>
                <w:szCs w:val="3"/>
                <w:color w:val="auto"/>
              </w:rPr>
            </w:pPr>
          </w:p>
        </w:tc>
        <w:tc>
          <w:tcPr>
            <w:tcW w:w="8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40" w:type="dxa"/>
            <w:vAlign w:val="bottom"/>
            <w:vMerge w:val="continue"/>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800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1020" w:hanging="621"/>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7,500,000</w:t>
      </w:r>
    </w:p>
    <w:p>
      <w:pPr>
        <w:spacing w:after="0" w:line="23" w:lineRule="exact"/>
        <w:rPr>
          <w:sz w:val="20"/>
          <w:szCs w:val="20"/>
          <w:color w:val="auto"/>
        </w:rPr>
      </w:pPr>
    </w:p>
    <w:p>
      <w:pPr>
        <w:ind w:left="1020" w:hanging="665"/>
        <w:spacing w:after="0" w:line="207" w:lineRule="exact"/>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20" w:right="6420" w:hanging="662"/>
        <w:spacing w:after="0" w:line="39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20.0% (1)(2)</w:t>
      </w:r>
    </w:p>
    <w:p>
      <w:pPr>
        <w:ind w:left="1020" w:hanging="66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665" w:right="8160" w:hanging="621"/>
        <w:spacing w:after="0" w:line="391" w:lineRule="auto"/>
        <w:tabs>
          <w:tab w:leader="none" w:pos="665"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4886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t>Names of Reporting Persons Scott Leonard</w:t>
      </w:r>
    </w:p>
    <w:p>
      <w:pPr>
        <w:ind w:left="665" w:hanging="621"/>
        <w:spacing w:after="0"/>
        <w:tabs>
          <w:tab w:leader="none" w:pos="66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665"/>
        <w:spacing w:after="0" w:line="207" w:lineRule="exact"/>
        <w:tabs>
          <w:tab w:leader="none" w:pos="1325"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76" w:lineRule="exact"/>
        <w:rPr>
          <w:sz w:val="20"/>
          <w:szCs w:val="20"/>
          <w:color w:val="auto"/>
        </w:rPr>
      </w:pPr>
    </w:p>
    <w:p>
      <w:pPr>
        <w:ind w:left="665" w:hanging="621"/>
        <w:spacing w:after="0"/>
        <w:tabs>
          <w:tab w:leader="none" w:pos="66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665" w:right="7600" w:hanging="621"/>
        <w:spacing w:after="0" w:line="391" w:lineRule="auto"/>
        <w:tabs>
          <w:tab w:leader="none" w:pos="665"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ind w:left="3125" w:hanging="624"/>
        <w:spacing w:after="0"/>
        <w:tabs>
          <w:tab w:leader="none" w:pos="3125"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465" w:type="dxa"/>
        <w:tblCellMar>
          <w:top w:w="0" w:type="dxa"/>
          <w:left w:w="0" w:type="dxa"/>
          <w:bottom w:w="0" w:type="dxa"/>
          <w:right w:w="0" w:type="dxa"/>
        </w:tblCellMar>
      </w:tblPr>
      <w:tr>
        <w:trPr>
          <w:trHeight w:val="237"/>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2"/>
              </w:rPr>
              <w:t>Number of</w:t>
            </w:r>
          </w:p>
        </w:tc>
        <w:tc>
          <w:tcPr>
            <w:tcW w:w="7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0"/>
              </w:rPr>
              <w:t>Shares</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800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4"/>
              </w:rPr>
              <w:t>Beneficially</w:t>
            </w:r>
          </w:p>
        </w:tc>
        <w:tc>
          <w:tcPr>
            <w:tcW w:w="780" w:type="dxa"/>
            <w:vAlign w:val="bottom"/>
          </w:tcPr>
          <w:p>
            <w:pPr>
              <w:spacing w:after="0"/>
              <w:rPr>
                <w:sz w:val="18"/>
                <w:szCs w:val="18"/>
                <w:color w:val="auto"/>
              </w:rPr>
            </w:pPr>
          </w:p>
        </w:tc>
        <w:tc>
          <w:tcPr>
            <w:tcW w:w="8000" w:type="dxa"/>
            <w:vAlign w:val="bottom"/>
            <w:vMerge w:val="restart"/>
          </w:tcPr>
          <w:p>
            <w:pPr>
              <w:ind w:left="240"/>
              <w:spacing w:after="0"/>
              <w:rPr>
                <w:sz w:val="20"/>
                <w:szCs w:val="20"/>
                <w:color w:val="auto"/>
              </w:rPr>
            </w:pPr>
            <w:r>
              <w:rPr>
                <w:rFonts w:ascii="Arial" w:cs="Arial" w:eastAsia="Arial" w:hAnsi="Arial"/>
                <w:sz w:val="18"/>
                <w:szCs w:val="18"/>
                <w:color w:val="auto"/>
              </w:rPr>
              <w:t>7,500,000 (1)</w:t>
            </w:r>
          </w:p>
        </w:tc>
        <w:tc>
          <w:tcPr>
            <w:tcW w:w="0" w:type="dxa"/>
            <w:vAlign w:val="bottom"/>
          </w:tcPr>
          <w:p>
            <w:pPr>
              <w:spacing w:after="0"/>
              <w:rPr>
                <w:sz w:val="1"/>
                <w:szCs w:val="1"/>
                <w:color w:val="auto"/>
              </w:rPr>
            </w:pPr>
          </w:p>
        </w:tc>
      </w:tr>
      <w:tr>
        <w:trPr>
          <w:trHeight w:val="224"/>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3"/>
              </w:rPr>
              <w:t>Owned By</w:t>
            </w:r>
          </w:p>
        </w:tc>
        <w:tc>
          <w:tcPr>
            <w:tcW w:w="780" w:type="dxa"/>
            <w:vAlign w:val="bottom"/>
            <w:tcBorders>
              <w:bottom w:val="single" w:sz="8" w:color="auto"/>
            </w:tcBorders>
          </w:tcPr>
          <w:p>
            <w:pPr>
              <w:spacing w:after="0"/>
              <w:rPr>
                <w:sz w:val="19"/>
                <w:szCs w:val="19"/>
                <w:color w:val="auto"/>
              </w:rPr>
            </w:pPr>
          </w:p>
        </w:tc>
        <w:tc>
          <w:tcPr>
            <w:tcW w:w="8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40" w:type="dxa"/>
            <w:vAlign w:val="bottom"/>
          </w:tcPr>
          <w:p>
            <w:pPr>
              <w:jc w:val="center"/>
              <w:ind w:right="690"/>
              <w:spacing w:after="0" w:line="189" w:lineRule="exact"/>
              <w:rPr>
                <w:sz w:val="20"/>
                <w:szCs w:val="20"/>
                <w:color w:val="auto"/>
              </w:rPr>
            </w:pPr>
            <w:r>
              <w:rPr>
                <w:rFonts w:ascii="Arial" w:cs="Arial" w:eastAsia="Arial" w:hAnsi="Arial"/>
                <w:sz w:val="18"/>
                <w:szCs w:val="18"/>
                <w:color w:val="auto"/>
                <w:w w:val="82"/>
              </w:rPr>
              <w:t>Each</w:t>
            </w:r>
          </w:p>
        </w:tc>
        <w:tc>
          <w:tcPr>
            <w:tcW w:w="78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7.</w:t>
            </w:r>
          </w:p>
        </w:tc>
        <w:tc>
          <w:tcPr>
            <w:tcW w:w="800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9"/>
              </w:rPr>
              <w:t>Reporting</w:t>
            </w:r>
          </w:p>
        </w:tc>
        <w:tc>
          <w:tcPr>
            <w:tcW w:w="7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7"/>
              </w:rPr>
              <w:t>Person</w:t>
            </w:r>
          </w:p>
        </w:tc>
        <w:tc>
          <w:tcPr>
            <w:tcW w:w="78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640" w:type="dxa"/>
            <w:vAlign w:val="bottom"/>
            <w:vMerge w:val="restart"/>
          </w:tcPr>
          <w:p>
            <w:pPr>
              <w:jc w:val="center"/>
              <w:ind w:right="69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tcBorders>
          </w:tcPr>
          <w:p>
            <w:pPr>
              <w:spacing w:after="0"/>
              <w:rPr>
                <w:sz w:val="3"/>
                <w:szCs w:val="3"/>
                <w:color w:val="auto"/>
              </w:rPr>
            </w:pPr>
          </w:p>
        </w:tc>
        <w:tc>
          <w:tcPr>
            <w:tcW w:w="8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40" w:type="dxa"/>
            <w:vAlign w:val="bottom"/>
            <w:vMerge w:val="continue"/>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800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125"/>
        <w:spacing w:after="0"/>
        <w:rPr>
          <w:sz w:val="20"/>
          <w:szCs w:val="20"/>
          <w:color w:val="auto"/>
        </w:rPr>
      </w:pPr>
      <w:r>
        <w:rPr>
          <w:rFonts w:ascii="Arial" w:cs="Arial" w:eastAsia="Arial" w:hAnsi="Arial"/>
          <w:sz w:val="18"/>
          <w:szCs w:val="18"/>
          <w:color w:val="auto"/>
        </w:rPr>
        <w:t>7,500,000 (1)</w:t>
      </w:r>
    </w:p>
    <w:p>
      <w:pPr>
        <w:spacing w:after="0" w:line="36" w:lineRule="exact"/>
        <w:rPr>
          <w:sz w:val="20"/>
          <w:szCs w:val="20"/>
          <w:color w:val="auto"/>
        </w:rPr>
      </w:pPr>
    </w:p>
    <w:p>
      <w:pPr>
        <w:ind w:left="665" w:hanging="621"/>
        <w:spacing w:after="0"/>
        <w:tabs>
          <w:tab w:leader="none" w:pos="6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65"/>
        <w:spacing w:after="0"/>
        <w:rPr>
          <w:sz w:val="20"/>
          <w:szCs w:val="20"/>
          <w:color w:val="auto"/>
        </w:rPr>
      </w:pPr>
      <w:r>
        <w:rPr>
          <w:rFonts w:ascii="Arial" w:cs="Arial" w:eastAsia="Arial" w:hAnsi="Arial"/>
          <w:sz w:val="18"/>
          <w:szCs w:val="18"/>
          <w:color w:val="auto"/>
        </w:rPr>
        <w:t>7,500,000</w:t>
      </w:r>
    </w:p>
    <w:p>
      <w:pPr>
        <w:spacing w:after="0" w:line="23" w:lineRule="exact"/>
        <w:rPr>
          <w:sz w:val="20"/>
          <w:szCs w:val="20"/>
          <w:color w:val="auto"/>
        </w:rPr>
      </w:pPr>
    </w:p>
    <w:p>
      <w:pPr>
        <w:ind w:left="665" w:hanging="665"/>
        <w:spacing w:after="0" w:line="207" w:lineRule="exact"/>
        <w:tabs>
          <w:tab w:leader="none" w:pos="6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665" w:right="6420" w:hanging="662"/>
        <w:spacing w:after="0" w:line="391" w:lineRule="auto"/>
        <w:tabs>
          <w:tab w:leader="none" w:pos="6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20.0% (1)(2)</w:t>
      </w:r>
    </w:p>
    <w:p>
      <w:pPr>
        <w:ind w:left="665" w:hanging="665"/>
        <w:spacing w:after="0"/>
        <w:tabs>
          <w:tab w:leader="none" w:pos="6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665"/>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295" w:lineRule="exact"/>
        <w:rPr>
          <w:sz w:val="20"/>
          <w:szCs w:val="20"/>
          <w:color w:val="auto"/>
        </w:rPr>
      </w:pPr>
    </w:p>
    <w:p>
      <w:pPr>
        <w:jc w:val="center"/>
        <w:ind w:right="335"/>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5"/>
          </w:cols>
          <w:pgMar w:left="675" w:top="962" w:right="339" w:bottom="1440" w:gutter="0" w:footer="0" w:header="0"/>
        </w:sectPr>
      </w:pPr>
    </w:p>
    <w:bookmarkStart w:id="3" w:name="page4"/>
    <w:bookmarkEnd w:id="3"/>
    <w:p>
      <w:pPr>
        <w:ind w:left="1020" w:right="8160" w:hanging="621"/>
        <w:spacing w:after="0" w:line="39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886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t>Names of Reporting Persons Scott Honour</w:t>
      </w:r>
    </w:p>
    <w:p>
      <w:pPr>
        <w:ind w:left="1020" w:hanging="621"/>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1020"/>
        <w:spacing w:after="0" w:line="207" w:lineRule="exact"/>
        <w:tabs>
          <w:tab w:leader="none" w:pos="17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76" w:lineRule="exact"/>
        <w:rPr>
          <w:sz w:val="20"/>
          <w:szCs w:val="20"/>
          <w:color w:val="auto"/>
        </w:rPr>
      </w:pPr>
    </w:p>
    <w:p>
      <w:pPr>
        <w:ind w:left="1020" w:hanging="621"/>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020" w:right="7600" w:hanging="621"/>
        <w:spacing w:after="0" w:line="39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ind w:left="3480" w:hanging="624"/>
        <w:spacing w:after="0"/>
        <w:tabs>
          <w:tab w:leader="none" w:pos="3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2"/>
              </w:rPr>
              <w:t>Number of</w:t>
            </w:r>
          </w:p>
        </w:tc>
        <w:tc>
          <w:tcPr>
            <w:tcW w:w="7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0"/>
              </w:rPr>
              <w:t>Shares</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800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4"/>
              </w:rPr>
              <w:t>Beneficially</w:t>
            </w:r>
          </w:p>
        </w:tc>
        <w:tc>
          <w:tcPr>
            <w:tcW w:w="780" w:type="dxa"/>
            <w:vAlign w:val="bottom"/>
          </w:tcPr>
          <w:p>
            <w:pPr>
              <w:spacing w:after="0"/>
              <w:rPr>
                <w:sz w:val="18"/>
                <w:szCs w:val="18"/>
                <w:color w:val="auto"/>
              </w:rPr>
            </w:pPr>
          </w:p>
        </w:tc>
        <w:tc>
          <w:tcPr>
            <w:tcW w:w="8000" w:type="dxa"/>
            <w:vAlign w:val="bottom"/>
            <w:vMerge w:val="restart"/>
          </w:tcPr>
          <w:p>
            <w:pPr>
              <w:ind w:left="240"/>
              <w:spacing w:after="0"/>
              <w:rPr>
                <w:sz w:val="20"/>
                <w:szCs w:val="20"/>
                <w:color w:val="auto"/>
              </w:rPr>
            </w:pPr>
            <w:r>
              <w:rPr>
                <w:rFonts w:ascii="Arial" w:cs="Arial" w:eastAsia="Arial" w:hAnsi="Arial"/>
                <w:sz w:val="18"/>
                <w:szCs w:val="18"/>
                <w:color w:val="auto"/>
              </w:rPr>
              <w:t>7,500,000 (1)</w:t>
            </w:r>
          </w:p>
        </w:tc>
        <w:tc>
          <w:tcPr>
            <w:tcW w:w="0" w:type="dxa"/>
            <w:vAlign w:val="bottom"/>
          </w:tcPr>
          <w:p>
            <w:pPr>
              <w:spacing w:after="0"/>
              <w:rPr>
                <w:sz w:val="1"/>
                <w:szCs w:val="1"/>
                <w:color w:val="auto"/>
              </w:rPr>
            </w:pPr>
          </w:p>
        </w:tc>
      </w:tr>
      <w:tr>
        <w:trPr>
          <w:trHeight w:val="224"/>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93"/>
              </w:rPr>
              <w:t>Owned By</w:t>
            </w:r>
          </w:p>
        </w:tc>
        <w:tc>
          <w:tcPr>
            <w:tcW w:w="780" w:type="dxa"/>
            <w:vAlign w:val="bottom"/>
            <w:tcBorders>
              <w:bottom w:val="single" w:sz="8" w:color="auto"/>
            </w:tcBorders>
          </w:tcPr>
          <w:p>
            <w:pPr>
              <w:spacing w:after="0"/>
              <w:rPr>
                <w:sz w:val="19"/>
                <w:szCs w:val="19"/>
                <w:color w:val="auto"/>
              </w:rPr>
            </w:pPr>
          </w:p>
        </w:tc>
        <w:tc>
          <w:tcPr>
            <w:tcW w:w="8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40" w:type="dxa"/>
            <w:vAlign w:val="bottom"/>
          </w:tcPr>
          <w:p>
            <w:pPr>
              <w:jc w:val="center"/>
              <w:ind w:right="690"/>
              <w:spacing w:after="0" w:line="189" w:lineRule="exact"/>
              <w:rPr>
                <w:sz w:val="20"/>
                <w:szCs w:val="20"/>
                <w:color w:val="auto"/>
              </w:rPr>
            </w:pPr>
            <w:r>
              <w:rPr>
                <w:rFonts w:ascii="Arial" w:cs="Arial" w:eastAsia="Arial" w:hAnsi="Arial"/>
                <w:sz w:val="18"/>
                <w:szCs w:val="18"/>
                <w:color w:val="auto"/>
                <w:w w:val="82"/>
              </w:rPr>
              <w:t>Each</w:t>
            </w:r>
          </w:p>
        </w:tc>
        <w:tc>
          <w:tcPr>
            <w:tcW w:w="78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7.</w:t>
            </w:r>
          </w:p>
        </w:tc>
        <w:tc>
          <w:tcPr>
            <w:tcW w:w="800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9"/>
              </w:rPr>
              <w:t>Reporting</w:t>
            </w:r>
          </w:p>
        </w:tc>
        <w:tc>
          <w:tcPr>
            <w:tcW w:w="7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690"/>
              <w:spacing w:after="0"/>
              <w:rPr>
                <w:sz w:val="20"/>
                <w:szCs w:val="20"/>
                <w:color w:val="auto"/>
              </w:rPr>
            </w:pPr>
            <w:r>
              <w:rPr>
                <w:rFonts w:ascii="Arial" w:cs="Arial" w:eastAsia="Arial" w:hAnsi="Arial"/>
                <w:sz w:val="18"/>
                <w:szCs w:val="18"/>
                <w:color w:val="auto"/>
                <w:w w:val="87"/>
              </w:rPr>
              <w:t>Person</w:t>
            </w:r>
          </w:p>
        </w:tc>
        <w:tc>
          <w:tcPr>
            <w:tcW w:w="78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640" w:type="dxa"/>
            <w:vAlign w:val="bottom"/>
            <w:vMerge w:val="restart"/>
          </w:tcPr>
          <w:p>
            <w:pPr>
              <w:jc w:val="center"/>
              <w:ind w:right="69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tcBorders>
          </w:tcPr>
          <w:p>
            <w:pPr>
              <w:spacing w:after="0"/>
              <w:rPr>
                <w:sz w:val="3"/>
                <w:szCs w:val="3"/>
                <w:color w:val="auto"/>
              </w:rPr>
            </w:pPr>
          </w:p>
        </w:tc>
        <w:tc>
          <w:tcPr>
            <w:tcW w:w="8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40" w:type="dxa"/>
            <w:vAlign w:val="bottom"/>
            <w:vMerge w:val="continue"/>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800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7,500,000 (1)(2)</w:t>
      </w:r>
    </w:p>
    <w:p>
      <w:pPr>
        <w:spacing w:after="0" w:line="36" w:lineRule="exact"/>
        <w:rPr>
          <w:sz w:val="20"/>
          <w:szCs w:val="20"/>
          <w:color w:val="auto"/>
        </w:rPr>
      </w:pPr>
    </w:p>
    <w:p>
      <w:pPr>
        <w:ind w:left="1020" w:hanging="621"/>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7,500,000</w:t>
      </w:r>
    </w:p>
    <w:p>
      <w:pPr>
        <w:spacing w:after="0" w:line="23" w:lineRule="exact"/>
        <w:rPr>
          <w:sz w:val="20"/>
          <w:szCs w:val="20"/>
          <w:color w:val="auto"/>
        </w:rPr>
      </w:pPr>
    </w:p>
    <w:p>
      <w:pPr>
        <w:ind w:left="1020" w:hanging="665"/>
        <w:spacing w:after="0" w:line="207" w:lineRule="exact"/>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20" w:hanging="662"/>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20.0% (1)</w:t>
      </w:r>
    </w:p>
    <w:p>
      <w:pPr>
        <w:spacing w:after="0" w:line="36" w:lineRule="exact"/>
        <w:rPr>
          <w:rFonts w:ascii="Arial" w:cs="Arial" w:eastAsia="Arial" w:hAnsi="Arial"/>
          <w:sz w:val="18"/>
          <w:szCs w:val="18"/>
          <w:color w:val="auto"/>
        </w:rPr>
      </w:pPr>
    </w:p>
    <w:p>
      <w:pPr>
        <w:ind w:left="1020" w:hanging="665"/>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jc w:val="both"/>
        <w:ind w:right="40" w:firstLine="8"/>
        <w:spacing w:after="0" w:line="25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Item 4. These are the Issuer’s Class B ordinary shares, which will automatically convert into the Issuer’s Class A ordinary shares at the time of the Issuer’s initial business combination and as more fully described under the heading “Description of Securities-Founder Shares” in the Issuer’s registration statement on Form S-1 (File No. 333-237245). Each of Scott Leonard and Scott Honour are the managing members of Sustainable Opportunities Holdings LLC. Consequently, each of them may be deemed the beneficial owner of the shares held by Sustainable Opportunities Holdings LLC and share voting and dispositive control over such securities.</w:t>
      </w:r>
    </w:p>
    <w:p>
      <w:pPr>
        <w:spacing w:after="0" w:line="187" w:lineRule="exact"/>
        <w:rPr>
          <w:rFonts w:ascii="Arial" w:cs="Arial" w:eastAsia="Arial" w:hAnsi="Arial"/>
          <w:sz w:val="18"/>
          <w:szCs w:val="18"/>
          <w:color w:val="auto"/>
        </w:rPr>
      </w:pPr>
    </w:p>
    <w:p>
      <w:pPr>
        <w:ind w:right="100" w:firstLine="8"/>
        <w:spacing w:after="0" w:line="286"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on 30,000,000 shares of Class A ordinary shares and 7,500,000 shares of Class B ordinary shares outstanding as of November 13, 2020, as reported by the Issuer in its quarterly report on Form 10-Q filed with the U.S. Securities and Exchange Commission on November 13, 2020, and assuming the conversion of all the shares of Class B ordinary shares held by Sustainable Opportunities Holdings LLC.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Sustainable Opportunities Acquisition Corp.</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the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1601 Bryan Street, Suite 4141</w:t>
      </w:r>
    </w:p>
    <w:p>
      <w:pPr>
        <w:spacing w:after="0" w:line="225" w:lineRule="exact"/>
        <w:rPr>
          <w:sz w:val="20"/>
          <w:szCs w:val="20"/>
          <w:color w:val="auto"/>
        </w:rPr>
      </w:pPr>
    </w:p>
    <w:p>
      <w:pPr>
        <w:jc w:val="center"/>
        <w:ind w:right="8380"/>
        <w:spacing w:after="0"/>
        <w:rPr>
          <w:sz w:val="20"/>
          <w:szCs w:val="20"/>
          <w:color w:val="auto"/>
        </w:rPr>
      </w:pPr>
      <w:r>
        <w:rPr>
          <w:rFonts w:ascii="Arial" w:cs="Arial" w:eastAsia="Arial" w:hAnsi="Arial"/>
          <w:sz w:val="18"/>
          <w:szCs w:val="18"/>
          <w:color w:val="auto"/>
        </w:rPr>
        <w:t>Dallas, Texas 75201</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Names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Sustainable Opportunities Holdings LLC;</w:t>
      </w:r>
    </w:p>
    <w:p>
      <w:pPr>
        <w:spacing w:after="0" w:line="225"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Scott Leonard;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Scott Honour.</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the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1601 Bryan Street, Suite 4141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75201</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responses to Item 4 on each of the cover pages.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Ordinary Shares, $0.0001 par value per share.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G8598Y 109</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Rules </w:t>
      </w:r>
      <w:r>
        <w:rPr>
          <w:rFonts w:ascii="Arial" w:cs="Arial" w:eastAsia="Arial" w:hAnsi="Arial"/>
          <w:sz w:val="16"/>
          <w:szCs w:val="16"/>
          <w:b w:val="1"/>
          <w:bCs w:val="1"/>
          <w:u w:val="single" w:color="auto"/>
          <w:color w:val="auto"/>
        </w:rPr>
        <w:t>13d-1(b),</w:t>
      </w:r>
      <w:r>
        <w:rPr>
          <w:rFonts w:ascii="Arial" w:cs="Arial" w:eastAsia="Arial" w:hAnsi="Arial"/>
          <w:sz w:val="16"/>
          <w:szCs w:val="16"/>
          <w:b w:val="1"/>
          <w:bCs w:val="1"/>
          <w:color w:val="auto"/>
        </w:rPr>
        <w:t xml:space="preserve"> or </w:t>
      </w:r>
      <w:r>
        <w:rPr>
          <w:rFonts w:ascii="Arial" w:cs="Arial" w:eastAsia="Arial" w:hAnsi="Arial"/>
          <w:sz w:val="16"/>
          <w:szCs w:val="16"/>
          <w:b w:val="1"/>
          <w:bCs w:val="1"/>
          <w:u w:val="single" w:color="auto"/>
          <w:color w:val="auto"/>
        </w:rPr>
        <w:t>13d-2(b)</w:t>
      </w:r>
      <w:r>
        <w:rPr>
          <w:rFonts w:ascii="Arial" w:cs="Arial" w:eastAsia="Arial" w:hAnsi="Arial"/>
          <w:sz w:val="16"/>
          <w:szCs w:val="16"/>
          <w:b w:val="1"/>
          <w:bCs w:val="1"/>
          <w:color w:val="auto"/>
        </w:rPr>
        <w:t xml:space="preserve"> or (c), check whether the person filing is a:</w:t>
      </w:r>
    </w:p>
    <w:p>
      <w:pPr>
        <w:spacing w:after="0" w:line="229" w:lineRule="exact"/>
        <w:rPr>
          <w:sz w:val="20"/>
          <w:szCs w:val="20"/>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 Broker or Dealer registered under Section 15 of the Exchange Act.</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(b) Bank as defined in Section 3(a)(b) or the Exchange Act.</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(c) Insurance company as defined in Section 3(a)(19) of the Exchange Act.</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 Investment company registered under Section 8 of the Investment Company Act.</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(e) An Investment adviser in accordance with Rule 13d-1 (b)(1)(ii)(e).</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(f) An employee benefit plan or endowment fund in accordance with Rule 13d 1(b)(1)(ii)(f).</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(g) A Parent Holding Company or control person in accordance with Rule 13d 1(b)(1)(ii)(g).</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(h) A Savings Association as defined in Section 3(b) of the Federal Deposit Insurance Act.</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(i) A Church Plan that is excluded from the definition of an investment company under Section 3 (c)(14) of the Investment Company Act.</w:t>
      </w:r>
    </w:p>
    <w:p>
      <w:pPr>
        <w:spacing w:after="0" w:line="248" w:lineRule="exact"/>
        <w:rPr>
          <w:rFonts w:ascii="MS PGothic" w:cs="MS PGothic" w:eastAsia="MS PGothic" w:hAnsi="MS PGothic"/>
          <w:sz w:val="16"/>
          <w:szCs w:val="16"/>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(j) Group, in accordance with Rule 13d-1 (b)(1)(ii)(j).</w:t>
      </w:r>
    </w:p>
    <w:p>
      <w:pPr>
        <w:spacing w:after="0" w:line="225" w:lineRule="exact"/>
        <w:rPr>
          <w:rFonts w:ascii="MS PGothic" w:cs="MS PGothic" w:eastAsia="MS PGothic" w:hAnsi="MS PGothic"/>
          <w:sz w:val="18"/>
          <w:szCs w:val="18"/>
          <w:color w:val="auto"/>
        </w:rPr>
      </w:pPr>
    </w:p>
    <w:p>
      <w:pPr>
        <w:ind w:left="1200" w:hanging="544"/>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 w:name="page6"/>
    <w:bookmarkEnd w:id="5"/>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responses to Items 5-11 of each of the cover pages of this Schedule 13G are incorporated herein by reference.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December 31, 2020, the Reporting Persons may be deemed to beneficially own 7,500,000 shares of the Class B ordinary shares of the Issuer, representing 20.0% of the Issuer’s outstanding shares of Class A ordinary shares and Class B ordinary shares, based on 30,000,000 shares of Class A ordinary shares and 7,500,000 shares of Class B ordinary shares outstanding as of November 13, 2020, as reported by the Issuer in its quarterly report on Form 10-Q filed with the U.S. Securities and Exchange Commission on November 13, 2020. The shares of Class B ordinary shares are automatically convertible into the Class A ordinary shares of the Issuer at the time of the Issuer’s initial business combination, or at any time prior thereto at the option of the holder, on a one-for-one basis, subject to adjustment, as more fully described under the heading “Description of Securities—Founder Shares” in the Issuer’s registration statement on Form S-1 (File No. 333-237245).</w:t>
      </w:r>
    </w:p>
    <w:p>
      <w:pPr>
        <w:spacing w:after="0" w:line="17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Sustainable Opportunities Holdings LLC is the record holder of such shares. Scott Leonard and Scott Honour are the directors of Sustainable Opportunities Holdings LLC and as a result, each has voting and investment discretion with respect to the Issuer’s securities held of record by Sustainable Opportunities Holdings LLC and may be deemed to have shared beneficial ownership of the shares of Class B ordinary shares directly held by Sustainable Opportunities Holdings LLC.</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20" w:right="18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16, 2021</w:t>
      </w:r>
      <w:r>
        <w:rPr>
          <w:sz w:val="20"/>
          <w:szCs w:val="20"/>
          <w:color w:val="auto"/>
        </w:rPr>
        <w:tab/>
      </w:r>
      <w:r>
        <w:rPr>
          <w:rFonts w:ascii="Arial" w:cs="Arial" w:eastAsia="Arial" w:hAnsi="Arial"/>
          <w:sz w:val="18"/>
          <w:szCs w:val="18"/>
          <w:b w:val="1"/>
          <w:bCs w:val="1"/>
          <w:color w:val="auto"/>
        </w:rPr>
        <w:t>SUSTAINABLE OPPORTUNITIES HOLDINGS LLC,</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SCOTT LEONARD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SCOTT HONOUR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Honour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(See 18 U.S.C. 1001)</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agree to the joint filing on behalf of each of them of a Statement on Schedule 13G (including any and all amendments thereto) with respect to the shares of Class A ordinary shares, $0.0001 par value per share, of Sustainable Opportunities Acquisition Corp., and further agree that this Joint Filing Agreement shall be included as an exhibit to such joint filings.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This Joint Filing Agreement may be signed in counterparts with the same effect as if the signature on each counterpart were upon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as of February 16, 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HOLDINGS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SCOTT LEONARD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SCOTT HONOUR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Honour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lvl w:ilvl="1">
      <w:lvlJc w:val="left"/>
      <w:lvlText w:val="%2."/>
      <w:numFmt w:val="decimal"/>
      <w:start w:val="5"/>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lvl w:ilvl="1">
      <w:lvlJc w:val="left"/>
      <w:lvlText w:val="%2."/>
      <w:numFmt w:val="decimal"/>
      <w:start w:val="5"/>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3"/>
    </w:lvl>
    <w:lvl w:ilvl="1">
      <w:lvlJc w:val="left"/>
      <w:lvlText w:val="%2."/>
      <w:numFmt w:val="decimal"/>
      <w:start w:val="5"/>
    </w:lvl>
  </w:abstractNum>
  <w:abstractNum w:abstractNumId="12">
    <w:nsid w:val="1BEFD79F"/>
    <w:multiLevelType w:val="hybridMultilevel"/>
    <w:lvl w:ilvl="0">
      <w:lvlJc w:val="left"/>
      <w:lvlText w:val="%1."/>
      <w:numFmt w:val="decimal"/>
      <w:start w:val="9"/>
    </w:lvl>
  </w:abstractNum>
  <w:abstractNum w:abstractNumId="13">
    <w:nsid w:val="41A7C4C9"/>
    <w:multiLevelType w:val="hybridMultilevel"/>
    <w:lvl w:ilvl="0">
      <w:lvlJc w:val="left"/>
      <w:lvlText w:val="%1"/>
      <w:numFmt w:val="decimal"/>
      <w:start w:val="1"/>
    </w:lvl>
    <w:lvl w:ilvl="1">
      <w:lvlJc w:val="left"/>
      <w:lvlText w:val="%2."/>
      <w:numFmt w:val="decimal"/>
      <w:start w:val="10"/>
    </w:lvl>
  </w:abstractNum>
  <w:abstractNum w:abstractNumId="14">
    <w:nsid w:val="6B68079A"/>
    <w:multiLevelType w:val="hybridMultilevel"/>
    <w:lvl w:ilvl="0">
      <w:lvlJc w:val="left"/>
      <w:lvlText w:val="(%1)"/>
      <w:numFmt w:val="decimal"/>
      <w:start w:val="1"/>
    </w:lvl>
    <w:lvl w:ilvl="1">
      <w:lvlJc w:val="left"/>
      <w:lvlText w:val="%2"/>
      <w:numFmt w:val="decimal"/>
      <w:start w:val="1"/>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2021-02-16T06:06:14Z</dcterms:created>
  <dcterms:modified xsi:type="dcterms:W3CDTF">2021-02-16T06:06:14Z</dcterms:modified>
</cp:coreProperties>
</file>