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2773680</wp:posOffset>
            </wp:positionH>
            <wp:positionV relativeFrom="paragraph">
              <wp:posOffset>160020</wp:posOffset>
            </wp:positionV>
            <wp:extent cx="3848735" cy="4972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873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Sky News Ian King Live Interview Transcript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March 15, 2021</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ind w:right="60"/>
        <w:spacing w:after="0" w:line="275" w:lineRule="auto"/>
        <w:rPr>
          <w:sz w:val="20"/>
          <w:szCs w:val="20"/>
          <w:color w:val="auto"/>
        </w:rPr>
      </w:pPr>
      <w:r>
        <w:rPr>
          <w:rFonts w:ascii="Arial" w:cs="Arial" w:eastAsia="Arial" w:hAnsi="Arial"/>
          <w:sz w:val="17"/>
          <w:szCs w:val="17"/>
          <w:color w:val="auto"/>
        </w:rPr>
        <w:t>There’s a huge upheaval in the car industry at the moment and it’s all mainly about the shift to electric vehicles because of the huge investment needed in lots of areas—changing production, creating new models and making sure consumers will actually find them. One of the key issues is creating the capacity to make enough batteries. And one of the big issues with batteries is that they need specific metals that are often difficult, expensive, and environmentally damaging to get hold of. Well, a company called Deep Green is developing a new, and it says more responsible way, to get them from the sea floor. Chief executive Gerald Barron joins me this morning, Gerard welcome to you.</w:t>
      </w:r>
    </w:p>
    <w:p>
      <w:pPr>
        <w:spacing w:after="0" w:line="176" w:lineRule="exact"/>
        <w:rPr>
          <w:sz w:val="24"/>
          <w:szCs w:val="24"/>
          <w:color w:val="auto"/>
        </w:rPr>
      </w:pPr>
    </w:p>
    <w:p>
      <w:pPr>
        <w:ind w:right="440"/>
        <w:spacing w:after="0" w:line="277" w:lineRule="auto"/>
        <w:rPr>
          <w:sz w:val="20"/>
          <w:szCs w:val="20"/>
          <w:color w:val="auto"/>
        </w:rPr>
      </w:pPr>
      <w:r>
        <w:rPr>
          <w:rFonts w:ascii="Arial" w:cs="Arial" w:eastAsia="Arial" w:hAnsi="Arial"/>
          <w:sz w:val="18"/>
          <w:szCs w:val="18"/>
          <w:color w:val="auto"/>
        </w:rPr>
        <w:t>Now you’re planning to get what you call these polymetallic nodules off the sea floor. How much does that cost compare with conventional mining in purely financial terms?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4"/>
          <w:szCs w:val="24"/>
          <w:color w:val="auto"/>
        </w:rPr>
      </w:pPr>
    </w:p>
    <w:p>
      <w:pPr>
        <w:jc w:val="both"/>
        <w:ind w:right="280"/>
        <w:spacing w:after="0" w:line="311" w:lineRule="auto"/>
        <w:rPr>
          <w:sz w:val="20"/>
          <w:szCs w:val="20"/>
          <w:color w:val="auto"/>
        </w:rPr>
      </w:pPr>
      <w:r>
        <w:rPr>
          <w:rFonts w:ascii="Arial" w:cs="Arial" w:eastAsia="Arial" w:hAnsi="Arial"/>
          <w:sz w:val="16"/>
          <w:szCs w:val="16"/>
          <w:color w:val="auto"/>
        </w:rPr>
        <w:t>Yeah, Hi Ian. Well, and these are they, and they literally lie on the ocean floor and so when you think about costs, the costs work very favorably because they literally lay on the ocean floor and they are also full of very high-grade battery metals, up to 10 times higher grade of material. So, we’ll be able to produce the important battery metals like nickel and cobalt in the bottom quartile of the cost curve and that’s largely driven by the very high grade.</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Great. And what damage does it do to the ocean ecosystem taking these off the ocean floor?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color w:val="auto"/>
        </w:rPr>
        <w:t>Well there’s no perfect solution. And so, I always remind people that if we had our time again, we’d carry out constructed extractive industries in parts of the planet, where there was the least life, we wouldn’t go and rip up our rainforests. We’d go to our desert, and that’s what we’re dealing with here in the abyssal zone. It’s around 4,000 meters below sea level, and it’s a part of the planet that is the most common. It’s the world’s biggest desert. It just happens to be covered by 4,000 meters of water. If we measure life in the form of biomass, there’s around 13 grams of biomass per square meter. If we compare that to the number one nickel producing country being Indonesia, there’s around 20 to 30 kilograms of biomass, life, living matter that gets destroyed every per square meter.</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42"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Now you’ve just announced plans to come to the markets via merger with a so-called blank check Company, SPAC, what are the benefits to going public for you?</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Well, the main benefit is access to capital and being able to move forward with the project in a timely manner. We expect to be producing battery metals in 2024. So obviously being able to access capital, the best terms is a really positive thing for us, but there’s another benefit and that the public stage that it gives us. This is a really important topic — the impact of producing metals isn’t well understood. We know all about the impact of fossil fuels, but there hasn’t been the same attention applied to what’s the true impact of reducing battery materials. I can tell you now it’s not pretty. So, what our message is that we can reduce those impacts of battery metals and massively compress the environmental and social impacts compared to producing those metals from land-based ore bodies.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2976880</wp:posOffset>
            </wp:positionH>
            <wp:positionV relativeFrom="page">
              <wp:posOffset>586105</wp:posOffset>
            </wp:positionV>
            <wp:extent cx="384873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48735" cy="49720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Looking at the valuation of the company once you list, I mean the putative valuation is around $US2.9 billion, that seems a hell-of-a-lot of money for a company that doesn’t expect to go cash flow positive until 2027?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Well, what underpins the value is the resource, and so we can control three license areas in this part of the Pacific Ocean, and we have already defined the resource on two of those areas. And so, we know we have 1.6 billion tons of these guys lying on the ocean floor. That’s enough nickel and cobalt and cooper and manganese to build around 280 million mid-sized electric vehicle batteries. So, any great resource company is always underpinned by the quality of the resource.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our case, we have the world’s largest undeveloped resource of battery metals.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Gerard, who has the right to extract all these rocks from the seabed? Is it just a free-for-all or is it regulated?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No, it’s regulated by the International Seabed Authority. Fifty years ago, Ian, the industry almost got started. There were many hundreds of millions of dollars invested, many of the technological challenges were solved, but what hadn’t been agreed was “Who owns the oceans?”</w:t>
      </w:r>
    </w:p>
    <w:p>
      <w:pPr>
        <w:spacing w:after="0" w:line="146"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And so, it was the United Nations that stepped in and stopped the progress then. But now there is a regulatory environment that allows us to explore, and we are through our exploration phase, which means we are through our environmental work – the latest expedition left San Diego two days ago, in fact. And so, the pathway to extraction is now very secure, which it wasn’t in the past.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That’s why this industry is opening up now.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Ian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Alright Gerard Barron, fascinating subject. Really appreciate you joining me today. Thank you.</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This communication is being made in respect of a proposed business combination transaction contemplated by the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In connection with the proposed Business Combination, SOAC intends to file with the U.S. Securities and Exchange Commission’s (“</w:t>
      </w:r>
      <w:r>
        <w:rPr>
          <w:rFonts w:ascii="Arial" w:cs="Arial" w:eastAsia="Arial" w:hAnsi="Arial"/>
          <w:sz w:val="17"/>
          <w:szCs w:val="17"/>
          <w:i w:val="1"/>
          <w:iCs w:val="1"/>
          <w:color w:val="auto"/>
        </w:rPr>
        <w:t>SEC</w:t>
      </w:r>
      <w:r>
        <w:rPr>
          <w:rFonts w:ascii="Arial" w:cs="Arial" w:eastAsia="Arial" w:hAnsi="Arial"/>
          <w:sz w:val="17"/>
          <w:szCs w:val="17"/>
          <w:color w:val="auto"/>
        </w:rPr>
        <w:t xml:space="preserve">”) a Registration Statement on Form S-4, including a preliminary proxy statement/prospectus and a definitive proxy statement/prospectus with the SEC. </w:t>
      </w:r>
      <w:r>
        <w:rPr>
          <w:rFonts w:ascii="Arial" w:cs="Arial" w:eastAsia="Arial" w:hAnsi="Arial"/>
          <w:sz w:val="17"/>
          <w:szCs w:val="17"/>
          <w:b w:val="1"/>
          <w:bCs w:val="1"/>
          <w:color w:val="auto"/>
        </w:rPr>
        <w:t>SOAC’s shareholders and other interested persons are advised to read, when available, the preliminary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statement/prospectus and the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 the proposed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their interests in the proposed Business Combination will be included in the proxy statement/prospectus for the proposed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Private Securities Litigation Reform Act of 1995. Forward-looking statements generally are accompanied by words such as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seem</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and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expressions that predict or indicate future events or trends or that are not statements of historical matters. These forward-looking statements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SOAC and DeepGreen’s expectations with respect to future performance, development of its estimated resources of battery metals,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regulatory approvals, and anticipated financial impacts and other effects of the proposed Business Combination, the satisfaction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proposed Business Combination, the timing of the completion of the proposed Business Combination, and the size and potential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or future markets for the combined company’s supply of battery metals. These forward-looking statements involve significant risks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that could cause the actual results to differ materially from those discussed in the forward-looking statements. Most of these factors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outside SOAC’s and DeepGreen’s control and are difficult to predict. Factors that may cause such differences include, but are not limited to: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event, change, or other circumstances that could give rise to the termination of the Business Combination Agreement; the outcome of any legal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proceedings that may be instituted against SOAC and DeepGreen following the announcement of the Business Combination Agreement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therein; the inability to complete the proposed Business Combination, including due to failure to obtain approval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SOAC and DeepGreen, certain regulatory approvals, or satisfy other conditions to closing in the Business Combination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any event, change, or other circumstance that could give rise to the termination of the Business Combination Agreement or could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transaction to fail to close; the impact of COVID-19 on DeepGreen’s business and/or the ability of the parties to complete the proposed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inability to obtain or maintain the listing of the combined company’s shares on NYSE or Nasdaq following the proposed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the risk that the proposed Business Combination disrupts current plans and operations as a result of the announcement and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Business Combination; the ability to recognize the anticipated benefits of the proposed Business Combination, which may be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commercial and technical feasibility of seafloor polymetallic nodule mining and processing; the supply and demand for battery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metals; the future prices of battery metals; the timing and content of ISA’s exploitation regulations that will create the legal and technical framework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exploitation of polymetallic nodules in the Clarion Clipperton Zone; government regulation of deep seabed mining operations and changes in mining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regulations; environmental risks; the timing and amount of estimated future production, costs of production, capital expenditures and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cash flow provided by operating activities; unanticipated reclamation expenses; claims and limitations on insurance coverage;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in mineral resource estimates; the uncertainty in geological, hydrological, metallurgical and geotechnical studies and opinions;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and dependence on key management personnel and executive officers; and other risks and uncertainties indicated from time to time in the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of SOAC for its initial public offering and the proxy statement/prospectus relating to the proposed Business Combination, including those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Factors” therein, and in SOAC’s other filings with the SEC. SOAC and DeepGreen caution that the foregoing list of factors is not exclusive. SOAC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DeepGreen caution readers not to place undue reliance upon any forward-looking statements, which speak only as of the date made. SOAC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DeepGreen do not undertake or accept any obligation or undertaking to release publicly any updates or revisions to any forward-looking statements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2021-03-17T16:25:49Z</dcterms:created>
  <dcterms:modified xsi:type="dcterms:W3CDTF">2021-03-17T16:25:49Z</dcterms:modified>
</cp:coreProperties>
</file>