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9400" w:type="dxa"/>
            <w:vAlign w:val="bottom"/>
          </w:tcPr>
          <w:p>
            <w:pPr>
              <w:jc w:val="right"/>
              <w:spacing w:after="0"/>
              <w:rPr>
                <w:sz w:val="20"/>
                <w:szCs w:val="20"/>
                <w:color w:val="auto"/>
              </w:rPr>
            </w:pPr>
            <w:r>
              <w:rPr>
                <w:rFonts w:ascii="Arial" w:cs="Arial" w:eastAsia="Arial" w:hAnsi="Arial"/>
                <w:sz w:val="18"/>
                <w:szCs w:val="18"/>
                <w:b w:val="1"/>
                <w:bCs w:val="1"/>
                <w:color w:val="auto"/>
              </w:rPr>
              <w:t>Filed by Sustainable Opportunities Acquisition Corp.</w:t>
            </w:r>
          </w:p>
        </w:tc>
      </w:tr>
      <w:tr>
        <w:trPr>
          <w:trHeight w:val="216"/>
        </w:trPr>
        <w:tc>
          <w:tcPr>
            <w:tcW w:w="1840" w:type="dxa"/>
            <w:vAlign w:val="bottom"/>
          </w:tcPr>
          <w:p>
            <w:pPr>
              <w:spacing w:after="0"/>
              <w:rPr>
                <w:sz w:val="18"/>
                <w:szCs w:val="18"/>
                <w:color w:val="auto"/>
              </w:rPr>
            </w:pPr>
          </w:p>
        </w:tc>
        <w:tc>
          <w:tcPr>
            <w:tcW w:w="9400" w:type="dxa"/>
            <w:vAlign w:val="bottom"/>
          </w:tcPr>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tc>
      </w:tr>
      <w:tr>
        <w:trPr>
          <w:trHeight w:val="216"/>
        </w:trPr>
        <w:tc>
          <w:tcPr>
            <w:tcW w:w="1840" w:type="dxa"/>
            <w:vAlign w:val="bottom"/>
          </w:tcPr>
          <w:p>
            <w:pPr>
              <w:spacing w:after="0"/>
              <w:rPr>
                <w:sz w:val="18"/>
                <w:szCs w:val="18"/>
                <w:color w:val="auto"/>
              </w:rPr>
            </w:pPr>
          </w:p>
        </w:tc>
        <w:tc>
          <w:tcPr>
            <w:tcW w:w="9400" w:type="dxa"/>
            <w:vAlign w:val="bottom"/>
          </w:tcPr>
          <w:p>
            <w:pPr>
              <w:jc w:val="right"/>
              <w:spacing w:after="0"/>
              <w:rPr>
                <w:sz w:val="20"/>
                <w:szCs w:val="20"/>
                <w:color w:val="auto"/>
              </w:rPr>
            </w:pPr>
            <w:r>
              <w:rPr>
                <w:rFonts w:ascii="Arial" w:cs="Arial" w:eastAsia="Arial" w:hAnsi="Arial"/>
                <w:sz w:val="18"/>
                <w:szCs w:val="18"/>
                <w:b w:val="1"/>
                <w:bCs w:val="1"/>
                <w:color w:val="auto"/>
              </w:rPr>
              <w:t>and deemed filed pursuant to Rule 14a-12</w:t>
            </w:r>
          </w:p>
        </w:tc>
      </w:tr>
      <w:tr>
        <w:trPr>
          <w:trHeight w:val="216"/>
        </w:trPr>
        <w:tc>
          <w:tcPr>
            <w:tcW w:w="1840" w:type="dxa"/>
            <w:vAlign w:val="bottom"/>
          </w:tcPr>
          <w:p>
            <w:pPr>
              <w:spacing w:after="0"/>
              <w:rPr>
                <w:sz w:val="18"/>
                <w:szCs w:val="18"/>
                <w:color w:val="auto"/>
              </w:rPr>
            </w:pPr>
          </w:p>
        </w:tc>
        <w:tc>
          <w:tcPr>
            <w:tcW w:w="9400" w:type="dxa"/>
            <w:vAlign w:val="bottom"/>
          </w:tcPr>
          <w:p>
            <w:pPr>
              <w:jc w:val="right"/>
              <w:spacing w:after="0"/>
              <w:rPr>
                <w:sz w:val="20"/>
                <w:szCs w:val="20"/>
                <w:color w:val="auto"/>
              </w:rPr>
            </w:pPr>
            <w:r>
              <w:rPr>
                <w:rFonts w:ascii="Arial" w:cs="Arial" w:eastAsia="Arial" w:hAnsi="Arial"/>
                <w:sz w:val="18"/>
                <w:szCs w:val="18"/>
                <w:b w:val="1"/>
                <w:bCs w:val="1"/>
                <w:color w:val="auto"/>
              </w:rPr>
              <w:t>under the Securities Exchange Act of 1934</w:t>
            </w:r>
          </w:p>
        </w:tc>
      </w:tr>
      <w:tr>
        <w:trPr>
          <w:trHeight w:val="216"/>
        </w:trPr>
        <w:tc>
          <w:tcPr>
            <w:tcW w:w="1840" w:type="dxa"/>
            <w:vAlign w:val="bottom"/>
          </w:tcPr>
          <w:p>
            <w:pPr>
              <w:spacing w:after="0"/>
              <w:rPr>
                <w:sz w:val="18"/>
                <w:szCs w:val="18"/>
                <w:color w:val="auto"/>
              </w:rPr>
            </w:pPr>
          </w:p>
        </w:tc>
        <w:tc>
          <w:tcPr>
            <w:tcW w:w="9400" w:type="dxa"/>
            <w:vAlign w:val="bottom"/>
          </w:tcPr>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tc>
      </w:tr>
      <w:tr>
        <w:trPr>
          <w:trHeight w:val="234"/>
        </w:trPr>
        <w:tc>
          <w:tcPr>
            <w:tcW w:w="1840" w:type="dxa"/>
            <w:vAlign w:val="bottom"/>
          </w:tcPr>
          <w:p>
            <w:pPr>
              <w:spacing w:after="0"/>
              <w:rPr>
                <w:sz w:val="20"/>
                <w:szCs w:val="20"/>
                <w:color w:val="auto"/>
              </w:rPr>
            </w:pPr>
          </w:p>
        </w:tc>
        <w:tc>
          <w:tcPr>
            <w:tcW w:w="9400" w:type="dxa"/>
            <w:vAlign w:val="bottom"/>
          </w:tcPr>
          <w:p>
            <w:pPr>
              <w:jc w:val="right"/>
              <w:spacing w:after="0"/>
              <w:rPr>
                <w:sz w:val="20"/>
                <w:szCs w:val="20"/>
                <w:color w:val="auto"/>
              </w:rPr>
            </w:pPr>
            <w:r>
              <w:rPr>
                <w:rFonts w:ascii="Arial" w:cs="Arial" w:eastAsia="Arial" w:hAnsi="Arial"/>
                <w:sz w:val="18"/>
                <w:szCs w:val="18"/>
                <w:b w:val="1"/>
                <w:bCs w:val="1"/>
                <w:color w:val="auto"/>
              </w:rPr>
              <w:t>Commission File No. 001-39281</w:t>
            </w:r>
          </w:p>
        </w:tc>
      </w:tr>
      <w:tr>
        <w:trPr>
          <w:trHeight w:val="418"/>
        </w:trPr>
        <w:tc>
          <w:tcPr>
            <w:tcW w:w="1840" w:type="dxa"/>
            <w:vAlign w:val="bottom"/>
          </w:tcPr>
          <w:p>
            <w:pPr>
              <w:spacing w:after="0"/>
              <w:rPr>
                <w:sz w:val="24"/>
                <w:szCs w:val="24"/>
                <w:color w:val="auto"/>
              </w:rPr>
            </w:pPr>
          </w:p>
        </w:tc>
        <w:tc>
          <w:tcPr>
            <w:tcW w:w="9400" w:type="dxa"/>
            <w:vAlign w:val="bottom"/>
          </w:tcPr>
          <w:p>
            <w:pPr>
              <w:jc w:val="center"/>
              <w:ind w:right="1750"/>
              <w:spacing w:after="0"/>
              <w:rPr>
                <w:sz w:val="20"/>
                <w:szCs w:val="20"/>
                <w:color w:val="auto"/>
              </w:rPr>
            </w:pPr>
            <w:r>
              <w:rPr>
                <w:rFonts w:ascii="Arial" w:cs="Arial" w:eastAsia="Arial" w:hAnsi="Arial"/>
                <w:sz w:val="18"/>
                <w:szCs w:val="18"/>
                <w:color w:val="auto"/>
                <w:w w:val="93"/>
              </w:rPr>
              <w:t>STANSBERRY RESEARCH</w:t>
            </w:r>
          </w:p>
        </w:tc>
      </w:tr>
      <w:tr>
        <w:trPr>
          <w:trHeight w:val="216"/>
        </w:trPr>
        <w:tc>
          <w:tcPr>
            <w:tcW w:w="1840" w:type="dxa"/>
            <w:vAlign w:val="bottom"/>
          </w:tcPr>
          <w:p>
            <w:pPr>
              <w:spacing w:after="0"/>
              <w:rPr>
                <w:sz w:val="18"/>
                <w:szCs w:val="18"/>
                <w:color w:val="auto"/>
              </w:rPr>
            </w:pPr>
          </w:p>
        </w:tc>
        <w:tc>
          <w:tcPr>
            <w:tcW w:w="9400" w:type="dxa"/>
            <w:vAlign w:val="bottom"/>
          </w:tcPr>
          <w:p>
            <w:pPr>
              <w:jc w:val="center"/>
              <w:ind w:right="1750"/>
              <w:spacing w:after="0"/>
              <w:rPr>
                <w:sz w:val="20"/>
                <w:szCs w:val="20"/>
                <w:color w:val="auto"/>
              </w:rPr>
            </w:pPr>
            <w:r>
              <w:rPr>
                <w:rFonts w:ascii="Arial" w:cs="Arial" w:eastAsia="Arial" w:hAnsi="Arial"/>
                <w:sz w:val="18"/>
                <w:szCs w:val="18"/>
                <w:color w:val="auto"/>
                <w:w w:val="98"/>
              </w:rPr>
              <w:t>INTERVIEW WITH GERARD BARRON AND FRANK GIUSTRA</w:t>
            </w:r>
          </w:p>
        </w:tc>
      </w:tr>
      <w:tr>
        <w:trPr>
          <w:trHeight w:val="230"/>
        </w:trPr>
        <w:tc>
          <w:tcPr>
            <w:tcW w:w="1840" w:type="dxa"/>
            <w:vAlign w:val="bottom"/>
          </w:tcPr>
          <w:p>
            <w:pPr>
              <w:spacing w:after="0"/>
              <w:rPr>
                <w:sz w:val="20"/>
                <w:szCs w:val="20"/>
                <w:color w:val="auto"/>
              </w:rPr>
            </w:pPr>
          </w:p>
        </w:tc>
        <w:tc>
          <w:tcPr>
            <w:tcW w:w="9400" w:type="dxa"/>
            <w:vAlign w:val="bottom"/>
          </w:tcPr>
          <w:p>
            <w:pPr>
              <w:jc w:val="center"/>
              <w:ind w:right="1730"/>
              <w:spacing w:after="0"/>
              <w:rPr>
                <w:sz w:val="20"/>
                <w:szCs w:val="20"/>
                <w:color w:val="auto"/>
              </w:rPr>
            </w:pPr>
            <w:r>
              <w:rPr>
                <w:rFonts w:ascii="Arial" w:cs="Arial" w:eastAsia="Arial" w:hAnsi="Arial"/>
                <w:sz w:val="18"/>
                <w:szCs w:val="18"/>
                <w:color w:val="auto"/>
                <w:w w:val="99"/>
              </w:rPr>
              <w:t>INTERVIEWER: DANIELA CAMBONE</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00:00:10;00</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Over the next 30 years the global population is set to expand by 20 billion people. That’s double the population of</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North, Central, and South America combined. This will put a huge strain on mineral resources we extract from the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ground, especially cobalt, nickel, copper, and manganese, all minerals needed for our transition to clean energy.</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00:00:29;01</w:t>
            </w:r>
          </w:p>
        </w:tc>
        <w:tc>
          <w:tcPr>
            <w:tcW w:w="9400" w:type="dxa"/>
            <w:vAlign w:val="bottom"/>
          </w:tcPr>
          <w:p>
            <w:pPr>
              <w:ind w:left="980"/>
              <w:spacing w:after="0"/>
              <w:rPr>
                <w:sz w:val="20"/>
                <w:szCs w:val="20"/>
                <w:color w:val="auto"/>
              </w:rPr>
            </w:pPr>
            <w:r>
              <w:rPr>
                <w:rFonts w:ascii="Arial" w:cs="Arial" w:eastAsia="Arial" w:hAnsi="Arial"/>
                <w:sz w:val="18"/>
                <w:szCs w:val="18"/>
                <w:color w:val="auto"/>
                <w:w w:val="99"/>
              </w:rPr>
              <w:t>But what’s above the ground is not sufficient. So today we’re talking about mining in a new frontier here on</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StansberryInvestor.com, and we’re getting to the bottom of it, the ocean bottom, in fact, with The Metals Company,</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7"/>
              </w:rPr>
              <w:t>you may have known them before as Deep Green Mining, which is scouring the Pacific Ocean floor for these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minerals found in nodules.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00:00:50;10</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The nodules grow by absorbing mineral from the sea level. That is my explanation at the most simplistic level. But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here to help us out with more information is the CEO Gerard Barron, who joins me today, and Frank Giustra, who is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a familiar face and friend to our show.</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00:01:07;22</w:t>
            </w:r>
          </w:p>
        </w:tc>
        <w:tc>
          <w:tcPr>
            <w:tcW w:w="9400" w:type="dxa"/>
            <w:vAlign w:val="bottom"/>
          </w:tcPr>
          <w:p>
            <w:pPr>
              <w:ind w:left="980"/>
              <w:spacing w:after="0"/>
              <w:rPr>
                <w:sz w:val="20"/>
                <w:szCs w:val="20"/>
                <w:color w:val="auto"/>
              </w:rPr>
            </w:pPr>
            <w:r>
              <w:rPr>
                <w:rFonts w:ascii="Arial" w:cs="Arial" w:eastAsia="Arial" w:hAnsi="Arial"/>
                <w:sz w:val="18"/>
                <w:szCs w:val="18"/>
                <w:color w:val="auto"/>
                <w:w w:val="99"/>
              </w:rPr>
              <w:t>Obviously you know him as a great mining financier and philanthropist involved in-- multiple gold and silver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companies above ground, but now he’s getting involved in the ocean. So, we’re going to get his thoughts on it. He is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a strategic advisor on the project. So gentlemen welcome both to this very special episode here on Stansberry</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Investor.</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FRANK GIUSTRA:</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00:01:27;24</w:t>
            </w:r>
          </w:p>
        </w:tc>
        <w:tc>
          <w:tcPr>
            <w:tcW w:w="9400" w:type="dxa"/>
            <w:vAlign w:val="bottom"/>
          </w:tcPr>
          <w:p>
            <w:pPr>
              <w:ind w:left="980"/>
              <w:spacing w:after="0"/>
              <w:rPr>
                <w:sz w:val="20"/>
                <w:szCs w:val="20"/>
                <w:color w:val="auto"/>
              </w:rPr>
            </w:pPr>
            <w:r>
              <w:rPr>
                <w:rFonts w:ascii="Arial" w:cs="Arial" w:eastAsia="Arial" w:hAnsi="Arial"/>
                <w:sz w:val="18"/>
                <w:szCs w:val="18"/>
                <w:color w:val="auto"/>
              </w:rPr>
              <w:t>Thanks Daniela, great to be back.</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00:01:29;18</w:t>
            </w:r>
          </w:p>
        </w:tc>
        <w:tc>
          <w:tcPr>
            <w:tcW w:w="9400" w:type="dxa"/>
            <w:vAlign w:val="bottom"/>
          </w:tcPr>
          <w:p>
            <w:pPr>
              <w:ind w:left="980"/>
              <w:spacing w:after="0"/>
              <w:rPr>
                <w:sz w:val="20"/>
                <w:szCs w:val="20"/>
                <w:color w:val="auto"/>
              </w:rPr>
            </w:pPr>
            <w:r>
              <w:rPr>
                <w:rFonts w:ascii="Arial" w:cs="Arial" w:eastAsia="Arial" w:hAnsi="Arial"/>
                <w:sz w:val="18"/>
                <w:szCs w:val="18"/>
                <w:color w:val="auto"/>
              </w:rPr>
              <w:t>Great to be here.</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00:01:31;10</w:t>
            </w:r>
          </w:p>
        </w:tc>
        <w:tc>
          <w:tcPr>
            <w:tcW w:w="9400" w:type="dxa"/>
            <w:vAlign w:val="bottom"/>
          </w:tcPr>
          <w:p>
            <w:pPr>
              <w:ind w:left="980"/>
              <w:spacing w:after="0"/>
              <w:rPr>
                <w:sz w:val="20"/>
                <w:szCs w:val="20"/>
                <w:color w:val="auto"/>
              </w:rPr>
            </w:pPr>
            <w:r>
              <w:rPr>
                <w:rFonts w:ascii="Arial" w:cs="Arial" w:eastAsia="Arial" w:hAnsi="Arial"/>
                <w:sz w:val="18"/>
                <w:szCs w:val="18"/>
                <w:color w:val="auto"/>
                <w:w w:val="98"/>
              </w:rPr>
              <w:t>So Gerard, I hope my explanation was not too simplistic. But basically these minerals that are critical for our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cellphones, super computers, electrical vehicles, are found in nodules, as a gift from mother-- from mother nature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almost, correct--</w:t>
            </w:r>
          </w:p>
        </w:tc>
      </w:tr>
      <w:tr>
        <w:trPr>
          <w:trHeight w:val="709"/>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380" w:type="dxa"/>
            <w:vAlign w:val="bottom"/>
          </w:tcPr>
          <w:p>
            <w:pPr>
              <w:jc w:val="center"/>
              <w:ind w:left="910"/>
              <w:spacing w:after="0"/>
              <w:rPr>
                <w:sz w:val="20"/>
                <w:szCs w:val="20"/>
                <w:color w:val="auto"/>
              </w:rPr>
            </w:pPr>
            <w:r>
              <w:rPr>
                <w:rFonts w:ascii="Arial" w:cs="Arial" w:eastAsia="Arial" w:hAnsi="Arial"/>
                <w:sz w:val="18"/>
                <w:szCs w:val="18"/>
                <w:color w:val="auto"/>
                <w:w w:val="96"/>
              </w:rPr>
              <w:t>GERARD BARRON: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00:01:47;04</w:t>
            </w:r>
          </w:p>
        </w:tc>
        <w:tc>
          <w:tcPr>
            <w:tcW w:w="9380" w:type="dxa"/>
            <w:vAlign w:val="bottom"/>
          </w:tcPr>
          <w:p>
            <w:pPr>
              <w:ind w:left="980"/>
              <w:spacing w:after="0"/>
              <w:rPr>
                <w:sz w:val="20"/>
                <w:szCs w:val="20"/>
                <w:color w:val="auto"/>
              </w:rPr>
            </w:pPr>
            <w:r>
              <w:rPr>
                <w:rFonts w:ascii="Arial" w:cs="Arial" w:eastAsia="Arial" w:hAnsi="Arial"/>
                <w:sz w:val="18"/>
                <w:szCs w:val="18"/>
                <w:color w:val="auto"/>
                <w:w w:val="93"/>
              </w:rPr>
              <w:t>Yeah, that’s right. Daniela, it’s-- it’s remarkable. And-- and this is what they’re like, they’re like-- golf balls just laid</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8"/>
              </w:rPr>
              <w:t>on the ocean floor. And-- and it just so happens that they contain all the metals we need to power the green</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transition.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00:02:04;13</w:t>
            </w:r>
          </w:p>
        </w:tc>
        <w:tc>
          <w:tcPr>
            <w:tcW w:w="9380" w:type="dxa"/>
            <w:vAlign w:val="bottom"/>
          </w:tcPr>
          <w:p>
            <w:pPr>
              <w:ind w:left="980"/>
              <w:spacing w:after="0"/>
              <w:rPr>
                <w:sz w:val="20"/>
                <w:szCs w:val="20"/>
                <w:color w:val="auto"/>
              </w:rPr>
            </w:pPr>
            <w:r>
              <w:rPr>
                <w:rFonts w:ascii="Arial" w:cs="Arial" w:eastAsia="Arial" w:hAnsi="Arial"/>
                <w:sz w:val="18"/>
                <w:szCs w:val="18"/>
                <w:color w:val="auto"/>
                <w:w w:val="91"/>
              </w:rPr>
              <w:t>And it’s literally, people have described them as an EV battery in a rock. And so at a time when we’re going through</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4"/>
              </w:rPr>
              <w:t>this, you know, growth and demand for metals, to have-- a supply of them that can-- can be produced at a much</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lower impact environmentally and socially compared to land-based, is-- is a wonderful thing for society.</w:t>
            </w:r>
          </w:p>
        </w:tc>
      </w:tr>
      <w:tr>
        <w:trPr>
          <w:trHeight w:val="432"/>
        </w:trPr>
        <w:tc>
          <w:tcPr>
            <w:tcW w:w="1840" w:type="dxa"/>
            <w:vAlign w:val="bottom"/>
          </w:tcPr>
          <w:p>
            <w:pPr>
              <w:spacing w:after="0"/>
              <w:rPr>
                <w:sz w:val="24"/>
                <w:szCs w:val="24"/>
                <w:color w:val="auto"/>
              </w:rPr>
            </w:pPr>
          </w:p>
        </w:tc>
        <w:tc>
          <w:tcPr>
            <w:tcW w:w="9380" w:type="dxa"/>
            <w:vAlign w:val="bottom"/>
          </w:tcPr>
          <w:p>
            <w:pPr>
              <w:jc w:val="center"/>
              <w:ind w:left="91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00:02:28;14</w:t>
            </w:r>
          </w:p>
        </w:tc>
        <w:tc>
          <w:tcPr>
            <w:tcW w:w="9380" w:type="dxa"/>
            <w:vAlign w:val="bottom"/>
          </w:tcPr>
          <w:p>
            <w:pPr>
              <w:ind w:left="980"/>
              <w:spacing w:after="0"/>
              <w:rPr>
                <w:sz w:val="20"/>
                <w:szCs w:val="20"/>
                <w:color w:val="auto"/>
              </w:rPr>
            </w:pPr>
            <w:r>
              <w:rPr>
                <w:rFonts w:ascii="Arial" w:cs="Arial" w:eastAsia="Arial" w:hAnsi="Arial"/>
                <w:sz w:val="18"/>
                <w:szCs w:val="18"/>
                <w:color w:val="auto"/>
                <w:w w:val="93"/>
              </w:rPr>
              <w:t>Now, this is a huge operation that’s involved in scouring the ocean floor. So I wanna know the-- the story, right, of</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2"/>
              </w:rPr>
              <w:t>how-- of-- of how you-- you-- you started this, Gerard, and how you connected with Frank Giustra, who’s a legend</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in the mining world in Canada, and how you convinced Frank to get involved in this.</w:t>
            </w:r>
          </w:p>
        </w:tc>
      </w:tr>
      <w:tr>
        <w:trPr>
          <w:trHeight w:val="432"/>
        </w:trPr>
        <w:tc>
          <w:tcPr>
            <w:tcW w:w="1840" w:type="dxa"/>
            <w:vAlign w:val="bottom"/>
          </w:tcPr>
          <w:p>
            <w:pPr>
              <w:spacing w:after="0"/>
              <w:rPr>
                <w:sz w:val="24"/>
                <w:szCs w:val="24"/>
                <w:color w:val="auto"/>
              </w:rPr>
            </w:pPr>
          </w:p>
        </w:tc>
        <w:tc>
          <w:tcPr>
            <w:tcW w:w="9380" w:type="dxa"/>
            <w:vAlign w:val="bottom"/>
          </w:tcPr>
          <w:p>
            <w:pPr>
              <w:jc w:val="center"/>
              <w:ind w:left="910"/>
              <w:spacing w:after="0"/>
              <w:rPr>
                <w:sz w:val="20"/>
                <w:szCs w:val="20"/>
                <w:color w:val="auto"/>
              </w:rPr>
            </w:pPr>
            <w:r>
              <w:rPr>
                <w:rFonts w:ascii="Arial" w:cs="Arial" w:eastAsia="Arial" w:hAnsi="Arial"/>
                <w:sz w:val="18"/>
                <w:szCs w:val="18"/>
                <w:color w:val="auto"/>
                <w:w w:val="96"/>
              </w:rPr>
              <w:t>GERARD BARRON: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00:02:49;06</w:t>
            </w:r>
          </w:p>
        </w:tc>
        <w:tc>
          <w:tcPr>
            <w:tcW w:w="9380" w:type="dxa"/>
            <w:vAlign w:val="bottom"/>
          </w:tcPr>
          <w:p>
            <w:pPr>
              <w:ind w:left="980"/>
              <w:spacing w:after="0"/>
              <w:rPr>
                <w:sz w:val="20"/>
                <w:szCs w:val="20"/>
                <w:color w:val="auto"/>
              </w:rPr>
            </w:pPr>
            <w:r>
              <w:rPr>
                <w:rFonts w:ascii="Arial" w:cs="Arial" w:eastAsia="Arial" w:hAnsi="Arial"/>
                <w:sz w:val="18"/>
                <w:szCs w:val="18"/>
                <w:color w:val="auto"/>
                <w:w w:val="92"/>
              </w:rPr>
              <w:t>Well, it dates back more than a decade ago when we started the company. And originally I was a financial backer,</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4"/>
              </w:rPr>
              <w:t>because I-- I’ve spent my entire life and university days building companies, and I’ve been lucky enough to build</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some great ones.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00:03:03;22</w:t>
            </w:r>
          </w:p>
        </w:tc>
        <w:tc>
          <w:tcPr>
            <w:tcW w:w="9380" w:type="dxa"/>
            <w:vAlign w:val="bottom"/>
          </w:tcPr>
          <w:p>
            <w:pPr>
              <w:ind w:left="980"/>
              <w:spacing w:after="0"/>
              <w:rPr>
                <w:sz w:val="20"/>
                <w:szCs w:val="20"/>
                <w:color w:val="auto"/>
              </w:rPr>
            </w:pPr>
            <w:r>
              <w:rPr>
                <w:rFonts w:ascii="Arial" w:cs="Arial" w:eastAsia="Arial" w:hAnsi="Arial"/>
                <w:sz w:val="18"/>
                <w:szCs w:val="18"/>
                <w:color w:val="auto"/>
                <w:w w:val="92"/>
              </w:rPr>
              <w:t>And I’ve always been an active investor. And I was fascinated to know that the oceans were filled with metals. And</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3"/>
              </w:rPr>
              <w:t>so I-- it was obvious for me to invest in this idea. And then as I became more and more aware that the existential</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89"/>
              </w:rPr>
              <w:t>crisis that climate change represented, I started to realize that while fossil fuels are bad, we know that, but are metals</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any better?</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00:03:28;24</w:t>
            </w:r>
          </w:p>
        </w:tc>
        <w:tc>
          <w:tcPr>
            <w:tcW w:w="9380" w:type="dxa"/>
            <w:vAlign w:val="bottom"/>
          </w:tcPr>
          <w:p>
            <w:pPr>
              <w:ind w:left="980"/>
              <w:spacing w:after="0"/>
              <w:rPr>
                <w:sz w:val="20"/>
                <w:szCs w:val="20"/>
                <w:color w:val="auto"/>
              </w:rPr>
            </w:pPr>
            <w:r>
              <w:rPr>
                <w:rFonts w:ascii="Arial" w:cs="Arial" w:eastAsia="Arial" w:hAnsi="Arial"/>
                <w:sz w:val="18"/>
                <w:szCs w:val="18"/>
                <w:color w:val="auto"/>
                <w:w w:val="93"/>
              </w:rPr>
              <w:t>And if we’re going to increase production of them or extraction of them exponentially, then what’s that going to do</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1"/>
              </w:rPr>
              <w:t>for the environment? So I-- I really started to dig in there. And then I realized that actually while we had an amazing</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opportunity, we needed to change the way we were approaching the problem.</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00:03:45;24</w:t>
            </w:r>
          </w:p>
        </w:tc>
        <w:tc>
          <w:tcPr>
            <w:tcW w:w="9380" w:type="dxa"/>
            <w:vAlign w:val="bottom"/>
          </w:tcPr>
          <w:p>
            <w:pPr>
              <w:ind w:left="980"/>
              <w:spacing w:after="0"/>
              <w:rPr>
                <w:sz w:val="20"/>
                <w:szCs w:val="20"/>
                <w:color w:val="auto"/>
              </w:rPr>
            </w:pPr>
            <w:r>
              <w:rPr>
                <w:rFonts w:ascii="Arial" w:cs="Arial" w:eastAsia="Arial" w:hAnsi="Arial"/>
                <w:sz w:val="18"/>
                <w:szCs w:val="18"/>
                <w:color w:val="auto"/>
                <w:w w:val="90"/>
              </w:rPr>
              <w:t>Because we had to go about earning the social license to do that. And so, in 2017, I made some changes. I-- I mixed</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2"/>
              </w:rPr>
              <w:t>the board up-- I stepped in as the chairman and CEO. And I met Frank-- at-- at his house. I was in Los Angeles at</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the time, and someone said, “Hey, you should meet Frank Giustra.”</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00:04:07;04</w:t>
            </w:r>
          </w:p>
        </w:tc>
        <w:tc>
          <w:tcPr>
            <w:tcW w:w="9380" w:type="dxa"/>
            <w:vAlign w:val="bottom"/>
          </w:tcPr>
          <w:p>
            <w:pPr>
              <w:ind w:left="980"/>
              <w:spacing w:after="0"/>
              <w:rPr>
                <w:sz w:val="20"/>
                <w:szCs w:val="20"/>
                <w:color w:val="auto"/>
              </w:rPr>
            </w:pPr>
            <w:r>
              <w:rPr>
                <w:rFonts w:ascii="Arial" w:cs="Arial" w:eastAsia="Arial" w:hAnsi="Arial"/>
                <w:sz w:val="18"/>
                <w:szCs w:val="18"/>
                <w:color w:val="auto"/>
                <w:w w:val="97"/>
              </w:rPr>
              <w:t>I said, “Well, I’ve heard all about Frank.” And-- they said, “Well, he’s got-- he’s got-- a charity gathering at his</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3"/>
              </w:rPr>
              <w:t>house, you should go and donate some money and talk to him.” And I said, “I’m on the next plane.” And so I did.</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00:04:19;24</w:t>
            </w:r>
          </w:p>
        </w:tc>
        <w:tc>
          <w:tcPr>
            <w:tcW w:w="9380" w:type="dxa"/>
            <w:vAlign w:val="bottom"/>
          </w:tcPr>
          <w:p>
            <w:pPr>
              <w:ind w:left="980"/>
              <w:spacing w:after="0"/>
              <w:rPr>
                <w:sz w:val="20"/>
                <w:szCs w:val="20"/>
                <w:color w:val="auto"/>
              </w:rPr>
            </w:pPr>
            <w:r>
              <w:rPr>
                <w:rFonts w:ascii="Arial" w:cs="Arial" w:eastAsia="Arial" w:hAnsi="Arial"/>
                <w:sz w:val="18"/>
                <w:szCs w:val="18"/>
                <w:color w:val="auto"/>
                <w:w w:val="94"/>
              </w:rPr>
              <w:t>And I kind of had Frank at, “Hello, Ocean Metals.” And he was like, “I’ve studied this for ten years, what are you</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3"/>
              </w:rPr>
              <w:t>talking about?” And I said, “Well, I’ve-- in that case, it should be a short conversation.” And-- and we met the next</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7"/>
              </w:rPr>
              <w:t>day in his office, and we-- we plotted a path where he would get involved and help me develop this amazing</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rPr>
              <w:t>company to where it is today.</w:t>
            </w:r>
          </w:p>
        </w:tc>
      </w:tr>
      <w:tr>
        <w:trPr>
          <w:trHeight w:val="432"/>
        </w:trPr>
        <w:tc>
          <w:tcPr>
            <w:tcW w:w="1840" w:type="dxa"/>
            <w:vAlign w:val="bottom"/>
          </w:tcPr>
          <w:p>
            <w:pPr>
              <w:spacing w:after="0"/>
              <w:rPr>
                <w:sz w:val="24"/>
                <w:szCs w:val="24"/>
                <w:color w:val="auto"/>
              </w:rPr>
            </w:pPr>
          </w:p>
        </w:tc>
        <w:tc>
          <w:tcPr>
            <w:tcW w:w="9380" w:type="dxa"/>
            <w:vAlign w:val="bottom"/>
          </w:tcPr>
          <w:p>
            <w:pPr>
              <w:jc w:val="center"/>
              <w:ind w:left="91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00:04:43;00</w:t>
            </w:r>
          </w:p>
        </w:tc>
        <w:tc>
          <w:tcPr>
            <w:tcW w:w="9380" w:type="dxa"/>
            <w:vAlign w:val="bottom"/>
          </w:tcPr>
          <w:p>
            <w:pPr>
              <w:ind w:left="980"/>
              <w:spacing w:after="0"/>
              <w:rPr>
                <w:sz w:val="20"/>
                <w:szCs w:val="20"/>
                <w:color w:val="auto"/>
              </w:rPr>
            </w:pPr>
            <w:r>
              <w:rPr>
                <w:rFonts w:ascii="Arial" w:cs="Arial" w:eastAsia="Arial" w:hAnsi="Arial"/>
                <w:sz w:val="18"/>
                <w:szCs w:val="18"/>
                <w:color w:val="auto"/>
                <w:w w:val="92"/>
              </w:rPr>
              <w:t>Wow, so-- so Frank, let me get your perspective on it. Because like I said, you’ve made a name for yourself above</w:t>
            </w:r>
          </w:p>
        </w:tc>
      </w:tr>
      <w:tr>
        <w:trPr>
          <w:trHeight w:val="216"/>
        </w:trPr>
        <w:tc>
          <w:tcPr>
            <w:tcW w:w="1840" w:type="dxa"/>
            <w:vAlign w:val="bottom"/>
          </w:tcPr>
          <w:p>
            <w:pPr>
              <w:spacing w:after="0"/>
              <w:rPr>
                <w:sz w:val="18"/>
                <w:szCs w:val="18"/>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1"/>
              </w:rPr>
              <w:t>ground with, you know, multiple successful ventures. What, you know, what fascinated you towards the ocean floor,</w:t>
            </w:r>
          </w:p>
        </w:tc>
      </w:tr>
      <w:tr>
        <w:trPr>
          <w:trHeight w:val="230"/>
        </w:trPr>
        <w:tc>
          <w:tcPr>
            <w:tcW w:w="1840" w:type="dxa"/>
            <w:vAlign w:val="bottom"/>
          </w:tcPr>
          <w:p>
            <w:pPr>
              <w:spacing w:after="0"/>
              <w:rPr>
                <w:sz w:val="20"/>
                <w:szCs w:val="20"/>
                <w:color w:val="auto"/>
              </w:rPr>
            </w:pPr>
          </w:p>
        </w:tc>
        <w:tc>
          <w:tcPr>
            <w:tcW w:w="9380" w:type="dxa"/>
            <w:vAlign w:val="bottom"/>
          </w:tcPr>
          <w:p>
            <w:pPr>
              <w:ind w:left="980"/>
              <w:spacing w:after="0"/>
              <w:rPr>
                <w:sz w:val="20"/>
                <w:szCs w:val="20"/>
                <w:color w:val="auto"/>
              </w:rPr>
            </w:pPr>
            <w:r>
              <w:rPr>
                <w:rFonts w:ascii="Arial" w:cs="Arial" w:eastAsia="Arial" w:hAnsi="Arial"/>
                <w:sz w:val="18"/>
                <w:szCs w:val="18"/>
                <w:color w:val="auto"/>
                <w:w w:val="98"/>
              </w:rPr>
              <w:t>and towards what you’re now calling, this will be the greatest revolutionary thing to ever happen to mining?</w:t>
            </w:r>
          </w:p>
        </w:tc>
      </w:tr>
    </w:tbl>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PG.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35"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FRANK GIUSTRA:</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00:05:00;21</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Well, when I met Gerard four years ago, I had spent the last, previous ten years trying to secure some licenses near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the Cook Islands. Same-- same stuff. It was the nodules. And we spent literally years learning how these nodules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worked and trying to get-- that never worked out.</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00:05:20;13</w:t>
            </w:r>
          </w:p>
        </w:tc>
        <w:tc>
          <w:tcPr>
            <w:tcW w:w="9400" w:type="dxa"/>
            <w:vAlign w:val="bottom"/>
          </w:tcPr>
          <w:p>
            <w:pPr>
              <w:ind w:left="980"/>
              <w:spacing w:after="0"/>
              <w:rPr>
                <w:sz w:val="20"/>
                <w:szCs w:val="20"/>
                <w:color w:val="auto"/>
              </w:rPr>
            </w:pPr>
            <w:r>
              <w:rPr>
                <w:rFonts w:ascii="Arial" w:cs="Arial" w:eastAsia="Arial" w:hAnsi="Arial"/>
                <w:sz w:val="18"/>
                <w:szCs w:val="18"/>
                <w:color w:val="auto"/>
                <w:w w:val="89"/>
              </w:rPr>
              <w:t>But through that process, I had to learn a lot about these seabed nodules. And so when Gerard walked into my house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four years ago, I was very familiar with what it was he was talking about. And I did say to my partners back then,</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“This can possibly can be the biggest mining deal we’ve ever done, ever.</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00:05:42;04</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“But it’s gonna take a lotta de-risking, and we’re gonna have to keep it private for quite a while.” And Gerard has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done exactly that. He spent about-- we raised, previous to this last raise that he did on the pipe, we already spent</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$160 million advancing this project and de-risking it.</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00:05:57;10</w:t>
            </w: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And the reason it was so important to me was because, you know, eight years ago I bought a Tesla. And I will never,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ever go back to a combustion engine. I mean, it just doesn’t make any sense on so many levels, most importantly,</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the environment.</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00:06:14;04</w:t>
            </w:r>
          </w:p>
        </w:tc>
        <w:tc>
          <w:tcPr>
            <w:tcW w:w="9400" w:type="dxa"/>
            <w:vAlign w:val="bottom"/>
          </w:tcPr>
          <w:p>
            <w:pPr>
              <w:ind w:left="980"/>
              <w:spacing w:after="0"/>
              <w:rPr>
                <w:sz w:val="20"/>
                <w:szCs w:val="20"/>
                <w:color w:val="auto"/>
              </w:rPr>
            </w:pPr>
            <w:r>
              <w:rPr>
                <w:rFonts w:ascii="Arial" w:cs="Arial" w:eastAsia="Arial" w:hAnsi="Arial"/>
                <w:sz w:val="18"/>
                <w:szCs w:val="18"/>
                <w:color w:val="auto"/>
                <w:w w:val="97"/>
              </w:rPr>
              <w:t>And, you know, my kids praised me for it, and I think it’s something, you know, the world has to electrify. This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planet depends on electrifying. It is an existential threat, climate change, and if you don’t believe that, I think-- you</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know, I-- I think that that’s something that we all have to come to terms with. So I when I saw this I thought, “This is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gonna be fantastic. But it’s got some risk attached.” And we did de-risk it.</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00:06:40;06</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So that, that’s what I wanna hear, if you could help educate me at least a bit on this. Because, you know, we wanna</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6"/>
              </w:rPr>
              <w:t>mine above ground. You buy the-- you buy the plot of land, okay, it’s now mine, I get to mine it. Okay. But the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6"/>
              </w:rPr>
              <w:t>ocean, right, from what-- the research I’ve been doing, is regulated by some, you know, some obscure branch</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belonging to the United Nations. Or, you know, how do you stake a claim on the ocean floor, claim it belonging to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the company? How does that work?</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00:07:07;22</w:t>
            </w:r>
          </w:p>
        </w:tc>
        <w:tc>
          <w:tcPr>
            <w:tcW w:w="9400" w:type="dxa"/>
            <w:vAlign w:val="bottom"/>
          </w:tcPr>
          <w:p>
            <w:pPr>
              <w:ind w:left="980"/>
              <w:spacing w:after="0"/>
              <w:rPr>
                <w:sz w:val="20"/>
                <w:szCs w:val="20"/>
                <w:color w:val="auto"/>
              </w:rPr>
            </w:pPr>
            <w:r>
              <w:rPr>
                <w:rFonts w:ascii="Arial" w:cs="Arial" w:eastAsia="Arial" w:hAnsi="Arial"/>
                <w:sz w:val="18"/>
                <w:szCs w:val="18"/>
                <w:color w:val="auto"/>
              </w:rPr>
              <w:t>Yeah. Well, firstly, we’re operating in what’s known as high seas. And the high seas are regulated by the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International Seabed Authority. And that was all agreed back in 1982 by something called UNCLOS. It stands for</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the United Nations Convention of the Law of the Sea.</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00:07:25;22</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And basically it says, as a sovereign, you own everything within 12 miles of your coast. You have an economic right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to everything within 200 miles, but beyond that, it’s not yours. It’s going to be governed by the International Seabed</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Authority.</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00:07:39;19</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And it’s going to be deemed the common heritage of mankind. And so basically the ISA is made up of 167 member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states, plus the European Union. And if you’re a member of the ISA or sponsored by a member, then you can apply</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for anywhere in international waters.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00:07:59;22</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But there’s no point applying where there is nothing. I mean, these nodules were first discovered back in the 1870s.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And so there’s one area of focus in all of the 360 million square kilometers of ocean, there’s only one little area of</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focus.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00:08:15;02</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And it’s about 1,000 miles off the coast of Mexico. So we applied for our first piece of area and were granted it in</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7"/>
              </w:rPr>
              <w:t>2011, and then our second in 2012, and then 2015. And so we hold the license with the International Seabed</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Authority.</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00:08:34;13</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And then we had a sponsorship agreement with our developing nation. And for them it’s great, because it provides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royalties for them once we’re in production. We also provide job opportunities, educational opportunities, and it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really allows the developing nation to participate in this important asset that can go towards helping solve one of the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8"/>
              </w:rPr>
              <w:t>biggest threats to the oceans, and that is climate change, global warming. And so, it’s got a very nice angle.</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00:09:04;24</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When you say it’s a specific area, can these nodules only grow in or be born in certain parts of an ocean, types of</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water? Does it depend, or can it be anywhere?</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PG.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00:09:17;13</w:t>
            </w: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Well, no. You need a certain amount of pressure. You need a certain amount of depth. And then the nodules that are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so precious are off the coast of Mexico. And if you look to the right, you have the Rockies and the Andes. And many</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millions of years ago, through volcanogenic explosion and erosion, all of the metal tops ended up in the Pacific</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Ocean.</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00:09:40;17</w:t>
            </w: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And they settled in this one area. So these nodules are also found in the North Sea, but they’re not worth picking up,</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because they have no nickel and no copper. And, you know, lucky I met Frank, because the nodules in the Cooks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don’t have as much nickel or copper either. And so, this is the area of interest. And yeah, so, we’re busy getting</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ready to start extracting them.</w:t>
            </w:r>
          </w:p>
        </w:tc>
      </w:tr>
      <w:tr>
        <w:trPr>
          <w:trHeight w:val="364"/>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00:10:03;11</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Well, and we’ll get to the phase you’re in in a bit. But, you know, I just want to understand or give some context to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to our viewers. You know, how much mineral do you think is lying underneath?</w:t>
            </w:r>
          </w:p>
        </w:tc>
      </w:tr>
      <w:tr>
        <w:trPr>
          <w:trHeight w:val="365"/>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00:10:15;21</w:t>
            </w: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Well, firstly, they lie on the ocean floor. So, one of the great things is, if this were a land-based deposit, we’d be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drilling thousands of holes, trying to imagine what the shape of this body was. But we don’t have to do that. We get</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to take pictures, and to survey it with-- sonar and other survey techniques.</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00:10:38;03</w:t>
            </w: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And so we now have-- around 178,000 square kilometers of bathymetric survey data of our license areas. And-- that</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means we have really fine resolution. And so, we know that on our two licenses, that we’ve defined the resource.</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00:10:56;24</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We’re a Canadian company, so we’re compliant with the 43-101 standard. We had 1.6 billion tons of these nodules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on two of our blocks. And that’s enough to build around 280 million mid-sized EV batteries. So it’s really big. But</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there’s more there as well. So this is a big resource.</w:t>
            </w:r>
          </w:p>
        </w:tc>
      </w:tr>
      <w:tr>
        <w:trPr>
          <w:trHeight w:val="364"/>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00:11:19;19</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And, you know, we know what the all-in sustaining costs are when you’re extracting, you know, gold or silver from</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a mine, Frank. But, you know, what kind of expenses, I mean, it looks like a huge undertaking, what’s involved. So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can you give us a glimpse of, you know, the costs surrounding-- this type of undertaking?</w:t>
            </w:r>
          </w:p>
        </w:tc>
      </w:tr>
      <w:tr>
        <w:trPr>
          <w:trHeight w:val="364"/>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00:11:42;24</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Yeah, absolutely. Well, almost 50% of the revenue comes from the nickel contained in here. So, we think of it as a</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nickel deposit. And because of the very high grade, we are able to operate in the bottom quartile of the cost curve, so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that’s the best way to understand it.</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00:12:01;24</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And in fact, if you want to put it all into nickel equivalent, our resources are around 3.2% nickel equivalent. So it’s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really high grade. So many of the technical challenges of extracting these nodules were solved about 50 years ago,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because before UNCLOS was agreed, there was a lot of activity in this area.</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00:12:23;09</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There were four different consortia, Lockheed Martin were involved, Shell, BP, Mitsubishi, because this is where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they were going to get their future metals from. And they’d finished their trials, they’d solved the technical issues.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Kannecott, now part of Rio Tinto, had built the onshore refining plant.</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00:12:43;04</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And then they wanted to move into commercial production. So they thought, “Who do we ask?” And so they went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to the United Nations. And it was the United Nations that stopped them. They said, “Hang on, we haven’t agreed</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who owns the oceans yet.”</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00:12:55;17</w:t>
            </w:r>
          </w:p>
        </w:tc>
        <w:tc>
          <w:tcPr>
            <w:tcW w:w="9400" w:type="dxa"/>
            <w:vAlign w:val="bottom"/>
          </w:tcPr>
          <w:p>
            <w:pPr>
              <w:ind w:left="980"/>
              <w:spacing w:after="0"/>
              <w:rPr>
                <w:sz w:val="20"/>
                <w:szCs w:val="20"/>
                <w:color w:val="auto"/>
              </w:rPr>
            </w:pPr>
            <w:r>
              <w:rPr>
                <w:rFonts w:ascii="Arial" w:cs="Arial" w:eastAsia="Arial" w:hAnsi="Arial"/>
                <w:sz w:val="18"/>
                <w:szCs w:val="18"/>
                <w:color w:val="auto"/>
                <w:w w:val="97"/>
              </w:rPr>
              <w:t>And so they had to all stop. But the good news is, 50 years ago, they solved these technical challenges. And</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obviously with the development of the offshore oil and gas industry, and cable laying, and pipe laying, the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technology has advanced significantly.</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00:13:11;18</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And I guess from our perspective, that takes away one of the big risks. And so the economics are very attractive,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because of the very high grade. And,you know, I was visiting a platinum mine in South Africa a couple of years ago.</w:t>
            </w:r>
          </w:p>
        </w:tc>
      </w:tr>
      <w:tr>
        <w:trPr>
          <w:trHeight w:val="350"/>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00:13:27;24</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And, you know, as we were going down the shaft, you know, they’d been building it for five years. They still had</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another two years to go. I mean, we go out, we sail on out there, we drop our shaft in 24 hours. It’s called a riser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pipe. And so ocean resources come with a lot of advantages over land-based as well. And not needing a lot of fixed</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infrastructure is one of those advantages.</w:t>
            </w: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PG.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00:13:54;06</w:t>
            </w:r>
          </w:p>
        </w:tc>
        <w:tc>
          <w:tcPr>
            <w:tcW w:w="9400" w:type="dxa"/>
            <w:vAlign w:val="bottom"/>
          </w:tcPr>
          <w:p>
            <w:pPr>
              <w:ind w:left="980"/>
              <w:spacing w:after="0"/>
              <w:rPr>
                <w:sz w:val="20"/>
                <w:szCs w:val="20"/>
                <w:color w:val="auto"/>
              </w:rPr>
            </w:pPr>
            <w:r>
              <w:rPr>
                <w:rFonts w:ascii="Arial" w:cs="Arial" w:eastAsia="Arial" w:hAnsi="Arial"/>
                <w:sz w:val="18"/>
                <w:szCs w:val="18"/>
                <w:color w:val="auto"/>
              </w:rPr>
              <w:t>And you will go into production in 2024? Is that correct?</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00:13:59;24</w:t>
            </w:r>
          </w:p>
        </w:tc>
        <w:tc>
          <w:tcPr>
            <w:tcW w:w="9400" w:type="dxa"/>
            <w:vAlign w:val="bottom"/>
          </w:tcPr>
          <w:p>
            <w:pPr>
              <w:ind w:left="980"/>
              <w:spacing w:after="0"/>
              <w:rPr>
                <w:sz w:val="20"/>
                <w:szCs w:val="20"/>
                <w:color w:val="auto"/>
              </w:rPr>
            </w:pPr>
            <w:r>
              <w:rPr>
                <w:rFonts w:ascii="Arial" w:cs="Arial" w:eastAsia="Arial" w:hAnsi="Arial"/>
                <w:sz w:val="18"/>
                <w:szCs w:val="18"/>
                <w:color w:val="auto"/>
              </w:rPr>
              <w:t>That’s the goal, yes.</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00:14:00;24</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That’s the goal. You know, Frank, I know you consider yourself an environmentalist, a proud environmentalist. You</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just started Million Gardens Movement. You’re a lover of nature. And, you know, often we hear the feedback that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mining is not-- you know, and rightfully so, is not a clean industry. I mean, obviously it’s made great strides. So one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of the aspects that often comes up is, you know, will the ocean floor be disrupted with deep sea mining?</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FRANK GIUSTRA:</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00:14:31;11</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Yeah. Well, you know-- in all honesty, Gerard can go into a lot more detail if you like, but we have literally spent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tens of millions of dollars on just the environmental studies here. We both feel this-- it’s really important that we do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this right, you know, with minimal disturbance to the environment.</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00:14:49;12</w:t>
            </w:r>
          </w:p>
        </w:tc>
        <w:tc>
          <w:tcPr>
            <w:tcW w:w="9400" w:type="dxa"/>
            <w:vAlign w:val="bottom"/>
          </w:tcPr>
          <w:p>
            <w:pPr>
              <w:ind w:left="980"/>
              <w:spacing w:after="0"/>
              <w:rPr>
                <w:sz w:val="20"/>
                <w:szCs w:val="20"/>
                <w:color w:val="auto"/>
              </w:rPr>
            </w:pPr>
            <w:r>
              <w:rPr>
                <w:rFonts w:ascii="Arial" w:cs="Arial" w:eastAsia="Arial" w:hAnsi="Arial"/>
                <w:sz w:val="18"/>
                <w:szCs w:val="18"/>
                <w:color w:val="auto"/>
                <w:w w:val="96"/>
              </w:rPr>
              <w:t>There’s very little life at that at the bottom of the ocean, at four, whatever it is, 4,000 meters, very little life. But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there is life, and you have to be cognizant of it, and you have to respect it. And we decided at the beginning, at the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outset of this, that we were going to do this right and spend a lot of money to make sure there’s as little criticism as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possible.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00:15:07;08</w:t>
            </w:r>
          </w:p>
        </w:tc>
        <w:tc>
          <w:tcPr>
            <w:tcW w:w="9400" w:type="dxa"/>
            <w:vAlign w:val="bottom"/>
          </w:tcPr>
          <w:p>
            <w:pPr>
              <w:ind w:left="980"/>
              <w:spacing w:after="0"/>
              <w:rPr>
                <w:sz w:val="20"/>
                <w:szCs w:val="20"/>
                <w:color w:val="auto"/>
              </w:rPr>
            </w:pPr>
            <w:r>
              <w:rPr>
                <w:rFonts w:ascii="Arial" w:cs="Arial" w:eastAsia="Arial" w:hAnsi="Arial"/>
                <w:sz w:val="18"/>
                <w:szCs w:val="18"/>
                <w:color w:val="auto"/>
                <w:w w:val="98"/>
              </w:rPr>
              <w:t>There’s always going to be a disturbance of the environment but we feel when you put this side by side with</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terrestrial mining, there’s not even a comparison. You don’t have toxic waste dumps. You don’t have deforestation.</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You don’t have child labor issues.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00:15:21;03</w:t>
            </w: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All the stuff that you kind of find in places like DRC or Indonesia, we, you know, we don’t have those problems.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These nodules are almost pure metal, with the exception of the silica content, which is sand. Pure metal. So we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harvest these things, and then just process them.</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00:15:38;01</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And, you know, I honestly think that-- that we cannot afford not to harvest these metals. You know, they’ve been</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sitting patiently on the ocean floor for half a billion years, just waiting to be harvested-- just like ripe fruit.</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00:15:55;23</w:t>
            </w:r>
          </w:p>
        </w:tc>
        <w:tc>
          <w:tcPr>
            <w:tcW w:w="9400" w:type="dxa"/>
            <w:vAlign w:val="bottom"/>
          </w:tcPr>
          <w:p>
            <w:pPr>
              <w:ind w:left="980"/>
              <w:spacing w:after="0"/>
              <w:rPr>
                <w:sz w:val="20"/>
                <w:szCs w:val="20"/>
                <w:color w:val="auto"/>
              </w:rPr>
            </w:pPr>
            <w:r>
              <w:rPr>
                <w:rFonts w:ascii="Arial" w:cs="Arial" w:eastAsia="Arial" w:hAnsi="Arial"/>
                <w:sz w:val="18"/>
                <w:szCs w:val="18"/>
                <w:color w:val="auto"/>
              </w:rPr>
              <w:t>Incredible, incredible--</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00:15:56;14</w:t>
            </w:r>
          </w:p>
        </w:tc>
        <w:tc>
          <w:tcPr>
            <w:tcW w:w="9400" w:type="dxa"/>
            <w:vAlign w:val="bottom"/>
          </w:tcPr>
          <w:p>
            <w:pPr>
              <w:ind w:left="980"/>
              <w:spacing w:after="0"/>
              <w:rPr>
                <w:sz w:val="20"/>
                <w:szCs w:val="20"/>
                <w:color w:val="auto"/>
              </w:rPr>
            </w:pPr>
            <w:r>
              <w:rPr>
                <w:rFonts w:ascii="Arial" w:cs="Arial" w:eastAsia="Arial" w:hAnsi="Arial"/>
                <w:sz w:val="18"/>
                <w:szCs w:val="18"/>
                <w:color w:val="auto"/>
              </w:rPr>
              <w:t>and at the oversimplifying it, the concept is very simple. And that is-- I will simplify. But think of a very</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sophisticated, high-tech Hoover at the bottom of the ocean, just sucking up these rocks off the sand. That’s what it is.</w:t>
            </w:r>
          </w:p>
        </w:tc>
      </w:tr>
    </w:tbl>
    <w:p>
      <w:pPr>
        <w:ind w:left="2820" w:right="900"/>
        <w:spacing w:after="0" w:line="260" w:lineRule="auto"/>
        <w:rPr>
          <w:sz w:val="20"/>
          <w:szCs w:val="20"/>
          <w:color w:val="auto"/>
        </w:rPr>
      </w:pPr>
      <w:r>
        <w:rPr>
          <w:rFonts w:ascii="Arial" w:cs="Arial" w:eastAsia="Arial" w:hAnsi="Arial"/>
          <w:sz w:val="18"/>
          <w:szCs w:val="18"/>
          <w:color w:val="auto"/>
        </w:rPr>
        <w:t>And obviously it’s a lot more complex than that, but that’s the process, with very little disturbance to the surrounding environment.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PG.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00:16:19;06</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So Frank, for you, do you is this the new the next frontier? Do you think we’re going to, you know, you’re obviously</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the first doing this. But do you think we’ll see more and more companies starting to look at developing the ocean</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floors?</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FRANK GIUSTRA:</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00:16:33;19</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Well we own, the licenses we own are obviously privately owned. Our-- you knowThe Metals Company. Most of the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other licenses are owned by governments, okay? And so China, there’s Korea, Japan, numerous other countries own</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the licenses.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00:16:49;12</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We are, I think, the only, maybe there are two-- maybe there’s another private company. But I think we’re the only</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private company that has these licenses. And these metals are going to be be-- you cannot electrify the world at the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rate that is being talked about without accessing these metals.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00:17:06;02</w:t>
            </w:r>
          </w:p>
        </w:tc>
        <w:tc>
          <w:tcPr>
            <w:tcW w:w="9400" w:type="dxa"/>
            <w:vAlign w:val="bottom"/>
          </w:tcPr>
          <w:p>
            <w:pPr>
              <w:ind w:left="980"/>
              <w:spacing w:after="0"/>
              <w:rPr>
                <w:sz w:val="20"/>
                <w:szCs w:val="20"/>
                <w:color w:val="auto"/>
              </w:rPr>
            </w:pPr>
            <w:r>
              <w:rPr>
                <w:rFonts w:ascii="Arial" w:cs="Arial" w:eastAsia="Arial" w:hAnsi="Arial"/>
                <w:sz w:val="18"/>
                <w:szCs w:val="18"/>
                <w:color w:val="auto"/>
                <w:w w:val="96"/>
              </w:rPr>
              <w:t>It’s impossible. Every electric vehicle has around 85 kilograms of copper and about 56 kilograms of nickel and</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seven kilograms of cobalt and seven kilograms of manganese. That’s all the metals that are in these nodules. You</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need them. That nickel supply is not readily available on land.</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00:17:25;13</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So what we think we’ve got here, and I hate using exaggerated, using hyperbole, but you know, Elon Musk started</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electric vehicle revolution, we’re starting the battery metals revolution. This is what we’re doing. And I think it is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going to be the future of mining, with respect to battery metals.</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00:17:46;07</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And Gerard, the company-- recently announced its plans to go public with a $2.9 billion-- SPAC, trading under--</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ticker symbol SOAC, eventually it will be TMC. So tell us about it.</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00:18:00;19</w:t>
            </w:r>
          </w:p>
        </w:tc>
        <w:tc>
          <w:tcPr>
            <w:tcW w:w="9400" w:type="dxa"/>
            <w:vAlign w:val="bottom"/>
          </w:tcPr>
          <w:p>
            <w:pPr>
              <w:ind w:left="980"/>
              <w:spacing w:after="0"/>
              <w:rPr>
                <w:sz w:val="20"/>
                <w:szCs w:val="20"/>
                <w:color w:val="auto"/>
              </w:rPr>
            </w:pPr>
            <w:r>
              <w:rPr>
                <w:rFonts w:ascii="Arial" w:cs="Arial" w:eastAsia="Arial" w:hAnsi="Arial"/>
                <w:sz w:val="18"/>
                <w:szCs w:val="18"/>
                <w:color w:val="auto"/>
                <w:w w:val="90"/>
              </w:rPr>
              <w:t>Yeah, yes. We announced on March 4 the amalgamation with-- SOAC, and yeah, it’s an exciting development for us,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because it means we also raise around $570 million. And that provides us enough capital to get into first production.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00:18:23;09</w:t>
            </w:r>
          </w:p>
        </w:tc>
        <w:tc>
          <w:tcPr>
            <w:tcW w:w="9400" w:type="dxa"/>
            <w:vAlign w:val="bottom"/>
          </w:tcPr>
          <w:p>
            <w:pPr>
              <w:ind w:left="980"/>
              <w:spacing w:after="0"/>
              <w:rPr>
                <w:sz w:val="20"/>
                <w:szCs w:val="20"/>
                <w:color w:val="auto"/>
              </w:rPr>
            </w:pPr>
            <w:r>
              <w:rPr>
                <w:rFonts w:ascii="Arial" w:cs="Arial" w:eastAsia="Arial" w:hAnsi="Arial"/>
                <w:sz w:val="18"/>
                <w:szCs w:val="18"/>
                <w:color w:val="auto"/>
                <w:w w:val="99"/>
              </w:rPr>
              <w:t>And so I think investors were always worried about, you know, will you get enough money to be able to get</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production started? And this capital raise gives us sufficient capital to make first production. So it’s a very important</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milestone for us.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00:18:40;02</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And we’re also excited about the public stage, that being a public company will present. Because this is a really</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important story. And it’s hard to be heard as a private company. And so it’s the right time.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00:18:55;08</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It wouldn’t have been the right time before now, because we’ve made so much progress, we have so much visibility</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with regards to our onshore, our offshore, our environmental work program. And of course, people believe more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about the green transition, the uptake of EVs now than they ever, ever did. And so it appears that, you know, we’ve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got the timing pretty okay on this one.</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PG.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00:19:19;24</w:t>
            </w:r>
          </w:p>
        </w:tc>
        <w:tc>
          <w:tcPr>
            <w:tcW w:w="9400" w:type="dxa"/>
            <w:vAlign w:val="bottom"/>
          </w:tcPr>
          <w:p>
            <w:pPr>
              <w:ind w:left="980"/>
              <w:spacing w:after="0"/>
              <w:rPr>
                <w:sz w:val="20"/>
                <w:szCs w:val="20"/>
                <w:color w:val="auto"/>
              </w:rPr>
            </w:pPr>
            <w:r>
              <w:rPr>
                <w:rFonts w:ascii="Arial" w:cs="Arial" w:eastAsia="Arial" w:hAnsi="Arial"/>
                <w:sz w:val="18"/>
                <w:szCs w:val="18"/>
                <w:color w:val="auto"/>
              </w:rPr>
              <w:t>Yeah, absolutely--</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00:19:20;09</w:t>
            </w: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I’m really excited about building a category around low impact ocean metals, because I think we’re moving into a</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period where people are starting to care about the provenance of the materials that go to make these batteries. It’s</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like, where did it come from? What was the impact?</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00:19:39;07</w:t>
            </w: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And, you know, if you look at where nickel growth is forecast to come from, it’s Indonesia. But unfortunately, the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4"/>
              </w:rPr>
              <w:t>nickel there is in the form of nickel laterites. And they’re our carbon sinks. You know, they’re rain forests. And so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we’re destroying these carbon sinks.</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00:19:54;23</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We’re generating horrible tailings and horrible waste streams. And when there’s a much more efficient way. And we</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can compress those impacts just on a CO2 level by more than 90% when you build an EV battery cathode was our</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5"/>
              </w:rPr>
              <w:t>metals compared to land-based. And I think that’s going to count in the future. And people are going to want to</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know these numbers.</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00:20:17;11</w:t>
            </w:r>
          </w:p>
        </w:tc>
        <w:tc>
          <w:tcPr>
            <w:tcW w:w="9400" w:type="dxa"/>
            <w:vAlign w:val="bottom"/>
          </w:tcPr>
          <w:p>
            <w:pPr>
              <w:ind w:left="980"/>
              <w:spacing w:after="0"/>
              <w:rPr>
                <w:sz w:val="20"/>
                <w:szCs w:val="20"/>
                <w:color w:val="auto"/>
              </w:rPr>
            </w:pPr>
            <w:r>
              <w:rPr>
                <w:rFonts w:ascii="Arial" w:cs="Arial" w:eastAsia="Arial" w:hAnsi="Arial"/>
                <w:sz w:val="18"/>
                <w:szCs w:val="18"/>
                <w:color w:val="auto"/>
                <w:w w:val="91"/>
              </w:rPr>
              <w:t>This is-- it’s just incredible stuff. So thank you so much for educating me and all the viewers today, Gerard. And best</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of luck with this venture.</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6"/>
              </w:rPr>
              <w:t>GERARD BARRON:</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00:20:25;06</w:t>
            </w:r>
          </w:p>
        </w:tc>
        <w:tc>
          <w:tcPr>
            <w:tcW w:w="9400" w:type="dxa"/>
            <w:vAlign w:val="bottom"/>
          </w:tcPr>
          <w:p>
            <w:pPr>
              <w:ind w:left="980"/>
              <w:spacing w:after="0"/>
              <w:rPr>
                <w:sz w:val="20"/>
                <w:szCs w:val="20"/>
                <w:color w:val="auto"/>
              </w:rPr>
            </w:pPr>
            <w:r>
              <w:rPr>
                <w:rFonts w:ascii="Arial" w:cs="Arial" w:eastAsia="Arial" w:hAnsi="Arial"/>
                <w:sz w:val="18"/>
                <w:szCs w:val="18"/>
                <w:color w:val="auto"/>
              </w:rPr>
              <w:t>Thank you.</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00:20:25;21</w:t>
            </w:r>
          </w:p>
        </w:tc>
        <w:tc>
          <w:tcPr>
            <w:tcW w:w="9400" w:type="dxa"/>
            <w:vAlign w:val="bottom"/>
          </w:tcPr>
          <w:p>
            <w:pPr>
              <w:ind w:left="980"/>
              <w:spacing w:after="0"/>
              <w:rPr>
                <w:sz w:val="20"/>
                <w:szCs w:val="20"/>
                <w:color w:val="auto"/>
              </w:rPr>
            </w:pPr>
            <w:r>
              <w:rPr>
                <w:rFonts w:ascii="Arial" w:cs="Arial" w:eastAsia="Arial" w:hAnsi="Arial"/>
                <w:sz w:val="18"/>
                <w:szCs w:val="18"/>
                <w:color w:val="auto"/>
                <w:w w:val="97"/>
              </w:rPr>
              <w:t>Frank, this is-- nothing surprises me anymore from you. You know, the fact that you’re involved in this, you’re</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always, like, thinking the next level, the next thing, so.</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FRANK GIUSTRA:</w:t>
            </w:r>
          </w:p>
        </w:tc>
      </w:tr>
      <w:tr>
        <w:trPr>
          <w:trHeight w:val="418"/>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00:20:36;05</w:t>
            </w:r>
          </w:p>
        </w:tc>
        <w:tc>
          <w:tcPr>
            <w:tcW w:w="9400" w:type="dxa"/>
            <w:vAlign w:val="bottom"/>
          </w:tcPr>
          <w:p>
            <w:pPr>
              <w:ind w:left="980"/>
              <w:spacing w:after="0"/>
              <w:rPr>
                <w:sz w:val="20"/>
                <w:szCs w:val="20"/>
                <w:color w:val="auto"/>
              </w:rPr>
            </w:pPr>
            <w:r>
              <w:rPr>
                <w:rFonts w:ascii="Arial" w:cs="Arial" w:eastAsia="Arial" w:hAnsi="Arial"/>
                <w:sz w:val="18"/>
                <w:szCs w:val="18"/>
                <w:color w:val="auto"/>
                <w:w w:val="96"/>
              </w:rPr>
              <w:t>Yes. Well, you know, it is important. So, you know, I really believe what I’m saying. I mean, Ilike I said, I own a</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3"/>
              </w:rPr>
              <w:t>Tesla. I will never go back. I think everybody should go out and buy an electric vehicle, and invest inin The Metals</w:t>
            </w:r>
          </w:p>
        </w:tc>
      </w:tr>
      <w:tr>
        <w:trPr>
          <w:trHeight w:val="216"/>
        </w:trPr>
        <w:tc>
          <w:tcPr>
            <w:tcW w:w="1840" w:type="dxa"/>
            <w:vAlign w:val="bottom"/>
          </w:tcPr>
          <w:p>
            <w:pPr>
              <w:spacing w:after="0"/>
              <w:rPr>
                <w:sz w:val="18"/>
                <w:szCs w:val="18"/>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Company. I think this is the future of our planet that’s at stake. And, you know and we’re going to also do very well</w:t>
            </w:r>
          </w:p>
        </w:tc>
      </w:tr>
      <w:tr>
        <w:trPr>
          <w:trHeight w:val="230"/>
        </w:trPr>
        <w:tc>
          <w:tcPr>
            <w:tcW w:w="1840" w:type="dxa"/>
            <w:vAlign w:val="bottom"/>
          </w:tcPr>
          <w:p>
            <w:pPr>
              <w:spacing w:after="0"/>
              <w:rPr>
                <w:sz w:val="20"/>
                <w:szCs w:val="20"/>
                <w:color w:val="auto"/>
              </w:rPr>
            </w:pPr>
          </w:p>
        </w:tc>
        <w:tc>
          <w:tcPr>
            <w:tcW w:w="9400" w:type="dxa"/>
            <w:vAlign w:val="bottom"/>
          </w:tcPr>
          <w:p>
            <w:pPr>
              <w:ind w:left="980"/>
              <w:spacing w:after="0"/>
              <w:rPr>
                <w:sz w:val="20"/>
                <w:szCs w:val="20"/>
                <w:color w:val="auto"/>
              </w:rPr>
            </w:pPr>
            <w:r>
              <w:rPr>
                <w:rFonts w:ascii="Arial" w:cs="Arial" w:eastAsia="Arial" w:hAnsi="Arial"/>
                <w:sz w:val="18"/>
                <w:szCs w:val="18"/>
                <w:color w:val="auto"/>
              </w:rPr>
              <w:t>by it, so that’s important too.</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00:20:57;22</w:t>
            </w:r>
          </w:p>
        </w:tc>
        <w:tc>
          <w:tcPr>
            <w:tcW w:w="9400" w:type="dxa"/>
            <w:vAlign w:val="bottom"/>
          </w:tcPr>
          <w:p>
            <w:pPr>
              <w:ind w:left="980"/>
              <w:spacing w:after="0"/>
              <w:rPr>
                <w:sz w:val="20"/>
                <w:szCs w:val="20"/>
                <w:color w:val="auto"/>
              </w:rPr>
            </w:pPr>
            <w:r>
              <w:rPr>
                <w:rFonts w:ascii="Arial" w:cs="Arial" w:eastAsia="Arial" w:hAnsi="Arial"/>
                <w:sz w:val="18"/>
                <w:szCs w:val="18"/>
                <w:color w:val="auto"/>
              </w:rPr>
              <w:t>Well, best of luck with it, and keep us posted. Thank you so much. Thank you both.</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FRANK GIUSTRA:</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00:21:02;07</w:t>
            </w:r>
          </w:p>
        </w:tc>
        <w:tc>
          <w:tcPr>
            <w:tcW w:w="9400" w:type="dxa"/>
            <w:vAlign w:val="bottom"/>
          </w:tcPr>
          <w:p>
            <w:pPr>
              <w:ind w:left="980"/>
              <w:spacing w:after="0"/>
              <w:rPr>
                <w:sz w:val="20"/>
                <w:szCs w:val="20"/>
                <w:color w:val="auto"/>
              </w:rPr>
            </w:pPr>
            <w:r>
              <w:rPr>
                <w:rFonts w:ascii="Arial" w:cs="Arial" w:eastAsia="Arial" w:hAnsi="Arial"/>
                <w:sz w:val="18"/>
                <w:szCs w:val="18"/>
                <w:color w:val="auto"/>
              </w:rPr>
              <w:t>It was a pleasure, thank you for having us.</w:t>
            </w:r>
          </w:p>
        </w:tc>
      </w:tr>
      <w:tr>
        <w:trPr>
          <w:trHeight w:val="432"/>
        </w:trPr>
        <w:tc>
          <w:tcPr>
            <w:tcW w:w="1840" w:type="dxa"/>
            <w:vAlign w:val="bottom"/>
          </w:tcPr>
          <w:p>
            <w:pPr>
              <w:spacing w:after="0"/>
              <w:rPr>
                <w:sz w:val="24"/>
                <w:szCs w:val="24"/>
                <w:color w:val="auto"/>
              </w:rPr>
            </w:pPr>
          </w:p>
        </w:tc>
        <w:tc>
          <w:tcPr>
            <w:tcW w:w="9400" w:type="dxa"/>
            <w:vAlign w:val="bottom"/>
          </w:tcPr>
          <w:p>
            <w:pPr>
              <w:jc w:val="center"/>
              <w:ind w:left="890"/>
              <w:spacing w:after="0"/>
              <w:rPr>
                <w:sz w:val="20"/>
                <w:szCs w:val="20"/>
                <w:color w:val="auto"/>
              </w:rPr>
            </w:pPr>
            <w:r>
              <w:rPr>
                <w:rFonts w:ascii="Arial" w:cs="Arial" w:eastAsia="Arial" w:hAnsi="Arial"/>
                <w:sz w:val="18"/>
                <w:szCs w:val="18"/>
                <w:color w:val="auto"/>
                <w:w w:val="99"/>
              </w:rPr>
              <w:t>DANIELA CAMBONE:</w:t>
            </w:r>
          </w:p>
        </w:tc>
      </w:tr>
      <w:tr>
        <w:trPr>
          <w:trHeight w:val="432"/>
        </w:trPr>
        <w:tc>
          <w:tcPr>
            <w:tcW w:w="1840" w:type="dxa"/>
            <w:vAlign w:val="bottom"/>
          </w:tcPr>
          <w:p>
            <w:pPr>
              <w:jc w:val="right"/>
              <w:ind w:right="870"/>
              <w:spacing w:after="0"/>
              <w:rPr>
                <w:sz w:val="20"/>
                <w:szCs w:val="20"/>
                <w:color w:val="auto"/>
              </w:rPr>
            </w:pPr>
            <w:r>
              <w:rPr>
                <w:rFonts w:ascii="Arial" w:cs="Arial" w:eastAsia="Arial" w:hAnsi="Arial"/>
                <w:sz w:val="18"/>
                <w:szCs w:val="18"/>
                <w:color w:val="auto"/>
                <w:w w:val="90"/>
              </w:rPr>
              <w:t>00:21:03;24</w:t>
            </w:r>
          </w:p>
        </w:tc>
        <w:tc>
          <w:tcPr>
            <w:tcW w:w="9400" w:type="dxa"/>
            <w:vAlign w:val="bottom"/>
          </w:tcPr>
          <w:p>
            <w:pPr>
              <w:ind w:left="980"/>
              <w:spacing w:after="0"/>
              <w:rPr>
                <w:sz w:val="20"/>
                <w:szCs w:val="20"/>
                <w:color w:val="auto"/>
              </w:rPr>
            </w:pPr>
            <w:r>
              <w:rPr>
                <w:rFonts w:ascii="Arial" w:cs="Arial" w:eastAsia="Arial" w:hAnsi="Arial"/>
                <w:sz w:val="18"/>
                <w:szCs w:val="18"/>
                <w:color w:val="auto"/>
                <w:w w:val="92"/>
              </w:rPr>
              <w:t>And thank you for watching this very special edition of StansberryInvestor.com. Remember to share us where you</w:t>
            </w:r>
          </w:p>
        </w:tc>
      </w:tr>
    </w:tbl>
    <w:p>
      <w:pPr>
        <w:ind w:left="2820" w:right="200"/>
        <w:spacing w:after="0" w:line="260" w:lineRule="auto"/>
        <w:rPr>
          <w:sz w:val="20"/>
          <w:szCs w:val="20"/>
          <w:color w:val="auto"/>
        </w:rPr>
      </w:pPr>
      <w:r>
        <w:rPr>
          <w:rFonts w:ascii="Arial" w:cs="Arial" w:eastAsia="Arial" w:hAnsi="Arial"/>
          <w:sz w:val="18"/>
          <w:szCs w:val="18"/>
          <w:color w:val="auto"/>
        </w:rPr>
        <w:t>watch us. In the meantime keep staying tuned, we have a lot more great content for you. Thanks for watching, I’m Daniela Cambone.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*END OF TRANSCRIPT* * *</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PG.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right="60" w:firstLine="648"/>
        <w:spacing w:after="0" w:line="268" w:lineRule="auto"/>
        <w:rPr>
          <w:sz w:val="20"/>
          <w:szCs w:val="20"/>
          <w:color w:val="auto"/>
        </w:rPr>
      </w:pPr>
      <w:r>
        <w:rPr>
          <w:rFonts w:ascii="Arial" w:cs="Arial" w:eastAsia="Arial" w:hAnsi="Arial"/>
          <w:sz w:val="17"/>
          <w:szCs w:val="17"/>
          <w:color w:val="auto"/>
        </w:rPr>
        <w:t>This communication is being made in respect of a proposed business combination transaction contemplated by the business combination agreement (the “</w:t>
      </w:r>
      <w:r>
        <w:rPr>
          <w:rFonts w:ascii="Arial" w:cs="Arial" w:eastAsia="Arial" w:hAnsi="Arial"/>
          <w:sz w:val="17"/>
          <w:szCs w:val="17"/>
          <w:i w:val="1"/>
          <w:iCs w:val="1"/>
          <w:color w:val="auto"/>
        </w:rPr>
        <w:t>Business Combination Agreement</w:t>
      </w:r>
      <w:r>
        <w:rPr>
          <w:rFonts w:ascii="Arial" w:cs="Arial" w:eastAsia="Arial" w:hAnsi="Arial"/>
          <w:sz w:val="17"/>
          <w:szCs w:val="17"/>
          <w:color w:val="auto"/>
        </w:rPr>
        <w:t>”), dated as of March 4, 2021, by and among Sustainable Opportunities Acquisition Corp. (“</w:t>
      </w:r>
      <w:r>
        <w:rPr>
          <w:rFonts w:ascii="Arial" w:cs="Arial" w:eastAsia="Arial" w:hAnsi="Arial"/>
          <w:sz w:val="17"/>
          <w:szCs w:val="17"/>
          <w:i w:val="1"/>
          <w:iCs w:val="1"/>
          <w:color w:val="auto"/>
        </w:rPr>
        <w:t>SOAC</w:t>
      </w:r>
      <w:r>
        <w:rPr>
          <w:rFonts w:ascii="Arial" w:cs="Arial" w:eastAsia="Arial" w:hAnsi="Arial"/>
          <w:sz w:val="17"/>
          <w:szCs w:val="17"/>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7"/>
          <w:szCs w:val="17"/>
          <w:i w:val="1"/>
          <w:iCs w:val="1"/>
          <w:color w:val="auto"/>
        </w:rPr>
        <w:t>Company</w:t>
      </w:r>
      <w:r>
        <w:rPr>
          <w:rFonts w:ascii="Arial" w:cs="Arial" w:eastAsia="Arial" w:hAnsi="Arial"/>
          <w:sz w:val="17"/>
          <w:szCs w:val="17"/>
          <w:color w:val="auto"/>
        </w:rPr>
        <w:t>” or “</w:t>
      </w:r>
      <w:r>
        <w:rPr>
          <w:rFonts w:ascii="Arial" w:cs="Arial" w:eastAsia="Arial" w:hAnsi="Arial"/>
          <w:sz w:val="17"/>
          <w:szCs w:val="17"/>
          <w:i w:val="1"/>
          <w:iCs w:val="1"/>
          <w:color w:val="auto"/>
        </w:rPr>
        <w:t>DeepGreen</w:t>
      </w:r>
      <w:r>
        <w:rPr>
          <w:rFonts w:ascii="Arial" w:cs="Arial" w:eastAsia="Arial" w:hAnsi="Arial"/>
          <w:sz w:val="17"/>
          <w:szCs w:val="17"/>
          <w:color w:val="auto"/>
        </w:rPr>
        <w:t>”) and other concurrent agreements related thereto (together, the “</w:t>
      </w:r>
      <w:r>
        <w:rPr>
          <w:rFonts w:ascii="Arial" w:cs="Arial" w:eastAsia="Arial" w:hAnsi="Arial"/>
          <w:sz w:val="17"/>
          <w:szCs w:val="17"/>
          <w:i w:val="1"/>
          <w:iCs w:val="1"/>
          <w:color w:val="auto"/>
        </w:rPr>
        <w:t>Business Combination</w:t>
      </w:r>
      <w:r>
        <w:rPr>
          <w:rFonts w:ascii="Arial" w:cs="Arial" w:eastAsia="Arial" w:hAnsi="Arial"/>
          <w:sz w:val="17"/>
          <w:szCs w:val="17"/>
          <w:color w:val="auto"/>
        </w:rPr>
        <w:t>”). In connection with the proposed Business Combination, SOAC intends to file with the U.S. Securities and Exchange Commission’s (“</w:t>
      </w:r>
      <w:r>
        <w:rPr>
          <w:rFonts w:ascii="Arial" w:cs="Arial" w:eastAsia="Arial" w:hAnsi="Arial"/>
          <w:sz w:val="17"/>
          <w:szCs w:val="17"/>
          <w:i w:val="1"/>
          <w:iCs w:val="1"/>
          <w:color w:val="auto"/>
        </w:rPr>
        <w:t>SEC</w:t>
      </w:r>
      <w:r>
        <w:rPr>
          <w:rFonts w:ascii="Arial" w:cs="Arial" w:eastAsia="Arial" w:hAnsi="Arial"/>
          <w:sz w:val="17"/>
          <w:szCs w:val="17"/>
          <w:color w:val="auto"/>
        </w:rPr>
        <w:t xml:space="preserve">”) a Registration Statement on Form S-4, including a preliminary proxy statement/prospectus and a definitive proxy statement/prospectus with the SEC. </w:t>
      </w:r>
      <w:r>
        <w:rPr>
          <w:rFonts w:ascii="Arial" w:cs="Arial" w:eastAsia="Arial" w:hAnsi="Arial"/>
          <w:sz w:val="17"/>
          <w:szCs w:val="17"/>
          <w:b w:val="1"/>
          <w:bCs w:val="1"/>
          <w:color w:val="auto"/>
        </w:rPr>
        <w:t>SOAC’s shareholders and other interested persons are advised to read, when available, the preliminary proxy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statement/prospectus and the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When available, the definitive proxy statement/prospectus and other relevant materials for the proposed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the 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8"/>
          <w:szCs w:val="18"/>
          <w:color w:val="auto"/>
        </w:rPr>
        <w:t>A list of the names of such directors and executive officers and</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regarding their interests in the proposed Business Combination will be included in the proxy statement/prospectus for the proposed Business Combination.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Private Securities Litigation Reform Act of 1995. Forward-looking statements generally are accompanied by words such as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should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predict</w:t>
      </w:r>
      <w:r>
        <w:rPr>
          <w:rFonts w:ascii="Arial" w:cs="Arial" w:eastAsia="Arial" w:hAnsi="Arial"/>
          <w:sz w:val="17"/>
          <w:szCs w:val="17"/>
          <w:color w:val="auto"/>
        </w:rPr>
        <w:t>,” “</w:t>
      </w:r>
      <w:r>
        <w:rPr>
          <w:rFonts w:ascii="Arial" w:cs="Arial" w:eastAsia="Arial" w:hAnsi="Arial"/>
          <w:sz w:val="17"/>
          <w:szCs w:val="17"/>
          <w:i w:val="1"/>
          <w:iCs w:val="1"/>
          <w:color w:val="auto"/>
        </w:rPr>
        <w:t>potential</w:t>
      </w:r>
      <w:r>
        <w:rPr>
          <w:rFonts w:ascii="Arial" w:cs="Arial" w:eastAsia="Arial" w:hAnsi="Arial"/>
          <w:sz w:val="17"/>
          <w:szCs w:val="17"/>
          <w:color w:val="auto"/>
        </w:rPr>
        <w:t>,” “</w:t>
      </w:r>
      <w:r>
        <w:rPr>
          <w:rFonts w:ascii="Arial" w:cs="Arial" w:eastAsia="Arial" w:hAnsi="Arial"/>
          <w:sz w:val="17"/>
          <w:szCs w:val="17"/>
          <w:i w:val="1"/>
          <w:iCs w:val="1"/>
          <w:color w:val="auto"/>
        </w:rPr>
        <w:t>seem</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future</w:t>
      </w:r>
      <w:r>
        <w:rPr>
          <w:rFonts w:ascii="Arial" w:cs="Arial" w:eastAsia="Arial" w:hAnsi="Arial"/>
          <w:sz w:val="17"/>
          <w:szCs w:val="17"/>
          <w:color w:val="auto"/>
        </w:rPr>
        <w:t>,” “</w:t>
      </w:r>
      <w:r>
        <w:rPr>
          <w:rFonts w:ascii="Arial" w:cs="Arial" w:eastAsia="Arial" w:hAnsi="Arial"/>
          <w:sz w:val="17"/>
          <w:szCs w:val="17"/>
          <w:i w:val="1"/>
          <w:iCs w:val="1"/>
          <w:color w:val="auto"/>
        </w:rPr>
        <w:t>outlook</w:t>
      </w:r>
      <w:r>
        <w:rPr>
          <w:rFonts w:ascii="Arial" w:cs="Arial" w:eastAsia="Arial" w:hAnsi="Arial"/>
          <w:sz w:val="17"/>
          <w:szCs w:val="17"/>
          <w:color w:val="auto"/>
        </w:rPr>
        <w:t>” and similar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expressions that predict or indicate future events or trends or that are not statements of historical matters. These forward-looking statements include,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without limitation, SOAC and DeepGreen’s expectations with respect to future performance, development of its estimated resources of battery metals,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potential regulatory approvals, and anticipated financial impacts and other effects of the proposed Business Combination, the satisfaction of the 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to the proposed Business Combination, the timing of the completion of the proposed Business Combination, and the size and potential growth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current or future markets for the combined company’s supply of battery metals. These forward-looking statements involve significant risks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uncertainties that could cause the actual results to differ materially from those discussed in the forward-looking statements. Most of these factors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outside SOAC’s and DeepGreen’s control and are difficult to predict. Factors that may cause such differences include, but are not limited to: the occurrence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any event, change, or other circumstances that could give rise to the termination of the Business Combination Agreement; the outcome of any legal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proceedings that may be instituted against SOAC and DeepGreen following the announcement of the Business Combination Agreement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contemplated therein; the inability to complete the proposed Business Combination, including due to failure to obtain approval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SOAC and DeepGreen, certain regulatory approvals, or satisfy other conditions to closing in the Business Combination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occurrence of any event, change, or other circumstance that could give rise to the termination of the Business Combination Agreement or could otherwise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cause the transaction to fail to close; the impact of COVID-19 on DeepGreen’s business and/or the ability of the parties to complete the proposed Business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Combination; the inability to obtain or maintain the listing of the combined company’s shares on NYSE or Nasdaq following the proposed Business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Combination; the risk that the proposed Business Combination disrupts current plans and operations as a result of the announcement and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proposed Business Combination; the ability to recognize the anticipated benefits of the proposed Business Combination, which may be affected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among other things, the commercial and technical feasibility of seafloor polymetallic nodule mining and processing; the supply and demand for battery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metals; the future prices of battery metals; the timing and content of ISA’s exploitation regulations that will create the legal and technical framework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exploitation of polymetallic nodules in the Clarion Clipperton Zone; government regulation of deep seabed mining operations and changes in mining laws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regulations; environmental risks; the timing and amount of estimated future production, costs of production, capital expenditures and requirements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 capital; cash flow provided by operating activities; unanticipated reclamation expenses; claims and limitations on insurance coverage;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uncertainty in mineral resource estimates; the uncertainty in geological, hydrological, metallurgical and geotechnical studies and opinions;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risks; and dependence on key management personnel and executive officers; and other risks and uncertainties indicated from time to time in the final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prospectus of SOAC for its initial public offering and the proxy statement/prospectus relating to the proposed Business Combination, including those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“Risk Factors” therein, and in SOAC’s other filings with the SEC. SOAC and DeepGreen caution that the foregoing list of factors is not exclusive. SOAC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DeepGreen caution readers not to place undue reliance upon any forward-looking statements, which speak only as of the date made. SOAC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DeepGreen do not undertake or accept any obligation or undertaking to release publicly any updates or revisions to any forward-looking statements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2021-03-22T05:08:57Z</dcterms:created>
  <dcterms:modified xsi:type="dcterms:W3CDTF">2021-03-22T05:08:57Z</dcterms:modified>
</cp:coreProperties>
</file>