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bdr w:val="single" w:sz="16" w:space="1" w:color="000000"/>
        </w:rPr>
      </w:pPr>
      <w:bookmarkStart w:id="0" w:name="f10k2020_sustainable.htm"/>
      <w:bookmarkStart w:id="1" w:name="ksf10k2020_sustainable"/>
      <w:bookmarkEnd w:id="0"/>
      <w:bookmarkEnd w:id="1"/>
      <w:r>
        <w:rPr>
          <w:bdr w:val="single" w:sz="16" w:space="1" w:color="000000"/>
        </w:rPr>
        <w:t> </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2020</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SUSTAINABLE OPPORTUNITIES ACQUISITION CORP.</w:t>
      </w:r>
      <w:r>
        <w:rPr>
          <w:rFonts w:ascii="Times New Roman;Times;Serif" w:hAnsi="Times New Roman;Times;Serif"/>
          <w:b w:val="false"/>
          <w:i w:val="false"/>
          <w:caps w:val="false"/>
          <w:smallCaps w:val="false"/>
          <w:sz w:val="20"/>
        </w:rPr>
        <w:b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6720" w:type="dxa"/>
        <w:jc w:val="left"/>
        <w:tblInd w:w="0" w:type="dxa"/>
        <w:tblCellMar>
          <w:top w:w="0" w:type="dxa"/>
          <w:left w:w="0" w:type="dxa"/>
          <w:bottom w:w="28" w:type="dxa"/>
          <w:right w:w="0" w:type="dxa"/>
        </w:tblCellMar>
      </w:tblPr>
      <w:tblGrid>
        <w:gridCol w:w="2495"/>
        <w:gridCol w:w="60"/>
        <w:gridCol w:w="2210"/>
        <w:gridCol w:w="60"/>
        <w:gridCol w:w="1895"/>
      </w:tblGrid>
      <w:tr>
        <w:trPr/>
        <w:tc>
          <w:tcPr>
            <w:tcW w:w="249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auto" w:val="clear"/>
            <w:tcMar>
              <w:bottom w:w="0" w:type="dxa"/>
            </w:tcMar>
            <w:vAlign w:val="center"/>
          </w:tcPr>
          <w:p>
            <w:pPr>
              <w:pStyle w:val="TableContents"/>
              <w:spacing w:before="0" w:after="283"/>
              <w:rPr/>
            </w:pPr>
            <w:r>
              <w:rPr/>
              <w:t> </w:t>
            </w:r>
          </w:p>
        </w:tc>
        <w:tc>
          <w:tcPr>
            <w:tcW w:w="2210"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001-39281</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98-1523768</w:t>
            </w:r>
          </w:p>
        </w:tc>
      </w:tr>
      <w:tr>
        <w:trPr/>
        <w:tc>
          <w:tcPr>
            <w:tcW w:w="249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22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189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spacing w:before="0" w:after="0"/>
        <w:ind w:left="0" w:right="0" w:hanging="0"/>
        <w:jc w:val="center"/>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1601 Bryan Street, Suite 4141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Dallas, Texas</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75201</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highlight w:val="white"/>
        </w:rPr>
        <w:t>(952) 456-5304</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shd w:fill="FFFFFF" w:val="clear"/>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645"/>
        <w:gridCol w:w="60"/>
        <w:gridCol w:w="1475"/>
        <w:gridCol w:w="60"/>
        <w:gridCol w:w="3965"/>
      </w:tblGrid>
      <w:tr>
        <w:trPr/>
        <w:tc>
          <w:tcPr>
            <w:tcW w:w="4645"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47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shd w:fill="auto" w:val="clear"/>
            <w:tcMar>
              <w:bottom w:w="0" w:type="dxa"/>
            </w:tcMar>
            <w:vAlign w:val="center"/>
          </w:tcPr>
          <w:p>
            <w:pPr>
              <w:pStyle w:val="TableContents"/>
              <w:spacing w:before="0" w:after="283"/>
              <w:rPr/>
            </w:pPr>
            <w:r>
              <w:rPr/>
              <w:t> </w:t>
            </w:r>
          </w:p>
        </w:tc>
        <w:tc>
          <w:tcPr>
            <w:tcW w:w="3965"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64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each consisting of one Class A Ordinary Share, $0.0001 par value, and one-half of one redeemable warrant</w:t>
            </w:r>
          </w:p>
        </w:tc>
        <w:tc>
          <w:tcPr>
            <w:tcW w:w="60" w:type="dxa"/>
            <w:tcBorders/>
            <w:shd w:fill="CCEEFF" w:val="clear"/>
            <w:tcMar>
              <w:bottom w:w="0" w:type="dxa"/>
            </w:tcMar>
            <w:vAlign w:val="center"/>
          </w:tcPr>
          <w:p>
            <w:pPr>
              <w:pStyle w:val="TableContents"/>
              <w:spacing w:before="0" w:after="283"/>
              <w:rPr/>
            </w:pPr>
            <w:r>
              <w:rPr/>
              <w:t> </w:t>
            </w:r>
          </w:p>
        </w:tc>
        <w:tc>
          <w:tcPr>
            <w:tcW w:w="147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SOAC.U</w:t>
            </w:r>
          </w:p>
        </w:tc>
        <w:tc>
          <w:tcPr>
            <w:tcW w:w="60" w:type="dxa"/>
            <w:tcBorders/>
            <w:shd w:fill="CCEEFF" w:val="clear"/>
            <w:tcMar>
              <w:bottom w:w="0" w:type="dxa"/>
            </w:tcMar>
            <w:vAlign w:val="center"/>
          </w:tcPr>
          <w:p>
            <w:pPr>
              <w:pStyle w:val="TableContents"/>
              <w:spacing w:before="0" w:after="283"/>
              <w:rPr/>
            </w:pPr>
            <w:r>
              <w:rPr/>
              <w:t> </w:t>
            </w:r>
          </w:p>
        </w:tc>
        <w:tc>
          <w:tcPr>
            <w:tcW w:w="39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464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included as part of the units</w:t>
            </w:r>
          </w:p>
        </w:tc>
        <w:tc>
          <w:tcPr>
            <w:tcW w:w="60" w:type="dxa"/>
            <w:tcBorders/>
            <w:shd w:fill="FFFFFF" w:val="clear"/>
            <w:tcMar>
              <w:bottom w:w="0" w:type="dxa"/>
            </w:tcMar>
            <w:vAlign w:val="center"/>
          </w:tcPr>
          <w:p>
            <w:pPr>
              <w:pStyle w:val="TableContents"/>
              <w:spacing w:before="0" w:after="283"/>
              <w:rPr/>
            </w:pPr>
            <w:r>
              <w:rPr/>
              <w:t> </w:t>
            </w:r>
          </w:p>
        </w:tc>
        <w:tc>
          <w:tcPr>
            <w:tcW w:w="147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SOAC</w:t>
            </w:r>
          </w:p>
        </w:tc>
        <w:tc>
          <w:tcPr>
            <w:tcW w:w="60" w:type="dxa"/>
            <w:tcBorders/>
            <w:shd w:fill="FFFFFF" w:val="clear"/>
            <w:tcMar>
              <w:bottom w:w="0" w:type="dxa"/>
            </w:tcMar>
            <w:vAlign w:val="center"/>
          </w:tcPr>
          <w:p>
            <w:pPr>
              <w:pStyle w:val="TableContents"/>
              <w:spacing w:before="0" w:after="283"/>
              <w:rPr/>
            </w:pPr>
            <w:r>
              <w:rPr/>
              <w:t> </w:t>
            </w:r>
          </w:p>
        </w:tc>
        <w:tc>
          <w:tcPr>
            <w:tcW w:w="3965"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464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included as part of the units, each whole warrant exercisable for one Class A Ordinary Share at an exercise price of $11.50</w:t>
            </w:r>
          </w:p>
        </w:tc>
        <w:tc>
          <w:tcPr>
            <w:tcW w:w="60" w:type="dxa"/>
            <w:tcBorders/>
            <w:shd w:fill="CCEEFF" w:val="clear"/>
            <w:tcMar>
              <w:bottom w:w="0" w:type="dxa"/>
            </w:tcMar>
            <w:vAlign w:val="center"/>
          </w:tcPr>
          <w:p>
            <w:pPr>
              <w:pStyle w:val="TableContents"/>
              <w:spacing w:before="0" w:after="283"/>
              <w:rPr/>
            </w:pPr>
            <w:r>
              <w:rPr/>
              <w:t> </w:t>
            </w:r>
          </w:p>
        </w:tc>
        <w:tc>
          <w:tcPr>
            <w:tcW w:w="147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SOAC WS</w:t>
            </w:r>
          </w:p>
        </w:tc>
        <w:tc>
          <w:tcPr>
            <w:tcW w:w="60" w:type="dxa"/>
            <w:tcBorders/>
            <w:shd w:fill="CCEEFF" w:val="clear"/>
            <w:tcMar>
              <w:bottom w:w="0" w:type="dxa"/>
            </w:tcMar>
            <w:vAlign w:val="center"/>
          </w:tcPr>
          <w:p>
            <w:pPr>
              <w:pStyle w:val="TableContents"/>
              <w:spacing w:before="0" w:after="283"/>
              <w:rPr/>
            </w:pPr>
            <w:r>
              <w:rPr/>
              <w:t> </w:t>
            </w:r>
          </w:p>
        </w:tc>
        <w:tc>
          <w:tcPr>
            <w:tcW w:w="39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535" w:type="dxa"/>
        <w:jc w:val="left"/>
        <w:tblInd w:w="0" w:type="dxa"/>
        <w:tblCellMar>
          <w:top w:w="0" w:type="dxa"/>
          <w:left w:w="0" w:type="dxa"/>
          <w:bottom w:w="0" w:type="dxa"/>
          <w:right w:w="0" w:type="dxa"/>
        </w:tblCellMar>
      </w:tblPr>
      <w:tblGrid>
        <w:gridCol w:w="1835"/>
        <w:gridCol w:w="230"/>
        <w:gridCol w:w="2225"/>
        <w:gridCol w:w="245"/>
      </w:tblGrid>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auto" w:val="clear"/>
            <w:vAlign w:val="center"/>
          </w:tcPr>
          <w:p>
            <w:pPr>
              <w:pStyle w:val="TableContents"/>
              <w:spacing w:before="0" w:after="283"/>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auto" w:val="clear"/>
            <w:vAlign w:val="center"/>
          </w:tcPr>
          <w:p>
            <w:pPr>
              <w:pStyle w:val="TableContents"/>
              <w:spacing w:before="0" w:after="283"/>
              <w:rPr>
                <w:caps w:val="false"/>
                <w:smallCaps w:val="false"/>
              </w:rPr>
            </w:pPr>
            <w:r>
              <w:rPr>
                <w:caps w:val="false"/>
                <w:smallCaps w:val="false"/>
              </w:rPr>
              <w:t>☒</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auto" w:val="clear"/>
            <w:vAlign w:val="center"/>
          </w:tcPr>
          <w:p>
            <w:pPr>
              <w:pStyle w:val="TableContents"/>
              <w:spacing w:before="0" w:after="283"/>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auto" w:val="clear"/>
            <w:vAlign w:val="center"/>
          </w:tcPr>
          <w:p>
            <w:pPr>
              <w:pStyle w:val="TableContents"/>
              <w:spacing w:before="0" w:after="283"/>
              <w:rPr>
                <w:caps w:val="false"/>
                <w:smallCaps w:val="false"/>
              </w:rPr>
            </w:pPr>
            <w:r>
              <w:rPr>
                <w:caps w:val="false"/>
                <w:smallCaps w:val="false"/>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2020, the last business day of the registrant’s most recently completed second fiscal quarter, the aggregate market value of the ordinary shares outstanding, other than shares held by persons who may be deemed affiliates of the registrant, computed by reference to the closing sales price for the ordinary shares on June 30, 2020, as reported on the NYSE, was approximately $291,000,000.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2021, 30,000,000 Class A ordinary shares (which includes Class A ordinary shares that are underlying the company’s units), par value $0.0001, and 7,500,000 Class B ordinary shares, par value $0.0001, were issued and outstanding.</w:t>
      </w:r>
    </w:p>
    <w:p>
      <w:pPr>
        <w:pStyle w:val="TextBody"/>
        <w:spacing w:before="0" w:after="0"/>
        <w:ind w:left="0" w:right="0" w:hanging="0"/>
        <w:rPr>
          <w:caps w:val="false"/>
          <w:smallCaps w:val="false"/>
        </w:rPr>
      </w:pPr>
      <w:r>
        <w:rPr>
          <w:caps w:val="false"/>
          <w:smallCaps w:val="false"/>
        </w:rPr>
        <w:t> </w:t>
      </w:r>
    </w:p>
    <w:p>
      <w:pPr>
        <w:pStyle w:val="TextBody"/>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Documents Incorporated by Reference:</w:t>
      </w:r>
      <w:r>
        <w:rPr>
          <w:rFonts w:ascii="Times New Roman;Times;Serif" w:hAnsi="Times New Roman;Times;Serif"/>
          <w:b w:val="false"/>
          <w:i w:val="false"/>
          <w:caps w:val="false"/>
          <w:smallCaps w:val="false"/>
          <w:sz w:val="20"/>
        </w:rPr>
        <w:t xml:space="preserve"> None.</w:t>
      </w:r>
    </w:p>
    <w:p>
      <w:pPr>
        <w:pStyle w:val="TextBody"/>
        <w:jc w:val="center"/>
        <w:rPr>
          <w:caps w:val="false"/>
          <w:smallCaps w:val="false"/>
        </w:rPr>
      </w:pPr>
      <w:r>
        <w:rPr>
          <w:caps w:val="false"/>
          <w:smallCaps w:val="false"/>
        </w:rPr>
        <w:t> </w:t>
      </w:r>
    </w:p>
    <w:p>
      <w:pPr>
        <w:pStyle w:val="TextBody"/>
        <w:jc w:val="left"/>
        <w:rPr>
          <w:bdr w:val="single" w:sz="8" w:space="1" w:color="000000"/>
        </w:rPr>
      </w:pPr>
      <w:r>
        <w:rPr>
          <w:bdr w:val="single" w:sz="8" w:space="1" w:color="000000"/>
        </w:rPr>
        <w:t> </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spacing w:before="0" w:after="0"/>
        <w:ind w:left="0" w:right="0" w:hanging="0"/>
        <w:jc w:val="center"/>
        <w:rPr>
          <w:caps/>
        </w:rPr>
      </w:pPr>
      <w:r>
        <w:rPr>
          <w:caps/>
        </w:rPr>
        <w:t> </w:t>
      </w:r>
    </w:p>
    <w:tbl>
      <w:tblPr>
        <w:tblW w:w="10205" w:type="dxa"/>
        <w:jc w:val="left"/>
        <w:tblInd w:w="0" w:type="dxa"/>
        <w:tblCellMar>
          <w:top w:w="0" w:type="dxa"/>
          <w:left w:w="0" w:type="dxa"/>
          <w:bottom w:w="0" w:type="dxa"/>
          <w:right w:w="0" w:type="dxa"/>
        </w:tblCellMar>
      </w:tblPr>
      <w:tblGrid>
        <w:gridCol w:w="725"/>
        <w:gridCol w:w="9025"/>
        <w:gridCol w:w="455"/>
      </w:tblGrid>
      <w:tr>
        <w:trPr/>
        <w:tc>
          <w:tcPr>
            <w:tcW w:w="975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45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45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9750" w:type="dxa"/>
            <w:gridSpan w:val="2"/>
            <w:tcBorders/>
            <w:shd w:fill="CCEEFF" w:val="clear"/>
            <w:vAlign w:val="center"/>
          </w:tcPr>
          <w:p>
            <w:pPr>
              <w:pStyle w:val="TableContents"/>
              <w:spacing w:before="0" w:after="283"/>
              <w:rPr/>
            </w:pPr>
            <w:hyperlink w:anchor="a_001">
              <w:r>
                <w:rPr>
                  <w:rStyle w:val="InternetLink"/>
                  <w:rFonts w:ascii="Times New Roman;Times;Serif" w:hAnsi="Times New Roman;Times;Serif"/>
                  <w:b/>
                  <w:i w:val="false"/>
                  <w:caps w:val="false"/>
                  <w:smallCaps w:val="false"/>
                  <w:sz w:val="20"/>
                </w:rPr>
                <w:t>CAUTIONARY NOTE REGARDING FORWARD-LOOKING STATEMENTS</w:t>
              </w:r>
            </w:hyperlink>
          </w:p>
        </w:tc>
        <w:tc>
          <w:tcPr>
            <w:tcW w:w="455" w:type="dxa"/>
            <w:tcBorders/>
            <w:shd w:fill="CCEE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r>
      <w:tr>
        <w:trPr/>
        <w:tc>
          <w:tcPr>
            <w:tcW w:w="9750" w:type="dxa"/>
            <w:gridSpan w:val="2"/>
            <w:tcBorders/>
            <w:shd w:fill="FFFFFF" w:val="clear"/>
            <w:vAlign w:val="center"/>
          </w:tcPr>
          <w:p>
            <w:pPr>
              <w:pStyle w:val="TableContents"/>
              <w:spacing w:before="0" w:after="283"/>
              <w:rPr>
                <w:caps w:val="false"/>
                <w:smallCaps w:val="false"/>
              </w:rPr>
            </w:pPr>
            <w:r>
              <w:rPr>
                <w:caps w:val="false"/>
                <w:smallCaps w:val="false"/>
              </w:rPr>
              <w:t> </w:t>
            </w:r>
          </w:p>
        </w:tc>
        <w:tc>
          <w:tcPr>
            <w:tcW w:w="45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750" w:type="dxa"/>
            <w:gridSpan w:val="2"/>
            <w:tcBorders/>
            <w:shd w:fill="CCEEFF" w:val="clear"/>
            <w:vAlign w:val="center"/>
          </w:tcPr>
          <w:p>
            <w:pPr>
              <w:pStyle w:val="TableContents"/>
              <w:spacing w:before="0" w:after="283"/>
              <w:rPr/>
            </w:pPr>
            <w:hyperlink w:anchor="a_002">
              <w:r>
                <w:rPr>
                  <w:rStyle w:val="InternetLink"/>
                  <w:rFonts w:ascii="Times New Roman;Times;Serif" w:hAnsi="Times New Roman;Times;Serif"/>
                  <w:b/>
                  <w:i w:val="false"/>
                  <w:caps w:val="false"/>
                  <w:smallCaps w:val="false"/>
                  <w:sz w:val="20"/>
                </w:rPr>
                <w:t>PART I</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725" w:type="dxa"/>
            <w:tcBorders/>
            <w:shd w:fill="FFFFFF" w:val="clear"/>
            <w:vAlign w:val="center"/>
          </w:tcPr>
          <w:p>
            <w:pPr>
              <w:pStyle w:val="TableContents"/>
              <w:spacing w:before="0" w:after="283"/>
              <w:ind w:left="0" w:right="0" w:hanging="0"/>
              <w:rPr/>
            </w:pPr>
            <w:hyperlink w:anchor="a_003">
              <w:r>
                <w:rPr>
                  <w:rStyle w:val="InternetLink"/>
                  <w:rFonts w:ascii="Times New Roman;Times;Serif" w:hAnsi="Times New Roman;Times;Serif"/>
                  <w:b w:val="false"/>
                  <w:i w:val="false"/>
                  <w:caps w:val="false"/>
                  <w:smallCaps w:val="false"/>
                  <w:sz w:val="20"/>
                </w:rPr>
                <w:t>Item 1.</w:t>
              </w:r>
            </w:hyperlink>
          </w:p>
        </w:tc>
        <w:tc>
          <w:tcPr>
            <w:tcW w:w="9025" w:type="dxa"/>
            <w:tcBorders/>
            <w:shd w:fill="FFFFFF" w:val="clear"/>
            <w:vAlign w:val="center"/>
          </w:tcPr>
          <w:p>
            <w:pPr>
              <w:pStyle w:val="TableContents"/>
              <w:spacing w:before="0" w:after="283"/>
              <w:rPr/>
            </w:pPr>
            <w:hyperlink w:anchor="a_003">
              <w:r>
                <w:rPr>
                  <w:rStyle w:val="InternetLink"/>
                  <w:rFonts w:ascii="Times New Roman;Times;Serif" w:hAnsi="Times New Roman;Times;Serif"/>
                  <w:b w:val="false"/>
                  <w:i w:val="false"/>
                  <w:caps w:val="false"/>
                  <w:smallCaps w:val="false"/>
                  <w:sz w:val="20"/>
                </w:rPr>
                <w:t>Business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CCEEFF" w:val="clear"/>
            <w:vAlign w:val="center"/>
          </w:tcPr>
          <w:p>
            <w:pPr>
              <w:pStyle w:val="TableContents"/>
              <w:spacing w:before="0" w:after="283"/>
              <w:ind w:left="0" w:right="0" w:hanging="0"/>
              <w:rPr/>
            </w:pPr>
            <w:hyperlink w:anchor="a_004">
              <w:r>
                <w:rPr>
                  <w:rStyle w:val="InternetLink"/>
                  <w:rFonts w:ascii="Times New Roman;Times;Serif" w:hAnsi="Times New Roman;Times;Serif"/>
                  <w:b w:val="false"/>
                  <w:i w:val="false"/>
                  <w:caps w:val="false"/>
                  <w:smallCaps w:val="false"/>
                  <w:sz w:val="20"/>
                </w:rPr>
                <w:t>Item 1A.</w:t>
              </w:r>
            </w:hyperlink>
          </w:p>
        </w:tc>
        <w:tc>
          <w:tcPr>
            <w:tcW w:w="9025" w:type="dxa"/>
            <w:tcBorders/>
            <w:shd w:fill="CCEEFF" w:val="clear"/>
            <w:vAlign w:val="center"/>
          </w:tcPr>
          <w:p>
            <w:pPr>
              <w:pStyle w:val="TableContents"/>
              <w:spacing w:before="0" w:after="283"/>
              <w:rPr/>
            </w:pPr>
            <w:hyperlink w:anchor="a_004">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25" w:type="dxa"/>
            <w:tcBorders/>
            <w:shd w:fill="FFFFFF" w:val="clear"/>
            <w:vAlign w:val="center"/>
          </w:tcPr>
          <w:p>
            <w:pPr>
              <w:pStyle w:val="TableContents"/>
              <w:spacing w:before="0" w:after="283"/>
              <w:ind w:left="0" w:right="0" w:hanging="0"/>
              <w:rPr/>
            </w:pPr>
            <w:hyperlink w:anchor="a_005">
              <w:r>
                <w:rPr>
                  <w:rStyle w:val="InternetLink"/>
                  <w:rFonts w:ascii="Times New Roman;Times;Serif" w:hAnsi="Times New Roman;Times;Serif"/>
                  <w:b w:val="false"/>
                  <w:i w:val="false"/>
                  <w:caps w:val="false"/>
                  <w:smallCaps w:val="false"/>
                  <w:sz w:val="20"/>
                </w:rPr>
                <w:t>Item 1B.</w:t>
              </w:r>
            </w:hyperlink>
          </w:p>
        </w:tc>
        <w:tc>
          <w:tcPr>
            <w:tcW w:w="9025" w:type="dxa"/>
            <w:tcBorders/>
            <w:shd w:fill="FFFFFF"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20"/>
                </w:rPr>
                <w:t>Unresolved Staff Comments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25" w:type="dxa"/>
            <w:tcBorders/>
            <w:shd w:fill="CCEEFF" w:val="clear"/>
            <w:vAlign w:val="center"/>
          </w:tcPr>
          <w:p>
            <w:pPr>
              <w:pStyle w:val="TableContents"/>
              <w:spacing w:before="0" w:after="283"/>
              <w:ind w:left="0" w:right="0" w:hanging="0"/>
              <w:rPr/>
            </w:pPr>
            <w:hyperlink w:anchor="a_006">
              <w:r>
                <w:rPr>
                  <w:rStyle w:val="InternetLink"/>
                  <w:rFonts w:ascii="Times New Roman;Times;Serif" w:hAnsi="Times New Roman;Times;Serif"/>
                  <w:b w:val="false"/>
                  <w:i w:val="false"/>
                  <w:caps w:val="false"/>
                  <w:smallCaps w:val="false"/>
                  <w:sz w:val="20"/>
                </w:rPr>
                <w:t>Item 2.</w:t>
              </w:r>
            </w:hyperlink>
          </w:p>
        </w:tc>
        <w:tc>
          <w:tcPr>
            <w:tcW w:w="9025" w:type="dxa"/>
            <w:tcBorders/>
            <w:shd w:fill="CCEEFF" w:val="clear"/>
            <w:vAlign w:val="center"/>
          </w:tcPr>
          <w:p>
            <w:pPr>
              <w:pStyle w:val="TableContents"/>
              <w:spacing w:before="0" w:after="283"/>
              <w:rPr/>
            </w:pPr>
            <w:hyperlink w:anchor="a_006">
              <w:r>
                <w:rPr>
                  <w:rStyle w:val="InternetLink"/>
                  <w:rFonts w:ascii="Times New Roman;Times;Serif" w:hAnsi="Times New Roman;Times;Serif"/>
                  <w:b w:val="false"/>
                  <w:i w:val="false"/>
                  <w:caps w:val="false"/>
                  <w:smallCaps w:val="false"/>
                  <w:sz w:val="20"/>
                </w:rPr>
                <w:t>Properties</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25" w:type="dxa"/>
            <w:tcBorders/>
            <w:shd w:fill="FFFFFF" w:val="clear"/>
            <w:vAlign w:val="center"/>
          </w:tcPr>
          <w:p>
            <w:pPr>
              <w:pStyle w:val="TableContents"/>
              <w:spacing w:before="0" w:after="283"/>
              <w:ind w:left="0" w:right="0" w:hanging="0"/>
              <w:rPr/>
            </w:pPr>
            <w:hyperlink w:anchor="a_007">
              <w:r>
                <w:rPr>
                  <w:rStyle w:val="InternetLink"/>
                  <w:rFonts w:ascii="Times New Roman;Times;Serif" w:hAnsi="Times New Roman;Times;Serif"/>
                  <w:b w:val="false"/>
                  <w:i w:val="false"/>
                  <w:caps w:val="false"/>
                  <w:smallCaps w:val="false"/>
                  <w:sz w:val="20"/>
                </w:rPr>
                <w:t>Item 3.</w:t>
              </w:r>
            </w:hyperlink>
          </w:p>
        </w:tc>
        <w:tc>
          <w:tcPr>
            <w:tcW w:w="9025" w:type="dxa"/>
            <w:tcBorders/>
            <w:shd w:fill="FFFFFF" w:val="clear"/>
            <w:vAlign w:val="center"/>
          </w:tcPr>
          <w:p>
            <w:pPr>
              <w:pStyle w:val="TableContents"/>
              <w:spacing w:before="0" w:after="283"/>
              <w:rPr/>
            </w:pPr>
            <w:hyperlink w:anchor="a_007">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25" w:type="dxa"/>
            <w:tcBorders/>
            <w:shd w:fill="CCEEFF" w:val="clear"/>
            <w:vAlign w:val="center"/>
          </w:tcPr>
          <w:p>
            <w:pPr>
              <w:pStyle w:val="TableContents"/>
              <w:spacing w:before="0" w:after="283"/>
              <w:ind w:left="0" w:right="0" w:hanging="0"/>
              <w:rPr/>
            </w:pPr>
            <w:hyperlink w:anchor="a_008">
              <w:r>
                <w:rPr>
                  <w:rStyle w:val="InternetLink"/>
                  <w:rFonts w:ascii="Times New Roman;Times;Serif" w:hAnsi="Times New Roman;Times;Serif"/>
                  <w:b w:val="false"/>
                  <w:i w:val="false"/>
                  <w:caps w:val="false"/>
                  <w:smallCaps w:val="false"/>
                  <w:sz w:val="20"/>
                </w:rPr>
                <w:t>Item 4.</w:t>
              </w:r>
            </w:hyperlink>
          </w:p>
        </w:tc>
        <w:tc>
          <w:tcPr>
            <w:tcW w:w="9025" w:type="dxa"/>
            <w:tcBorders/>
            <w:shd w:fill="CCEEFF" w:val="clear"/>
            <w:vAlign w:val="center"/>
          </w:tcPr>
          <w:p>
            <w:pPr>
              <w:pStyle w:val="TableContents"/>
              <w:spacing w:before="0" w:after="283"/>
              <w:rPr/>
            </w:pPr>
            <w:hyperlink w:anchor="a_008">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25" w:type="dxa"/>
            <w:tcBorders/>
            <w:shd w:fill="FFFFFF" w:val="clear"/>
            <w:vAlign w:val="center"/>
          </w:tcPr>
          <w:p>
            <w:pPr>
              <w:pStyle w:val="TableContents"/>
              <w:spacing w:before="0" w:after="283"/>
              <w:ind w:left="0" w:right="0" w:hanging="0"/>
              <w:rPr>
                <w:caps w:val="false"/>
                <w:smallCaps w:val="false"/>
              </w:rPr>
            </w:pPr>
            <w:r>
              <w:rPr>
                <w:caps w:val="false"/>
                <w:smallCaps w:val="false"/>
              </w:rPr>
              <w:t> </w:t>
            </w:r>
          </w:p>
        </w:tc>
        <w:tc>
          <w:tcPr>
            <w:tcW w:w="9025" w:type="dxa"/>
            <w:tcBorders/>
            <w:shd w:fill="FFFFFF" w:val="clear"/>
            <w:vAlign w:val="center"/>
          </w:tcPr>
          <w:p>
            <w:pPr>
              <w:pStyle w:val="TableContents"/>
              <w:spacing w:before="0" w:after="283"/>
              <w:rPr>
                <w:caps w:val="false"/>
                <w:smallCaps w:val="false"/>
              </w:rPr>
            </w:pPr>
            <w:r>
              <w:rPr>
                <w:caps w:val="false"/>
                <w:smallCaps w:val="false"/>
              </w:rPr>
              <w:t> </w:t>
            </w:r>
          </w:p>
        </w:tc>
        <w:tc>
          <w:tcPr>
            <w:tcW w:w="45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750" w:type="dxa"/>
            <w:gridSpan w:val="2"/>
            <w:tcBorders/>
            <w:shd w:fill="CCEEFF" w:val="clear"/>
            <w:vAlign w:val="center"/>
          </w:tcPr>
          <w:p>
            <w:pPr>
              <w:pStyle w:val="TableContents"/>
              <w:spacing w:before="0" w:after="283"/>
              <w:rPr/>
            </w:pPr>
            <w:hyperlink w:anchor="a_009">
              <w:r>
                <w:rPr>
                  <w:rStyle w:val="InternetLink"/>
                  <w:rFonts w:ascii="Times New Roman;Times;Serif" w:hAnsi="Times New Roman;Times;Serif"/>
                  <w:b/>
                  <w:i w:val="false"/>
                  <w:caps w:val="false"/>
                  <w:smallCaps w:val="false"/>
                  <w:sz w:val="20"/>
                </w:rPr>
                <w:t>PART II</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r>
      <w:tr>
        <w:trPr/>
        <w:tc>
          <w:tcPr>
            <w:tcW w:w="725" w:type="dxa"/>
            <w:tcBorders/>
            <w:shd w:fill="FFFFFF" w:val="clear"/>
            <w:vAlign w:val="center"/>
          </w:tcPr>
          <w:p>
            <w:pPr>
              <w:pStyle w:val="TableContents"/>
              <w:spacing w:before="0" w:after="283"/>
              <w:ind w:left="0" w:right="0" w:hanging="0"/>
              <w:rPr/>
            </w:pPr>
            <w:hyperlink w:anchor="a_010">
              <w:r>
                <w:rPr>
                  <w:rStyle w:val="InternetLink"/>
                  <w:rFonts w:ascii="Times New Roman;Times;Serif" w:hAnsi="Times New Roman;Times;Serif"/>
                  <w:b w:val="false"/>
                  <w:i w:val="false"/>
                  <w:caps w:val="false"/>
                  <w:smallCaps w:val="false"/>
                  <w:sz w:val="20"/>
                </w:rPr>
                <w:t>Item 5.</w:t>
              </w:r>
            </w:hyperlink>
          </w:p>
        </w:tc>
        <w:tc>
          <w:tcPr>
            <w:tcW w:w="9025" w:type="dxa"/>
            <w:tcBorders/>
            <w:shd w:fill="FFFFFF" w:val="clear"/>
            <w:vAlign w:val="center"/>
          </w:tcPr>
          <w:p>
            <w:pPr>
              <w:pStyle w:val="TableContents"/>
              <w:spacing w:before="0" w:after="283"/>
              <w:rPr/>
            </w:pPr>
            <w:hyperlink w:anchor="a_010">
              <w:r>
                <w:rPr>
                  <w:rStyle w:val="InternetLink"/>
                  <w:rFonts w:ascii="Times New Roman;Times;Serif" w:hAnsi="Times New Roman;Times;Serif"/>
                  <w:b w:val="false"/>
                  <w:i w:val="false"/>
                  <w:caps w:val="false"/>
                  <w:smallCaps w:val="false"/>
                  <w:sz w:val="20"/>
                </w:rPr>
                <w:t>Market for Registrant’s Common Equity, Related Shareholder Matters and Issuer Purchases of Equity Securities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25" w:type="dxa"/>
            <w:tcBorders/>
            <w:shd w:fill="CCEEFF" w:val="clear"/>
            <w:vAlign w:val="center"/>
          </w:tcPr>
          <w:p>
            <w:pPr>
              <w:pStyle w:val="TableContents"/>
              <w:spacing w:before="0" w:after="283"/>
              <w:ind w:left="0" w:right="0" w:hanging="0"/>
              <w:rPr/>
            </w:pPr>
            <w:hyperlink w:anchor="a_011">
              <w:r>
                <w:rPr>
                  <w:rStyle w:val="InternetLink"/>
                  <w:rFonts w:ascii="Times New Roman;Times;Serif" w:hAnsi="Times New Roman;Times;Serif"/>
                  <w:b w:val="false"/>
                  <w:i w:val="false"/>
                  <w:caps w:val="false"/>
                  <w:smallCaps w:val="false"/>
                  <w:sz w:val="20"/>
                </w:rPr>
                <w:t>Item 6.</w:t>
              </w:r>
            </w:hyperlink>
          </w:p>
        </w:tc>
        <w:tc>
          <w:tcPr>
            <w:tcW w:w="9025" w:type="dxa"/>
            <w:tcBorders/>
            <w:shd w:fill="CCEEFF" w:val="clear"/>
            <w:vAlign w:val="center"/>
          </w:tcPr>
          <w:p>
            <w:pPr>
              <w:pStyle w:val="TableContents"/>
              <w:spacing w:before="0" w:after="283"/>
              <w:rPr/>
            </w:pPr>
            <w:hyperlink w:anchor="a_011">
              <w:r>
                <w:rPr>
                  <w:rStyle w:val="InternetLink"/>
                  <w:rFonts w:ascii="Times New Roman;Times;Serif" w:hAnsi="Times New Roman;Times;Serif"/>
                  <w:b w:val="false"/>
                  <w:i w:val="false"/>
                  <w:caps w:val="false"/>
                  <w:smallCaps w:val="false"/>
                  <w:sz w:val="20"/>
                </w:rPr>
                <w:t>Selected Financial Data</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25" w:type="dxa"/>
            <w:tcBorders/>
            <w:shd w:fill="FFFFFF" w:val="clear"/>
            <w:vAlign w:val="center"/>
          </w:tcPr>
          <w:p>
            <w:pPr>
              <w:pStyle w:val="TableContents"/>
              <w:spacing w:before="0" w:after="283"/>
              <w:ind w:left="0" w:right="0" w:hanging="0"/>
              <w:rPr/>
            </w:pPr>
            <w:hyperlink w:anchor="a_012">
              <w:r>
                <w:rPr>
                  <w:rStyle w:val="InternetLink"/>
                  <w:rFonts w:ascii="Times New Roman;Times;Serif" w:hAnsi="Times New Roman;Times;Serif"/>
                  <w:b w:val="false"/>
                  <w:i w:val="false"/>
                  <w:caps w:val="false"/>
                  <w:smallCaps w:val="false"/>
                  <w:sz w:val="20"/>
                </w:rPr>
                <w:t>Item 7.</w:t>
              </w:r>
            </w:hyperlink>
          </w:p>
        </w:tc>
        <w:tc>
          <w:tcPr>
            <w:tcW w:w="9025" w:type="dxa"/>
            <w:tcBorders/>
            <w:shd w:fill="FFFFFF" w:val="clear"/>
            <w:vAlign w:val="center"/>
          </w:tcPr>
          <w:p>
            <w:pPr>
              <w:pStyle w:val="TableContents"/>
              <w:spacing w:before="0" w:after="283"/>
              <w:rPr/>
            </w:pPr>
            <w:hyperlink w:anchor="a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25" w:type="dxa"/>
            <w:tcBorders/>
            <w:shd w:fill="CCEEFF" w:val="clear"/>
            <w:vAlign w:val="center"/>
          </w:tcPr>
          <w:p>
            <w:pPr>
              <w:pStyle w:val="TableContents"/>
              <w:spacing w:before="0" w:after="283"/>
              <w:ind w:left="0" w:right="0" w:hanging="0"/>
              <w:rPr/>
            </w:pPr>
            <w:hyperlink w:anchor="a_013">
              <w:r>
                <w:rPr>
                  <w:rStyle w:val="InternetLink"/>
                  <w:rFonts w:ascii="Times New Roman;Times;Serif" w:hAnsi="Times New Roman;Times;Serif"/>
                  <w:b w:val="false"/>
                  <w:i w:val="false"/>
                  <w:caps w:val="false"/>
                  <w:smallCaps w:val="false"/>
                  <w:sz w:val="20"/>
                </w:rPr>
                <w:t>Item 7A.</w:t>
              </w:r>
            </w:hyperlink>
          </w:p>
        </w:tc>
        <w:tc>
          <w:tcPr>
            <w:tcW w:w="9025" w:type="dxa"/>
            <w:tcBorders/>
            <w:shd w:fill="CCEEFF" w:val="clear"/>
            <w:vAlign w:val="center"/>
          </w:tcPr>
          <w:p>
            <w:pPr>
              <w:pStyle w:val="TableContents"/>
              <w:spacing w:before="0" w:after="283"/>
              <w:rPr/>
            </w:pPr>
            <w:hyperlink w:anchor="a_01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5" w:type="dxa"/>
            <w:tcBorders/>
            <w:shd w:fill="FFFFFF" w:val="clear"/>
            <w:vAlign w:val="center"/>
          </w:tcPr>
          <w:p>
            <w:pPr>
              <w:pStyle w:val="TableContents"/>
              <w:spacing w:before="0" w:after="283"/>
              <w:ind w:left="0" w:right="0" w:hanging="0"/>
              <w:rPr/>
            </w:pPr>
            <w:hyperlink w:anchor="a_014">
              <w:r>
                <w:rPr>
                  <w:rStyle w:val="InternetLink"/>
                  <w:rFonts w:ascii="Times New Roman;Times;Serif" w:hAnsi="Times New Roman;Times;Serif"/>
                  <w:b w:val="false"/>
                  <w:i w:val="false"/>
                  <w:caps w:val="false"/>
                  <w:smallCaps w:val="false"/>
                  <w:sz w:val="20"/>
                </w:rPr>
                <w:t>Item 8.</w:t>
              </w:r>
            </w:hyperlink>
          </w:p>
        </w:tc>
        <w:tc>
          <w:tcPr>
            <w:tcW w:w="9025" w:type="dxa"/>
            <w:tcBorders/>
            <w:shd w:fill="FFFFFF" w:val="clear"/>
            <w:vAlign w:val="center"/>
          </w:tcPr>
          <w:p>
            <w:pPr>
              <w:pStyle w:val="TableContents"/>
              <w:spacing w:before="0" w:after="283"/>
              <w:rPr/>
            </w:pPr>
            <w:hyperlink w:anchor="a_014">
              <w:r>
                <w:rPr>
                  <w:rStyle w:val="InternetLink"/>
                  <w:rFonts w:ascii="Times New Roman;Times;Serif" w:hAnsi="Times New Roman;Times;Serif"/>
                  <w:b w:val="false"/>
                  <w:i w:val="false"/>
                  <w:caps w:val="false"/>
                  <w:smallCaps w:val="false"/>
                  <w:sz w:val="20"/>
                </w:rPr>
                <w:t>Financial Statements and Supplementary Data</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5" w:type="dxa"/>
            <w:tcBorders/>
            <w:shd w:fill="CCEEFF" w:val="clear"/>
            <w:vAlign w:val="center"/>
          </w:tcPr>
          <w:p>
            <w:pPr>
              <w:pStyle w:val="TableContents"/>
              <w:spacing w:before="0" w:after="283"/>
              <w:ind w:left="0" w:right="0" w:hanging="0"/>
              <w:rPr/>
            </w:pPr>
            <w:hyperlink w:anchor="a_015">
              <w:r>
                <w:rPr>
                  <w:rStyle w:val="InternetLink"/>
                  <w:rFonts w:ascii="Times New Roman;Times;Serif" w:hAnsi="Times New Roman;Times;Serif"/>
                  <w:b w:val="false"/>
                  <w:i w:val="false"/>
                  <w:caps w:val="false"/>
                  <w:smallCaps w:val="false"/>
                  <w:sz w:val="20"/>
                </w:rPr>
                <w:t>Item 9.</w:t>
              </w:r>
            </w:hyperlink>
          </w:p>
        </w:tc>
        <w:tc>
          <w:tcPr>
            <w:tcW w:w="9025" w:type="dxa"/>
            <w:tcBorders/>
            <w:shd w:fill="CCEEFF" w:val="clear"/>
            <w:vAlign w:val="center"/>
          </w:tcPr>
          <w:p>
            <w:pPr>
              <w:pStyle w:val="TableContents"/>
              <w:spacing w:before="0" w:after="283"/>
              <w:rPr/>
            </w:pPr>
            <w:hyperlink w:anchor="a_015">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5" w:type="dxa"/>
            <w:tcBorders/>
            <w:shd w:fill="FFFFFF" w:val="clear"/>
            <w:vAlign w:val="center"/>
          </w:tcPr>
          <w:p>
            <w:pPr>
              <w:pStyle w:val="TableContents"/>
              <w:spacing w:before="0" w:after="283"/>
              <w:ind w:left="0" w:right="0" w:hanging="0"/>
              <w:rPr/>
            </w:pPr>
            <w:hyperlink w:anchor="a_016">
              <w:r>
                <w:rPr>
                  <w:rStyle w:val="InternetLink"/>
                  <w:rFonts w:ascii="Times New Roman;Times;Serif" w:hAnsi="Times New Roman;Times;Serif"/>
                  <w:b w:val="false"/>
                  <w:i w:val="false"/>
                  <w:caps w:val="false"/>
                  <w:smallCaps w:val="false"/>
                  <w:sz w:val="20"/>
                </w:rPr>
                <w:t>Item 9A.</w:t>
              </w:r>
            </w:hyperlink>
          </w:p>
        </w:tc>
        <w:tc>
          <w:tcPr>
            <w:tcW w:w="9025" w:type="dxa"/>
            <w:tcBorders/>
            <w:shd w:fill="FFFFFF" w:val="clear"/>
            <w:vAlign w:val="center"/>
          </w:tcPr>
          <w:p>
            <w:pPr>
              <w:pStyle w:val="TableContents"/>
              <w:spacing w:before="0" w:after="283"/>
              <w:rPr/>
            </w:pPr>
            <w:hyperlink w:anchor="a_016">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5" w:type="dxa"/>
            <w:tcBorders/>
            <w:shd w:fill="CCEEFF" w:val="clear"/>
            <w:vAlign w:val="center"/>
          </w:tcPr>
          <w:p>
            <w:pPr>
              <w:pStyle w:val="TableContents"/>
              <w:spacing w:before="0" w:after="283"/>
              <w:ind w:left="0" w:right="0" w:hanging="0"/>
              <w:rPr/>
            </w:pPr>
            <w:hyperlink w:anchor="a_017">
              <w:r>
                <w:rPr>
                  <w:rStyle w:val="InternetLink"/>
                  <w:rFonts w:ascii="Times New Roman;Times;Serif" w:hAnsi="Times New Roman;Times;Serif"/>
                  <w:b w:val="false"/>
                  <w:i w:val="false"/>
                  <w:caps w:val="false"/>
                  <w:smallCaps w:val="false"/>
                  <w:sz w:val="20"/>
                </w:rPr>
                <w:t>Item 9B.</w:t>
              </w:r>
            </w:hyperlink>
          </w:p>
        </w:tc>
        <w:tc>
          <w:tcPr>
            <w:tcW w:w="9025" w:type="dxa"/>
            <w:tcBorders/>
            <w:shd w:fill="CCEEFF" w:val="clear"/>
            <w:vAlign w:val="center"/>
          </w:tcPr>
          <w:p>
            <w:pPr>
              <w:pStyle w:val="TableContents"/>
              <w:spacing w:before="0" w:after="283"/>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5" w:type="dxa"/>
            <w:tcBorders/>
            <w:shd w:fill="FFFFFF" w:val="clear"/>
            <w:vAlign w:val="center"/>
          </w:tcPr>
          <w:p>
            <w:pPr>
              <w:pStyle w:val="TableContents"/>
              <w:spacing w:before="0" w:after="283"/>
              <w:ind w:left="0" w:right="0" w:hanging="0"/>
              <w:rPr>
                <w:caps w:val="false"/>
                <w:smallCaps w:val="false"/>
              </w:rPr>
            </w:pPr>
            <w:r>
              <w:rPr>
                <w:caps w:val="false"/>
                <w:smallCaps w:val="false"/>
              </w:rPr>
              <w:t> </w:t>
            </w:r>
          </w:p>
        </w:tc>
        <w:tc>
          <w:tcPr>
            <w:tcW w:w="9025" w:type="dxa"/>
            <w:tcBorders/>
            <w:shd w:fill="FFFFFF" w:val="clear"/>
            <w:vAlign w:val="center"/>
          </w:tcPr>
          <w:p>
            <w:pPr>
              <w:pStyle w:val="TableContents"/>
              <w:spacing w:before="0" w:after="283"/>
              <w:rPr>
                <w:caps w:val="false"/>
                <w:smallCaps w:val="false"/>
              </w:rPr>
            </w:pPr>
            <w:r>
              <w:rPr>
                <w:caps w:val="false"/>
                <w:smallCaps w:val="false"/>
              </w:rPr>
              <w:t> </w:t>
            </w:r>
          </w:p>
        </w:tc>
        <w:tc>
          <w:tcPr>
            <w:tcW w:w="45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750" w:type="dxa"/>
            <w:gridSpan w:val="2"/>
            <w:tcBorders/>
            <w:shd w:fill="CCEEFF" w:val="clear"/>
            <w:vAlign w:val="center"/>
          </w:tcPr>
          <w:p>
            <w:pPr>
              <w:pStyle w:val="TableContents"/>
              <w:spacing w:before="0" w:after="283"/>
              <w:rPr/>
            </w:pPr>
            <w:hyperlink w:anchor="a_018">
              <w:r>
                <w:rPr>
                  <w:rStyle w:val="InternetLink"/>
                  <w:rFonts w:ascii="Times New Roman;Times;Serif" w:hAnsi="Times New Roman;Times;Serif"/>
                  <w:b/>
                  <w:i w:val="false"/>
                  <w:caps w:val="false"/>
                  <w:smallCaps w:val="false"/>
                  <w:sz w:val="20"/>
                </w:rPr>
                <w:t>PART III</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r>
      <w:tr>
        <w:trPr/>
        <w:tc>
          <w:tcPr>
            <w:tcW w:w="725" w:type="dxa"/>
            <w:tcBorders/>
            <w:shd w:fill="FFFFFF" w:val="clear"/>
            <w:vAlign w:val="center"/>
          </w:tcPr>
          <w:p>
            <w:pPr>
              <w:pStyle w:val="TableContents"/>
              <w:spacing w:before="0" w:after="283"/>
              <w:ind w:left="0" w:right="0" w:hanging="0"/>
              <w:rPr/>
            </w:pPr>
            <w:hyperlink w:anchor="a_019">
              <w:r>
                <w:rPr>
                  <w:rStyle w:val="InternetLink"/>
                  <w:rFonts w:ascii="Times New Roman;Times;Serif" w:hAnsi="Times New Roman;Times;Serif"/>
                  <w:b w:val="false"/>
                  <w:i w:val="false"/>
                  <w:caps w:val="false"/>
                  <w:smallCaps w:val="false"/>
                  <w:sz w:val="20"/>
                </w:rPr>
                <w:t>Item 10.</w:t>
              </w:r>
            </w:hyperlink>
          </w:p>
        </w:tc>
        <w:tc>
          <w:tcPr>
            <w:tcW w:w="9025" w:type="dxa"/>
            <w:tcBorders/>
            <w:shd w:fill="FFFFFF" w:val="clear"/>
            <w:vAlign w:val="center"/>
          </w:tcPr>
          <w:p>
            <w:pPr>
              <w:pStyle w:val="TableContents"/>
              <w:spacing w:before="0" w:after="283"/>
              <w:rPr/>
            </w:pPr>
            <w:hyperlink w:anchor="a_01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25" w:type="dxa"/>
            <w:tcBorders/>
            <w:shd w:fill="CCEEFF" w:val="clear"/>
            <w:vAlign w:val="center"/>
          </w:tcPr>
          <w:p>
            <w:pPr>
              <w:pStyle w:val="TableContents"/>
              <w:spacing w:before="0" w:after="283"/>
              <w:ind w:left="0" w:right="0" w:hanging="0"/>
              <w:rPr/>
            </w:pPr>
            <w:hyperlink w:anchor="a_020">
              <w:r>
                <w:rPr>
                  <w:rStyle w:val="InternetLink"/>
                  <w:rFonts w:ascii="Times New Roman;Times;Serif" w:hAnsi="Times New Roman;Times;Serif"/>
                  <w:b w:val="false"/>
                  <w:i w:val="false"/>
                  <w:caps w:val="false"/>
                  <w:smallCaps w:val="false"/>
                  <w:sz w:val="20"/>
                </w:rPr>
                <w:t>Item 11.</w:t>
              </w:r>
            </w:hyperlink>
          </w:p>
        </w:tc>
        <w:tc>
          <w:tcPr>
            <w:tcW w:w="9025" w:type="dxa"/>
            <w:tcBorders/>
            <w:shd w:fill="CCEEFF" w:val="clear"/>
            <w:vAlign w:val="center"/>
          </w:tcPr>
          <w:p>
            <w:pPr>
              <w:pStyle w:val="TableContents"/>
              <w:spacing w:before="0" w:after="283"/>
              <w:rPr/>
            </w:pPr>
            <w:hyperlink w:anchor="a_020">
              <w:r>
                <w:rPr>
                  <w:rStyle w:val="InternetLink"/>
                  <w:rFonts w:ascii="Times New Roman;Times;Serif" w:hAnsi="Times New Roman;Times;Serif"/>
                  <w:b w:val="false"/>
                  <w:i w:val="false"/>
                  <w:caps w:val="false"/>
                  <w:smallCaps w:val="false"/>
                  <w:sz w:val="20"/>
                </w:rPr>
                <w:t>Executive Compensation</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25" w:type="dxa"/>
            <w:tcBorders/>
            <w:shd w:fill="FFFFFF" w:val="clear"/>
            <w:vAlign w:val="center"/>
          </w:tcPr>
          <w:p>
            <w:pPr>
              <w:pStyle w:val="TableContents"/>
              <w:spacing w:before="0" w:after="283"/>
              <w:ind w:left="0" w:right="0" w:hanging="0"/>
              <w:rPr/>
            </w:pPr>
            <w:hyperlink w:anchor="a_021">
              <w:r>
                <w:rPr>
                  <w:rStyle w:val="InternetLink"/>
                  <w:rFonts w:ascii="Times New Roman;Times;Serif" w:hAnsi="Times New Roman;Times;Serif"/>
                  <w:b w:val="false"/>
                  <w:i w:val="false"/>
                  <w:caps w:val="false"/>
                  <w:smallCaps w:val="false"/>
                  <w:sz w:val="20"/>
                </w:rPr>
                <w:t>Item 12.</w:t>
              </w:r>
            </w:hyperlink>
          </w:p>
        </w:tc>
        <w:tc>
          <w:tcPr>
            <w:tcW w:w="9025" w:type="dxa"/>
            <w:tcBorders/>
            <w:shd w:fill="FFFFFF" w:val="clear"/>
            <w:vAlign w:val="center"/>
          </w:tcPr>
          <w:p>
            <w:pPr>
              <w:pStyle w:val="TableContents"/>
              <w:spacing w:before="0" w:after="283"/>
              <w:rPr/>
            </w:pPr>
            <w:hyperlink w:anchor="a_021">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25" w:type="dxa"/>
            <w:tcBorders/>
            <w:shd w:fill="CCEEFF" w:val="clear"/>
            <w:vAlign w:val="center"/>
          </w:tcPr>
          <w:p>
            <w:pPr>
              <w:pStyle w:val="TableContents"/>
              <w:spacing w:before="0" w:after="283"/>
              <w:ind w:left="0" w:right="0" w:hanging="0"/>
              <w:rPr/>
            </w:pPr>
            <w:hyperlink w:anchor="a_022">
              <w:r>
                <w:rPr>
                  <w:rStyle w:val="InternetLink"/>
                  <w:rFonts w:ascii="Times New Roman;Times;Serif" w:hAnsi="Times New Roman;Times;Serif"/>
                  <w:b w:val="false"/>
                  <w:i w:val="false"/>
                  <w:caps w:val="false"/>
                  <w:smallCaps w:val="false"/>
                  <w:sz w:val="20"/>
                </w:rPr>
                <w:t>Item 13.</w:t>
              </w:r>
            </w:hyperlink>
          </w:p>
        </w:tc>
        <w:tc>
          <w:tcPr>
            <w:tcW w:w="9025" w:type="dxa"/>
            <w:tcBorders/>
            <w:shd w:fill="CCEEFF" w:val="clear"/>
            <w:vAlign w:val="center"/>
          </w:tcPr>
          <w:p>
            <w:pPr>
              <w:pStyle w:val="TableContents"/>
              <w:spacing w:before="0" w:after="283"/>
              <w:rPr/>
            </w:pPr>
            <w:hyperlink w:anchor="a_022">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25" w:type="dxa"/>
            <w:tcBorders/>
            <w:shd w:fill="FFFFFF" w:val="clear"/>
            <w:vAlign w:val="center"/>
          </w:tcPr>
          <w:p>
            <w:pPr>
              <w:pStyle w:val="TableContents"/>
              <w:spacing w:before="0" w:after="283"/>
              <w:ind w:left="0" w:right="0" w:hanging="0"/>
              <w:rPr/>
            </w:pPr>
            <w:hyperlink w:anchor="a_023">
              <w:r>
                <w:rPr>
                  <w:rStyle w:val="InternetLink"/>
                  <w:rFonts w:ascii="Times New Roman;Times;Serif" w:hAnsi="Times New Roman;Times;Serif"/>
                  <w:b w:val="false"/>
                  <w:i w:val="false"/>
                  <w:caps w:val="false"/>
                  <w:smallCaps w:val="false"/>
                  <w:sz w:val="20"/>
                </w:rPr>
                <w:t>Item 14.</w:t>
              </w:r>
            </w:hyperlink>
          </w:p>
        </w:tc>
        <w:tc>
          <w:tcPr>
            <w:tcW w:w="9025" w:type="dxa"/>
            <w:tcBorders/>
            <w:shd w:fill="FFFFFF" w:val="clear"/>
            <w:vAlign w:val="center"/>
          </w:tcPr>
          <w:p>
            <w:pPr>
              <w:pStyle w:val="TableContents"/>
              <w:spacing w:before="0" w:after="283"/>
              <w:rPr/>
            </w:pPr>
            <w:hyperlink w:anchor="a_023">
              <w:r>
                <w:rPr>
                  <w:rStyle w:val="InternetLink"/>
                  <w:rFonts w:ascii="Times New Roman;Times;Serif" w:hAnsi="Times New Roman;Times;Serif"/>
                  <w:b w:val="false"/>
                  <w:i w:val="false"/>
                  <w:caps w:val="false"/>
                  <w:smallCaps w:val="false"/>
                  <w:sz w:val="20"/>
                </w:rPr>
                <w:t>Principal Accountant Fees and Services</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25" w:type="dxa"/>
            <w:tcBorders/>
            <w:shd w:fill="CCEEFF" w:val="clear"/>
            <w:vAlign w:val="center"/>
          </w:tcPr>
          <w:p>
            <w:pPr>
              <w:pStyle w:val="TableContents"/>
              <w:spacing w:before="0" w:after="283"/>
              <w:ind w:left="0" w:right="0" w:hanging="0"/>
              <w:rPr>
                <w:caps w:val="false"/>
                <w:smallCaps w:val="false"/>
              </w:rPr>
            </w:pPr>
            <w:r>
              <w:rPr>
                <w:caps w:val="false"/>
                <w:smallCaps w:val="false"/>
              </w:rPr>
              <w:t> </w:t>
            </w:r>
          </w:p>
        </w:tc>
        <w:tc>
          <w:tcPr>
            <w:tcW w:w="9025" w:type="dxa"/>
            <w:tcBorders/>
            <w:shd w:fill="CCEEFF" w:val="clear"/>
            <w:vAlign w:val="center"/>
          </w:tcPr>
          <w:p>
            <w:pPr>
              <w:pStyle w:val="TableContents"/>
              <w:spacing w:before="0" w:after="283"/>
              <w:rPr>
                <w:caps w:val="false"/>
                <w:smallCaps w:val="false"/>
              </w:rPr>
            </w:pPr>
            <w:r>
              <w:rPr>
                <w:caps w:val="false"/>
                <w:smallCaps w:val="false"/>
              </w:rPr>
              <w:t> </w:t>
            </w:r>
          </w:p>
        </w:tc>
        <w:tc>
          <w:tcPr>
            <w:tcW w:w="455"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9750" w:type="dxa"/>
            <w:gridSpan w:val="2"/>
            <w:tcBorders/>
            <w:shd w:fill="FFFFFF" w:val="clear"/>
            <w:vAlign w:val="center"/>
          </w:tcPr>
          <w:p>
            <w:pPr>
              <w:pStyle w:val="TableContents"/>
              <w:spacing w:before="0" w:after="283"/>
              <w:rPr/>
            </w:pPr>
            <w:hyperlink w:anchor="a_024">
              <w:r>
                <w:rPr>
                  <w:rStyle w:val="InternetLink"/>
                  <w:rFonts w:ascii="Times New Roman;Times;Serif" w:hAnsi="Times New Roman;Times;Serif"/>
                  <w:b/>
                  <w:i w:val="false"/>
                  <w:caps w:val="false"/>
                  <w:smallCaps w:val="false"/>
                  <w:sz w:val="20"/>
                </w:rPr>
                <w:t>PART IV</w:t>
              </w:r>
            </w:hyperlink>
          </w:p>
        </w:tc>
        <w:tc>
          <w:tcPr>
            <w:tcW w:w="455" w:type="dxa"/>
            <w:tcBorders/>
            <w:shd w:fill="FFFFFF"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r>
      <w:tr>
        <w:trPr/>
        <w:tc>
          <w:tcPr>
            <w:tcW w:w="725" w:type="dxa"/>
            <w:tcBorders/>
            <w:shd w:fill="CCEEFF" w:val="clear"/>
            <w:vAlign w:val="center"/>
          </w:tcPr>
          <w:p>
            <w:pPr>
              <w:pStyle w:val="TableContents"/>
              <w:spacing w:before="0" w:after="283"/>
              <w:ind w:left="0" w:right="0" w:hanging="0"/>
              <w:rPr/>
            </w:pPr>
            <w:hyperlink w:anchor="a_025">
              <w:r>
                <w:rPr>
                  <w:rStyle w:val="InternetLink"/>
                  <w:rFonts w:ascii="Times New Roman;Times;Serif" w:hAnsi="Times New Roman;Times;Serif"/>
                  <w:b w:val="false"/>
                  <w:i w:val="false"/>
                  <w:caps w:val="false"/>
                  <w:smallCaps w:val="false"/>
                  <w:sz w:val="20"/>
                </w:rPr>
                <w:t>Item 15.</w:t>
              </w:r>
            </w:hyperlink>
          </w:p>
        </w:tc>
        <w:tc>
          <w:tcPr>
            <w:tcW w:w="9025" w:type="dxa"/>
            <w:tcBorders/>
            <w:shd w:fill="CCEEFF" w:val="clear"/>
            <w:vAlign w:val="center"/>
          </w:tcPr>
          <w:p>
            <w:pPr>
              <w:pStyle w:val="TableContents"/>
              <w:spacing w:before="0" w:after="283"/>
              <w:rPr/>
            </w:pPr>
            <w:hyperlink w:anchor="a_025">
              <w:r>
                <w:rPr>
                  <w:rStyle w:val="InternetLink"/>
                  <w:rFonts w:ascii="Times New Roman;Times;Serif" w:hAnsi="Times New Roman;Times;Serif"/>
                  <w:b w:val="false"/>
                  <w:i w:val="false"/>
                  <w:caps w:val="false"/>
                  <w:smallCaps w:val="false"/>
                  <w:sz w:val="20"/>
                </w:rPr>
                <w:t>Exhibit and Financial Statement Schedules</w:t>
              </w:r>
            </w:hyperlink>
          </w:p>
        </w:tc>
        <w:tc>
          <w:tcPr>
            <w:tcW w:w="455" w:type="dxa"/>
            <w:tcBorders/>
            <w:shd w:fill="CCEEFF" w:val="clear"/>
            <w:vAlign w:val="center"/>
          </w:tcPr>
          <w:p>
            <w:pPr>
              <w:pStyle w:val="TableContents"/>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5" w:type="dxa"/>
            <w:tcBorders/>
            <w:shd w:fill="FFFFFF" w:val="clear"/>
            <w:vAlign w:val="center"/>
          </w:tcPr>
          <w:p>
            <w:pPr>
              <w:pStyle w:val="TableContents"/>
              <w:spacing w:before="0" w:after="283"/>
              <w:ind w:left="0" w:right="0" w:hanging="0"/>
              <w:rPr/>
            </w:pPr>
            <w:hyperlink w:anchor="a_026">
              <w:r>
                <w:rPr>
                  <w:rStyle w:val="InternetLink"/>
                  <w:rFonts w:ascii="Times New Roman;Times;Serif" w:hAnsi="Times New Roman;Times;Serif"/>
                  <w:b w:val="false"/>
                  <w:i w:val="false"/>
                  <w:caps w:val="false"/>
                  <w:smallCaps w:val="false"/>
                  <w:sz w:val="20"/>
                </w:rPr>
                <w:t>Item 16.</w:t>
              </w:r>
            </w:hyperlink>
          </w:p>
        </w:tc>
        <w:tc>
          <w:tcPr>
            <w:tcW w:w="9025" w:type="dxa"/>
            <w:tcBorders/>
            <w:shd w:fill="FFFFFF" w:val="clear"/>
            <w:vAlign w:val="center"/>
          </w:tcPr>
          <w:p>
            <w:pPr>
              <w:pStyle w:val="TableContents"/>
              <w:spacing w:before="0" w:after="283"/>
              <w:rPr/>
            </w:pPr>
            <w:hyperlink w:anchor="a_026">
              <w:r>
                <w:rPr>
                  <w:rStyle w:val="InternetLink"/>
                  <w:rFonts w:ascii="Times New Roman;Times;Serif" w:hAnsi="Times New Roman;Times;Serif"/>
                  <w:b w:val="false"/>
                  <w:i w:val="false"/>
                  <w:caps w:val="false"/>
                  <w:smallCaps w:val="false"/>
                  <w:sz w:val="20"/>
                </w:rPr>
                <w:t>Form 10-K Summary</w:t>
              </w:r>
            </w:hyperlink>
          </w:p>
        </w:tc>
        <w:tc>
          <w:tcPr>
            <w:tcW w:w="455"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TERMS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in this Annual Report on Form 10-K (this “Report”), or the context otherwise requires, references to:</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amended and restated memorandum and articles of association” are to the amended and restated memorandum and articles of association that the company adopted prior to our initial public offering;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Companies Law” are to the Companies Law (2020 Revision) of the Cayman Islands as the same may be amended from time to time;</w:t>
            </w:r>
          </w:p>
        </w:tc>
      </w:tr>
    </w:tbl>
    <w:p>
      <w:pPr>
        <w:pStyle w:val="TextBody"/>
        <w:spacing w:before="0" w:after="0"/>
        <w:rPr>
          <w:caps w:val="false"/>
          <w:smallCaps w:val="false"/>
        </w:rPr>
      </w:pPr>
      <w:r>
        <w:rPr>
          <w:caps w:val="false"/>
          <w:smallCaps w:val="false"/>
        </w:rPr>
        <w:t> </w:t>
      </w:r>
    </w:p>
    <w:tbl>
      <w:tblPr>
        <w:tblW w:w="4518" w:type="dxa"/>
        <w:jc w:val="left"/>
        <w:tblInd w:w="0" w:type="dxa"/>
        <w:tblCellMar>
          <w:top w:w="0" w:type="dxa"/>
          <w:left w:w="0" w:type="dxa"/>
          <w:bottom w:w="0" w:type="dxa"/>
          <w:right w:w="0" w:type="dxa"/>
        </w:tblCellMar>
      </w:tblPr>
      <w:tblGrid>
        <w:gridCol w:w="38"/>
        <w:gridCol w:w="170"/>
        <w:gridCol w:w="43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310"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Founders” are to Scott Leonard and Scott Honour;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founder shares” are to our Class B ordinary shares initially issued to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highlight w:val="white"/>
              </w:rPr>
              <w:t>“</w:t>
            </w:r>
            <w:r>
              <w:rPr>
                <w:rFonts w:ascii="Times New Roman;Times;Serif" w:hAnsi="Times New Roman;Times;Serif"/>
                <w:b w:val="false"/>
                <w:i/>
                <w:caps w:val="false"/>
                <w:smallCaps w:val="false"/>
                <w:sz w:val="20"/>
                <w:highlight w:val="white"/>
              </w:rPr>
              <w:t xml:space="preserve">initial shareholders” are </w:t>
            </w:r>
            <w:r>
              <w:rPr>
                <w:rFonts w:ascii="Times New Roman;Times;Serif" w:hAnsi="Times New Roman;Times;Serif"/>
                <w:b w:val="false"/>
                <w:i/>
                <w:caps w:val="false"/>
                <w:smallCaps w:val="false"/>
                <w:sz w:val="20"/>
              </w:rPr>
              <w:t>to our Sponsor and any other holders of our founder shares prior to our initial public offering (or their permitted transferees)</w:t>
            </w:r>
            <w:r>
              <w:rPr>
                <w:rFonts w:ascii="Times New Roman;Times;Serif" w:hAnsi="Times New Roman;Times;Serif"/>
                <w:b w:val="false"/>
                <w:i/>
                <w:caps w:val="false"/>
                <w:smallCaps w:val="false"/>
                <w:sz w:val="20"/>
                <w:highlight w:val="white"/>
              </w:rPr>
              <w:t>;</w:t>
            </w:r>
          </w:p>
        </w:tc>
      </w:tr>
    </w:tbl>
    <w:p>
      <w:pPr>
        <w:pStyle w:val="TextBody"/>
        <w:spacing w:before="0" w:after="0"/>
        <w:rPr>
          <w:caps w:val="false"/>
          <w:smallCaps w:val="false"/>
        </w:rPr>
      </w:pPr>
      <w:r>
        <w:rPr>
          <w:caps w:val="false"/>
          <w:smallCaps w:val="false"/>
        </w:rPr>
        <w:t> </w:t>
      </w:r>
    </w:p>
    <w:tbl>
      <w:tblPr>
        <w:tblW w:w="7293" w:type="dxa"/>
        <w:jc w:val="left"/>
        <w:tblInd w:w="0" w:type="dxa"/>
        <w:tblCellMar>
          <w:top w:w="0" w:type="dxa"/>
          <w:left w:w="0" w:type="dxa"/>
          <w:bottom w:w="0" w:type="dxa"/>
          <w:right w:w="0" w:type="dxa"/>
        </w:tblCellMar>
      </w:tblPr>
      <w:tblGrid>
        <w:gridCol w:w="38"/>
        <w:gridCol w:w="170"/>
        <w:gridCol w:w="70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085"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management” or our “management team” are to our executive officers and directors;</w:t>
            </w:r>
          </w:p>
        </w:tc>
      </w:tr>
    </w:tbl>
    <w:p>
      <w:pPr>
        <w:pStyle w:val="TextBody"/>
        <w:spacing w:before="0" w:after="0"/>
        <w:rPr>
          <w:caps w:val="false"/>
          <w:smallCaps w:val="false"/>
        </w:rPr>
      </w:pPr>
      <w:r>
        <w:rPr>
          <w:caps w:val="false"/>
          <w:smallCaps w:val="false"/>
        </w:rPr>
        <w:t> </w:t>
      </w:r>
    </w:p>
    <w:tbl>
      <w:tblPr>
        <w:tblW w:w="7338" w:type="dxa"/>
        <w:jc w:val="left"/>
        <w:tblInd w:w="0" w:type="dxa"/>
        <w:tblCellMar>
          <w:top w:w="0" w:type="dxa"/>
          <w:left w:w="0" w:type="dxa"/>
          <w:bottom w:w="0" w:type="dxa"/>
          <w:right w:w="0" w:type="dxa"/>
        </w:tblCellMar>
      </w:tblPr>
      <w:tblGrid>
        <w:gridCol w:w="38"/>
        <w:gridCol w:w="170"/>
        <w:gridCol w:w="71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130"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ordinary shares” are to our Class A ordinary shares and our Class B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warrants” are to the warrants that were issued to our Sponsor in a private placement simultaneously with the closing of our initial public offering and upon conversion of working capital loans, if any;</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caps w:val="false"/>
                <w:smallCaps w:val="false"/>
                <w:sz w:val="20"/>
              </w:rPr>
              <w:t>public shares” are to our Class A ordinary shares sold as part of the units in our initial public offering (whether they were purchased in our initial public offering or thereafter in the open market);</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tc>
      </w:tr>
    </w:tbl>
    <w:p>
      <w:pPr>
        <w:pStyle w:val="TextBody"/>
        <w:spacing w:before="0" w:after="0"/>
        <w:rPr>
          <w:caps w:val="false"/>
          <w:smallCaps w:val="false"/>
        </w:rPr>
      </w:pPr>
      <w:r>
        <w:rPr>
          <w:caps w:val="false"/>
          <w:smallCaps w:val="false"/>
        </w:rPr>
        <w:t> </w:t>
      </w:r>
    </w:p>
    <w:tbl>
      <w:tblPr>
        <w:tblW w:w="8463" w:type="dxa"/>
        <w:jc w:val="left"/>
        <w:tblInd w:w="0" w:type="dxa"/>
        <w:tblCellMar>
          <w:top w:w="0" w:type="dxa"/>
          <w:left w:w="0" w:type="dxa"/>
          <w:bottom w:w="0" w:type="dxa"/>
          <w:right w:w="0" w:type="dxa"/>
        </w:tblCellMar>
      </w:tblPr>
      <w:tblGrid>
        <w:gridCol w:w="38"/>
        <w:gridCol w:w="170"/>
        <w:gridCol w:w="82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255"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Sponsor” is to Sustainable Opportunities Holdings LLC, a Delaware limited liability company;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we,” “us,” “our,” “company,” “SOAC” or “our company” are to Sustainable Opportunities Acquisition Corp., a Cayman Islands exempted company.</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our initial business combination with DeepGreen Metals Inc., or any other initial business combination;</w:t>
            </w:r>
          </w:p>
        </w:tc>
      </w:tr>
    </w:tbl>
    <w:p>
      <w:pPr>
        <w:pStyle w:val="TextBody"/>
        <w:spacing w:before="0" w:after="0"/>
        <w:rPr>
          <w:caps w:val="false"/>
          <w:smallCaps w:val="false"/>
        </w:rPr>
      </w:pPr>
      <w:r>
        <w:rPr>
          <w:caps w:val="false"/>
          <w:smallCaps w:val="false"/>
        </w:rPr>
        <w:t> </w:t>
      </w:r>
    </w:p>
    <w:tbl>
      <w:tblPr>
        <w:tblW w:w="6363" w:type="dxa"/>
        <w:jc w:val="left"/>
        <w:tblInd w:w="0" w:type="dxa"/>
        <w:tblCellMar>
          <w:top w:w="0" w:type="dxa"/>
          <w:left w:w="0" w:type="dxa"/>
          <w:bottom w:w="0" w:type="dxa"/>
          <w:right w:w="0" w:type="dxa"/>
        </w:tblCellMar>
      </w:tblPr>
      <w:tblGrid>
        <w:gridCol w:w="38"/>
        <w:gridCol w:w="170"/>
        <w:gridCol w:w="61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1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around the performance of the prospective target business;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 following our initial business combination;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allocating their time to other businesses and potentially having conflicts of interest with our business or in approving our initial business combination;</w:t>
            </w:r>
          </w:p>
        </w:tc>
      </w:tr>
    </w:tbl>
    <w:p>
      <w:pPr>
        <w:pStyle w:val="TextBody"/>
        <w:spacing w:before="0" w:after="0"/>
        <w:rPr>
          <w:caps w:val="false"/>
          <w:smallCaps w:val="false"/>
        </w:rPr>
      </w:pPr>
      <w:r>
        <w:rPr>
          <w:caps w:val="false"/>
          <w:smallCaps w:val="false"/>
        </w:rPr>
        <w:t> </w:t>
      </w:r>
    </w:p>
    <w:tbl>
      <w:tblPr>
        <w:tblW w:w="8103" w:type="dxa"/>
        <w:jc w:val="left"/>
        <w:tblInd w:w="0" w:type="dxa"/>
        <w:tblCellMar>
          <w:top w:w="0" w:type="dxa"/>
          <w:left w:w="0" w:type="dxa"/>
          <w:bottom w:w="0" w:type="dxa"/>
          <w:right w:w="0" w:type="dxa"/>
        </w:tblCellMar>
      </w:tblPr>
      <w:tblGrid>
        <w:gridCol w:w="38"/>
        <w:gridCol w:w="170"/>
        <w:gridCol w:w="78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8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ability to obtain additional financing to complete our initial business combination;</w:t>
            </w:r>
          </w:p>
        </w:tc>
      </w:tr>
    </w:tbl>
    <w:p>
      <w:pPr>
        <w:pStyle w:val="TextBody"/>
        <w:spacing w:before="0" w:after="0"/>
        <w:rPr>
          <w:caps w:val="false"/>
          <w:smallCaps w:val="false"/>
        </w:rPr>
      </w:pPr>
      <w:r>
        <w:rPr>
          <w:caps w:val="false"/>
          <w:smallCaps w:val="false"/>
        </w:rPr>
        <w:t> </w:t>
      </w:r>
    </w:p>
    <w:tbl>
      <w:tblPr>
        <w:tblW w:w="3603" w:type="dxa"/>
        <w:jc w:val="left"/>
        <w:tblInd w:w="0" w:type="dxa"/>
        <w:tblCellMar>
          <w:top w:w="0" w:type="dxa"/>
          <w:left w:w="0" w:type="dxa"/>
          <w:bottom w:w="0" w:type="dxa"/>
          <w:right w:w="0" w:type="dxa"/>
        </w:tblCellMar>
      </w:tblPr>
      <w:tblGrid>
        <w:gridCol w:w="38"/>
        <w:gridCol w:w="170"/>
        <w:gridCol w:w="33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3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pool of prospective target businesses;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an initial business combination due to the uncertainty resulting from the current COVID-19 pandemic;</w:t>
            </w:r>
          </w:p>
        </w:tc>
      </w:tr>
    </w:tbl>
    <w:p>
      <w:pPr>
        <w:pStyle w:val="TextBody"/>
        <w:spacing w:before="0" w:after="0"/>
        <w:rPr>
          <w:caps w:val="false"/>
          <w:smallCaps w:val="false"/>
        </w:rPr>
      </w:pPr>
      <w:r>
        <w:rPr>
          <w:caps w:val="false"/>
          <w:smallCaps w:val="false"/>
        </w:rPr>
        <w:t> </w:t>
      </w:r>
    </w:p>
    <w:tbl>
      <w:tblPr>
        <w:tblW w:w="9093" w:type="dxa"/>
        <w:jc w:val="left"/>
        <w:tblInd w:w="0" w:type="dxa"/>
        <w:tblCellMar>
          <w:top w:w="0" w:type="dxa"/>
          <w:left w:w="0" w:type="dxa"/>
          <w:bottom w:w="0" w:type="dxa"/>
          <w:right w:w="0" w:type="dxa"/>
        </w:tblCellMar>
      </w:tblPr>
      <w:tblGrid>
        <w:gridCol w:w="38"/>
        <w:gridCol w:w="170"/>
        <w:gridCol w:w="88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8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officers and directors to generate a number of potential business combination opportunities;</w:t>
            </w:r>
          </w:p>
        </w:tc>
      </w:tr>
    </w:tbl>
    <w:p>
      <w:pPr>
        <w:pStyle w:val="TextBody"/>
        <w:spacing w:before="0" w:after="0"/>
        <w:rPr>
          <w:caps w:val="false"/>
          <w:smallCaps w:val="false"/>
        </w:rPr>
      </w:pPr>
      <w:r>
        <w:rPr>
          <w:caps w:val="false"/>
          <w:smallCaps w:val="false"/>
        </w:rPr>
        <w:t> </w:t>
      </w:r>
    </w:p>
    <w:tbl>
      <w:tblPr>
        <w:tblW w:w="4533" w:type="dxa"/>
        <w:jc w:val="left"/>
        <w:tblInd w:w="0" w:type="dxa"/>
        <w:tblCellMar>
          <w:top w:w="0" w:type="dxa"/>
          <w:left w:w="0" w:type="dxa"/>
          <w:bottom w:w="0" w:type="dxa"/>
          <w:right w:w="0" w:type="dxa"/>
        </w:tblCellMar>
      </w:tblPr>
      <w:tblGrid>
        <w:gridCol w:w="38"/>
        <w:gridCol w:w="170"/>
        <w:gridCol w:w="43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3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securities’ potential liquidity and trading;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on NYSE or to have our securities listed on NYSE or another national securities exchange following our initial business combination</w:t>
            </w:r>
          </w:p>
        </w:tc>
      </w:tr>
    </w:tbl>
    <w:p>
      <w:pPr>
        <w:pStyle w:val="TextBody"/>
        <w:spacing w:before="0" w:after="0"/>
        <w:rPr>
          <w:caps w:val="false"/>
          <w:smallCaps w:val="false"/>
        </w:rPr>
      </w:pPr>
      <w:r>
        <w:rPr>
          <w:caps w:val="false"/>
          <w:smallCaps w:val="false"/>
        </w:rPr>
        <w:t> </w:t>
      </w:r>
    </w:p>
    <w:tbl>
      <w:tblPr>
        <w:tblW w:w="3288" w:type="dxa"/>
        <w:jc w:val="left"/>
        <w:tblInd w:w="0" w:type="dxa"/>
        <w:tblCellMar>
          <w:top w:w="0" w:type="dxa"/>
          <w:left w:w="0" w:type="dxa"/>
          <w:bottom w:w="0" w:type="dxa"/>
          <w:right w:w="0" w:type="dxa"/>
        </w:tblCellMar>
      </w:tblPr>
      <w:tblGrid>
        <w:gridCol w:w="38"/>
        <w:gridCol w:w="170"/>
        <w:gridCol w:w="30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0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 market for our securities;</w:t>
            </w:r>
          </w:p>
        </w:tc>
      </w:tr>
    </w:tbl>
    <w:p>
      <w:pPr>
        <w:pStyle w:val="TextBody"/>
        <w:spacing w:before="0" w:after="0"/>
        <w:rPr>
          <w:caps w:val="false"/>
          <w:smallCaps w:val="false"/>
        </w:rPr>
      </w:pPr>
      <w:r>
        <w:rPr>
          <w:caps w:val="false"/>
          <w:smallCaps w:val="false"/>
        </w:rPr>
        <w:t> </w:t>
      </w:r>
    </w:p>
    <w:tbl>
      <w:tblPr>
        <w:tblW w:w="9648" w:type="dxa"/>
        <w:jc w:val="left"/>
        <w:tblInd w:w="0" w:type="dxa"/>
        <w:tblCellMar>
          <w:top w:w="0" w:type="dxa"/>
          <w:left w:w="0" w:type="dxa"/>
          <w:bottom w:w="0" w:type="dxa"/>
          <w:right w:w="0" w:type="dxa"/>
        </w:tblCellMar>
      </w:tblPr>
      <w:tblGrid>
        <w:gridCol w:w="38"/>
        <w:gridCol w:w="170"/>
        <w:gridCol w:w="94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4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proceeds not held in the trust account or available to us from interest income on the trust account balance;</w:t>
            </w:r>
          </w:p>
        </w:tc>
      </w:tr>
    </w:tbl>
    <w:p>
      <w:pPr>
        <w:pStyle w:val="TextBody"/>
        <w:spacing w:before="0" w:after="0"/>
        <w:rPr>
          <w:caps w:val="false"/>
          <w:smallCaps w:val="false"/>
        </w:rPr>
      </w:pPr>
      <w:r>
        <w:rPr>
          <w:caps w:val="false"/>
          <w:smallCaps w:val="false"/>
        </w:rPr>
        <w:t> </w:t>
      </w:r>
    </w:p>
    <w:tbl>
      <w:tblPr>
        <w:tblW w:w="5328" w:type="dxa"/>
        <w:jc w:val="left"/>
        <w:tblInd w:w="0" w:type="dxa"/>
        <w:tblCellMar>
          <w:top w:w="0" w:type="dxa"/>
          <w:left w:w="0" w:type="dxa"/>
          <w:bottom w:w="0" w:type="dxa"/>
          <w:right w:w="0" w:type="dxa"/>
        </w:tblCellMar>
      </w:tblPr>
      <w:tblGrid>
        <w:gridCol w:w="38"/>
        <w:gridCol w:w="170"/>
        <w:gridCol w:w="51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1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account not being subject to claims of third parties; or</w:t>
            </w:r>
          </w:p>
        </w:tc>
      </w:tr>
    </w:tbl>
    <w:p>
      <w:pPr>
        <w:pStyle w:val="TextBody"/>
        <w:spacing w:before="0" w:after="0"/>
        <w:rPr>
          <w:caps w:val="false"/>
          <w:smallCaps w:val="false"/>
        </w:rPr>
      </w:pPr>
      <w:r>
        <w:rPr>
          <w:caps w:val="false"/>
          <w:smallCaps w:val="false"/>
        </w:rPr>
        <w:t> </w:t>
      </w:r>
    </w:p>
    <w:tbl>
      <w:tblPr>
        <w:tblW w:w="2373" w:type="dxa"/>
        <w:jc w:val="left"/>
        <w:tblInd w:w="0" w:type="dxa"/>
        <w:tblCellMar>
          <w:top w:w="0" w:type="dxa"/>
          <w:left w:w="0" w:type="dxa"/>
          <w:bottom w:w="0" w:type="dxa"/>
          <w:right w:w="0" w:type="dxa"/>
        </w:tblCellMar>
      </w:tblPr>
      <w:tblGrid>
        <w:gridCol w:w="38"/>
        <w:gridCol w:w="170"/>
        <w:gridCol w:w="21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1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may not be exhaustive.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described below in Part I, Item 1A “Risk Factors” in this Report.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Report.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recently formed company with no operating history and no revenues, and you have no basis on which to evaluate our ability to achieve our business objective.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not be afforded an opportunity to vote on our proposed initial business combination, which means we may complete our initial business combination even though a majority of our shareholders do not support such a combination.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only opportunity to affect the investment decision regarding a potential business combination may be limited to the exercise of your right to redeem your shares from us for cash.</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our Sponsor and members of our management team have agreed to vote in favor of such initial business combination, regardless of how our public shareholders vote.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public shareholders to redeem their shares for cash may make our financial condition unattractive to potential business combination targets, which may make it difficult for us to enter into a business combination with a target.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public shareholders to exercise redemption rights with respect to a large number of our shares may not allow us to complete the most desirable business combination or optimize our capital structure.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search for a business combination, and any target business with which we ultimately consummate a business combination, may be materially adversely affected by the current coronavirus (COVID-19) outbreak and the status of debt and equity markets.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consummate an initial business combination within 18 months after the closing of our initial public offering, in which case we would cease all operations except for the purpose of winding up and we would redeem our public shares and liquidate.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receive notice of our offer to redeem our public shares in connection with our initial business combination, or fails to comply with the procedures for tendering its shares, such shares may not be redeemed.</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have any rights or interests in funds from the trust account, except under certain limited circumstances. Therefore, to liquidate your investment, you may be forced to sell your public shares or warrants, potentially at a loss.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may delist our securities from trading on its exchange, which could limit investors’ ability to make transactions in our securities and subject us to additional trading restrictions.</w:t>
            </w:r>
          </w:p>
        </w:tc>
      </w:tr>
    </w:tbl>
    <w:p>
      <w:pPr>
        <w:pStyle w:val="TextBody"/>
        <w:spacing w:before="0" w:after="0"/>
        <w:rPr>
          <w:caps w:val="false"/>
          <w:smallCaps w:val="false"/>
        </w:rPr>
      </w:pPr>
      <w:r>
        <w:rPr>
          <w:caps w:val="false"/>
          <w:smallCaps w:val="false"/>
        </w:rPr>
        <w:t> </w:t>
      </w:r>
    </w:p>
    <w:tbl>
      <w:tblPr>
        <w:tblW w:w="9003" w:type="dxa"/>
        <w:jc w:val="left"/>
        <w:tblInd w:w="0" w:type="dxa"/>
        <w:tblCellMar>
          <w:top w:w="0" w:type="dxa"/>
          <w:left w:w="0" w:type="dxa"/>
          <w:bottom w:w="0" w:type="dxa"/>
          <w:right w:w="0" w:type="dxa"/>
        </w:tblCellMar>
      </w:tblPr>
      <w:tblGrid>
        <w:gridCol w:w="38"/>
        <w:gridCol w:w="170"/>
        <w:gridCol w:w="87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entitled to protections normally afforded to investors of many other blank check companies.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net proceeds of our initial public offering and the sale of the private placement warrants not being held in the trust account are insufficient to allow us to operate for 18 months from the closing of our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third parties bring claims against us, the proceeds held in the trust account could be reduced and the per-share redemption amount received by shareholders may be less than $10.00 per share.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decide not to enforce the indemnification obligations of our Sponsor, resulting in a reduction in the amount of funds in the trust account available for distribution to our public shareholders.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spacing w:before="0" w:after="0"/>
        <w:jc w:val="center"/>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spacing w:before="0" w:after="0"/>
        <w:ind w:left="0" w:right="0" w:hanging="0"/>
        <w:jc w:val="center"/>
        <w:rPr>
          <w:caps w:val="false"/>
          <w:smallCaps w:val="false"/>
        </w:rPr>
      </w:pPr>
      <w:r>
        <w:rPr>
          <w:caps w:val="false"/>
          <w:smallCaps w:val="false"/>
        </w:rPr>
        <w:t> </w:t>
      </w:r>
    </w:p>
    <w:tbl>
      <w:tblPr>
        <w:tblW w:w="2073" w:type="dxa"/>
        <w:jc w:val="left"/>
        <w:tblInd w:w="0" w:type="dxa"/>
        <w:tblCellMar>
          <w:top w:w="0" w:type="dxa"/>
          <w:left w:w="0" w:type="dxa"/>
          <w:bottom w:w="0" w:type="dxa"/>
          <w:right w:w="0" w:type="dxa"/>
        </w:tblCellMar>
      </w:tblPr>
      <w:tblGrid>
        <w:gridCol w:w="38"/>
        <w:gridCol w:w="845"/>
        <w:gridCol w:w="1190"/>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4" w:name="a_003"/>
            <w:bookmarkEnd w:id="4"/>
            <w:r>
              <w:rPr/>
              <w:t>ITEM 1.</w:t>
            </w:r>
          </w:p>
        </w:tc>
        <w:tc>
          <w:tcPr>
            <w:tcW w:w="1190" w:type="dxa"/>
            <w:tcBorders/>
            <w:shd w:fill="auto" w:val="clear"/>
            <w:vAlign w:val="center"/>
          </w:tcPr>
          <w:p>
            <w:pPr>
              <w:pStyle w:val="TableContents"/>
              <w:spacing w:before="0" w:after="283"/>
              <w:jc w:val="both"/>
              <w:rPr/>
            </w:pPr>
            <w:r>
              <w:rPr/>
              <w:t>BUSINESS</w:t>
            </w:r>
          </w:p>
        </w:tc>
      </w:tr>
    </w:tbl>
    <w:p>
      <w:pPr>
        <w:pStyle w:val="TextBody"/>
        <w:spacing w:before="0" w:after="0"/>
        <w:ind w:left="1440" w:right="0" w:hanging="1440"/>
        <w:rPr>
          <w:caps/>
        </w:rPr>
      </w:pPr>
      <w:r>
        <w:rPr>
          <w:caps/>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as a Cayman Islands exempted company for the purpose of effecting a merger, share exchange, asset acquisition, share purchase, reorganization or similar business combination with one or more businesses or entities, which we refer to throughout this Report as our initial business combination. We are an emerging growth company and, as such, we are subject to all of the risks associated with emerging growth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Founders, Our Board of Directors and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 serves as our Chief Executive Officer and on our board of directors. Mr. Leonard has over 15 years of experience leading highly successful business transformations and transitions. Mr. Leonard also has deep expertise over the past eight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w:t>
      </w:r>
      <w:r>
        <w:rPr>
          <w:rFonts w:ascii="Times New Roman;Times;Serif" w:hAnsi="Times New Roman;Times;Serif"/>
          <w:b w:val="false"/>
          <w:i/>
          <w:caps w:val="false"/>
          <w:smallCaps w:val="false"/>
          <w:sz w:val="20"/>
        </w:rPr>
        <w:t>NPG</w:t>
      </w:r>
      <w:r>
        <w:rPr>
          <w:rFonts w:ascii="Times New Roman;Times;Serif" w:hAnsi="Times New Roman;Times;Serif"/>
          <w:b w:val="false"/>
          <w:i w:val="false"/>
          <w:caps w:val="false"/>
          <w:smallCaps w:val="false"/>
          <w:sz w:val="20"/>
        </w:rPr>
        <w:t>”), a private equity firm, which he co-founded in 2012. Prior to that, Mr. Honour was at The Gores Group, a Los Angeles based private equity firm, for ten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Choice Delivery, LLC, United Language Group, Inc., Renters Warehouse LLC, Real Dolmen (REM:BB) and Westwood One, Inc. (formerly Nasdaq: WWON), and is a co-founder of Titan CNG LLC and YapStone Inc. Mr. Honour earned a B.S. and B.A.,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in Business Administration and Economics from Pepperdine University and an M.B.A. in Finance and Marketing from the Wharton School of the University of Pennsylvania.</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Gaenzle serves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spent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Isaac Barchas serves on our board of directors. Mr. Barchas is the President and Chief Executive Officer of Research Bridge Partners (“</w:t>
      </w:r>
      <w:r>
        <w:rPr>
          <w:rFonts w:ascii="Times New Roman;Times;Serif" w:hAnsi="Times New Roman;Times;Serif"/>
          <w:b w:val="false"/>
          <w:i/>
          <w:caps w:val="false"/>
          <w:smallCaps w:val="false"/>
          <w:sz w:val="20"/>
        </w:rPr>
        <w:t>RBP</w:t>
      </w:r>
      <w:r>
        <w:rPr>
          <w:rFonts w:ascii="Times New Roman;Times;Serif" w:hAnsi="Times New Roman;Times;Serif"/>
          <w:b w:val="false"/>
          <w:i w:val="false"/>
          <w:caps w:val="false"/>
          <w:smallCaps w:val="false"/>
          <w:sz w:val="20"/>
        </w:rPr>
        <w:t>”),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Kelly serves on our board of directors. Mr. Kelly is currently the Chief Executive Officer and Chief Investment Officer of Winslow Capital Management, LLC (“</w:t>
      </w:r>
      <w:r>
        <w:rPr>
          <w:rFonts w:ascii="Times New Roman;Times;Serif" w:hAnsi="Times New Roman;Times;Serif"/>
          <w:b w:val="false"/>
          <w:i/>
          <w:caps w:val="false"/>
          <w:smallCaps w:val="false"/>
          <w:sz w:val="20"/>
        </w:rPr>
        <w:t>Winslow Capital</w:t>
      </w:r>
      <w:r>
        <w:rPr>
          <w:rFonts w:ascii="Times New Roman;Times;Serif" w:hAnsi="Times New Roman;Times;Serif"/>
          <w:b w:val="false"/>
          <w:i w:val="false"/>
          <w:caps w:val="false"/>
          <w:smallCaps w:val="false"/>
          <w:sz w:val="20"/>
        </w:rPr>
        <w:t>”),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further supported by our team of advisors comprised of former senior executives from leading global companies with experience in a wide range of sub-sectors and functional areas, who have previously worked together over the last decade or more. They provide us with access to their expertise and extensive industry networks from which we intend to source and evaluate targets as well as devise plans to optimize any business that we acquire.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“Item 1A.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“Item 10. Directors, Executive Officers and Corporate Governance—Conflicts of Interest.”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2021, we entered into a Business Combination Agreement (as it may be amended, supplemented or otherwise modified from time to time,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SOAC will migrate to and be continued as a company in British Columbia, Canada (the “SOAC Continuance”). Following the SOAC Continuance, pursuant to a plan of arrangement (the “Plan of Arrangement”)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(British Columbia), (i) SOAC will acquire all of the issued and outstanding shares in the capital of DeepGreen (the “DeepGreen Shares”) from DeepGreen shareholders in exchange for SOAC Common Shares (as defined below) and Company Earnout Shares (as defined below) (the “Share Exchange”), (ii) DeepGreen will become a wholly-owned subsidiary of SOAC,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(collectively, with the Share Exchange, the “Share Exchange and Amalgamation” and, together with the other transactions contemplated by the Business Combination Agreement, the Plan of Arrangement and the ancillary documents entered into in connection with the Business Combination Agreement, collectively, the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pursuant to the Plan of Arrangement, each option to purchase common shares in the capital of DeepGreen (the “DeepGreen Options”)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expected to close in the second quarter of 2021, following the receipt of the required approval by SOAC’s shareholders and the fulfillment of other conditions.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pursuant to the Plan of Arrangement, the shareholders and the optionholders of DeepGreen will be entitled to receive, in exchange for their DeepGreen Shares or DeepGreen Options, as applicable, (i) shares in the capital of SOAC or comparable equity awards that are settled or are exercisable for shares in the capital of SOAC, as applicable, based on an implied company equity value of $2.25 billion after giving effect to the SOAC Continuance (the “SOAC Common Shares”),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SOAC (collectively, the “Company Earnout Shares”), or, as applicable, options to purchase such SOAC Common Shares and Company Earnout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immediately prior to closing of the Business Combination, the Sponsor will exchange 10% of the SOAC Common Shares it will own following the SOAC Continuance for (i) 500,000 Class I Special Shares (the “Sponsor Earnout Shares”) in the capital of SOAC, and (ii) 741,000 Class J Special Shares in the capital of SOAC (the “Class J Special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representations, warranties and covenants of each of the parties thereto that are customary for transactions of this type. Each of SOAC and DeepGreen has also agreed to take all action within its power as may be necessary or appropriate such that, effective immediately after the closing of the Business Combination, the SOAC board of directors shall consist of nine directors, which shall be comprised of eight individuals determined by DeepGreen prior to the effectiveness of the </w:t>
      </w:r>
      <w:r>
        <w:rPr>
          <w:rFonts w:ascii="Times New Roman;Times;Serif" w:hAnsi="Times New Roman;Times;Serif"/>
          <w:b w:val="false"/>
          <w:i w:val="false"/>
          <w:caps w:val="false"/>
          <w:smallCaps w:val="false"/>
          <w:sz w:val="20"/>
          <w:highlight w:val="white"/>
        </w:rPr>
        <w:t>Registration Statement on Form S-4 (the “Registration Statement”) </w:t>
      </w:r>
      <w:r>
        <w:rPr>
          <w:rFonts w:ascii="Times New Roman;Times;Serif" w:hAnsi="Times New Roman;Times;Serif"/>
          <w:b w:val="false"/>
          <w:i w:val="false"/>
          <w:caps w:val="false"/>
          <w:smallCaps w:val="false"/>
          <w:sz w:val="20"/>
        </w:rPr>
        <w:t>and one director determined by the Sponsor, prior to the effectiveness of the Registration Statement. In addition, SOAC has agreed to adopt an equity incentive plan, as described in the Business Combination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Each Party’s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The obligation of SOAC and DeepGreen to consummate the Business Combination is subject to certain closing conditions, including, but not limited to, (i) the absence of any order, law or other legal restraint or prohibition issued by any court of competent jurisdiction or other governmental entity of competent jurisdiction preventing the consummation of the Business Combination, (ii) the effectiveness of the </w:t>
      </w:r>
      <w:r>
        <w:rPr>
          <w:rFonts w:ascii="Times New Roman;Times;Serif" w:hAnsi="Times New Roman;Times;Serif"/>
          <w:b w:val="false"/>
          <w:i w:val="false"/>
          <w:caps w:val="false"/>
          <w:smallCaps w:val="false"/>
          <w:sz w:val="20"/>
        </w:rPr>
        <w:t>Registration Statement</w:t>
      </w:r>
      <w:r>
        <w:rPr>
          <w:rFonts w:ascii="Times New Roman;Times;Serif" w:hAnsi="Times New Roman;Times;Serif"/>
          <w:b w:val="false"/>
          <w:i w:val="false"/>
          <w:caps w:val="false"/>
          <w:smallCaps w:val="false"/>
          <w:sz w:val="20"/>
          <w:highlight w:val="white"/>
        </w:rPr>
        <w:t>, (iii) the approval of SOAC’s shareholders, (iv) the approval of DeepGreen’s shareholders and optionholders, (v) receipt of a final Canadian court order with respect to the Plan of Arrangement (the “Final Order”), (vi) receipt of approval or deemed approval by the applicable minister under Part IV of the Investment Canada Act (Canada) (if required), (vii) the approval by NYSE of SOAC’s initial listing application in connection with the Business Combination and (viii) SOAC having at least $5,000,001 of net tangible assets (as determined in accordance with Rule 3a51-1(g)(1) of the Securities Exchange Act of 1934, as amended) remaining after the closing of the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addition, the obligation of DeepGreen to consummate the Business Combination is subject to the fulfillment of other closing conditions, including, but not limited to, (i) the aggregate cash proceeds from SOAC’s trust account, together with the proceeds from the PIPE financing, equaling no less than $250,000,000 (after deducting any amounts paid to SOAC shareholders that exercise their redemption rights in connection with the Business Combination and net of SOAC’s unpaid transaction expenses and SOAC’s unpaid liabilities), (ii) no SOAC Material Adverse Effect (as defined in the Business Combination Agreement) having occurred that is continuing, (iii) SOAC having delivered, or caused to be delivered, to DeepGreen, the Registration Rights Agreement (as defined in the Business Combination Agreement), duly executed by an authorized officer of SOAC and (iv) SOAC having taken all actions necessary or appropriate such that the board of directors of SOAC consists of the number of directors, and is comprised of the individuals, determined pursuant to the Business Combination Agreement.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Business Combination Agreement may be terminated under certain customary and limited circumstances prior to the closing of the Business Combination, including, but not limited to, by (i) mutual written consent of SOAC and DeepGreen, (ii) SOAC if the representations and warranties of DeepGreen are not true and correct or if DeepGreen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(iii) DeepGreen if the representations and warranties of any SOAC Party (as defined in the Business Combination Agreement) are not true and correct or if any SOAC Party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(iv) either SOAC or DeepGreen if the Business Combination is not consummated by October 4, 2021, subject to certain limited exceptions, (v) either SOAC or DeepGreen, if any governmental entity of competent jurisdiction shall have issued an order permanently enjoining or prohibiting the Business Combination and such order shall have become final and nonappealable, (vi) either SOAC or DeepGreen if certain required approvals are not obtained by SOAC shareholders after the conclusion of a meeting of SOAC’s shareholders held for such purpose at which such shareholders voted on such approvals and (vi) SOAC if DeepGreen Required Approval (as defined in the Business Combination Agreement) is not obtained at the DeepGreen Shareholder Meeting (as defined in the Business Combination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If the Business Combination Agreement is validly terminated, none of the parties to the Business Combination Agreement will have any liability or any further obligation under the Business Combination Agreement, except in the case of Willful Breach or Fraud (each, as defined in the Business Combination Agreement) and for customary obligations that survive the termination thereof (such as confidentiality obligations).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highlight w:val="white"/>
        </w:rPr>
      </w:pPr>
      <w:r>
        <w:rPr>
          <w:rFonts w:ascii="Times New Roman;Times;Serif" w:hAnsi="Times New Roman;Times;Serif"/>
          <w:b w:val="false"/>
          <w:i/>
          <w:caps w:val="false"/>
          <w:smallCaps w:val="false"/>
          <w:sz w:val="20"/>
          <w:highlight w:val="white"/>
        </w:rPr>
        <w:t>Alternative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the event that the Final Order is not obtained (for any reason other than as a result of a material breach of SOAC’s covenants or obligations under the Business Combination Agreement), the parties to the Business Combination Agreement have agreed to take all actions reasonably required to execute and deliver all related documentation in order to complete the Business Combination by way of an amalgamation under Part 9, Division 3 of the BCBCA (an “Alternative Transaction”). In such event, the parties may consider effecting a share exchange for certain shareholders prior to consummating the Alternative Transaction.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of the Business Combination Agreement does not purport to be complete and is qualified in its entirety by the terms and conditions of the Business Combination Agreement, a copy of which is attached hereto as Exhibit 2.1 and is incorporated herein by reference.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seek to:</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the strategic and transactional experience of our management team and Sponsor to bring advice and attention to potential targets;</w:t>
            </w:r>
          </w:p>
        </w:tc>
      </w:tr>
    </w:tbl>
    <w:p>
      <w:pPr>
        <w:pStyle w:val="TextBody"/>
        <w:spacing w:before="0" w:after="0"/>
        <w:rPr>
          <w:caps w:val="false"/>
          <w:smallCaps w:val="false"/>
        </w:rPr>
      </w:pPr>
      <w:r>
        <w:rPr>
          <w:caps w:val="false"/>
          <w:smallCaps w:val="false"/>
        </w:rPr>
        <w:t> </w:t>
      </w:r>
    </w:p>
    <w:tbl>
      <w:tblPr>
        <w:tblW w:w="9813" w:type="dxa"/>
        <w:jc w:val="left"/>
        <w:tblInd w:w="0" w:type="dxa"/>
        <w:tblCellMar>
          <w:top w:w="0" w:type="dxa"/>
          <w:left w:w="0" w:type="dxa"/>
          <w:bottom w:w="0" w:type="dxa"/>
          <w:right w:w="0" w:type="dxa"/>
        </w:tblCellMar>
      </w:tblPr>
      <w:tblGrid>
        <w:gridCol w:w="38"/>
        <w:gridCol w:w="170"/>
        <w:gridCol w:w="96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6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value creation through support of a strong environmental sustainability profile or a “brown-to-green” transition;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4458" w:type="dxa"/>
        <w:jc w:val="left"/>
        <w:tblInd w:w="0" w:type="dxa"/>
        <w:tblCellMar>
          <w:top w:w="0" w:type="dxa"/>
          <w:left w:w="0" w:type="dxa"/>
          <w:bottom w:w="0" w:type="dxa"/>
          <w:right w:w="0" w:type="dxa"/>
        </w:tblCellMar>
      </w:tblPr>
      <w:tblGrid>
        <w:gridCol w:w="38"/>
        <w:gridCol w:w="170"/>
        <w:gridCol w:w="42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2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creative approaches to transaction sourcing;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an understanding of global financial markets and events, financing and overall corporate strategy options, including assistance with public company readiness; and</w:t>
            </w:r>
          </w:p>
        </w:tc>
      </w:tr>
    </w:tbl>
    <w:p>
      <w:pPr>
        <w:pStyle w:val="TextBody"/>
        <w:spacing w:before="0" w:after="0"/>
        <w:rPr>
          <w:caps w:val="false"/>
          <w:smallCaps w:val="false"/>
        </w:rPr>
      </w:pPr>
      <w:r>
        <w:rPr>
          <w:caps w:val="false"/>
          <w:smallCaps w:val="false"/>
        </w:rPr>
        <w:t> </w:t>
      </w:r>
    </w:p>
    <w:tbl>
      <w:tblPr>
        <w:tblW w:w="10158" w:type="dxa"/>
        <w:jc w:val="left"/>
        <w:tblInd w:w="0" w:type="dxa"/>
        <w:tblCellMar>
          <w:top w:w="0" w:type="dxa"/>
          <w:left w:w="0" w:type="dxa"/>
          <w:bottom w:w="0" w:type="dxa"/>
          <w:right w:w="0" w:type="dxa"/>
        </w:tblCellMar>
      </w:tblPr>
      <w:tblGrid>
        <w:gridCol w:w="38"/>
        <w:gridCol w:w="170"/>
        <w:gridCol w:w="99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Remove economic or environmental waste through environmentally sustainable operational or commercial improvements.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selection process in choosing an attractive investment opportunity leverages our management team’s network of industry, private equity sponsor, credit fund sponsor and lending community relationships as well as relationships with management teams of public and private companies, investment bankers, restructuring advisers, attorneys and accountants, which provides us with a number of business combination opportunities. We have deployed a proactive, thematic sourcing strategy and focus on companies where we believe the combination of our operating experience, relationships, capital and capital markets expertise can be a catalyst to transform a target company and can help accelerate the target’s growth, performance and sustainability profile. Since the completion of our initial public offering, members of our management team have communicated with their network of relationships to articulate our initial business combination criteria, including the parameters of our search for a target business, and have begun the disciplined process of pursuing and reviewing promising leads.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management team have experience in: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investing in companies with a focus on decarbonization and environmentally sustainable business practices;</w:t>
            </w:r>
          </w:p>
        </w:tc>
      </w:tr>
    </w:tbl>
    <w:p>
      <w:pPr>
        <w:pStyle w:val="TextBody"/>
        <w:spacing w:before="0" w:after="0"/>
        <w:rPr>
          <w:caps w:val="false"/>
          <w:smallCaps w:val="false"/>
        </w:rPr>
      </w:pPr>
      <w:r>
        <w:rPr>
          <w:caps w:val="false"/>
          <w:smallCaps w:val="false"/>
        </w:rPr>
        <w:t> </w:t>
      </w:r>
    </w:p>
    <w:tbl>
      <w:tblPr>
        <w:tblW w:w="9588" w:type="dxa"/>
        <w:jc w:val="left"/>
        <w:tblInd w:w="0" w:type="dxa"/>
        <w:tblCellMar>
          <w:top w:w="0" w:type="dxa"/>
          <w:left w:w="0" w:type="dxa"/>
          <w:bottom w:w="0" w:type="dxa"/>
          <w:right w:w="0" w:type="dxa"/>
        </w:tblCellMar>
      </w:tblPr>
      <w:tblGrid>
        <w:gridCol w:w="38"/>
        <w:gridCol w:w="170"/>
        <w:gridCol w:w="93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companies, setting and enacting strategies, and identifying, monitoring and recruiting world-class talent;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growing companies, both organically and through acquisitions and strategic transactions and expanding the product range and geographic footprint of a number of target businesses;</w:t>
            </w:r>
          </w:p>
        </w:tc>
      </w:tr>
    </w:tbl>
    <w:p>
      <w:pPr>
        <w:pStyle w:val="TextBody"/>
        <w:spacing w:before="0" w:after="0"/>
        <w:rPr>
          <w:caps w:val="false"/>
          <w:smallCaps w:val="false"/>
        </w:rPr>
      </w:pPr>
      <w:r>
        <w:rPr>
          <w:caps w:val="false"/>
          <w:smallCaps w:val="false"/>
        </w:rPr>
        <w:t> </w:t>
      </w:r>
    </w:p>
    <w:tbl>
      <w:tblPr>
        <w:tblW w:w="4728" w:type="dxa"/>
        <w:jc w:val="left"/>
        <w:tblInd w:w="0" w:type="dxa"/>
        <w:tblCellMar>
          <w:top w:w="0" w:type="dxa"/>
          <w:left w:w="0" w:type="dxa"/>
          <w:bottom w:w="0" w:type="dxa"/>
          <w:right w:w="0" w:type="dxa"/>
        </w:tblCellMar>
      </w:tblPr>
      <w:tblGrid>
        <w:gridCol w:w="38"/>
        <w:gridCol w:w="170"/>
        <w:gridCol w:w="45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5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Sourcing, structuring, acquiring and selling businesses;</w:t>
            </w:r>
          </w:p>
        </w:tc>
      </w:tr>
    </w:tbl>
    <w:p>
      <w:pPr>
        <w:pStyle w:val="TextBody"/>
        <w:spacing w:before="0" w:after="0"/>
        <w:rPr>
          <w:caps w:val="false"/>
          <w:smallCaps w:val="false"/>
        </w:rPr>
      </w:pPr>
      <w:r>
        <w:rPr>
          <w:caps w:val="false"/>
          <w:smallCaps w:val="false"/>
        </w:rPr>
        <w:t> </w:t>
      </w:r>
    </w:p>
    <w:tbl>
      <w:tblPr>
        <w:tblW w:w="9738" w:type="dxa"/>
        <w:jc w:val="left"/>
        <w:tblInd w:w="0" w:type="dxa"/>
        <w:tblCellMar>
          <w:top w:w="0" w:type="dxa"/>
          <w:left w:w="0" w:type="dxa"/>
          <w:bottom w:w="0" w:type="dxa"/>
          <w:right w:w="0" w:type="dxa"/>
        </w:tblCellMar>
      </w:tblPr>
      <w:tblGrid>
        <w:gridCol w:w="38"/>
        <w:gridCol w:w="170"/>
        <w:gridCol w:w="95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5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Accessing the capital markets, including financing businesses and helping companies transition to public ownership;</w:t>
            </w:r>
          </w:p>
        </w:tc>
      </w:tr>
    </w:tbl>
    <w:p>
      <w:pPr>
        <w:pStyle w:val="TextBody"/>
        <w:spacing w:before="0" w:after="0"/>
        <w:rPr>
          <w:caps w:val="false"/>
          <w:smallCaps w:val="false"/>
        </w:rPr>
      </w:pPr>
      <w:r>
        <w:rPr>
          <w:caps w:val="false"/>
          <w:smallCaps w:val="false"/>
        </w:rPr>
        <w:t> </w:t>
      </w:r>
    </w:p>
    <w:tbl>
      <w:tblPr>
        <w:tblW w:w="7368" w:type="dxa"/>
        <w:jc w:val="left"/>
        <w:tblInd w:w="0" w:type="dxa"/>
        <w:tblCellMar>
          <w:top w:w="0" w:type="dxa"/>
          <w:left w:w="0" w:type="dxa"/>
          <w:bottom w:w="0" w:type="dxa"/>
          <w:right w:w="0" w:type="dxa"/>
        </w:tblCellMar>
      </w:tblPr>
      <w:tblGrid>
        <w:gridCol w:w="38"/>
        <w:gridCol w:w="170"/>
        <w:gridCol w:w="71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1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Fostering relationships with sellers, capital providers and target management teams; and</w:t>
            </w:r>
          </w:p>
        </w:tc>
      </w:tr>
    </w:tbl>
    <w:p>
      <w:pPr>
        <w:pStyle w:val="TextBody"/>
        <w:spacing w:before="0" w:after="0"/>
        <w:rPr>
          <w:caps w:val="false"/>
          <w:smallCaps w:val="false"/>
        </w:rPr>
      </w:pPr>
      <w:r>
        <w:rPr>
          <w:caps w:val="false"/>
          <w:smallCaps w:val="false"/>
        </w:rPr>
        <w:t> </w:t>
      </w:r>
    </w:p>
    <w:tbl>
      <w:tblPr>
        <w:tblW w:w="8328" w:type="dxa"/>
        <w:jc w:val="left"/>
        <w:tblInd w:w="0" w:type="dxa"/>
        <w:tblCellMar>
          <w:top w:w="0" w:type="dxa"/>
          <w:left w:w="0" w:type="dxa"/>
          <w:bottom w:w="0" w:type="dxa"/>
          <w:right w:w="0" w:type="dxa"/>
        </w:tblCellMar>
      </w:tblPr>
      <w:tblGrid>
        <w:gridCol w:w="38"/>
        <w:gridCol w:w="170"/>
        <w:gridCol w:w="81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1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Executing transactions and business plans under various economic and financial market conditions.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sourcing, valuation, diligence and execution capabilities of our management team provide us with a significant pipeline of opportunities from which to evaluate and select a business that will benefit from our expertise. Our competitive strengths include the following: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Strong Management Team and Sponsorship.</w:t>
            </w:r>
            <w:r>
              <w:rPr>
                <w:rFonts w:ascii="Times New Roman;Times;Serif" w:hAnsi="Times New Roman;Times;Serif"/>
                <w:b w:val="false"/>
                <w:i w:val="false"/>
                <w:caps w:val="false"/>
                <w:smallCaps w:val="false"/>
                <w:sz w:val="20"/>
              </w:rPr>
              <w:t>    We believe that our Sponsor and management team, with its decade long proven ability to execute and simultaneously improve both financial metrics and sustainability and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Leading Experience in Decarbonization and Environmentally Sustainable Practices.</w:t>
            </w:r>
            <w:r>
              <w:rPr>
                <w:rFonts w:ascii="Times New Roman;Times;Serif" w:hAnsi="Times New Roman;Times;Serif"/>
                <w:b w:val="false"/>
                <w:i w:val="false"/>
                <w:caps w:val="false"/>
                <w:smallCaps w:val="false"/>
                <w:sz w:val="20"/>
              </w:rPr>
              <w:t>    Our 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Proprietary Sourcing Channels and Leading Industry Relationships.</w:t>
            </w:r>
            <w:r>
              <w:rPr>
                <w:rFonts w:ascii="Times New Roman;Times;Serif" w:hAnsi="Times New Roman;Times;Serif"/>
                <w:b w:val="false"/>
                <w:i w:val="false"/>
                <w:caps w:val="false"/>
                <w:smallCaps w:val="false"/>
                <w:sz w:val="20"/>
              </w:rPr>
              <w:t>    We believe the capabilities 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Investing Experience.</w:t>
            </w:r>
            <w:r>
              <w:rPr>
                <w:rFonts w:ascii="Times New Roman;Times;Serif" w:hAnsi="Times New Roman;Times;Serif"/>
                <w:b w:val="false"/>
                <w:i w:val="false"/>
                <w:caps w:val="false"/>
                <w:smallCaps w:val="false"/>
                <w:sz w:val="20"/>
              </w:rPr>
              <w:t>    We believe that our management and Sponsor’s track record of identifying and sourcing transactions positions us well to evaluate potential investment targets and select one that will be well received by the public markets and our shareholders.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Execution and Structuring Capability.</w:t>
            </w:r>
            <w:r>
              <w:rPr>
                <w:rFonts w:ascii="Times New Roman;Times;Serif" w:hAnsi="Times New Roman;Times;Serif"/>
                <w:b w:val="false"/>
                <w:i w:val="false"/>
                <w:caps w:val="false"/>
                <w:smallCaps w:val="false"/>
                <w:sz w:val="20"/>
              </w:rPr>
              <w:t>    We believe that our management team’s and Sponsor’s 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Criteria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strategy, we have identified the following general criteria and guidelines which we believe are important in evaluating prospective target businesses. We have used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Benefits from Environmentally Sustainable Business Practices.</w:t>
            </w:r>
            <w:r>
              <w:rPr>
                <w:rFonts w:ascii="Times New Roman;Times;Serif" w:hAnsi="Times New Roman;Times;Serif"/>
                <w:b w:val="false"/>
                <w:i w:val="false"/>
                <w:caps w:val="false"/>
                <w:smallCaps w:val="false"/>
                <w:sz w:val="20"/>
              </w:rPr>
              <w:t>    We seek to acquire a business that (i) has existing operating practices that promote and profit from environmental sustainability or (ii) would benefit from implementing environmentally sustainable commercial and operating practices leveraging the expertise of our management team and Sponsor.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Has a Defensible Market Position.    </w:t>
            </w:r>
            <w:r>
              <w:rPr>
                <w:rFonts w:ascii="Times New Roman;Times;Serif" w:hAnsi="Times New Roman;Times;Serif"/>
                <w:b w:val="false"/>
                <w:i w:val="false"/>
                <w:caps w:val="false"/>
                <w:smallCaps w:val="false"/>
                <w:sz w:val="20"/>
              </w:rPr>
              <w:t>We seek to acquire a business that has a defensible position within a target market as a result of a differentiated technology, distribution capabilities, customer service or other competitive advantages.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Has an Attractive Financial Profile.</w:t>
            </w:r>
            <w:r>
              <w:rPr>
                <w:rFonts w:ascii="Times New Roman;Times;Serif" w:hAnsi="Times New Roman;Times;Serif"/>
                <w:b w:val="false"/>
                <w:i w:val="false"/>
                <w:caps w:val="false"/>
                <w:smallCaps w:val="false"/>
                <w:sz w:val="20"/>
              </w:rPr>
              <w:t>    We seek to acquire a business that has highly recurring, stable cash flows and operating leverage and may benefit from optimizing or delevering the capital structure.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Would Benefit Uniquely from our Capabilities.</w:t>
            </w:r>
            <w:r>
              <w:rPr>
                <w:rFonts w:ascii="Times New Roman;Times;Serif" w:hAnsi="Times New Roman;Times;Serif"/>
                <w:b w:val="false"/>
                <w:i w:val="false"/>
                <w:caps w:val="false"/>
                <w:smallCaps w:val="false"/>
                <w:sz w:val="20"/>
              </w:rPr>
              <w:t>    We seek to acquire a business where the collective capabilities of our management and Sponsor can be leveraged to tangibly improve the operations and market position of the target.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 Sourced Through our Proprietary Channels.</w:t>
            </w:r>
            <w:r>
              <w:rPr>
                <w:rFonts w:ascii="Times New Roman;Times;Serif" w:hAnsi="Times New Roman;Times;Serif"/>
                <w:b w:val="false"/>
                <w:i w:val="false"/>
                <w:caps w:val="false"/>
                <w:smallCaps w:val="false"/>
                <w:sz w:val="20"/>
              </w:rPr>
              <w:t>    We aim to leverage our extensive network to source our business combination and do not expect to rely on broadly marketed processes to find a business combination target.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Has a Committed and Capable Management Team.</w:t>
            </w:r>
            <w:r>
              <w:rPr>
                <w:rFonts w:ascii="Times New Roman;Times;Serif" w:hAnsi="Times New Roman;Times;Serif"/>
                <w:b w:val="false"/>
                <w:i w:val="false"/>
                <w:caps w:val="false"/>
                <w:smallCaps w:val="false"/>
                <w:sz w:val="20"/>
              </w:rPr>
              <w:t>    We seek to acquire a business with a 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Has the Potential to Grow Organically or Through Additional Acquisitions.</w:t>
            </w:r>
            <w:r>
              <w:rPr>
                <w:rFonts w:ascii="Times New Roman;Times;Serif" w:hAnsi="Times New Roman;Times;Serif"/>
                <w:b w:val="false"/>
                <w:i w:val="false"/>
                <w:caps w:val="false"/>
                <w:smallCaps w:val="false"/>
                <w:sz w:val="20"/>
              </w:rPr>
              <w:t>    We seek to acquire a business that has the potential to grow both organically through market expansion or increased market share as well as through external acquisitions.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Report, would be in the form of tender offer documents or proxy solicitation materials that we would file with the SEC.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Acquisition Process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prospective target business, we expect to conduct a thorough due diligence review that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or other independent entity that commonly renders valuation opinions or an independent accounting firm.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management team may directly or indirectly own our ordinary shares and/or private placement warrants following our initial public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other independent entity that commonly renders valuation opinions. We do not intend to purchase multiple businesses in unrelated industries in conjunction with our initial business combination. Subject to this requirement, our management has virtually unrestricted flexibility in identifying and selecting one or more prospective businesses, although we are not permitted to effectuate our initial business combination with another blank check company or a similar company with nominal operations.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Considerations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other independent entity that commonly renders valuation opinions that such initial business combination or transaction is fair to our company from a financial point of view.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as a Public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Position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funds available for a business combination initially in the amount of $292,000,000, after payment of the expenses of our initial public offering and $10,500,000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Effecting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presently engaged in, and we will not engage in, any operations for an indefinite period of time following our initial public offering. We intend to effectuate our initial business combination using cash from the proceeds of our initial public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Target Businesses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the prospectus relating to our initial public offering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other independent entity that commonly renders valuation opinions, that such an initial business combination is fair to our company from a financial point of view. We are not required to obtain such an opinion in any other context.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discussed in “Item 10. Directors, Executive Officers and Corporate Governance—Conflicts of Interest,” 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a Target Business and Structuring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not to enter into a definitive agreement regarding an initial business combination without the prior consent of our Sponsor.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Business Diversification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us to negative economic, competitive and regulatory developments, any or all of which may have a substantial adverse impact on the particular industry in which we operate after our initial business combination; and</w:t>
            </w:r>
          </w:p>
        </w:tc>
      </w:tr>
    </w:tbl>
    <w:p>
      <w:pPr>
        <w:pStyle w:val="TextBody"/>
        <w:spacing w:before="0" w:after="0"/>
        <w:rPr>
          <w:caps w:val="false"/>
          <w:smallCaps w:val="false"/>
        </w:rPr>
      </w:pPr>
      <w:r>
        <w:rPr>
          <w:caps w:val="false"/>
          <w:smallCaps w:val="false"/>
        </w:rPr>
        <w:t> </w:t>
      </w:r>
    </w:p>
    <w:tbl>
      <w:tblPr>
        <w:tblW w:w="8868" w:type="dxa"/>
        <w:jc w:val="left"/>
        <w:tblInd w:w="0" w:type="dxa"/>
        <w:tblCellMar>
          <w:top w:w="0" w:type="dxa"/>
          <w:left w:w="0" w:type="dxa"/>
          <w:bottom w:w="0" w:type="dxa"/>
          <w:right w:w="0" w:type="dxa"/>
        </w:tblCellMar>
      </w:tblPr>
      <w:tblGrid>
        <w:gridCol w:w="38"/>
        <w:gridCol w:w="170"/>
        <w:gridCol w:w="86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6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depend on the marketing and sale of a single product or limited number of products or services.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Ability to Evaluate the Target’s Management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May Not Have the Ability to Approve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NYSE’s listing rules, shareholder approval would be required for our initial business combination if, for example: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ordinary shares that will be equal to or in excess of 20% of the number of our ordinary shares then outstanding (other than in a public offering);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tc>
      </w:tr>
    </w:tbl>
    <w:p>
      <w:pPr>
        <w:pStyle w:val="TextBody"/>
        <w:spacing w:before="0" w:after="0"/>
        <w:rPr>
          <w:caps w:val="false"/>
          <w:smallCaps w:val="false"/>
        </w:rPr>
      </w:pPr>
      <w:r>
        <w:rPr>
          <w:caps w:val="false"/>
          <w:smallCaps w:val="false"/>
        </w:rPr>
        <w:t> </w:t>
      </w:r>
    </w:p>
    <w:tbl>
      <w:tblPr>
        <w:tblW w:w="8463" w:type="dxa"/>
        <w:jc w:val="left"/>
        <w:tblInd w:w="0" w:type="dxa"/>
        <w:tblCellMar>
          <w:top w:w="0" w:type="dxa"/>
          <w:left w:w="0" w:type="dxa"/>
          <w:bottom w:w="0" w:type="dxa"/>
          <w:right w:w="0" w:type="dxa"/>
        </w:tblCellMar>
      </w:tblPr>
      <w:tblGrid>
        <w:gridCol w:w="38"/>
        <w:gridCol w:w="170"/>
        <w:gridCol w:w="82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2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or potential issuance of ordinary shares will result in our undergoing a change of control.</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transaction, including in the event we determine shareholder approval would require additional time and there is either not enough time to seek shareholder;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or doing so would place the company at a disadvantage in the transaction or result in other additional burdens on the company;</w:t>
            </w:r>
          </w:p>
        </w:tc>
      </w:tr>
    </w:tbl>
    <w:p>
      <w:pPr>
        <w:pStyle w:val="TextBody"/>
        <w:spacing w:before="0" w:after="0"/>
        <w:rPr>
          <w:caps w:val="false"/>
          <w:smallCaps w:val="false"/>
        </w:rPr>
      </w:pPr>
      <w:r>
        <w:rPr>
          <w:caps w:val="false"/>
          <w:smallCaps w:val="false"/>
        </w:rPr>
        <w:t> </w:t>
      </w:r>
    </w:p>
    <w:tbl>
      <w:tblPr>
        <w:tblW w:w="4143" w:type="dxa"/>
        <w:jc w:val="left"/>
        <w:tblInd w:w="0" w:type="dxa"/>
        <w:tblCellMar>
          <w:top w:w="0" w:type="dxa"/>
          <w:left w:w="0" w:type="dxa"/>
          <w:bottom w:w="0" w:type="dxa"/>
          <w:right w:w="0" w:type="dxa"/>
        </w:tblCellMar>
      </w:tblPr>
      <w:tblGrid>
        <w:gridCol w:w="38"/>
        <w:gridCol w:w="170"/>
        <w:gridCol w:w="39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cost of holding a shareholder vote;</w:t>
            </w:r>
          </w:p>
        </w:tc>
      </w:tr>
    </w:tbl>
    <w:p>
      <w:pPr>
        <w:pStyle w:val="TextBody"/>
        <w:spacing w:before="0" w:after="0"/>
        <w:rPr>
          <w:caps w:val="false"/>
          <w:smallCaps w:val="false"/>
        </w:rPr>
      </w:pPr>
      <w:r>
        <w:rPr>
          <w:caps w:val="false"/>
          <w:smallCaps w:val="false"/>
        </w:rPr>
        <w:t> </w:t>
      </w:r>
    </w:p>
    <w:tbl>
      <w:tblPr>
        <w:tblW w:w="7323" w:type="dxa"/>
        <w:jc w:val="left"/>
        <w:tblInd w:w="0" w:type="dxa"/>
        <w:tblCellMar>
          <w:top w:w="0" w:type="dxa"/>
          <w:left w:w="0" w:type="dxa"/>
          <w:bottom w:w="0" w:type="dxa"/>
          <w:right w:w="0" w:type="dxa"/>
        </w:tblCellMar>
      </w:tblPr>
      <w:tblGrid>
        <w:gridCol w:w="38"/>
        <w:gridCol w:w="170"/>
        <w:gridCol w:w="71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1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shareholders would fail to approve the proposed business combination;</w:t>
            </w:r>
          </w:p>
        </w:tc>
      </w:tr>
    </w:tbl>
    <w:p>
      <w:pPr>
        <w:pStyle w:val="TextBody"/>
        <w:spacing w:before="0" w:after="0"/>
        <w:rPr>
          <w:caps w:val="false"/>
          <w:smallCaps w:val="false"/>
        </w:rPr>
      </w:pPr>
      <w:r>
        <w:rPr>
          <w:caps w:val="false"/>
          <w:smallCaps w:val="false"/>
        </w:rPr>
        <w:t> </w:t>
      </w:r>
    </w:p>
    <w:tbl>
      <w:tblPr>
        <w:tblW w:w="4668" w:type="dxa"/>
        <w:jc w:val="left"/>
        <w:tblInd w:w="0" w:type="dxa"/>
        <w:tblCellMar>
          <w:top w:w="0" w:type="dxa"/>
          <w:left w:w="0" w:type="dxa"/>
          <w:bottom w:w="0" w:type="dxa"/>
          <w:right w:w="0" w:type="dxa"/>
        </w:tblCellMar>
      </w:tblPr>
      <w:tblGrid>
        <w:gridCol w:w="38"/>
        <w:gridCol w:w="170"/>
        <w:gridCol w:w="44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4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time and budget constraints of the company;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legal complexities of a proposed business combination that would be time-consuming and burdensome to present to shareholders.</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Purchases of Our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Rights for Public Shareholders upon Completion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Redemptions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provides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Conducting Redemptions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held a shareholder vote to approve our initial business combination, we will, pursuant to our amended and restated memorandum and articles of association: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the redemptions in conjunction with a proxy solicitation pursuant to Regulation 14A of the Exchange Act, which regulates the solicitation of proxies, and not pursuant to the tender offer rules; and</w:t>
            </w:r>
          </w:p>
        </w:tc>
      </w:tr>
    </w:tbl>
    <w:p>
      <w:pPr>
        <w:pStyle w:val="TextBody"/>
        <w:spacing w:before="0" w:after="0"/>
        <w:rPr>
          <w:caps w:val="false"/>
          <w:smallCaps w:val="false"/>
        </w:rPr>
      </w:pPr>
      <w:r>
        <w:rPr>
          <w:caps w:val="false"/>
          <w:smallCaps w:val="false"/>
        </w:rPr>
        <w:t> </w:t>
      </w:r>
    </w:p>
    <w:tbl>
      <w:tblPr>
        <w:tblW w:w="2973" w:type="dxa"/>
        <w:jc w:val="left"/>
        <w:tblInd w:w="0" w:type="dxa"/>
        <w:tblCellMar>
          <w:top w:w="0" w:type="dxa"/>
          <w:left w:w="0" w:type="dxa"/>
          <w:bottom w:w="0" w:type="dxa"/>
          <w:right w:w="0" w:type="dxa"/>
        </w:tblCellMar>
      </w:tblPr>
      <w:tblGrid>
        <w:gridCol w:w="38"/>
        <w:gridCol w:w="170"/>
        <w:gridCol w:w="27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7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proxy materials with the SEC.</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our initial public offering in favor of our initial business combination. As a result, in addition to our Sponsor’s founder shares, we would need 11,250,001, or 37.5% (assuming all issued and outstanding shares are voted), or 1,875,001, or 6.25% (assuming only the minimum number of shares representing a quorum are voted), of the 30,000,000 public shares sold in our initial public offering to be voted in favor of an initial business combination in order to have our initial business combination approved. Each public shareholder may elect to redeem their public shares irrespective of whether they 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conduct redemptions pursuant to the tender offer rules of the SEC, we will, pursuant to our amended and restated memorandum and articles of association: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the redemptions pursuant to Rule 13e-4 and Regulation 14E of the Exchange Act, which regulate issuer tender offers;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jc w:val="center"/>
        <w:rPr/>
      </w:pPr>
      <w:r>
        <w:rPr/>
        <w:t> </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Redemption upon Completion of Our Initial Business Combination If We Seek Shareholder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would not be restricting our shareholders’ ability to vote all of their shares (including Excess Shares) for or against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Tendering Share Certificates in Connection with a Tender Offer or Redemption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initial proposed business combination is not completed, we may continue to try to complete a business combination with a different target until 18 months from the closing of our initial public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Shares and Liquidation If No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provides that we have only 18 months from the closing of our initial public offering to consummate an initial business combination. If we have not consummated an initial business combination within 18 months from the closing of our initial public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our initial public offering. 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our initial public offering. However, if our Sponsor, director or members of our management team acquire public shares in or after our initial public offering, they will be entitled to liquidating distributions from the trust account with respect to such public shares if we fail to consummate an initial business combination within 18 months from the closing of our initial public offering.</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all costs and expenses associated with implementing our plan of dissolution, as well as payments to any creditors, will be funded from amounts remaining out of the initial $2,500,000 of proceeds held outside the trust account plus up to $100,000 of funds from the trust account available to us to pay dissolution expenses, although we cannot assure you that there will be sufficient funds for such purpose.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expend all of the net proceeds of our initial public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liability will not apply to any claims by a third party or prospective target business that executed a waiver of any and all rights to seek access to the trust account nor will it apply to any claims under our indemnity of the underwriter of our initial public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our initial public offering against certain liabilities, including liabilities under the Securities Act. We have access to up to $2,500,000 from the proceeds of our initial public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shareholders will be entitled to receive funds from the trust account only (i) in the event of the redemption of our public shares if we do not consummate an initial business combination within 18 months from the closing of our initial public offering, (ii)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our initial public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our executive offices at 1601 Bryan Street, Suite 4141, Dallas, Texas 75201. The cost for our use of this space is included in the $10,000 per month fee we pay to an affiliate of our Sponsor for office space, administrative and support services. We consider our current office space adequate for our current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litigation, arbitration or governmental proceeding currently pending against us or any members of our management team in their capacity as such.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Reports on Form 10-K and Quarterly Reports on Form 10-Q with the SEC on a regular basis, and are required to disclose certain material events (e.g., changes in corporate control, acquisitions or dispositions of a significant amount of assets other than in the ordinary course of business and bankruptcy) in a Current Report on Form 8-K. The SEC maintains an Internet website that contains reports, proxy and information statements and other information regarding issuers that file electronically with the SEC. The SEC’s Internet website is located at http://www.sec.gov.</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2823" w:type="dxa"/>
        <w:jc w:val="left"/>
        <w:tblInd w:w="0" w:type="dxa"/>
        <w:tblCellMar>
          <w:top w:w="0" w:type="dxa"/>
          <w:left w:w="0" w:type="dxa"/>
          <w:bottom w:w="0" w:type="dxa"/>
          <w:right w:w="0" w:type="dxa"/>
        </w:tblCellMar>
      </w:tblPr>
      <w:tblGrid>
        <w:gridCol w:w="38"/>
        <w:gridCol w:w="1025"/>
        <w:gridCol w:w="1760"/>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pPr>
            <w:bookmarkStart w:id="5" w:name="a_004"/>
            <w:bookmarkEnd w:id="5"/>
            <w:r>
              <w:rPr/>
              <w:t>ITEM 1A.</w:t>
            </w:r>
          </w:p>
        </w:tc>
        <w:tc>
          <w:tcPr>
            <w:tcW w:w="1760" w:type="dxa"/>
            <w:tcBorders/>
            <w:shd w:fill="auto" w:val="clear"/>
            <w:vAlign w:val="center"/>
          </w:tcPr>
          <w:p>
            <w:pPr>
              <w:pStyle w:val="TableContents"/>
              <w:spacing w:before="0" w:after="283"/>
              <w:jc w:val="both"/>
              <w:rPr/>
            </w:pPr>
            <w:r>
              <w:rPr/>
              <w:t>RISK FACTORS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consider carefully all of the risks described below, together with the other information contained in this Report and the prospectus associated with our initial public offering,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 operating history and no revenues, and you have no basis on which to evaluate our ability to achieve our business objective.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on December 18, 2019 under the laws of the Cayman Islands and have no operating results.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independent registered public accounting firm’s report contains an explanatory paragraph that expresses substantial doubt about our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had approximately $1.3 million in cash and a working capital deficiency of approximately $366,000.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 The financial statements contained elsewhere in the prospectus do not include any adjustments that might result from our inability to consummate our initial public offering or our inability to continue as a going concern.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shareholders may not be afforded an opportunity to vote on our proposed initial business combination, which means we may complete our initial business combination even though a majority of our shareholders do not support such a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only opportunity to affect the investment decision regarding a potential business combination may be limited to the exercise of your right to redeem your shares from us for cash.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seek shareholder approval of our initial business combination, our Sponsor and members of our management team have agreed to vote in favor of such initial business combination, regardless of how our public shareholders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our Sponsor owns, on an as-converted basis, approximately 20% of our outstanding ordinary shares. Our Sponsor and members of our management team also may from time to time purchase Class A ordinary shares prior to our initial business combination. Our amended and restated memorandum and articles of association provides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or 1,875,001, or 6.25% (assuming only the minimum number of shares representing a quorum are voted), of the 30,000,000 public shares sold in our initial public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ability of our public shareholders to redeem their shares for cash may make our financial condition unattractive to potential business combination targets, which may make it difficult for us to enter into a business combination with a target.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ability of our public shareholders to exercise redemption rights with respect to a large number of our shares may not allow us to complete the most desirable business combination or optimize our capital structure.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requirement that we consummate an initial business combination within 18 months after the closing of our initial public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target business with which we enter into negotiations concerning a business combination will be aware that we must consummate an initial business combination within 18 months from the closing of our initial public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be able to consummate an initial business combination within 18 months after the closing of our initial public offering, in which case we would cease all operations except for the purpose of winding up and we would redeem our public shares and liquidate.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find a suitable target business and consummate an initial business combination within 18 months after the closing of our initial public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 shareholder fails to receive notice of our offer to redeem our public shares in connection with our initial business combination, or fails to comply with the procedures for tendering its shares, such shares may not be redeemed.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will not have any rights or interests in funds from the trust account, except under certain limited circumstances. Therefore, to liquidate your investment, you may be forced to sell your public shares or warrants, potentially at a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and (iii) the redemption of our public shares if we have not consummated an initial business within 18 months from the closing of our initial public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our initial public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may delist our securities from trading on its exchange, which could limit investors’ ability to make transactions in our securities and subject us to additional trading restrictions.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units, Class A ordinary shares and warrants are currently listed on the NYSE. Although we expect to continue to meet the minimum initial listing standards set forth in the NYSE listing standards, our securities may not be, or may not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may not be able to meet those listing requirements at that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spacing w:before="0" w:after="0"/>
        <w:ind w:left="0" w:right="0" w:firstLine="720"/>
        <w:jc w:val="both"/>
        <w:rPr>
          <w:caps w:val="false"/>
          <w:smallCaps w:val="false"/>
        </w:rPr>
      </w:pPr>
      <w:r>
        <w:rPr>
          <w:caps w:val="false"/>
          <w:smallCaps w:val="false"/>
        </w:rPr>
        <w:t> </w:t>
      </w:r>
    </w:p>
    <w:tbl>
      <w:tblPr>
        <w:tblW w:w="5133" w:type="dxa"/>
        <w:jc w:val="left"/>
        <w:tblInd w:w="0" w:type="dxa"/>
        <w:tblCellMar>
          <w:top w:w="0" w:type="dxa"/>
          <w:left w:w="0" w:type="dxa"/>
          <w:bottom w:w="0" w:type="dxa"/>
          <w:right w:w="0" w:type="dxa"/>
        </w:tblCellMar>
      </w:tblPr>
      <w:tblGrid>
        <w:gridCol w:w="38"/>
        <w:gridCol w:w="170"/>
        <w:gridCol w:w="49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9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spacing w:before="0" w:after="0"/>
        <w:rPr>
          <w:caps w:val="false"/>
          <w:smallCaps w:val="false"/>
        </w:rPr>
      </w:pPr>
      <w:r>
        <w:rPr>
          <w:caps w:val="false"/>
          <w:smallCaps w:val="false"/>
        </w:rPr>
        <w:t> </w:t>
      </w:r>
    </w:p>
    <w:tbl>
      <w:tblPr>
        <w:tblW w:w="3108" w:type="dxa"/>
        <w:jc w:val="left"/>
        <w:tblInd w:w="0" w:type="dxa"/>
        <w:tblCellMar>
          <w:top w:w="0" w:type="dxa"/>
          <w:left w:w="0" w:type="dxa"/>
          <w:bottom w:w="0" w:type="dxa"/>
          <w:right w:w="0" w:type="dxa"/>
        </w:tblCellMar>
      </w:tblPr>
      <w:tblGrid>
        <w:gridCol w:w="38"/>
        <w:gridCol w:w="170"/>
        <w:gridCol w:w="29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tc>
      </w:tr>
    </w:tbl>
    <w:p>
      <w:pPr>
        <w:pStyle w:val="TextBody"/>
        <w:spacing w:before="0" w:after="0"/>
        <w:ind w:left="0" w:right="0" w:hanging="0"/>
        <w:rPr>
          <w:caps w:val="false"/>
          <w:smallCaps w:val="false"/>
        </w:rPr>
      </w:pPr>
      <w:r>
        <w:rPr>
          <w:caps w:val="false"/>
          <w:smallCaps w:val="false"/>
        </w:rPr>
        <w:t> </w:t>
      </w:r>
    </w:p>
    <w:tbl>
      <w:tblPr>
        <w:tblW w:w="4443" w:type="dxa"/>
        <w:jc w:val="left"/>
        <w:tblInd w:w="0" w:type="dxa"/>
        <w:tblCellMar>
          <w:top w:w="0" w:type="dxa"/>
          <w:left w:w="0" w:type="dxa"/>
          <w:bottom w:w="0" w:type="dxa"/>
          <w:right w:w="0" w:type="dxa"/>
        </w:tblCellMar>
      </w:tblPr>
      <w:tblGrid>
        <w:gridCol w:w="38"/>
        <w:gridCol w:w="170"/>
        <w:gridCol w:w="42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2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bl>
    <w:p>
      <w:pPr>
        <w:pStyle w:val="TextBody"/>
        <w:spacing w:before="0" w:after="0"/>
        <w:rPr>
          <w:caps w:val="false"/>
          <w:smallCaps w:val="false"/>
        </w:rPr>
      </w:pPr>
      <w:r>
        <w:rPr>
          <w:caps w:val="false"/>
          <w:smallCaps w:val="false"/>
        </w:rPr>
        <w:t> </w:t>
      </w:r>
    </w:p>
    <w:tbl>
      <w:tblPr>
        <w:tblW w:w="7683" w:type="dxa"/>
        <w:jc w:val="left"/>
        <w:tblInd w:w="0" w:type="dxa"/>
        <w:tblCellMar>
          <w:top w:w="0" w:type="dxa"/>
          <w:left w:w="0" w:type="dxa"/>
          <w:bottom w:w="0" w:type="dxa"/>
          <w:right w:w="0" w:type="dxa"/>
        </w:tblCellMar>
      </w:tblPr>
      <w:tblGrid>
        <w:gridCol w:w="38"/>
        <w:gridCol w:w="170"/>
        <w:gridCol w:w="74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4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jc w:val="center"/>
        <w:rPr/>
      </w:pPr>
      <w:r>
        <w:rPr/>
        <w:t> </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the NYSE, our units, Class A ordinary shares and warrants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will not be entitled to protections normally afforded to investors of many other blank check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net proceeds of our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have net tangible assets in excess of $5,000,000, we are exempt from rules promulgated by the SEC to protect investors in blank check companies, such as Rule 419. Accordingly, investors will not be afforded the benefits or protections of those rules. Among other things, this means that since our units were immediately tradable and we have a longer period of time to complete our initial business combination than do companies subject to Rule 419. Moreover, if our initial public offering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search for a business combination, and any target business with which we ultimately consummate a business combination, may be materially adversely affected by the recent coronavirus (COVID-19) outbreak and the status of debt and equity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consummate a transaction may be dependent on the ability to raise equity and debt financing which may be impacted by COVID-19 and other events.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encountered and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net proceeds of our initial public offering and the sale of the private placement warrants not being held in the trust account are insufficient to allow us to operate for 18 months from the closing of our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funds available to us outside of the trust account, together with funds available from loans from our Sponsor, will be sufficient to allow us to operate for 18 months from the closing of our initial public offering; however, we cannot assure you that our estimate is accurate.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third parties bring claims against us, the proceeds held in the trust account could be reduced and the per-share redemption amount received by shareholders may be less than $10.00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18 months from the closing of our initial public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a letter agreement,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directors may decide not to enforce the indemnification obligations of our Sponsor, resulting in a reduction in the amount of funds in the trust account available for distribution to our public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have sufficient funds to satisfy indemnification claims of our directors and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deemed to be an investment company under the Investment Company Act, our activities may be restricted, including:</w:t>
      </w:r>
    </w:p>
    <w:p>
      <w:pPr>
        <w:pStyle w:val="TextBody"/>
        <w:spacing w:before="0" w:after="0"/>
        <w:ind w:left="0" w:right="0" w:firstLine="720"/>
        <w:jc w:val="both"/>
        <w:rPr>
          <w:caps w:val="false"/>
          <w:smallCaps w:val="false"/>
        </w:rPr>
      </w:pPr>
      <w:r>
        <w:rPr>
          <w:caps w:val="false"/>
          <w:smallCaps w:val="false"/>
        </w:rPr>
        <w:t> </w:t>
      </w:r>
    </w:p>
    <w:tbl>
      <w:tblPr>
        <w:tblW w:w="4203" w:type="dxa"/>
        <w:jc w:val="left"/>
        <w:tblInd w:w="0" w:type="dxa"/>
        <w:tblCellMar>
          <w:top w:w="0" w:type="dxa"/>
          <w:left w:w="0" w:type="dxa"/>
          <w:bottom w:w="0" w:type="dxa"/>
          <w:right w:w="0" w:type="dxa"/>
        </w:tblCellMar>
      </w:tblPr>
      <w:tblGrid>
        <w:gridCol w:w="38"/>
        <w:gridCol w:w="170"/>
        <w:gridCol w:w="39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9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nature of our investments;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issuance of securities, each of which may make it difficult for us to complete our initial business combination.</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have imposed upon us burdensome requirements, including:</w:t>
      </w:r>
    </w:p>
    <w:p>
      <w:pPr>
        <w:pStyle w:val="TextBody"/>
        <w:spacing w:before="0" w:after="0"/>
        <w:ind w:left="0" w:right="0" w:firstLine="720"/>
        <w:jc w:val="both"/>
        <w:rPr>
          <w:caps w:val="false"/>
          <w:smallCaps w:val="false"/>
        </w:rPr>
      </w:pPr>
      <w:r>
        <w:rPr>
          <w:caps w:val="false"/>
          <w:smallCaps w:val="false"/>
        </w:rPr>
        <w:t> </w:t>
      </w:r>
    </w:p>
    <w:tbl>
      <w:tblPr>
        <w:tblW w:w="3423" w:type="dxa"/>
        <w:jc w:val="left"/>
        <w:tblInd w:w="0" w:type="dxa"/>
        <w:tblCellMar>
          <w:top w:w="0" w:type="dxa"/>
          <w:left w:w="0" w:type="dxa"/>
          <w:bottom w:w="0" w:type="dxa"/>
          <w:right w:w="0" w:type="dxa"/>
        </w:tblCellMar>
      </w:tblPr>
      <w:tblGrid>
        <w:gridCol w:w="38"/>
        <w:gridCol w:w="170"/>
        <w:gridCol w:w="32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as an investment company;</w:t>
            </w:r>
          </w:p>
        </w:tc>
      </w:tr>
    </w:tbl>
    <w:p>
      <w:pPr>
        <w:pStyle w:val="TextBody"/>
        <w:spacing w:before="0" w:after="0"/>
        <w:rPr>
          <w:caps w:val="false"/>
          <w:smallCaps w:val="false"/>
        </w:rPr>
      </w:pPr>
      <w:r>
        <w:rPr>
          <w:caps w:val="false"/>
          <w:smallCaps w:val="false"/>
        </w:rPr>
        <w:t> </w:t>
      </w:r>
    </w:p>
    <w:tbl>
      <w:tblPr>
        <w:tblW w:w="4593" w:type="dxa"/>
        <w:jc w:val="left"/>
        <w:tblInd w:w="0" w:type="dxa"/>
        <w:tblCellMar>
          <w:top w:w="0" w:type="dxa"/>
          <w:left w:w="0" w:type="dxa"/>
          <w:bottom w:w="0" w:type="dxa"/>
          <w:right w:w="0" w:type="dxa"/>
        </w:tblCellMar>
      </w:tblPr>
      <w:tblGrid>
        <w:gridCol w:w="38"/>
        <w:gridCol w:w="170"/>
        <w:gridCol w:w="43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3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a specific form of corporate structure; and</w:t>
            </w:r>
          </w:p>
        </w:tc>
      </w:tr>
    </w:tbl>
    <w:p>
      <w:pPr>
        <w:pStyle w:val="TextBody"/>
        <w:spacing w:before="0" w:after="0"/>
        <w:rPr>
          <w:caps w:val="false"/>
          <w:smallCaps w:val="false"/>
        </w:rPr>
      </w:pPr>
      <w:r>
        <w:rPr>
          <w:caps w:val="false"/>
          <w:smallCaps w:val="false"/>
        </w:rPr>
        <w:t> </w:t>
      </w:r>
    </w:p>
    <w:tbl>
      <w:tblPr>
        <w:tblW w:w="8403" w:type="dxa"/>
        <w:jc w:val="left"/>
        <w:tblInd w:w="0" w:type="dxa"/>
        <w:tblCellMar>
          <w:top w:w="0" w:type="dxa"/>
          <w:left w:w="0" w:type="dxa"/>
          <w:bottom w:w="0" w:type="dxa"/>
          <w:right w:w="0" w:type="dxa"/>
        </w:tblCellMar>
      </w:tblPr>
      <w:tblGrid>
        <w:gridCol w:w="38"/>
        <w:gridCol w:w="170"/>
        <w:gridCol w:w="81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1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record keeping, voting, proxy and disclosure requirements and other rules and regulations.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our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or (iii) absent our completing an initial business combination within 18 months from the closing of our initial public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laws or regulations, or a failure to comply with any laws and regulations, may adversely affect our business, including our ability to negotiate and complete our initial business combination,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have not consummated an initial business combination within 18 months from the closing of our initial public offering, our public shareholders may be forced to wait beyond such 18 months before redemption from our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not consummated an initial business combination within 18 months from the closing of our initial public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18 months from the closing of our initial public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shareholders may be held liable for claims by third parties against us to the extent of distributions received by them upon redemption of their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$18,292.68 and to imprisonment for five years in the Cayman Islands.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hold an annual meeting of shareholders until after the consummation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NYSE corporate governance requirements, we are not required to hold an annual meeting until no later than one year after our first fiscal year end following our listing on the NYSE. As an exempted company,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Class A ordinary shares will not be entitled to vote on any election of directors we hold prior to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relating to our initial public offering,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our initial public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warrants may become exercisable for a security other than the Class A ordinary shares, and you will not have any information regarding such other security at this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grant of registration rights to our Sponsor may make it more difficult to complete our initial business combination, and the future exercise of such rights may adversely affect the market price of our Class A ordinary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agreement registration and shareholder rights agreement,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business combination opportunities in any sector, except that we are not, under our amended and restated memorandum and articles of association, permitted to effectuate our initial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seek acquisition opportunities in industries or sectors which may or may not be outside of our management’s area of expertise.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securities will not ultimately prove to be less favorable to investors in our securities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Report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Although we have identified general criteria and guidelines that we believe are important in evaluating prospective target businesses and our strategy is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identified general criteria and guidelines for evaluating prospective target businesses and our strategy is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complete our initial business combination with an affiliated entity, we are not required to obtain an opinion from an independent investment banking firm or 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authorizes the issuance of up to 300,000,000 Class A ordinary shares, par value $0.0001 per share, 30,000,000 Class B ordinary shares, par value $0.0001 per share, and 1,000,000 preference shares, par value $0.0001 per share. There are 270,000,000 and 22,500,000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There are no preference shares issued and outstanding.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jc w:val="center"/>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 of our investors, which dilution would increase if the anti-dilution provisions in the Class B ordinary shares resulted in the issuance of Class A ordinary shares on a greater than one-to-one basis upon conversion of the Class B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Class A ordinary shares if preference shares are issued with rights senior to those afforded our Class A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have the effect of delaying or preventing a change of control of us by diluting the share ownership or voting rights of a person seeking to obtain control of us;</w:t>
            </w:r>
          </w:p>
        </w:tc>
      </w:tr>
    </w:tbl>
    <w:p>
      <w:pPr>
        <w:pStyle w:val="TextBody"/>
        <w:spacing w:before="0" w:after="0"/>
        <w:rPr>
          <w:caps w:val="false"/>
          <w:smallCaps w:val="false"/>
        </w:rPr>
      </w:pPr>
      <w:r>
        <w:rPr>
          <w:caps w:val="false"/>
          <w:smallCaps w:val="false"/>
        </w:rPr>
        <w:t> </w:t>
      </w:r>
    </w:p>
    <w:tbl>
      <w:tblPr>
        <w:tblW w:w="8628" w:type="dxa"/>
        <w:jc w:val="left"/>
        <w:tblInd w:w="0" w:type="dxa"/>
        <w:tblCellMar>
          <w:top w:w="0" w:type="dxa"/>
          <w:left w:w="0" w:type="dxa"/>
          <w:bottom w:w="0" w:type="dxa"/>
          <w:right w:w="0" w:type="dxa"/>
        </w:tblCellMar>
      </w:tblPr>
      <w:tblGrid>
        <w:gridCol w:w="38"/>
        <w:gridCol w:w="170"/>
        <w:gridCol w:w="84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4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units, Class A ordinary shares and/or warrants; and</w:t>
            </w:r>
          </w:p>
        </w:tc>
      </w:tr>
    </w:tbl>
    <w:p>
      <w:pPr>
        <w:pStyle w:val="TextBody"/>
        <w:spacing w:before="0" w:after="0"/>
        <w:rPr>
          <w:caps w:val="false"/>
          <w:smallCaps w:val="false"/>
        </w:rPr>
      </w:pPr>
      <w:r>
        <w:rPr>
          <w:caps w:val="false"/>
          <w:smallCaps w:val="false"/>
        </w:rPr>
        <w:t> </w:t>
      </w:r>
    </w:p>
    <w:tbl>
      <w:tblPr>
        <w:tblW w:w="5508" w:type="dxa"/>
        <w:jc w:val="left"/>
        <w:tblInd w:w="0" w:type="dxa"/>
        <w:tblCellMar>
          <w:top w:w="0" w:type="dxa"/>
          <w:left w:w="0" w:type="dxa"/>
          <w:bottom w:w="0" w:type="dxa"/>
          <w:right w:w="0" w:type="dxa"/>
        </w:tblCellMar>
      </w:tblPr>
      <w:tblGrid>
        <w:gridCol w:w="38"/>
        <w:gridCol w:w="170"/>
        <w:gridCol w:w="53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3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result in adjustment to the exercise price of our warrants.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reincorporate in another jurisdiction in connection with our initial business combination and such reincorporation may result in taxes imposed on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dependent upon our executive officers and directors and their loss could adversely affect our ability to operate.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unexpected loss of the services of one or more of our directors or executive officers could have a detrimental effect on us.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executive officers, directors, security holders and their respective affiliates may have competitive pecuniary interests that conflict with our interests.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engage in a business combination with one or more target businesses that have relationships with entities that may be affiliated with our Sponsor, executive officers, directors or existing holders which may raise potential conflicts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involvement of our Sponsor, executive officers and directors with other entities, we may decide to acquire one or more businesses or entities affiliated with our Sponsor, executive officers, directors or existing holders.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“Business—Evaluation of a Target Business and Structuring of Our Initial Business Combination” and such transaction was approved by a majority of our independent and disinterested directors. Despite our agreement to obtain an opinion from an independent investment banking firm or other independent entity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 our Sponsor, executive officers and directors will lose their entire investment in us if our initial business combination is not completed (other than with respect to public shares they may have acquired during or may acquire after our initial public offering), a conflict of interest may arise in determining whether a particular business combination target is appropriate for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purchased an aggregate of 9,500,000 private placement warrants, each exercisable to purchase one Class A ordinary share at $11.50 per share, at a price of $1.00 per warrant ($9,500,000 in the aggregate), in a private placement that closed simultaneously with the closing of our initial public offering. If we do not consummate an initial business within 18 months from the closing of our initial public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anniversary of the closing of our initial public offering nears, which is the deadline for our consummation of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issue notes or other debt securities, or otherwise incur substantial debt, to complete a business combination, which may adversely affect our leverage and financial condition and thus negatively impact the value of our shareholders’ investment in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 commitments as of the date of the prospectus to issue any notes or other debt securities, or to otherwise incur outstanding debt following our initial public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and foreclosure on our assets if our operating revenues after an initial business combination are insufficient to repay our debt obligations;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p>
      <w:pPr>
        <w:pStyle w:val="TextBody"/>
        <w:spacing w:before="0" w:after="0"/>
        <w:rPr>
          <w:caps w:val="false"/>
          <w:smallCaps w:val="false"/>
        </w:rPr>
      </w:pPr>
      <w:r>
        <w:rPr>
          <w:caps w:val="false"/>
          <w:smallCaps w:val="false"/>
        </w:rPr>
        <w:t> </w:t>
      </w:r>
    </w:p>
    <w:tbl>
      <w:tblPr>
        <w:tblW w:w="9108" w:type="dxa"/>
        <w:jc w:val="left"/>
        <w:tblInd w:w="0" w:type="dxa"/>
        <w:tblCellMar>
          <w:top w:w="0" w:type="dxa"/>
          <w:left w:w="0" w:type="dxa"/>
          <w:bottom w:w="0" w:type="dxa"/>
          <w:right w:w="0" w:type="dxa"/>
        </w:tblCellMar>
      </w:tblPr>
      <w:tblGrid>
        <w:gridCol w:w="38"/>
        <w:gridCol w:w="170"/>
        <w:gridCol w:w="89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9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immediate payment of all principal and accrued interest, if any, if the debt security is payable on demand;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necessary additional financing if the debt security contains covenants restricting our ability to obtain such financing while the debt security is outstanding;</w:t>
            </w:r>
          </w:p>
        </w:tc>
      </w:tr>
    </w:tbl>
    <w:p>
      <w:pPr>
        <w:pStyle w:val="TextBody"/>
        <w:spacing w:before="0" w:after="0"/>
        <w:rPr>
          <w:caps w:val="false"/>
          <w:smallCaps w:val="false"/>
        </w:rPr>
      </w:pPr>
      <w:r>
        <w:rPr>
          <w:caps w:val="false"/>
          <w:smallCaps w:val="false"/>
        </w:rPr>
        <w:t> </w:t>
      </w:r>
    </w:p>
    <w:tbl>
      <w:tblPr>
        <w:tblW w:w="5238" w:type="dxa"/>
        <w:jc w:val="left"/>
        <w:tblInd w:w="0" w:type="dxa"/>
        <w:tblCellMar>
          <w:top w:w="0" w:type="dxa"/>
          <w:left w:w="0" w:type="dxa"/>
          <w:bottom w:w="0" w:type="dxa"/>
          <w:right w:w="0" w:type="dxa"/>
        </w:tblCellMar>
      </w:tblPr>
      <w:tblGrid>
        <w:gridCol w:w="38"/>
        <w:gridCol w:w="170"/>
        <w:gridCol w:w="50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0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pay dividends on our Class A ordinary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a substantial portion of our cash flow to pay principal and interest on our debt, which will reduce the funds available for dividends on our Class A ordinary shares if declared, expenses, capital expenditures, acquisitions and other general corporate purposes;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flexibility in planning for and reacting to changes in our business and in the industry in which we operate;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vulnerability to adverse changes in general economic, industry and competitive conditions and adverse changes in government regulation or prevailing interest rates;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borrow additional amounts for expenses, capital expenditures, acquisitions, debt service requirements, execution of our strategy and other purposes and other disadvantages compared to our competitors who have less debt.</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only be able to complete one business combination with the proceeds of our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our initial public offering and the private placement of warrants provided us with up to $292,000,000 that we may use to complete our initial business combination (after taking into account the $10,500,000 of deferred underwriting commissions being held in the trust account and the estimated expenses of our initial public offering).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pStyle w:val="TextBody"/>
        <w:spacing w:before="0" w:after="0"/>
        <w:ind w:left="0" w:right="0" w:firstLine="720"/>
        <w:jc w:val="both"/>
        <w:rPr>
          <w:caps w:val="false"/>
          <w:smallCaps w:val="false"/>
        </w:rPr>
      </w:pPr>
      <w:r>
        <w:rPr>
          <w:caps w:val="false"/>
          <w:smallCaps w:val="false"/>
        </w:rPr>
        <w:t> </w:t>
      </w:r>
    </w:p>
    <w:tbl>
      <w:tblPr>
        <w:tblW w:w="6768" w:type="dxa"/>
        <w:jc w:val="left"/>
        <w:tblInd w:w="0" w:type="dxa"/>
        <w:tblCellMar>
          <w:top w:w="0" w:type="dxa"/>
          <w:left w:w="0" w:type="dxa"/>
          <w:bottom w:w="0" w:type="dxa"/>
          <w:right w:w="0" w:type="dxa"/>
        </w:tblCellMar>
      </w:tblPr>
      <w:tblGrid>
        <w:gridCol w:w="38"/>
        <w:gridCol w:w="170"/>
        <w:gridCol w:w="65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5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dependent upon the performance of a single business, property or asset; or</w:t>
            </w:r>
          </w:p>
        </w:tc>
      </w:tr>
    </w:tbl>
    <w:p>
      <w:pPr>
        <w:pStyle w:val="TextBody"/>
        <w:spacing w:before="0" w:after="0"/>
        <w:rPr>
          <w:caps w:val="false"/>
          <w:smallCaps w:val="false"/>
        </w:rPr>
      </w:pPr>
      <w:r>
        <w:rPr>
          <w:caps w:val="false"/>
          <w:smallCaps w:val="false"/>
        </w:rPr>
        <w:t> </w:t>
      </w:r>
    </w:p>
    <w:tbl>
      <w:tblPr>
        <w:tblW w:w="9873" w:type="dxa"/>
        <w:jc w:val="left"/>
        <w:tblInd w:w="0" w:type="dxa"/>
        <w:tblCellMar>
          <w:top w:w="0" w:type="dxa"/>
          <w:left w:w="0" w:type="dxa"/>
          <w:bottom w:w="0" w:type="dxa"/>
          <w:right w:w="0" w:type="dxa"/>
        </w:tblCellMar>
      </w:tblPr>
      <w:tblGrid>
        <w:gridCol w:w="38"/>
        <w:gridCol w:w="170"/>
        <w:gridCol w:w="96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6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dependent upon the development or market acceptance of a single or limited number of products, processes or services.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attempt to complete our initial business combination with a private company about which little information is available, which may result in a business combination with a company that is not as profitable as we suspected,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structure our initial business combination so that the post-transaction company in which our public shareholders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seek business combination opportunities with a high degree of complexity that require significant operational improvements, which could delay or prevent us from achieving our desired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have a specified maximum redemption threshold. The absence of such a redemption threshold may make it possible for us to complete our initial business combination with which a substantial majority of our shareholders do not agree.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does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requires at least a special resolution of our shareholders as a matter of Cayman Islands law, meaning the approval of holders of at least two-thirds of our ordinary shares who attend and vote at a general meeting of the company, and amending our warrant agreement requires a vote of holders of at least 65% of the public warrants and, solely with respect to any amendment to the terms of the private placement warrants or any provision of the warrant agreement with respect to the private placement warrants, 65% of the number of the then-outstanding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To the extent any of such amendments would be deemed to fundamentally change the nature of any of the securities offered through the initial public offering,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provides that any of its provisions related to pre-business combination activity (including the requirement to deposit proceeds of our initial public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our initial public offering (assuming they do not purchase any units in our initial public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net proceeds of our initial public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our initial public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Sponsor controls a substantial interest in us and thus may exert a substantial influence on actions requiring a shareholder vote, potentially in a manner that you do not support.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our initial public offering, our Sponsor held, on an as-converted basis, approximately 20% of our issued and outstanding ordinary shares (assuming it does not purchase any units in our initial public offering). Accordingly, it may exert a substantial influence on actions requiring a shareholder vote, potentially in a manner that you do not support, including amendments to our amended and restated memorandum and articles of association.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Factors that would be considered in making such additional purchases would include consideration of the current trading price of our Class A ordinary shares. In addition, our board of directors, whose members were elected by our Sponsor, is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In addition, we have agreed not to enter into a definitive agreement regarding an initial business combination without the prior consent of our Sponsor. Accordingly, our Sponsor continues to exert control at least until the completion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amend the terms of the warrants in a manner that may be adverse to holders of public warrants with the approval by the holders of at least 65%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the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of public warrants. Accordingly, we may amend the terms of the public warrants in a manner adverse to a holder if holders of at least 65% of the then-outstanding public warrants approve of such amendment and, solely with respect to any amendment to the terms of the private placement warrants or any provision of the warrant agreement with respect to the private placement warrants, 65% of the number of the then-outstanding private placement warrants. Although our ability to amend the terms of the public warrants with the consent of at least 65%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redeem your unexpired warrants prior to their exercise at a time that is disadvantageous to you, thereby making your warrants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warrants at any time after they become exercisable and prior to their expiration, at a price of $0.01 per warrant,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warrants may have an adverse effect on the market price of our Class A ordinary shares and make it more difficult to effectuate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warrants to purchase 15,000,000 Class A ordinary shares as part of the units issued in our initial public offering and, simultaneously with the closing of our initial public offering, we issued in a private placement an aggregate of 9,500,000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each unit contains one-half of one warrant and only a whole warrant may be exercised, the units may be worth less than units of other blank check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provision of our warrant agreement may make it more difficult for us to consummate an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 This may make it more difficult for us to consummate an initial business combination with a target business.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for our securities may not be sustained, which would adversely affect the liquidity and price of our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vary significantly due to one or more potential business combinations and general market or economic conditions. Furthermore, an active trading market for our securities may not be sustained. You may be unable to sell your securities unless a market can be sustained.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must furnish our shareholders with target business financial statements, we may lose the ability to complete an otherwise advantageous initial business combination with some prospective target businesses.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obligations under the Sarbanes-Oxley Act may make it more difficult for us to effectuate a business combination, require substantial financial and management resources, and increase the time and costs of completing an acquisition.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are incorporated under the laws of the Cayman Islands, you may face difficulties in protecting your interests, and your ability to protect your rights through the U.S. federal courts may be limited.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will be governed by our amended and restated memorandum and articles of association, the Companies Law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in our amended and restated memorandum and articles of association may inhibit a takeover of us, which could limit the price investors might be willing to pay in the future for our Class A ordinary shares and could entrench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 incidents or attacks directed at us could result in information theft, data corruption, operational disruption and/or financial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Acquiring and Operating a Business in Foreign Countries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effect our initial business combination with such a company, we would be subject to any special considerations or risks associated with companies operating in an international setting, including any of the following:</w:t>
      </w:r>
    </w:p>
    <w:p>
      <w:pPr>
        <w:pStyle w:val="TextBody"/>
        <w:spacing w:before="0" w:after="0"/>
        <w:ind w:left="0" w:right="0" w:firstLine="720"/>
        <w:jc w:val="both"/>
        <w:rPr>
          <w:caps w:val="false"/>
          <w:smallCaps w:val="false"/>
        </w:rPr>
      </w:pPr>
      <w:r>
        <w:rPr>
          <w:caps w:val="false"/>
          <w:smallCaps w:val="false"/>
        </w:rPr>
        <w:t> </w:t>
      </w:r>
    </w:p>
    <w:tbl>
      <w:tblPr>
        <w:tblW w:w="6438" w:type="dxa"/>
        <w:jc w:val="left"/>
        <w:tblInd w:w="0" w:type="dxa"/>
        <w:tblCellMar>
          <w:top w:w="0" w:type="dxa"/>
          <w:left w:w="0" w:type="dxa"/>
          <w:bottom w:w="0" w:type="dxa"/>
          <w:right w:w="0" w:type="dxa"/>
        </w:tblCellMar>
      </w:tblPr>
      <w:tblGrid>
        <w:gridCol w:w="38"/>
        <w:gridCol w:w="170"/>
        <w:gridCol w:w="62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difficulties inherent in managing cross-border business operations;</w:t>
            </w:r>
          </w:p>
        </w:tc>
      </w:tr>
    </w:tbl>
    <w:p>
      <w:pPr>
        <w:pStyle w:val="TextBody"/>
        <w:spacing w:before="0" w:after="0"/>
        <w:rPr>
          <w:caps w:val="false"/>
          <w:smallCaps w:val="false"/>
        </w:rPr>
      </w:pPr>
      <w:r>
        <w:rPr>
          <w:caps w:val="false"/>
          <w:smallCaps w:val="false"/>
        </w:rPr>
        <w:t> </w:t>
      </w:r>
    </w:p>
    <w:tbl>
      <w:tblPr>
        <w:tblW w:w="4548" w:type="dxa"/>
        <w:jc w:val="left"/>
        <w:tblInd w:w="0" w:type="dxa"/>
        <w:tblCellMar>
          <w:top w:w="0" w:type="dxa"/>
          <w:left w:w="0" w:type="dxa"/>
          <w:bottom w:w="0" w:type="dxa"/>
          <w:right w:w="0" w:type="dxa"/>
        </w:tblCellMar>
      </w:tblPr>
      <w:tblGrid>
        <w:gridCol w:w="38"/>
        <w:gridCol w:w="170"/>
        <w:gridCol w:w="43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3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and regulations regarding currency redemption;</w:t>
            </w:r>
          </w:p>
        </w:tc>
      </w:tr>
    </w:tbl>
    <w:p>
      <w:pPr>
        <w:pStyle w:val="TextBody"/>
        <w:spacing w:before="0" w:after="0"/>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170"/>
        <w:gridCol w:w="43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3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corporate withholding taxes on individuals;</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6978" w:type="dxa"/>
        <w:jc w:val="left"/>
        <w:tblInd w:w="0" w:type="dxa"/>
        <w:tblCellMar>
          <w:top w:w="0" w:type="dxa"/>
          <w:left w:w="0" w:type="dxa"/>
          <w:bottom w:w="0" w:type="dxa"/>
          <w:right w:w="0" w:type="dxa"/>
        </w:tblCellMar>
      </w:tblPr>
      <w:tblGrid>
        <w:gridCol w:w="38"/>
        <w:gridCol w:w="170"/>
        <w:gridCol w:w="67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7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governing the manner in which future business combinations may be effected;</w:t>
            </w:r>
          </w:p>
        </w:tc>
      </w:tr>
    </w:tbl>
    <w:p>
      <w:pPr>
        <w:pStyle w:val="TextBody"/>
        <w:spacing w:before="0" w:after="0"/>
        <w:rPr>
          <w:caps w:val="false"/>
          <w:smallCaps w:val="false"/>
        </w:rPr>
      </w:pPr>
      <w:r>
        <w:rPr>
          <w:caps w:val="false"/>
          <w:smallCaps w:val="false"/>
        </w:rPr>
        <w:t> </w:t>
      </w:r>
    </w:p>
    <w:tbl>
      <w:tblPr>
        <w:tblW w:w="4083" w:type="dxa"/>
        <w:jc w:val="left"/>
        <w:tblInd w:w="0" w:type="dxa"/>
        <w:tblCellMar>
          <w:top w:w="0" w:type="dxa"/>
          <w:left w:w="0" w:type="dxa"/>
          <w:bottom w:w="0" w:type="dxa"/>
          <w:right w:w="0" w:type="dxa"/>
        </w:tblCellMar>
      </w:tblPr>
      <w:tblGrid>
        <w:gridCol w:w="38"/>
        <w:gridCol w:w="170"/>
        <w:gridCol w:w="38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8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listing and/or delisting requirements;</w:t>
            </w:r>
          </w:p>
        </w:tc>
      </w:tr>
    </w:tbl>
    <w:p>
      <w:pPr>
        <w:pStyle w:val="TextBody"/>
        <w:spacing w:before="0" w:after="0"/>
        <w:rPr>
          <w:caps w:val="false"/>
          <w:smallCaps w:val="false"/>
        </w:rPr>
      </w:pPr>
      <w:r>
        <w:rPr>
          <w:caps w:val="false"/>
          <w:smallCaps w:val="false"/>
        </w:rPr>
        <w:t> </w:t>
      </w:r>
    </w:p>
    <w:tbl>
      <w:tblPr>
        <w:tblW w:w="2208" w:type="dxa"/>
        <w:jc w:val="left"/>
        <w:tblInd w:w="0" w:type="dxa"/>
        <w:tblCellMar>
          <w:top w:w="0" w:type="dxa"/>
          <w:left w:w="0" w:type="dxa"/>
          <w:bottom w:w="0" w:type="dxa"/>
          <w:right w:w="0" w:type="dxa"/>
        </w:tblCellMar>
      </w:tblPr>
      <w:tblGrid>
        <w:gridCol w:w="38"/>
        <w:gridCol w:w="170"/>
        <w:gridCol w:w="20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0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tariffs and trade barriers;</w:t>
            </w:r>
          </w:p>
        </w:tc>
      </w:tr>
    </w:tbl>
    <w:p>
      <w:pPr>
        <w:pStyle w:val="TextBody"/>
        <w:spacing w:before="0" w:after="0"/>
        <w:rPr>
          <w:caps w:val="false"/>
          <w:smallCaps w:val="false"/>
        </w:rPr>
      </w:pPr>
      <w:r>
        <w:rPr>
          <w:caps w:val="false"/>
          <w:smallCaps w:val="false"/>
        </w:rPr>
        <w:t> </w:t>
      </w:r>
    </w:p>
    <w:tbl>
      <w:tblPr>
        <w:tblW w:w="4878" w:type="dxa"/>
        <w:jc w:val="left"/>
        <w:tblInd w:w="0" w:type="dxa"/>
        <w:tblCellMar>
          <w:top w:w="0" w:type="dxa"/>
          <w:left w:w="0" w:type="dxa"/>
          <w:bottom w:w="0" w:type="dxa"/>
          <w:right w:w="0" w:type="dxa"/>
        </w:tblCellMar>
      </w:tblPr>
      <w:tblGrid>
        <w:gridCol w:w="38"/>
        <w:gridCol w:w="170"/>
        <w:gridCol w:w="46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6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related to customs and import/export matters;</w:t>
            </w:r>
          </w:p>
        </w:tc>
      </w:tr>
    </w:tbl>
    <w:p>
      <w:pPr>
        <w:pStyle w:val="TextBody"/>
        <w:spacing w:before="0" w:after="0"/>
        <w:rPr>
          <w:caps w:val="false"/>
          <w:smallCaps w:val="false"/>
        </w:rPr>
      </w:pPr>
      <w:r>
        <w:rPr>
          <w:caps w:val="false"/>
          <w:smallCaps w:val="false"/>
        </w:rPr>
        <w:t> </w:t>
      </w:r>
    </w:p>
    <w:tbl>
      <w:tblPr>
        <w:tblW w:w="5028" w:type="dxa"/>
        <w:jc w:val="left"/>
        <w:tblInd w:w="0" w:type="dxa"/>
        <w:tblCellMar>
          <w:top w:w="0" w:type="dxa"/>
          <w:left w:w="0" w:type="dxa"/>
          <w:bottom w:w="0" w:type="dxa"/>
          <w:right w:w="0" w:type="dxa"/>
        </w:tblCellMar>
      </w:tblPr>
      <w:tblGrid>
        <w:gridCol w:w="38"/>
        <w:gridCol w:w="170"/>
        <w:gridCol w:w="48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8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or regional economic policies and market conditions;</w:t>
            </w:r>
          </w:p>
        </w:tc>
      </w:tr>
    </w:tbl>
    <w:p>
      <w:pPr>
        <w:pStyle w:val="TextBody"/>
        <w:spacing w:before="0" w:after="0"/>
        <w:rPr>
          <w:caps w:val="false"/>
          <w:smallCaps w:val="false"/>
        </w:rPr>
      </w:pPr>
      <w:r>
        <w:rPr>
          <w:caps w:val="false"/>
          <w:smallCaps w:val="false"/>
        </w:rPr>
        <w:t> </w:t>
      </w:r>
    </w:p>
    <w:tbl>
      <w:tblPr>
        <w:tblW w:w="4143" w:type="dxa"/>
        <w:jc w:val="left"/>
        <w:tblInd w:w="0" w:type="dxa"/>
        <w:tblCellMar>
          <w:top w:w="0" w:type="dxa"/>
          <w:left w:w="0" w:type="dxa"/>
          <w:bottom w:w="0" w:type="dxa"/>
          <w:right w:w="0" w:type="dxa"/>
        </w:tblCellMar>
      </w:tblPr>
      <w:tblGrid>
        <w:gridCol w:w="38"/>
        <w:gridCol w:w="170"/>
        <w:gridCol w:w="39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9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requirements;</w:t>
            </w:r>
          </w:p>
        </w:tc>
      </w:tr>
    </w:tbl>
    <w:p>
      <w:pPr>
        <w:pStyle w:val="TextBody"/>
        <w:spacing w:before="0" w:after="0"/>
        <w:rPr>
          <w:caps w:val="false"/>
          <w:smallCaps w:val="false"/>
        </w:rPr>
      </w:pPr>
      <w:r>
        <w:rPr>
          <w:caps w:val="false"/>
          <w:smallCaps w:val="false"/>
        </w:rPr>
        <w:t> </w:t>
      </w:r>
    </w:p>
    <w:tbl>
      <w:tblPr>
        <w:tblW w:w="5238" w:type="dxa"/>
        <w:jc w:val="left"/>
        <w:tblInd w:w="0" w:type="dxa"/>
        <w:tblCellMar>
          <w:top w:w="0" w:type="dxa"/>
          <w:left w:w="0" w:type="dxa"/>
          <w:bottom w:w="0" w:type="dxa"/>
          <w:right w:w="0" w:type="dxa"/>
        </w:tblCellMar>
      </w:tblPr>
      <w:tblGrid>
        <w:gridCol w:w="38"/>
        <w:gridCol w:w="170"/>
        <w:gridCol w:w="50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0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managing and staffing international operations;</w:t>
            </w:r>
          </w:p>
        </w:tc>
      </w:tr>
    </w:tbl>
    <w:p>
      <w:pPr>
        <w:pStyle w:val="TextBody"/>
        <w:spacing w:before="0" w:after="0"/>
        <w:rPr>
          <w:caps w:val="false"/>
          <w:smallCaps w:val="false"/>
        </w:rPr>
      </w:pPr>
      <w:r>
        <w:rPr>
          <w:caps w:val="false"/>
          <w:smallCaps w:val="false"/>
        </w:rPr>
        <w:t> </w:t>
      </w:r>
    </w:p>
    <w:tbl>
      <w:tblPr>
        <w:tblW w:w="2133" w:type="dxa"/>
        <w:jc w:val="left"/>
        <w:tblInd w:w="0" w:type="dxa"/>
        <w:tblCellMar>
          <w:top w:w="0" w:type="dxa"/>
          <w:left w:w="0" w:type="dxa"/>
          <w:bottom w:w="0" w:type="dxa"/>
          <w:right w:w="0" w:type="dxa"/>
        </w:tblCellMar>
      </w:tblPr>
      <w:tblGrid>
        <w:gridCol w:w="38"/>
        <w:gridCol w:w="170"/>
        <w:gridCol w:w="19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19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payment cycles;</w:t>
            </w:r>
          </w:p>
        </w:tc>
      </w:tr>
    </w:tbl>
    <w:p>
      <w:pPr>
        <w:pStyle w:val="TextBody"/>
        <w:spacing w:before="0" w:after="0"/>
        <w:rPr>
          <w:caps w:val="false"/>
          <w:smallCaps w:val="false"/>
        </w:rPr>
      </w:pPr>
      <w:r>
        <w:rPr>
          <w:caps w:val="false"/>
          <w:smallCaps w:val="false"/>
        </w:rPr>
        <w:t> </w:t>
      </w:r>
    </w:p>
    <w:tbl>
      <w:tblPr>
        <w:tblW w:w="7893" w:type="dxa"/>
        <w:jc w:val="left"/>
        <w:tblInd w:w="0" w:type="dxa"/>
        <w:tblCellMar>
          <w:top w:w="0" w:type="dxa"/>
          <w:left w:w="0" w:type="dxa"/>
          <w:bottom w:w="0" w:type="dxa"/>
          <w:right w:w="0" w:type="dxa"/>
        </w:tblCellMar>
      </w:tblPr>
      <w:tblGrid>
        <w:gridCol w:w="38"/>
        <w:gridCol w:w="170"/>
        <w:gridCol w:w="76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6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issues, such as tax law changes and variations in tax laws as compared to the United States;</w:t>
            </w:r>
          </w:p>
        </w:tc>
      </w:tr>
    </w:tbl>
    <w:p>
      <w:pPr>
        <w:pStyle w:val="TextBody"/>
        <w:spacing w:before="0" w:after="0"/>
        <w:rPr>
          <w:caps w:val="false"/>
          <w:smallCaps w:val="false"/>
        </w:rPr>
      </w:pPr>
      <w:r>
        <w:rPr>
          <w:caps w:val="false"/>
          <w:smallCaps w:val="false"/>
        </w:rPr>
        <w:t> </w:t>
      </w:r>
    </w:p>
    <w:tbl>
      <w:tblPr>
        <w:tblW w:w="3903" w:type="dxa"/>
        <w:jc w:val="left"/>
        <w:tblInd w:w="0" w:type="dxa"/>
        <w:tblCellMar>
          <w:top w:w="0" w:type="dxa"/>
          <w:left w:w="0" w:type="dxa"/>
          <w:bottom w:w="0" w:type="dxa"/>
          <w:right w:w="0" w:type="dxa"/>
        </w:tblCellMar>
      </w:tblPr>
      <w:tblGrid>
        <w:gridCol w:w="38"/>
        <w:gridCol w:w="170"/>
        <w:gridCol w:w="36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fluctuations and exchange controls;</w:t>
            </w:r>
          </w:p>
        </w:tc>
      </w:tr>
    </w:tbl>
    <w:p>
      <w:pPr>
        <w:pStyle w:val="TextBody"/>
        <w:spacing w:before="0" w:after="0"/>
        <w:rPr>
          <w:caps w:val="false"/>
          <w:smallCaps w:val="false"/>
        </w:rPr>
      </w:pPr>
      <w:r>
        <w:rPr>
          <w:caps w:val="false"/>
          <w:smallCaps w:val="false"/>
        </w:rPr>
        <w:t> </w:t>
      </w:r>
    </w:p>
    <w:tbl>
      <w:tblPr>
        <w:tblW w:w="1638" w:type="dxa"/>
        <w:jc w:val="left"/>
        <w:tblInd w:w="0" w:type="dxa"/>
        <w:tblCellMar>
          <w:top w:w="0" w:type="dxa"/>
          <w:left w:w="0" w:type="dxa"/>
          <w:bottom w:w="0" w:type="dxa"/>
          <w:right w:w="0" w:type="dxa"/>
        </w:tblCellMar>
      </w:tblPr>
      <w:tblGrid>
        <w:gridCol w:w="38"/>
        <w:gridCol w:w="170"/>
        <w:gridCol w:w="14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14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rates of inflation;</w:t>
            </w:r>
          </w:p>
        </w:tc>
      </w:tr>
    </w:tbl>
    <w:p>
      <w:pPr>
        <w:pStyle w:val="TextBody"/>
        <w:spacing w:before="0" w:after="0"/>
        <w:rPr>
          <w:caps w:val="false"/>
          <w:smallCaps w:val="false"/>
        </w:rPr>
      </w:pPr>
      <w:r>
        <w:rPr>
          <w:caps w:val="false"/>
          <w:smallCaps w:val="false"/>
        </w:rPr>
        <w:t> </w:t>
      </w:r>
    </w:p>
    <w:tbl>
      <w:tblPr>
        <w:tblW w:w="3903" w:type="dxa"/>
        <w:jc w:val="left"/>
        <w:tblInd w:w="0" w:type="dxa"/>
        <w:tblCellMar>
          <w:top w:w="0" w:type="dxa"/>
          <w:left w:w="0" w:type="dxa"/>
          <w:bottom w:w="0" w:type="dxa"/>
          <w:right w:w="0" w:type="dxa"/>
        </w:tblCellMar>
      </w:tblPr>
      <w:tblGrid>
        <w:gridCol w:w="38"/>
        <w:gridCol w:w="170"/>
        <w:gridCol w:w="36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collecting accounts receivable;</w:t>
            </w:r>
          </w:p>
        </w:tc>
      </w:tr>
    </w:tbl>
    <w:p>
      <w:pPr>
        <w:pStyle w:val="TextBody"/>
        <w:spacing w:before="0" w:after="0"/>
        <w:rPr>
          <w:caps w:val="false"/>
          <w:smallCaps w:val="false"/>
        </w:rPr>
      </w:pPr>
      <w:r>
        <w:rPr>
          <w:caps w:val="false"/>
          <w:smallCaps w:val="false"/>
        </w:rPr>
        <w:t> </w:t>
      </w:r>
    </w:p>
    <w:tbl>
      <w:tblPr>
        <w:tblW w:w="3003" w:type="dxa"/>
        <w:jc w:val="left"/>
        <w:tblInd w:w="0" w:type="dxa"/>
        <w:tblCellMar>
          <w:top w:w="0" w:type="dxa"/>
          <w:left w:w="0" w:type="dxa"/>
          <w:bottom w:w="0" w:type="dxa"/>
          <w:right w:w="0" w:type="dxa"/>
        </w:tblCellMar>
      </w:tblPr>
      <w:tblGrid>
        <w:gridCol w:w="38"/>
        <w:gridCol w:w="170"/>
        <w:gridCol w:w="27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7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and language differences;</w:t>
            </w:r>
          </w:p>
        </w:tc>
      </w:tr>
    </w:tbl>
    <w:p>
      <w:pPr>
        <w:pStyle w:val="TextBody"/>
        <w:spacing w:before="0" w:after="0"/>
        <w:rPr>
          <w:caps w:val="false"/>
          <w:smallCaps w:val="false"/>
        </w:rPr>
      </w:pPr>
      <w:r>
        <w:rPr>
          <w:caps w:val="false"/>
          <w:smallCaps w:val="false"/>
        </w:rPr>
        <w:t> </w:t>
      </w:r>
    </w:p>
    <w:tbl>
      <w:tblPr>
        <w:tblW w:w="2283" w:type="dxa"/>
        <w:jc w:val="left"/>
        <w:tblInd w:w="0" w:type="dxa"/>
        <w:tblCellMar>
          <w:top w:w="0" w:type="dxa"/>
          <w:left w:w="0" w:type="dxa"/>
          <w:bottom w:w="0" w:type="dxa"/>
          <w:right w:w="0" w:type="dxa"/>
        </w:tblCellMar>
      </w:tblPr>
      <w:tblGrid>
        <w:gridCol w:w="38"/>
        <w:gridCol w:w="170"/>
        <w:gridCol w:w="20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0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regulations;</w:t>
            </w:r>
          </w:p>
        </w:tc>
      </w:tr>
    </w:tbl>
    <w:p>
      <w:pPr>
        <w:pStyle w:val="TextBody"/>
        <w:spacing w:before="0" w:after="0"/>
        <w:rPr>
          <w:caps w:val="false"/>
          <w:smallCaps w:val="false"/>
        </w:rPr>
      </w:pPr>
      <w:r>
        <w:rPr>
          <w:caps w:val="false"/>
          <w:smallCaps w:val="false"/>
        </w:rPr>
        <w:t> </w:t>
      </w:r>
    </w:p>
    <w:tbl>
      <w:tblPr>
        <w:tblW w:w="5223" w:type="dxa"/>
        <w:jc w:val="left"/>
        <w:tblInd w:w="0" w:type="dxa"/>
        <w:tblCellMar>
          <w:top w:w="0" w:type="dxa"/>
          <w:left w:w="0" w:type="dxa"/>
          <w:bottom w:w="0" w:type="dxa"/>
          <w:right w:w="0" w:type="dxa"/>
        </w:tblCellMar>
      </w:tblPr>
      <w:tblGrid>
        <w:gridCol w:w="38"/>
        <w:gridCol w:w="170"/>
        <w:gridCol w:w="50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0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underdeveloped or unpredictable legal or regulatory systems;</w:t>
            </w:r>
          </w:p>
        </w:tc>
      </w:tr>
    </w:tbl>
    <w:p>
      <w:pPr>
        <w:pStyle w:val="TextBody"/>
        <w:spacing w:before="0" w:after="0"/>
        <w:rPr>
          <w:caps w:val="false"/>
          <w:smallCaps w:val="false"/>
        </w:rPr>
      </w:pPr>
      <w:r>
        <w:rPr>
          <w:caps w:val="false"/>
          <w:smallCaps w:val="false"/>
        </w:rPr>
        <w:t> </w:t>
      </w:r>
    </w:p>
    <w:tbl>
      <w:tblPr>
        <w:tblW w:w="1158" w:type="dxa"/>
        <w:jc w:val="left"/>
        <w:tblInd w:w="0" w:type="dxa"/>
        <w:tblCellMar>
          <w:top w:w="0" w:type="dxa"/>
          <w:left w:w="0" w:type="dxa"/>
          <w:bottom w:w="0" w:type="dxa"/>
          <w:right w:w="0" w:type="dxa"/>
        </w:tblCellMar>
      </w:tblPr>
      <w:tblGrid>
        <w:gridCol w:w="38"/>
        <w:gridCol w:w="170"/>
        <w:gridCol w:w="9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corruption;</w:t>
            </w:r>
          </w:p>
        </w:tc>
      </w:tr>
    </w:tbl>
    <w:p>
      <w:pPr>
        <w:pStyle w:val="TextBody"/>
        <w:spacing w:before="0" w:after="0"/>
        <w:rPr>
          <w:caps w:val="false"/>
          <w:smallCaps w:val="false"/>
        </w:rPr>
      </w:pPr>
      <w:r>
        <w:rPr>
          <w:caps w:val="false"/>
          <w:smallCaps w:val="false"/>
        </w:rPr>
        <w:t> </w:t>
      </w:r>
    </w:p>
    <w:tbl>
      <w:tblPr>
        <w:tblW w:w="3063" w:type="dxa"/>
        <w:jc w:val="left"/>
        <w:tblInd w:w="0" w:type="dxa"/>
        <w:tblCellMar>
          <w:top w:w="0" w:type="dxa"/>
          <w:left w:w="0" w:type="dxa"/>
          <w:bottom w:w="0" w:type="dxa"/>
          <w:right w:w="0" w:type="dxa"/>
        </w:tblCellMar>
      </w:tblPr>
      <w:tblGrid>
        <w:gridCol w:w="38"/>
        <w:gridCol w:w="170"/>
        <w:gridCol w:w="28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8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intellectual property;</w:t>
            </w:r>
          </w:p>
        </w:tc>
      </w:tr>
    </w:tbl>
    <w:p>
      <w:pPr>
        <w:pStyle w:val="TextBody"/>
        <w:spacing w:before="0" w:after="0"/>
        <w:rPr>
          <w:caps w:val="false"/>
          <w:smallCaps w:val="false"/>
        </w:rPr>
      </w:pPr>
      <w:r>
        <w:rPr>
          <w:caps w:val="false"/>
          <w:smallCaps w:val="false"/>
        </w:rPr>
        <w:t> </w:t>
      </w:r>
    </w:p>
    <w:tbl>
      <w:tblPr>
        <w:tblW w:w="4758" w:type="dxa"/>
        <w:jc w:val="left"/>
        <w:tblInd w:w="0" w:type="dxa"/>
        <w:tblCellMar>
          <w:top w:w="0" w:type="dxa"/>
          <w:left w:w="0" w:type="dxa"/>
          <w:bottom w:w="0" w:type="dxa"/>
          <w:right w:w="0" w:type="dxa"/>
        </w:tblCellMar>
      </w:tblPr>
      <w:tblGrid>
        <w:gridCol w:w="38"/>
        <w:gridCol w:w="170"/>
        <w:gridCol w:w="45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5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unrest, crime, strikes, riots and civil disturbances;</w:t>
            </w:r>
          </w:p>
        </w:tc>
      </w:tr>
    </w:tbl>
    <w:p>
      <w:pPr>
        <w:pStyle w:val="TextBody"/>
        <w:spacing w:before="0" w:after="0"/>
        <w:rPr>
          <w:caps w:val="false"/>
          <w:smallCaps w:val="false"/>
        </w:rPr>
      </w:pPr>
      <w:r>
        <w:rPr>
          <w:caps w:val="false"/>
          <w:smallCaps w:val="false"/>
        </w:rPr>
        <w:t> </w:t>
      </w:r>
    </w:p>
    <w:tbl>
      <w:tblPr>
        <w:tblW w:w="3438" w:type="dxa"/>
        <w:jc w:val="left"/>
        <w:tblInd w:w="0" w:type="dxa"/>
        <w:tblCellMar>
          <w:top w:w="0" w:type="dxa"/>
          <w:left w:w="0" w:type="dxa"/>
          <w:bottom w:w="0" w:type="dxa"/>
          <w:right w:w="0" w:type="dxa"/>
        </w:tblCellMar>
      </w:tblPr>
      <w:tblGrid>
        <w:gridCol w:w="38"/>
        <w:gridCol w:w="170"/>
        <w:gridCol w:w="32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regime changes and political upheaval;</w:t>
            </w:r>
          </w:p>
        </w:tc>
      </w:tr>
    </w:tbl>
    <w:p>
      <w:pPr>
        <w:pStyle w:val="TextBody"/>
        <w:spacing w:before="0" w:after="0"/>
        <w:rPr>
          <w:caps w:val="false"/>
          <w:smallCaps w:val="false"/>
        </w:rPr>
      </w:pPr>
      <w:r>
        <w:rPr>
          <w:caps w:val="false"/>
          <w:smallCaps w:val="false"/>
        </w:rPr>
        <w:t> </w:t>
      </w:r>
    </w:p>
    <w:tbl>
      <w:tblPr>
        <w:tblW w:w="2643" w:type="dxa"/>
        <w:jc w:val="left"/>
        <w:tblInd w:w="0" w:type="dxa"/>
        <w:tblCellMar>
          <w:top w:w="0" w:type="dxa"/>
          <w:left w:w="0" w:type="dxa"/>
          <w:bottom w:w="0" w:type="dxa"/>
          <w:right w:w="0" w:type="dxa"/>
        </w:tblCellMar>
      </w:tblPr>
      <w:tblGrid>
        <w:gridCol w:w="38"/>
        <w:gridCol w:w="170"/>
        <w:gridCol w:w="24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4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attacks and wars; and</w:t>
            </w:r>
          </w:p>
        </w:tc>
      </w:tr>
    </w:tbl>
    <w:p>
      <w:pPr>
        <w:pStyle w:val="TextBody"/>
        <w:spacing w:before="0" w:after="0"/>
        <w:rPr>
          <w:caps w:val="false"/>
          <w:smallCaps w:val="false"/>
        </w:rPr>
      </w:pPr>
      <w:r>
        <w:rPr>
          <w:caps w:val="false"/>
          <w:smallCaps w:val="false"/>
        </w:rPr>
        <w:t> </w:t>
      </w:r>
    </w:p>
    <w:tbl>
      <w:tblPr>
        <w:tblW w:w="4863" w:type="dxa"/>
        <w:jc w:val="left"/>
        <w:tblInd w:w="0" w:type="dxa"/>
        <w:tblCellMar>
          <w:top w:w="0" w:type="dxa"/>
          <w:left w:w="0" w:type="dxa"/>
          <w:bottom w:w="0" w:type="dxa"/>
          <w:right w:w="0" w:type="dxa"/>
        </w:tblCellMar>
      </w:tblPr>
      <w:tblGrid>
        <w:gridCol w:w="38"/>
        <w:gridCol w:w="170"/>
        <w:gridCol w:w="46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6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deterioration of political relations with the United States.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our management following our initial business combination is unfamiliar with United States securities laws, they may have to expend time and resources becoming familiar with such laws, which could lead to various regulatory issues.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fluctuations and currency policies may cause a target business’ ability to succeed in the international markets to be diminished.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reincorporate in another jurisdiction in connection with our initial business combination, and the laws of such jurisdiction may govern some or all of our future material agreements and we may not be able to enforce our legal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changing law and regulations regarding regulatory matters, corporate governance and public disclosure that have increased both our costs and the risk of non-compliance.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4968" w:type="dxa"/>
        <w:jc w:val="left"/>
        <w:tblInd w:w="0" w:type="dxa"/>
        <w:tblCellMar>
          <w:top w:w="0" w:type="dxa"/>
          <w:left w:w="0" w:type="dxa"/>
          <w:bottom w:w="0" w:type="dxa"/>
          <w:right w:w="0" w:type="dxa"/>
        </w:tblCellMar>
      </w:tblPr>
      <w:tblGrid>
        <w:gridCol w:w="38"/>
        <w:gridCol w:w="1010"/>
        <w:gridCol w:w="3920"/>
      </w:tblGrid>
      <w:tr>
        <w:trPr/>
        <w:tc>
          <w:tcPr>
            <w:tcW w:w="3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jc w:val="left"/>
              <w:rPr/>
            </w:pPr>
            <w:bookmarkStart w:id="6" w:name="a_005"/>
            <w:bookmarkEnd w:id="6"/>
            <w:r>
              <w:rPr/>
              <w:t>ITEM 1B.</w:t>
            </w:r>
          </w:p>
        </w:tc>
        <w:tc>
          <w:tcPr>
            <w:tcW w:w="3920" w:type="dxa"/>
            <w:tcBorders/>
            <w:shd w:fill="auto" w:val="clear"/>
            <w:vAlign w:val="center"/>
          </w:tcPr>
          <w:p>
            <w:pPr>
              <w:pStyle w:val="TableContents"/>
              <w:spacing w:before="0" w:after="283"/>
              <w:jc w:val="both"/>
              <w:rPr/>
            </w:pPr>
            <w:r>
              <w:rPr/>
              <w:t>UNRESOLVED STAFF COMMENTS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2358" w:type="dxa"/>
        <w:jc w:val="left"/>
        <w:tblInd w:w="0" w:type="dxa"/>
        <w:tblCellMar>
          <w:top w:w="0" w:type="dxa"/>
          <w:left w:w="0" w:type="dxa"/>
          <w:bottom w:w="0" w:type="dxa"/>
          <w:right w:w="0" w:type="dxa"/>
        </w:tblCellMar>
      </w:tblPr>
      <w:tblGrid>
        <w:gridCol w:w="38"/>
        <w:gridCol w:w="845"/>
        <w:gridCol w:w="1475"/>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7" w:name="a_006"/>
            <w:bookmarkEnd w:id="7"/>
            <w:r>
              <w:rPr/>
              <w:t>ITEM 2.</w:t>
            </w:r>
          </w:p>
        </w:tc>
        <w:tc>
          <w:tcPr>
            <w:tcW w:w="1475" w:type="dxa"/>
            <w:tcBorders/>
            <w:shd w:fill="auto" w:val="clear"/>
            <w:vAlign w:val="center"/>
          </w:tcPr>
          <w:p>
            <w:pPr>
              <w:pStyle w:val="TableContents"/>
              <w:spacing w:before="0" w:after="283"/>
              <w:jc w:val="both"/>
              <w:rPr/>
            </w:pPr>
            <w:r>
              <w:rPr/>
              <w:t>PROPERTIES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estate or other physical properties materially important to our operations. 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pStyle w:val="TextBody"/>
        <w:spacing w:before="0" w:after="0"/>
        <w:ind w:left="0" w:right="0" w:firstLine="720"/>
        <w:jc w:val="both"/>
        <w:rPr>
          <w:caps w:val="false"/>
          <w:smallCaps w:val="false"/>
        </w:rPr>
      </w:pPr>
      <w:r>
        <w:rPr>
          <w:caps w:val="false"/>
          <w:smallCaps w:val="false"/>
        </w:rPr>
        <w:t> </w:t>
      </w:r>
    </w:p>
    <w:tbl>
      <w:tblPr>
        <w:tblW w:w="3483" w:type="dxa"/>
        <w:jc w:val="left"/>
        <w:tblInd w:w="0" w:type="dxa"/>
        <w:tblCellMar>
          <w:top w:w="0" w:type="dxa"/>
          <w:left w:w="0" w:type="dxa"/>
          <w:bottom w:w="0" w:type="dxa"/>
          <w:right w:w="0" w:type="dxa"/>
        </w:tblCellMar>
      </w:tblPr>
      <w:tblGrid>
        <w:gridCol w:w="38"/>
        <w:gridCol w:w="845"/>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8" w:name="a_007"/>
            <w:bookmarkEnd w:id="8"/>
            <w:r>
              <w:rPr/>
              <w:t>ITEM 3.</w:t>
            </w:r>
          </w:p>
        </w:tc>
        <w:tc>
          <w:tcPr>
            <w:tcW w:w="2600" w:type="dxa"/>
            <w:tcBorders/>
            <w:shd w:fill="auto" w:val="clear"/>
            <w:vAlign w:val="center"/>
          </w:tcPr>
          <w:p>
            <w:pPr>
              <w:pStyle w:val="TableContents"/>
              <w:spacing w:before="0" w:after="283"/>
              <w:jc w:val="both"/>
              <w:rPr/>
            </w:pPr>
            <w:r>
              <w:rPr/>
              <w:t>LEGAL PROCEEDINGS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our management, there is no material litigation currently pending or contemplated against us, any of our officers or directors in their capacity as such or against any of our property.</w:t>
      </w:r>
    </w:p>
    <w:p>
      <w:pPr>
        <w:pStyle w:val="TextBody"/>
        <w:spacing w:before="0" w:after="0"/>
        <w:ind w:left="0" w:right="0" w:firstLine="720"/>
        <w:jc w:val="both"/>
        <w:rPr>
          <w:caps w:val="false"/>
          <w:smallCaps w:val="false"/>
        </w:rPr>
      </w:pPr>
      <w:r>
        <w:rPr>
          <w:caps w:val="false"/>
          <w:smallCaps w:val="false"/>
        </w:rPr>
        <w:t> </w:t>
      </w:r>
    </w:p>
    <w:tbl>
      <w:tblPr>
        <w:tblW w:w="4233" w:type="dxa"/>
        <w:jc w:val="left"/>
        <w:tblInd w:w="0" w:type="dxa"/>
        <w:tblCellMar>
          <w:top w:w="0" w:type="dxa"/>
          <w:left w:w="0" w:type="dxa"/>
          <w:bottom w:w="0" w:type="dxa"/>
          <w:right w:w="0" w:type="dxa"/>
        </w:tblCellMar>
      </w:tblPr>
      <w:tblGrid>
        <w:gridCol w:w="38"/>
        <w:gridCol w:w="845"/>
        <w:gridCol w:w="3350"/>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9" w:name="a_008"/>
            <w:bookmarkEnd w:id="9"/>
            <w:r>
              <w:rPr/>
              <w:t>ITEM 4.</w:t>
            </w:r>
          </w:p>
        </w:tc>
        <w:tc>
          <w:tcPr>
            <w:tcW w:w="3350" w:type="dxa"/>
            <w:tcBorders/>
            <w:shd w:fill="auto" w:val="clear"/>
            <w:vAlign w:val="center"/>
          </w:tcPr>
          <w:p>
            <w:pPr>
              <w:pStyle w:val="TableContents"/>
              <w:spacing w:before="0" w:after="283"/>
              <w:jc w:val="both"/>
              <w:rPr/>
            </w:pPr>
            <w:r>
              <w:rPr/>
              <w:t>MINE SAFETY DISCLOSURES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36"/>
        <w:gridCol w:w="9431"/>
      </w:tblGrid>
      <w:tr>
        <w:trPr/>
        <w:tc>
          <w:tcPr>
            <w:tcW w:w="38"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jc w:val="left"/>
              <w:rPr/>
            </w:pPr>
            <w:bookmarkStart w:id="11" w:name="a_010"/>
            <w:bookmarkEnd w:id="11"/>
            <w:r>
              <w:rPr/>
              <w:t>ITEM 5.</w:t>
            </w:r>
          </w:p>
        </w:tc>
        <w:tc>
          <w:tcPr>
            <w:tcW w:w="9431" w:type="dxa"/>
            <w:tcBorders/>
            <w:shd w:fill="auto" w:val="clear"/>
            <w:vAlign w:val="center"/>
          </w:tcPr>
          <w:p>
            <w:pPr>
              <w:pStyle w:val="TableContents"/>
              <w:spacing w:before="0" w:after="283"/>
              <w:jc w:val="both"/>
              <w:rPr/>
            </w:pPr>
            <w:r>
              <w:rPr/>
              <w:t>MARKET FOR REGISTRANT’S COMMON EQUITY, RELATED SHAREHOLDER MATTERS AND ISSUER PURCHASES OF EQUITY SECURITIES</w:t>
            </w:r>
          </w:p>
        </w:tc>
      </w:tr>
    </w:tbl>
    <w:p>
      <w:pPr>
        <w:pStyle w:val="TextBody"/>
        <w:spacing w:before="0" w:after="0"/>
        <w:ind w:left="1440" w:right="0" w:hanging="1440"/>
        <w:rPr>
          <w:caps/>
        </w:rPr>
      </w:pPr>
      <w:r>
        <w:rPr>
          <w:caps/>
        </w:rPr>
        <w:t> </w:t>
      </w:r>
    </w:p>
    <w:tbl>
      <w:tblPr>
        <w:tblW w:w="2193" w:type="dxa"/>
        <w:jc w:val="left"/>
        <w:tblInd w:w="0" w:type="dxa"/>
        <w:tblCellMar>
          <w:top w:w="0" w:type="dxa"/>
          <w:left w:w="0" w:type="dxa"/>
          <w:bottom w:w="0" w:type="dxa"/>
          <w:right w:w="0" w:type="dxa"/>
        </w:tblCellMar>
      </w:tblPr>
      <w:tblGrid>
        <w:gridCol w:w="38"/>
        <w:gridCol w:w="275"/>
        <w:gridCol w:w="188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(a)</w:t>
            </w:r>
          </w:p>
        </w:tc>
        <w:tc>
          <w:tcPr>
            <w:tcW w:w="1880" w:type="dxa"/>
            <w:tcBorders/>
            <w:shd w:fill="auto" w:val="clear"/>
            <w:vAlign w:val="center"/>
          </w:tcPr>
          <w:p>
            <w:pPr>
              <w:pStyle w:val="TableContents"/>
              <w:spacing w:before="0" w:after="283"/>
              <w:jc w:val="both"/>
              <w:rPr/>
            </w:pPr>
            <w:r>
              <w:rPr/>
              <w:t>Market Information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units, Class A ordinary shares and warrants are each traded on the NASDAQ under the symbol “SOAC.U”, “SOAC” and “SOAC WS” respectively.</w:t>
      </w:r>
    </w:p>
    <w:p>
      <w:pPr>
        <w:pStyle w:val="TextBody"/>
        <w:spacing w:before="0" w:after="0"/>
        <w:ind w:left="0" w:right="0" w:firstLine="720"/>
        <w:jc w:val="both"/>
        <w:rPr>
          <w:caps w:val="false"/>
          <w:smallCaps w:val="false"/>
        </w:rPr>
      </w:pPr>
      <w:r>
        <w:rPr>
          <w:caps w:val="false"/>
          <w:smallCaps w:val="false"/>
        </w:rPr>
        <w:t> </w:t>
      </w:r>
    </w:p>
    <w:tbl>
      <w:tblPr>
        <w:tblW w:w="1113" w:type="dxa"/>
        <w:jc w:val="left"/>
        <w:tblInd w:w="0" w:type="dxa"/>
        <w:tblCellMar>
          <w:top w:w="0" w:type="dxa"/>
          <w:left w:w="0" w:type="dxa"/>
          <w:bottom w:w="0" w:type="dxa"/>
          <w:right w:w="0" w:type="dxa"/>
        </w:tblCellMar>
      </w:tblPr>
      <w:tblGrid>
        <w:gridCol w:w="38"/>
        <w:gridCol w:w="290"/>
        <w:gridCol w:w="78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(b)</w:t>
            </w:r>
          </w:p>
        </w:tc>
        <w:tc>
          <w:tcPr>
            <w:tcW w:w="785" w:type="dxa"/>
            <w:tcBorders/>
            <w:shd w:fill="auto" w:val="clear"/>
            <w:vAlign w:val="center"/>
          </w:tcPr>
          <w:p>
            <w:pPr>
              <w:pStyle w:val="TableContents"/>
              <w:spacing w:before="0" w:after="283"/>
              <w:jc w:val="both"/>
              <w:rPr/>
            </w:pPr>
            <w:r>
              <w:rPr/>
              <w:t>Holders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2021, there was one holder of record for our units, one holder of record for our Class A ordinary shares, four holders of our Class B ordinary shares and two holders of our warrants.</w:t>
      </w:r>
    </w:p>
    <w:p>
      <w:pPr>
        <w:pStyle w:val="TextBody"/>
        <w:spacing w:before="0" w:after="0"/>
        <w:ind w:left="0" w:right="0" w:firstLine="720"/>
        <w:jc w:val="both"/>
        <w:rPr>
          <w:caps w:val="false"/>
          <w:smallCaps w:val="false"/>
        </w:rPr>
      </w:pPr>
      <w:r>
        <w:rPr>
          <w:caps w:val="false"/>
          <w:smallCaps w:val="false"/>
        </w:rPr>
        <w:t> </w:t>
      </w:r>
    </w:p>
    <w:tbl>
      <w:tblPr>
        <w:tblW w:w="1323" w:type="dxa"/>
        <w:jc w:val="left"/>
        <w:tblInd w:w="0" w:type="dxa"/>
        <w:tblCellMar>
          <w:top w:w="0" w:type="dxa"/>
          <w:left w:w="0" w:type="dxa"/>
          <w:bottom w:w="0" w:type="dxa"/>
          <w:right w:w="0" w:type="dxa"/>
        </w:tblCellMar>
      </w:tblPr>
      <w:tblGrid>
        <w:gridCol w:w="38"/>
        <w:gridCol w:w="275"/>
        <w:gridCol w:w="101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(c)</w:t>
            </w:r>
          </w:p>
        </w:tc>
        <w:tc>
          <w:tcPr>
            <w:tcW w:w="1010" w:type="dxa"/>
            <w:tcBorders/>
            <w:shd w:fill="auto" w:val="clear"/>
            <w:vAlign w:val="center"/>
          </w:tcPr>
          <w:p>
            <w:pPr>
              <w:pStyle w:val="TableContents"/>
              <w:spacing w:before="0" w:after="283"/>
              <w:jc w:val="both"/>
              <w:rPr/>
            </w:pPr>
            <w:r>
              <w:rPr/>
              <w:t>Dividends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pStyle w:val="TextBody"/>
        <w:spacing w:before="0" w:after="0"/>
        <w:ind w:left="0" w:right="0" w:firstLine="720"/>
        <w:jc w:val="both"/>
        <w:rPr>
          <w:caps w:val="false"/>
          <w:smallCaps w:val="false"/>
        </w:rPr>
      </w:pPr>
      <w:r>
        <w:rPr>
          <w:caps w:val="false"/>
          <w:smallCaps w:val="false"/>
        </w:rPr>
        <w:t> </w:t>
      </w:r>
    </w:p>
    <w:tbl>
      <w:tblPr>
        <w:tblW w:w="6948" w:type="dxa"/>
        <w:jc w:val="left"/>
        <w:tblInd w:w="0" w:type="dxa"/>
        <w:tblCellMar>
          <w:top w:w="0" w:type="dxa"/>
          <w:left w:w="0" w:type="dxa"/>
          <w:bottom w:w="0" w:type="dxa"/>
          <w:right w:w="0" w:type="dxa"/>
        </w:tblCellMar>
      </w:tblPr>
      <w:tblGrid>
        <w:gridCol w:w="38"/>
        <w:gridCol w:w="290"/>
        <w:gridCol w:w="662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(d)</w:t>
            </w:r>
          </w:p>
        </w:tc>
        <w:tc>
          <w:tcPr>
            <w:tcW w:w="6620" w:type="dxa"/>
            <w:tcBorders/>
            <w:shd w:fill="auto" w:val="clear"/>
            <w:vAlign w:val="center"/>
          </w:tcPr>
          <w:p>
            <w:pPr>
              <w:pStyle w:val="TableContents"/>
              <w:spacing w:before="0" w:after="283"/>
              <w:jc w:val="both"/>
              <w:rPr/>
            </w:pPr>
            <w:r>
              <w:rPr/>
              <w:t>Securities Authorized for Issuance Under Equity Compensation Plans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2208" w:type="dxa"/>
        <w:jc w:val="left"/>
        <w:tblInd w:w="0" w:type="dxa"/>
        <w:tblCellMar>
          <w:top w:w="0" w:type="dxa"/>
          <w:left w:w="0" w:type="dxa"/>
          <w:bottom w:w="0" w:type="dxa"/>
          <w:right w:w="0" w:type="dxa"/>
        </w:tblCellMar>
      </w:tblPr>
      <w:tblGrid>
        <w:gridCol w:w="38"/>
        <w:gridCol w:w="275"/>
        <w:gridCol w:w="189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(e)</w:t>
            </w:r>
          </w:p>
        </w:tc>
        <w:tc>
          <w:tcPr>
            <w:tcW w:w="1895" w:type="dxa"/>
            <w:tcBorders/>
            <w:shd w:fill="auto" w:val="clear"/>
            <w:vAlign w:val="center"/>
          </w:tcPr>
          <w:p>
            <w:pPr>
              <w:pStyle w:val="TableContents"/>
              <w:spacing w:before="0" w:after="283"/>
              <w:jc w:val="both"/>
              <w:rPr/>
            </w:pPr>
            <w:r>
              <w:rPr/>
              <w:t>Performance Graph</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tbl>
      <w:tblPr>
        <w:tblW w:w="8238" w:type="dxa"/>
        <w:jc w:val="left"/>
        <w:tblInd w:w="0" w:type="dxa"/>
        <w:tblCellMar>
          <w:top w:w="0" w:type="dxa"/>
          <w:left w:w="0" w:type="dxa"/>
          <w:bottom w:w="0" w:type="dxa"/>
          <w:right w:w="0" w:type="dxa"/>
        </w:tblCellMar>
      </w:tblPr>
      <w:tblGrid>
        <w:gridCol w:w="38"/>
        <w:gridCol w:w="245"/>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pPr>
            <w:r>
              <w:rPr/>
              <w:t>(f)</w:t>
            </w:r>
          </w:p>
        </w:tc>
        <w:tc>
          <w:tcPr>
            <w:tcW w:w="7955" w:type="dxa"/>
            <w:tcBorders/>
            <w:shd w:fill="auto" w:val="clear"/>
            <w:vAlign w:val="center"/>
          </w:tcPr>
          <w:p>
            <w:pPr>
              <w:pStyle w:val="TableContents"/>
              <w:spacing w:before="0" w:after="283"/>
              <w:jc w:val="both"/>
              <w:rPr/>
            </w:pPr>
            <w:r>
              <w:rPr/>
              <w:t>Recent Sales of Unregistered Securities; Use of Proceeds from Registered Offerings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Unregistered Sales and Use of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the Sponsor paid $25,000, or approximately $0.003 per share, in consideration of 8,625,000 founder shares, par value $0.0001 per share.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2020, we completed our initial public offering of 30,000,000 units generating gross proceeds of $300.0 million. Each Unit consists of one Class A ordinary share and one-half of one redeemable warrant (“</w:t>
      </w:r>
      <w:r>
        <w:rPr>
          <w:rFonts w:ascii="Times New Roman;Times;Serif" w:hAnsi="Times New Roman;Times;Serif"/>
          <w:b w:val="false"/>
          <w:i/>
          <w:caps w:val="false"/>
          <w:smallCaps w:val="false"/>
          <w:sz w:val="20"/>
        </w:rPr>
        <w:t>Public Warrant</w:t>
      </w:r>
      <w:r>
        <w:rPr>
          <w:rFonts w:ascii="Times New Roman;Times;Serif" w:hAnsi="Times New Roman;Times;Serif"/>
          <w:b w:val="false"/>
          <w:i w:val="false"/>
          <w:caps w:val="false"/>
          <w:smallCaps w:val="false"/>
          <w:sz w:val="20"/>
        </w:rPr>
        <w:t>”). Each Public Warrant entitles the holder to purchase one Class A ordinary share at a price of $11.50 per share, subject to adjustment.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2020, the Sponsor purchased 9,500,000 warrants (each, a “</w:t>
      </w:r>
      <w:r>
        <w:rPr>
          <w:rFonts w:ascii="Times New Roman;Times;Serif" w:hAnsi="Times New Roman;Times;Serif"/>
          <w:b w:val="false"/>
          <w:i/>
          <w:caps w:val="false"/>
          <w:smallCaps w:val="false"/>
          <w:sz w:val="20"/>
        </w:rPr>
        <w:t>Private Placement Warrant</w:t>
      </w:r>
      <w:r>
        <w:rPr>
          <w:rFonts w:ascii="Times New Roman;Times;Serif" w:hAnsi="Times New Roman;Times;Serif"/>
          <w:b w:val="false"/>
          <w:i w:val="false"/>
          <w:caps w:val="false"/>
          <w:smallCaps w:val="false"/>
          <w:sz w:val="20"/>
        </w:rPr>
        <w:t>”), each exercisable to purchase one ordinary share at $11.50 per share, at a price of $1.00 per warrant ($9,500,000 in the aggregate), in a private placement that closed simultaneously with the closing of the initial public offering. Each Private Placement Warrant is exercisable for one whole Class A ordinary share at a price of $11.50 per share. A portion of the proceeds from the sale of the Private Placement Warrants was added to the proceeds from the initial public offering held in the trust account. Each Private Placement Warrant is exercisable for one whole Class A ordinary share at a price of $11.50 per share.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6933" w:type="dxa"/>
        <w:jc w:val="left"/>
        <w:tblInd w:w="0" w:type="dxa"/>
        <w:tblCellMar>
          <w:top w:w="0" w:type="dxa"/>
          <w:left w:w="0" w:type="dxa"/>
          <w:bottom w:w="0" w:type="dxa"/>
          <w:right w:w="0" w:type="dxa"/>
        </w:tblCellMar>
      </w:tblPr>
      <w:tblGrid>
        <w:gridCol w:w="38"/>
        <w:gridCol w:w="290"/>
        <w:gridCol w:w="660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(g)</w:t>
            </w:r>
          </w:p>
        </w:tc>
        <w:tc>
          <w:tcPr>
            <w:tcW w:w="6605" w:type="dxa"/>
            <w:tcBorders/>
            <w:shd w:fill="auto" w:val="clear"/>
            <w:vAlign w:val="center"/>
          </w:tcPr>
          <w:p>
            <w:pPr>
              <w:pStyle w:val="TableContents"/>
              <w:spacing w:before="0" w:after="283"/>
              <w:jc w:val="both"/>
              <w:rPr/>
            </w:pPr>
            <w:r>
              <w:rPr/>
              <w:t>Purchases of Equity Securities by the Issuer and Affiliated Purchasers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4278" w:type="dxa"/>
        <w:jc w:val="left"/>
        <w:tblInd w:w="0" w:type="dxa"/>
        <w:tblCellMar>
          <w:top w:w="0" w:type="dxa"/>
          <w:left w:w="0" w:type="dxa"/>
          <w:bottom w:w="0" w:type="dxa"/>
          <w:right w:w="0" w:type="dxa"/>
        </w:tblCellMar>
      </w:tblPr>
      <w:tblGrid>
        <w:gridCol w:w="38"/>
        <w:gridCol w:w="845"/>
        <w:gridCol w:w="3395"/>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12" w:name="a_011"/>
            <w:bookmarkEnd w:id="12"/>
            <w:r>
              <w:rPr/>
              <w:t>ITEM 6.</w:t>
            </w:r>
          </w:p>
        </w:tc>
        <w:tc>
          <w:tcPr>
            <w:tcW w:w="3395" w:type="dxa"/>
            <w:tcBorders/>
            <w:shd w:fill="auto" w:val="clear"/>
            <w:vAlign w:val="center"/>
          </w:tcPr>
          <w:p>
            <w:pPr>
              <w:pStyle w:val="TableContents"/>
              <w:spacing w:before="0" w:after="283"/>
              <w:jc w:val="both"/>
              <w:rPr/>
            </w:pPr>
            <w:r>
              <w:rPr/>
              <w:t>SELECTED FINANCIAL DATA</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77"/>
        <w:gridCol w:w="9390"/>
      </w:tblGrid>
      <w:tr>
        <w:trPr/>
        <w:tc>
          <w:tcPr>
            <w:tcW w:w="3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jc w:val="left"/>
              <w:rPr/>
            </w:pPr>
            <w:bookmarkStart w:id="13" w:name="a_012"/>
            <w:bookmarkEnd w:id="13"/>
            <w:r>
              <w:rPr/>
              <w:t>ITEM 7.</w:t>
            </w:r>
          </w:p>
        </w:tc>
        <w:tc>
          <w:tcPr>
            <w:tcW w:w="9390" w:type="dxa"/>
            <w:tcBorders/>
            <w:shd w:fill="auto" w:val="clear"/>
            <w:vAlign w:val="center"/>
          </w:tcPr>
          <w:p>
            <w:pPr>
              <w:pStyle w:val="TableContents"/>
              <w:spacing w:before="0" w:after="283"/>
              <w:jc w:val="both"/>
              <w:rPr/>
            </w:pPr>
            <w:r>
              <w:rPr/>
              <w:t>MANAGEMENT’S DISCUSSION AND ANALYSIS OF FINANCIAL CONDITION AND RESULTS OF OPERATIONS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statements of historical fact included in this Report including, without limitation, statements under “Management’s Discussion and Analysis of Financial Condition and Results of Operations” regarding our financial position, business strategy and the plans and objectives of management for future operations, are forward looking statements. When used in this Report, words such as “may,” “should,” “could,” “would,” “expect,” “plan,” “anticipate,” “believe,” “estimate,” “continue,” or the negative of such terms or other similar expressions, as they relate to us or our management, identify forward looking statements. Such forward looking statements are based on the beliefs of management, as well as assumptions made by, and information currently available to, our management. No assurance can be given that results in any forward-looking statement will be achieved and actual results could be affected by one or more factors, which could cause them to differ materially. The cautionary statements made in this Report should be read as being applicable to all forward-looking statements whenever they appear in this Report. For these statements, we claim the protection of the safe harbor for forward-looking statements contained in the Private Securities Litigation Reform Act. Actual results could differ materially from those contemplated by the forward-looking statements as a result of certain factors, including but not limited to, those detailed in our filings with the Securities and Exchange Commission. All subsequent written or oral forward-looking statements attributable to us or persons acting on our behalf are qualified in their entirety by this paragraph.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2021, we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we will migrate to and be continued as a company in British Columbia, Canada (the “SOAC Continuance”). Following the SOAC Continuance, pursuant to a plan of arrangement (the “Plan of Arrangement”)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(British Columbia), (i) we will acquire all of the issued and outstanding shares in the capital of DeepGreen (the “DeepGreen Shares”) from DeepGreen shareholders in exchange for the Company’s common shares and Company Earnout Shares (as defined in the Business Combination Agreement)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See the Company’s Current Report on Form 8-K, filed with the SEC on March 4, 2021, for further information.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entire activity from December 18, 2019 (inception) through December 31,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 we had a net loss of approximately $2.9 million, which consisted of general and administrative expenses of approximately $2.9 million, general and administrative- related party expenses of approximately $80,000, offset by approximately $69,000 in interest income in Trust Account.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December 18, 2019 (inception) to December 31, 2019, we had a net loss of approximately $9,000, which consisted solely of general and administrative expenses of approximately $9,000.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Consideration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had approximately $1.3 million in cash and a working capital deficit of approximately $372,000.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consummation of a Business Combination, we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We will need to raise additional capital through loans or additional investments from our Sponsor, shareholders, officers, directors, or third parties. Our officers, directors and Sponsor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it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These conditions raise substantial doubt about our ability to continue as a going concern through November 8, 2021. These financial statements do not include any adjustments relating to the recovery of the recorded assets or the classification of the liabilities that might be necessary should we be unable to continue as a going concern.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Contractual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commencing on May 8, 2020 through the earlier of our consummation of a Business Combination and our liquidation, to reimburse our Sponsor a total of $10,000 per month for office space, secretarial and administrative services. We incurred and paid $80,000 and $0 in expenses in connection with such services and recorded in general and administrative expenses in the statements of operations for the year ended December 31, 2020, and for the period December 18, 2019 (inception) to December 31, 2019 respectively.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receiving consulting services in connection with identification of potential targets for a Business Combination and due diligence on such targets. As compensation for such services, we have paid a nonrefundable fixed fee of $350,000 and agreed to pay the consulting firm $2,650,000 solely in the event that we complete a Business Combination. The consulting agreement may be terminated early by either party to the agreement provided that we pay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as its critical accounting policies: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 Ordinary Shares Subject to Possible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occurrence of uncertain future events. Accordingly, 28,419,721 Class A ordinary shares subject to possible redemption were presented at redemption value as temporary equity, outside of the shareholders’ equity section of our balance sheet.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Ordinary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two-class method in calculating earnings per share. Net (loss) per share is computed by dividing net loss by the weighted-average number of ordinary shares outstanding during the periods. An aggregate of 28,419,721 Class A ordinary shares subject to possible redemption at December 31, 2020 has been excluded from the calculation of basic loss per ordinary share, since such shares, if redeemed, only participate in their pro rata share of the Trust earnings. We have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pronouncements, if currently adopted, would have a material effect on the Company’s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did not have any off-balance sheet arrangements as defined in Item 303(a)(4)(ii) of Regulation S-K and did not have any commitments or contractual obligations.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pStyle w:val="TextBody"/>
        <w:spacing w:before="0" w:after="0"/>
        <w:ind w:left="0" w:right="0" w:firstLine="720"/>
        <w:jc w:val="both"/>
        <w:rPr>
          <w:caps w:val="false"/>
          <w:smallCaps w:val="false"/>
        </w:rPr>
      </w:pPr>
      <w:r>
        <w:rPr>
          <w:caps w:val="false"/>
          <w:smallCaps w:val="false"/>
        </w:rPr>
        <w:t> </w:t>
      </w:r>
    </w:p>
    <w:tbl>
      <w:tblPr>
        <w:tblW w:w="9573" w:type="dxa"/>
        <w:jc w:val="left"/>
        <w:tblInd w:w="0" w:type="dxa"/>
        <w:tblCellMar>
          <w:top w:w="0" w:type="dxa"/>
          <w:left w:w="0" w:type="dxa"/>
          <w:bottom w:w="0" w:type="dxa"/>
          <w:right w:w="0" w:type="dxa"/>
        </w:tblCellMar>
      </w:tblPr>
      <w:tblGrid>
        <w:gridCol w:w="38"/>
        <w:gridCol w:w="1025"/>
        <w:gridCol w:w="8510"/>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pPr>
            <w:bookmarkStart w:id="14" w:name="a_013"/>
            <w:bookmarkEnd w:id="14"/>
            <w:r>
              <w:rPr/>
              <w:t>ITEM 7A.</w:t>
            </w:r>
          </w:p>
        </w:tc>
        <w:tc>
          <w:tcPr>
            <w:tcW w:w="8510" w:type="dxa"/>
            <w:tcBorders/>
            <w:shd w:fill="auto" w:val="clear"/>
            <w:vAlign w:val="center"/>
          </w:tcPr>
          <w:p>
            <w:pPr>
              <w:pStyle w:val="TableContents"/>
              <w:spacing w:before="0" w:after="283"/>
              <w:jc w:val="both"/>
              <w:rPr/>
            </w:pPr>
            <w:r>
              <w:rPr/>
              <w:t>QUANTITATIVE AND QUALITATIVE DISCLOSURES ABOUT MARKET RISK</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We are a smaller reporting company as defined by Rule 12b-2 of the Exchange Act and are not required to provide the information otherwise required under this item.</w:t>
      </w:r>
      <w:r>
        <w:rPr>
          <w:rFonts w:ascii="Times New Roman;Times;Serif" w:hAnsi="Times New Roman;Times;Serif"/>
          <w:b w:val="false"/>
          <w:i w:val="false"/>
          <w:caps w:val="false"/>
          <w:smallCaps w:val="false"/>
          <w:sz w:val="20"/>
        </w:rPr>
        <w:t xml:space="preserve"> </w:t>
      </w:r>
    </w:p>
    <w:p>
      <w:pPr>
        <w:pStyle w:val="TextBody"/>
        <w:spacing w:before="0" w:after="0"/>
        <w:ind w:left="0" w:right="0" w:firstLine="720"/>
        <w:jc w:val="both"/>
        <w:rPr>
          <w:caps w:val="false"/>
          <w:smallCaps w:val="false"/>
        </w:rPr>
      </w:pPr>
      <w:r>
        <w:rPr>
          <w:caps w:val="false"/>
          <w:smallCaps w:val="false"/>
        </w:rPr>
        <w:t> </w:t>
      </w:r>
    </w:p>
    <w:tbl>
      <w:tblPr>
        <w:tblW w:w="7398" w:type="dxa"/>
        <w:jc w:val="left"/>
        <w:tblInd w:w="0" w:type="dxa"/>
        <w:tblCellMar>
          <w:top w:w="0" w:type="dxa"/>
          <w:left w:w="0" w:type="dxa"/>
          <w:bottom w:w="0" w:type="dxa"/>
          <w:right w:w="0" w:type="dxa"/>
        </w:tblCellMar>
      </w:tblPr>
      <w:tblGrid>
        <w:gridCol w:w="38"/>
        <w:gridCol w:w="845"/>
        <w:gridCol w:w="6515"/>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jc w:val="left"/>
              <w:rPr/>
            </w:pPr>
            <w:bookmarkStart w:id="15" w:name="a_014"/>
            <w:bookmarkEnd w:id="15"/>
            <w:r>
              <w:rPr/>
              <w:t>ITEM 8.</w:t>
            </w:r>
          </w:p>
        </w:tc>
        <w:tc>
          <w:tcPr>
            <w:tcW w:w="6515" w:type="dxa"/>
            <w:tcBorders/>
            <w:shd w:fill="auto" w:val="clear"/>
            <w:vAlign w:val="center"/>
          </w:tcPr>
          <w:p>
            <w:pPr>
              <w:pStyle w:val="TableContents"/>
              <w:spacing w:before="0" w:after="283"/>
              <w:jc w:val="both"/>
              <w:rPr/>
            </w:pPr>
            <w:r>
              <w:rPr/>
              <w:t>FINANCIAL STATEMENTS AND SUPPLEMENTARY DATA</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appears following Item 16 of this Report and is incorporated herein by reference.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73"/>
        <w:gridCol w:w="9394"/>
      </w:tblGrid>
      <w:tr>
        <w:trPr/>
        <w:tc>
          <w:tcPr>
            <w:tcW w:w="3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jc w:val="left"/>
              <w:rPr/>
            </w:pPr>
            <w:bookmarkStart w:id="16" w:name="a_015"/>
            <w:bookmarkEnd w:id="16"/>
            <w:r>
              <w:rPr/>
              <w:t>ITEM 9.</w:t>
            </w:r>
          </w:p>
        </w:tc>
        <w:tc>
          <w:tcPr>
            <w:tcW w:w="9394" w:type="dxa"/>
            <w:tcBorders/>
            <w:shd w:fill="auto" w:val="clear"/>
            <w:vAlign w:val="center"/>
          </w:tcPr>
          <w:p>
            <w:pPr>
              <w:pStyle w:val="TableContents"/>
              <w:spacing w:before="0" w:after="283"/>
              <w:jc w:val="both"/>
              <w:rPr/>
            </w:pPr>
            <w:r>
              <w:rPr/>
              <w:t>CHANGES IN AND DISAGREEMENTS WITH ACCOUNTANTS ON ACCOUNTING AND FINANCIAL DISCLOSURE</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4668" w:type="dxa"/>
        <w:jc w:val="left"/>
        <w:tblInd w:w="0" w:type="dxa"/>
        <w:tblCellMar>
          <w:top w:w="0" w:type="dxa"/>
          <w:left w:w="0" w:type="dxa"/>
          <w:bottom w:w="0" w:type="dxa"/>
          <w:right w:w="0" w:type="dxa"/>
        </w:tblCellMar>
      </w:tblPr>
      <w:tblGrid>
        <w:gridCol w:w="38"/>
        <w:gridCol w:w="1025"/>
        <w:gridCol w:w="3605"/>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jc w:val="left"/>
              <w:rPr/>
            </w:pPr>
            <w:bookmarkStart w:id="17" w:name="a_016"/>
            <w:bookmarkEnd w:id="17"/>
            <w:r>
              <w:rPr/>
              <w:t>ITEM 9A.</w:t>
            </w:r>
          </w:p>
        </w:tc>
        <w:tc>
          <w:tcPr>
            <w:tcW w:w="3605" w:type="dxa"/>
            <w:tcBorders/>
            <w:shd w:fill="auto" w:val="clear"/>
            <w:vAlign w:val="center"/>
          </w:tcPr>
          <w:p>
            <w:pPr>
              <w:pStyle w:val="TableContents"/>
              <w:spacing w:before="0" w:after="283"/>
              <w:jc w:val="both"/>
              <w:rPr/>
            </w:pPr>
            <w:r>
              <w:rPr/>
              <w:t>CONTROLS AND PROCEDURES</w:t>
            </w:r>
          </w:p>
        </w:tc>
      </w:tr>
    </w:tbl>
    <w:p>
      <w:pPr>
        <w:pStyle w:val="TextBody"/>
        <w:spacing w:before="0" w:after="0"/>
        <w:ind w:left="1440" w:right="0" w:hanging="1440"/>
        <w:rPr>
          <w:caps/>
        </w:rPr>
      </w:pPr>
      <w:r>
        <w:rPr>
          <w:caps/>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Controls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ind w:left="0" w:right="0" w:firstLine="720"/>
        <w:jc w:val="both"/>
        <w:rPr>
          <w:caps w:val="false"/>
          <w:smallCaps w:val="false"/>
        </w:rPr>
      </w:pPr>
      <w:r>
        <w:rPr>
          <w:caps w:val="false"/>
          <w:smallCaps w:val="false"/>
        </w:rPr>
        <w:t> </w:t>
      </w:r>
    </w:p>
    <w:tbl>
      <w:tblPr>
        <w:tblW w:w="3678" w:type="dxa"/>
        <w:jc w:val="left"/>
        <w:tblInd w:w="0" w:type="dxa"/>
        <w:tblCellMar>
          <w:top w:w="0" w:type="dxa"/>
          <w:left w:w="0" w:type="dxa"/>
          <w:bottom w:w="0" w:type="dxa"/>
          <w:right w:w="0" w:type="dxa"/>
        </w:tblCellMar>
      </w:tblPr>
      <w:tblGrid>
        <w:gridCol w:w="38"/>
        <w:gridCol w:w="1010"/>
        <w:gridCol w:w="2630"/>
      </w:tblGrid>
      <w:tr>
        <w:trPr/>
        <w:tc>
          <w:tcPr>
            <w:tcW w:w="3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jc w:val="left"/>
              <w:rPr/>
            </w:pPr>
            <w:bookmarkStart w:id="18" w:name="a_017"/>
            <w:bookmarkEnd w:id="18"/>
            <w:r>
              <w:rPr/>
              <w:t>ITEM 9B.</w:t>
            </w:r>
          </w:p>
        </w:tc>
        <w:tc>
          <w:tcPr>
            <w:tcW w:w="2630" w:type="dxa"/>
            <w:tcBorders/>
            <w:shd w:fill="auto" w:val="clear"/>
            <w:vAlign w:val="center"/>
          </w:tcPr>
          <w:p>
            <w:pPr>
              <w:pStyle w:val="TableContents"/>
              <w:spacing w:before="0" w:after="283"/>
              <w:jc w:val="both"/>
              <w:rPr/>
            </w:pPr>
            <w:r>
              <w:rPr/>
              <w:t>OTHER INFORMATION</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PART III</w:t>
      </w:r>
    </w:p>
    <w:p>
      <w:pPr>
        <w:pStyle w:val="TextBody"/>
        <w:spacing w:before="0" w:after="0"/>
        <w:ind w:left="0" w:right="0" w:hanging="0"/>
        <w:jc w:val="center"/>
        <w:rPr>
          <w:caps w:val="false"/>
          <w:smallCaps w:val="false"/>
        </w:rPr>
      </w:pPr>
      <w:r>
        <w:rPr>
          <w:caps w:val="false"/>
          <w:smallCaps w:val="false"/>
        </w:rPr>
        <w:t> </w:t>
      </w:r>
    </w:p>
    <w:tbl>
      <w:tblPr>
        <w:tblW w:w="9003" w:type="dxa"/>
        <w:jc w:val="left"/>
        <w:tblInd w:w="0" w:type="dxa"/>
        <w:tblCellMar>
          <w:top w:w="0" w:type="dxa"/>
          <w:left w:w="0" w:type="dxa"/>
          <w:bottom w:w="0" w:type="dxa"/>
          <w:right w:w="0" w:type="dxa"/>
        </w:tblCellMar>
      </w:tblPr>
      <w:tblGrid>
        <w:gridCol w:w="38"/>
        <w:gridCol w:w="965"/>
        <w:gridCol w:w="800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pPr>
            <w:bookmarkStart w:id="20" w:name="a_019"/>
            <w:bookmarkEnd w:id="20"/>
            <w:r>
              <w:rPr/>
              <w:t>ITEM 10.</w:t>
            </w:r>
          </w:p>
        </w:tc>
        <w:tc>
          <w:tcPr>
            <w:tcW w:w="8000" w:type="dxa"/>
            <w:tcBorders/>
            <w:shd w:fill="auto" w:val="clear"/>
            <w:vAlign w:val="center"/>
          </w:tcPr>
          <w:p>
            <w:pPr>
              <w:pStyle w:val="TableContents"/>
              <w:spacing w:before="0" w:after="283"/>
              <w:jc w:val="both"/>
              <w:rPr/>
            </w:pPr>
            <w:r>
              <w:rPr/>
              <w:t>DIRECTORS, EXECUTIVE OFFICERS AND CORPORATE GOVERNANCE</w:t>
            </w:r>
          </w:p>
        </w:tc>
      </w:tr>
    </w:tbl>
    <w:p>
      <w:pPr>
        <w:pStyle w:val="TextBody"/>
        <w:spacing w:before="0" w:after="0"/>
        <w:ind w:left="1440" w:right="0" w:hanging="1440"/>
        <w:rPr>
          <w:caps/>
        </w:rPr>
      </w:pPr>
      <w:r>
        <w:rPr>
          <w:caps/>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our directors and officers are as follows:</w:t>
      </w:r>
    </w:p>
    <w:p>
      <w:pPr>
        <w:pStyle w:val="TextBody"/>
        <w:spacing w:before="0" w:after="0"/>
        <w:ind w:left="0" w:right="0" w:firstLine="720"/>
        <w:jc w:val="both"/>
        <w:rPr>
          <w:caps w:val="false"/>
          <w:smallCaps w:val="false"/>
        </w:rPr>
      </w:pPr>
      <w:r>
        <w:rPr>
          <w:caps w:val="false"/>
          <w:smallCaps w:val="false"/>
        </w:rPr>
        <w:t> </w:t>
      </w:r>
    </w:p>
    <w:tbl>
      <w:tblPr>
        <w:tblW w:w="4650" w:type="dxa"/>
        <w:jc w:val="left"/>
        <w:tblInd w:w="0" w:type="dxa"/>
        <w:tblCellMar>
          <w:top w:w="0" w:type="dxa"/>
          <w:left w:w="0" w:type="dxa"/>
          <w:bottom w:w="28" w:type="dxa"/>
          <w:right w:w="0" w:type="dxa"/>
        </w:tblCellMar>
      </w:tblPr>
      <w:tblGrid>
        <w:gridCol w:w="1175"/>
        <w:gridCol w:w="60"/>
        <w:gridCol w:w="350"/>
        <w:gridCol w:w="60"/>
        <w:gridCol w:w="3005"/>
      </w:tblGrid>
      <w:tr>
        <w:trPr/>
        <w:tc>
          <w:tcPr>
            <w:tcW w:w="117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350"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pPr>
            <w:r>
              <w:rPr/>
              <w:t> </w:t>
            </w:r>
          </w:p>
        </w:tc>
        <w:tc>
          <w:tcPr>
            <w:tcW w:w="3005" w:type="dxa"/>
            <w:tcBorders>
              <w:bottom w:val="single" w:sz="12" w:space="0" w:color="000000"/>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17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w:t>
              <w:tab/>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17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Honour</w:t>
              <w:tab/>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117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Quiram</w:t>
              <w:tab/>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17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Gaenzle</w:t>
              <w:tab/>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17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Isaac Barchas</w:t>
              <w:tab/>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17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Kelly</w:t>
              <w:tab/>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 serves as our Chief Executive Officer and on our board of directors. Mr. Leonard has over 15 years of experience leading highly successful business transformations and transitions. Mr. Leonard also has deep expertise over the past eight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In addition, Mr. Leonard serves as a manager of our Sponsor. Mr. Leonard earned a B.S. with Highest Honors from Georgia Tech, and an M.B.A. with Distinction from The Kellogg Graduate School of Management at Northwestern.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ten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Choice Delivery, LLC, United Language Group, Inc., Renters Warehouse LLC, Real Dolmen (REM:BB) and Westwood One, Inc. (formerly Nasdaq: WWON), and is a co-founder of Titan CNG LLC and YapStone Inc. In addition, Mr. Honour serves as a manager of our Sponsor. Mr. Honour earned a B.S. and B.A.,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in Business Administration and Economics from Pepperdine University and an M.B.A. in Finance and Marketing from the Wharton School of the University of Pennsylvania.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Terms of Office of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with only one class of directors being elected in each year, and with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 term of office of the first class of directors, consisting of Rick Gaenzle, will expire at our first annual meeting of shareholders. The term of office of the second class of directors, consisting of Isaac Barchas and Justin Kelly, will expire at our second annual meeting of shareholders. The term of office of the third class of directors, consisting of Scott Leonard and Scott Honour, will expire at our third annual meeting of shareholders.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agreement entered into at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one or more chairman of the board, chief executive officer, president, chief financial officer, vice presidents, secretary, treasurer and such other offices as may be determined by the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listing standards require that a majority of our board of directors be independent. Our board of directors has determined that Rick Gaenzle, Isaac Barchas and Justin Kelly are “independent directors” as defined in the NYSE listing standards. Our independent directors have regularly scheduled meetings at which only independent directors are present.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of the board of directors. Rick Gaenzle, Isaac Barchas and Justin Kelly serve as members of our audit committee. Our board of directors has determined that each of Rick Gaenzle, Isaac Barchas and Justin Kelly are independent under the NYSE listing standards and applicable SEC rules. Rick Gaenzle serves as the Chairman of the audit committee. Each member of the audit committee is financially literate and our board of directors has determined that Rick Gaenzle qualifies as an “audit committee financial expert” as defined in applicable SEC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with our independent registered public accounting firm regarding, among other issues, audits, and adequacy of our accounting and control systems;</w:t>
            </w:r>
          </w:p>
        </w:tc>
      </w:tr>
    </w:tbl>
    <w:p>
      <w:pPr>
        <w:pStyle w:val="TextBody"/>
        <w:spacing w:before="0" w:after="0"/>
        <w:rPr>
          <w:caps w:val="false"/>
          <w:smallCaps w:val="false"/>
        </w:rPr>
      </w:pPr>
      <w:r>
        <w:rPr>
          <w:caps w:val="false"/>
          <w:smallCaps w:val="false"/>
        </w:rPr>
        <w:t> </w:t>
      </w:r>
    </w:p>
    <w:tbl>
      <w:tblPr>
        <w:tblW w:w="7023" w:type="dxa"/>
        <w:jc w:val="left"/>
        <w:tblInd w:w="0" w:type="dxa"/>
        <w:tblCellMar>
          <w:top w:w="0" w:type="dxa"/>
          <w:left w:w="0" w:type="dxa"/>
          <w:bottom w:w="0" w:type="dxa"/>
          <w:right w:w="0" w:type="dxa"/>
        </w:tblCellMar>
      </w:tblPr>
      <w:tblGrid>
        <w:gridCol w:w="38"/>
        <w:gridCol w:w="170"/>
        <w:gridCol w:w="68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8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the independence of the independent registered public accounting firm;</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verifying the rotation of the lead (or coordinating) audit partner having primary responsibility for the audit and the audit partner responsible for reviewing the audit as required by law;</w:t>
            </w:r>
          </w:p>
        </w:tc>
      </w:tr>
    </w:tbl>
    <w:p>
      <w:pPr>
        <w:pStyle w:val="TextBody"/>
        <w:spacing w:before="0" w:after="0"/>
        <w:rPr>
          <w:caps w:val="false"/>
          <w:smallCaps w:val="false"/>
        </w:rPr>
      </w:pPr>
      <w:r>
        <w:rPr>
          <w:caps w:val="false"/>
          <w:smallCaps w:val="false"/>
        </w:rPr>
        <w:t> </w:t>
      </w:r>
    </w:p>
    <w:tbl>
      <w:tblPr>
        <w:tblW w:w="8118" w:type="dxa"/>
        <w:jc w:val="left"/>
        <w:tblInd w:w="0" w:type="dxa"/>
        <w:tblCellMar>
          <w:top w:w="0" w:type="dxa"/>
          <w:left w:w="0" w:type="dxa"/>
          <w:bottom w:w="0" w:type="dxa"/>
          <w:right w:w="0" w:type="dxa"/>
        </w:tblCellMar>
      </w:tblPr>
      <w:tblGrid>
        <w:gridCol w:w="38"/>
        <w:gridCol w:w="170"/>
        <w:gridCol w:w="79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9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inquiring and discussing with management our compliance with applicable laws and regulations;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all audit services and permitted non-audit services to be performed by our independent registered public accounting firm, including the fees and terms of the services to be performed;</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6333" w:type="dxa"/>
        <w:jc w:val="left"/>
        <w:tblInd w:w="0" w:type="dxa"/>
        <w:tblCellMar>
          <w:top w:w="0" w:type="dxa"/>
          <w:left w:w="0" w:type="dxa"/>
          <w:bottom w:w="0" w:type="dxa"/>
          <w:right w:w="0" w:type="dxa"/>
        </w:tblCellMar>
      </w:tblPr>
      <w:tblGrid>
        <w:gridCol w:w="38"/>
        <w:gridCol w:w="170"/>
        <w:gridCol w:w="61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1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or replacing the independent registered public accounting firm;</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retention and treatment of complaints received by us regarding accounting, internal accounting controls or reports which raise material issues regarding our financial statements or accounting policies;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payments made to our existing shareholders, executive officers or directors and their respective affiliates. Any payments made to members of our audit committee are reviewed and approved by our board of directors, with the interested director or directors abstaining from such review and approval.</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nominating committee of our board of directors. The members of our nominating committee are Rick Gaenzle, Isaac Barchas and Justin Kelly, and Isaac Barchas serves as chairman of the nominating committee. Under the NYSE listing standards, we are required to have a nominating committee composed entirely of independent directors. Our board of directors has determined that each of Rick Gaenzle, Isaac Barchas and Justin Kelly are independent.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is responsible for overseeing the selection of persons to be nominated to serve on our board of directors. The nominating committee considers persons identified by its members, management, shareholders, investment bankers and others.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Guidelines for Selecting Director Nominees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for selecting nominees, which are specified in a charter to be adopted by us, generally provides that persons to be nominated:</w:t>
      </w:r>
    </w:p>
    <w:p>
      <w:pPr>
        <w:pStyle w:val="TextBody"/>
        <w:spacing w:before="0" w:after="0"/>
        <w:ind w:left="0" w:right="0" w:firstLine="720"/>
        <w:jc w:val="both"/>
        <w:rPr>
          <w:caps w:val="false"/>
          <w:smallCaps w:val="false"/>
        </w:rPr>
      </w:pPr>
      <w:r>
        <w:rPr>
          <w:caps w:val="false"/>
          <w:smallCaps w:val="false"/>
        </w:rPr>
        <w:t> </w:t>
      </w:r>
    </w:p>
    <w:tbl>
      <w:tblPr>
        <w:tblW w:w="8613" w:type="dxa"/>
        <w:jc w:val="left"/>
        <w:tblInd w:w="0" w:type="dxa"/>
        <w:tblCellMar>
          <w:top w:w="0" w:type="dxa"/>
          <w:left w:w="0" w:type="dxa"/>
          <w:bottom w:w="0" w:type="dxa"/>
          <w:right w:w="0" w:type="dxa"/>
        </w:tblCellMar>
      </w:tblPr>
      <w:tblGrid>
        <w:gridCol w:w="38"/>
        <w:gridCol w:w="170"/>
        <w:gridCol w:w="84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4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have demonstrated notable or significant achievements in business, education or public service;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possess the requisite intelligence, education and experience to make a significant contribution to the board of directors and bring a range of skills, diverse perspectives and backgrounds to its deliberations;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have the highest ethical standards, a strong sense of professionalism and intense dedication to serving the interests of the shareholders.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considers the overall experience and makeup of its members to obtain a broad and diverse mix of board members. The nominating committee does not distinguish among nominees recommended by shareholders and other persons.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compensation committee of our board of directors. The members of our compensation committee are Rick Gaenzle, Isaac Barchas and Justin Kelly, and Justin Kelly serves as chairman of the compensation committee.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NYSE listing standards, we are required to have a compensation committee composed entirely of independent directors. Our board of directors has determined that each of Rick Gaenzle, Isaac Barchas and Justin Kelly are independent. We have adopted a compensation committee charter, which details the principal functions of the compensation committee, including:</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tc>
      </w:tr>
    </w:tbl>
    <w:p>
      <w:pPr>
        <w:pStyle w:val="TextBody"/>
        <w:spacing w:before="0" w:after="0"/>
        <w:rPr>
          <w:caps w:val="false"/>
          <w:smallCaps w:val="false"/>
        </w:rPr>
      </w:pPr>
      <w:r>
        <w:rPr>
          <w:caps w:val="false"/>
          <w:smallCaps w:val="false"/>
        </w:rPr>
        <w:t> </w:t>
      </w:r>
    </w:p>
    <w:tbl>
      <w:tblPr>
        <w:tblW w:w="7683" w:type="dxa"/>
        <w:jc w:val="left"/>
        <w:tblInd w:w="0" w:type="dxa"/>
        <w:tblCellMar>
          <w:top w:w="0" w:type="dxa"/>
          <w:left w:w="0" w:type="dxa"/>
          <w:bottom w:w="0" w:type="dxa"/>
          <w:right w:w="0" w:type="dxa"/>
        </w:tblCellMar>
      </w:tblPr>
      <w:tblGrid>
        <w:gridCol w:w="38"/>
        <w:gridCol w:w="170"/>
        <w:gridCol w:w="74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4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all of our other Section 16 executive officers;</w:t>
            </w:r>
          </w:p>
        </w:tc>
      </w:tr>
    </w:tbl>
    <w:p>
      <w:pPr>
        <w:pStyle w:val="TextBody"/>
        <w:spacing w:before="0" w:after="0"/>
        <w:rPr>
          <w:caps w:val="false"/>
          <w:smallCaps w:val="false"/>
        </w:rPr>
      </w:pPr>
      <w:r>
        <w:rPr>
          <w:caps w:val="false"/>
          <w:smallCaps w:val="false"/>
        </w:rPr>
        <w:t> </w:t>
      </w:r>
    </w:p>
    <w:tbl>
      <w:tblPr>
        <w:tblW w:w="4968" w:type="dxa"/>
        <w:jc w:val="left"/>
        <w:tblInd w:w="0" w:type="dxa"/>
        <w:tblCellMar>
          <w:top w:w="0" w:type="dxa"/>
          <w:left w:w="0" w:type="dxa"/>
          <w:bottom w:w="0" w:type="dxa"/>
          <w:right w:w="0" w:type="dxa"/>
        </w:tblCellMar>
      </w:tblPr>
      <w:tblGrid>
        <w:gridCol w:w="38"/>
        <w:gridCol w:w="170"/>
        <w:gridCol w:w="47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executive compensation policies and plans;</w:t>
            </w:r>
          </w:p>
        </w:tc>
      </w:tr>
    </w:tbl>
    <w:p>
      <w:pPr>
        <w:pStyle w:val="TextBody"/>
        <w:spacing w:before="0" w:after="0"/>
        <w:rPr>
          <w:caps w:val="false"/>
          <w:smallCaps w:val="false"/>
        </w:rPr>
      </w:pPr>
      <w:r>
        <w:rPr>
          <w:caps w:val="false"/>
          <w:smallCaps w:val="false"/>
        </w:rPr>
        <w:t> </w:t>
      </w:r>
    </w:p>
    <w:tbl>
      <w:tblPr>
        <w:tblW w:w="7968" w:type="dxa"/>
        <w:jc w:val="left"/>
        <w:tblInd w:w="0" w:type="dxa"/>
        <w:tblCellMar>
          <w:top w:w="0" w:type="dxa"/>
          <w:left w:w="0" w:type="dxa"/>
          <w:bottom w:w="0" w:type="dxa"/>
          <w:right w:w="0" w:type="dxa"/>
        </w:tblCellMar>
      </w:tblPr>
      <w:tblGrid>
        <w:gridCol w:w="38"/>
        <w:gridCol w:w="170"/>
        <w:gridCol w:w="77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7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administering our incentive compensation equity-based remuneration plans;</w:t>
            </w:r>
          </w:p>
        </w:tc>
      </w:tr>
    </w:tbl>
    <w:p>
      <w:pPr>
        <w:pStyle w:val="TextBody"/>
        <w:spacing w:before="0" w:after="0"/>
        <w:rPr>
          <w:caps w:val="false"/>
          <w:smallCaps w:val="false"/>
        </w:rPr>
      </w:pPr>
      <w:r>
        <w:rPr>
          <w:caps w:val="false"/>
          <w:smallCaps w:val="false"/>
        </w:rPr>
        <w:t> </w:t>
      </w:r>
    </w:p>
    <w:tbl>
      <w:tblPr>
        <w:tblW w:w="8733" w:type="dxa"/>
        <w:jc w:val="left"/>
        <w:tblInd w:w="0" w:type="dxa"/>
        <w:tblCellMar>
          <w:top w:w="0" w:type="dxa"/>
          <w:left w:w="0" w:type="dxa"/>
          <w:bottom w:w="0" w:type="dxa"/>
          <w:right w:w="0" w:type="dxa"/>
        </w:tblCellMar>
      </w:tblPr>
      <w:tblGrid>
        <w:gridCol w:w="38"/>
        <w:gridCol w:w="17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5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in complying with our proxy statement and annual report disclosure requirements;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all special perquisites, special cash payments and other special compensation and benefit arrangements for our executive officers and employees;</w:t>
            </w:r>
          </w:p>
        </w:tc>
      </w:tr>
    </w:tbl>
    <w:p>
      <w:pPr>
        <w:pStyle w:val="TextBody"/>
        <w:spacing w:before="0" w:after="0"/>
        <w:rPr>
          <w:caps w:val="false"/>
          <w:smallCaps w:val="false"/>
        </w:rPr>
      </w:pPr>
      <w:r>
        <w:rPr>
          <w:caps w:val="false"/>
          <w:smallCaps w:val="false"/>
        </w:rPr>
        <w:t> </w:t>
      </w:r>
    </w:p>
    <w:tbl>
      <w:tblPr>
        <w:tblW w:w="8118" w:type="dxa"/>
        <w:jc w:val="left"/>
        <w:tblInd w:w="0" w:type="dxa"/>
        <w:tblCellMar>
          <w:top w:w="0" w:type="dxa"/>
          <w:left w:w="0" w:type="dxa"/>
          <w:bottom w:w="0" w:type="dxa"/>
          <w:right w:w="0" w:type="dxa"/>
        </w:tblCellMar>
      </w:tblPr>
      <w:tblGrid>
        <w:gridCol w:w="38"/>
        <w:gridCol w:w="170"/>
        <w:gridCol w:w="79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9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producing a report on executive compensation to be included in our annual proxy statement; and</w:t>
            </w:r>
          </w:p>
        </w:tc>
      </w:tr>
    </w:tbl>
    <w:p>
      <w:pPr>
        <w:pStyle w:val="TextBody"/>
        <w:spacing w:before="0" w:after="0"/>
        <w:rPr>
          <w:caps w:val="false"/>
          <w:smallCaps w:val="false"/>
        </w:rPr>
      </w:pPr>
      <w:r>
        <w:rPr>
          <w:caps w:val="false"/>
          <w:smallCaps w:val="false"/>
        </w:rPr>
        <w:t> </w:t>
      </w:r>
    </w:p>
    <w:tbl>
      <w:tblPr>
        <w:tblW w:w="8253" w:type="dxa"/>
        <w:jc w:val="left"/>
        <w:tblInd w:w="0" w:type="dxa"/>
        <w:tblCellMar>
          <w:top w:w="0" w:type="dxa"/>
          <w:left w:w="0" w:type="dxa"/>
          <w:bottom w:w="0" w:type="dxa"/>
          <w:right w:w="0" w:type="dxa"/>
        </w:tblCellMar>
      </w:tblPr>
      <w:tblGrid>
        <w:gridCol w:w="38"/>
        <w:gridCol w:w="170"/>
        <w:gridCol w:w="80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0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changes, if appropriate, to the remuneration for directors.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the compensation committee may, in its sole discretion, retain or obtain the advice of a compensation consultant, legal counsel or other adviser and is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Interlocks and Insider Participation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currently serves, and in the past year has not served, as a member of the compensation committee of any entity that has one or more executive officers serving on our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directors and officers owe the following fiduciary duties:</w:t>
      </w:r>
    </w:p>
    <w:p>
      <w:pPr>
        <w:pStyle w:val="TextBody"/>
        <w:spacing w:before="0" w:after="0"/>
        <w:ind w:left="0" w:right="0" w:firstLine="720"/>
        <w:jc w:val="both"/>
        <w:rPr>
          <w:caps w:val="false"/>
          <w:smallCaps w:val="false"/>
        </w:rPr>
      </w:pPr>
      <w:r>
        <w:rPr>
          <w:caps w:val="false"/>
          <w:smallCaps w:val="false"/>
        </w:rPr>
        <w:t> </w:t>
      </w:r>
    </w:p>
    <w:tbl>
      <w:tblPr>
        <w:tblW w:w="9633" w:type="dxa"/>
        <w:jc w:val="left"/>
        <w:tblInd w:w="0" w:type="dxa"/>
        <w:tblCellMar>
          <w:top w:w="0" w:type="dxa"/>
          <w:left w:w="0" w:type="dxa"/>
          <w:bottom w:w="0" w:type="dxa"/>
          <w:right w:w="0" w:type="dxa"/>
        </w:tblCellMar>
      </w:tblPr>
      <w:tblGrid>
        <w:gridCol w:w="38"/>
        <w:gridCol w:w="170"/>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4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act in good faith in what the director or officer believes to be in the best interests of the company as a whole;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9243" w:type="dxa"/>
        <w:jc w:val="left"/>
        <w:tblInd w:w="0" w:type="dxa"/>
        <w:tblCellMar>
          <w:top w:w="0" w:type="dxa"/>
          <w:left w:w="0" w:type="dxa"/>
          <w:bottom w:w="0" w:type="dxa"/>
          <w:right w:w="0" w:type="dxa"/>
        </w:tblCellMar>
      </w:tblPr>
      <w:tblGrid>
        <w:gridCol w:w="38"/>
        <w:gridCol w:w="170"/>
        <w:gridCol w:w="90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for the purposes for which those powers were conferred and not for a collateral purpose;</w:t>
            </w:r>
          </w:p>
        </w:tc>
      </w:tr>
    </w:tbl>
    <w:p>
      <w:pPr>
        <w:pStyle w:val="TextBody"/>
        <w:spacing w:before="0" w:after="0"/>
        <w:rPr>
          <w:caps w:val="false"/>
          <w:smallCaps w:val="false"/>
        </w:rPr>
      </w:pPr>
      <w:r>
        <w:rPr>
          <w:caps w:val="false"/>
          <w:smallCaps w:val="false"/>
        </w:rPr>
        <w:t> </w:t>
      </w:r>
    </w:p>
    <w:tbl>
      <w:tblPr>
        <w:tblW w:w="5928" w:type="dxa"/>
        <w:jc w:val="left"/>
        <w:tblInd w:w="0" w:type="dxa"/>
        <w:tblCellMar>
          <w:top w:w="0" w:type="dxa"/>
          <w:left w:w="0" w:type="dxa"/>
          <w:bottom w:w="0" w:type="dxa"/>
          <w:right w:w="0" w:type="dxa"/>
        </w:tblCellMar>
      </w:tblPr>
      <w:tblGrid>
        <w:gridCol w:w="38"/>
        <w:gridCol w:w="170"/>
        <w:gridCol w:w="57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7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should not improperly fetter the exercise of future discretion;</w:t>
            </w:r>
          </w:p>
        </w:tc>
      </w:tr>
    </w:tbl>
    <w:p>
      <w:pPr>
        <w:pStyle w:val="TextBody"/>
        <w:spacing w:before="0" w:after="0"/>
        <w:rPr>
          <w:caps w:val="false"/>
          <w:smallCaps w:val="false"/>
        </w:rPr>
      </w:pPr>
      <w:r>
        <w:rPr>
          <w:caps w:val="false"/>
          <w:smallCaps w:val="false"/>
        </w:rPr>
        <w:t> </w:t>
      </w:r>
    </w:p>
    <w:tbl>
      <w:tblPr>
        <w:tblW w:w="6333" w:type="dxa"/>
        <w:jc w:val="left"/>
        <w:tblInd w:w="0" w:type="dxa"/>
        <w:tblCellMar>
          <w:top w:w="0" w:type="dxa"/>
          <w:left w:w="0" w:type="dxa"/>
          <w:bottom w:w="0" w:type="dxa"/>
          <w:right w:w="0" w:type="dxa"/>
        </w:tblCellMar>
      </w:tblPr>
      <w:tblGrid>
        <w:gridCol w:w="38"/>
        <w:gridCol w:w="170"/>
        <w:gridCol w:w="61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1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powers fairly as between different sections of shareholders;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not to put themselves in a position in which there is a conflict between their duty to the company and their personal interests; and</w:t>
            </w:r>
          </w:p>
        </w:tc>
      </w:tr>
    </w:tbl>
    <w:p>
      <w:pPr>
        <w:pStyle w:val="TextBody"/>
        <w:spacing w:before="0" w:after="0"/>
        <w:rPr>
          <w:caps w:val="false"/>
          <w:smallCaps w:val="false"/>
        </w:rPr>
      </w:pPr>
      <w:r>
        <w:rPr>
          <w:caps w:val="false"/>
          <w:smallCaps w:val="false"/>
        </w:rPr>
        <w:t> </w:t>
      </w:r>
    </w:p>
    <w:tbl>
      <w:tblPr>
        <w:tblW w:w="3468" w:type="dxa"/>
        <w:jc w:val="left"/>
        <w:tblInd w:w="0" w:type="dxa"/>
        <w:tblCellMar>
          <w:top w:w="0" w:type="dxa"/>
          <w:left w:w="0" w:type="dxa"/>
          <w:bottom w:w="0" w:type="dxa"/>
          <w:right w:w="0" w:type="dxa"/>
        </w:tblCellMar>
      </w:tblPr>
      <w:tblGrid>
        <w:gridCol w:w="38"/>
        <w:gridCol w:w="170"/>
        <w:gridCol w:w="32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2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 to exercise independent judgment.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table summarizing the entities to which our executive officers and directors currently have fiduciary duties, contractual obligations or other material management relationships: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151"/>
        <w:gridCol w:w="60"/>
        <w:gridCol w:w="3336"/>
        <w:gridCol w:w="60"/>
        <w:gridCol w:w="1510"/>
        <w:gridCol w:w="60"/>
        <w:gridCol w:w="4028"/>
      </w:tblGrid>
      <w:tr>
        <w:trPr/>
        <w:tc>
          <w:tcPr>
            <w:tcW w:w="1151"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Entity’s Business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w:t>
            </w:r>
          </w:p>
        </w:tc>
      </w:tr>
      <w:tr>
        <w:trPr/>
        <w:tc>
          <w:tcPr>
            <w:tcW w:w="1151"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Lonestar II Generation Holdings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Opportunities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Honour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Northern Pacific Group</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 Transportation &amp; Energy Services Inc.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Opportunities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Gaenzle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Gilbert Global Equity Capital,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Managing Director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Delta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Advisor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Northern Pacific Group</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Partner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Homes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Isaac Barchas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Bridge Partners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Novosteo,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MorphImmune, Inc.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Member</w:t>
            </w:r>
          </w:p>
        </w:tc>
      </w:tr>
      <w:tr>
        <w:trPr/>
        <w:tc>
          <w:tcPr>
            <w:tcW w:w="1151"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51"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Kelly</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33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Winslow Capital Management,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02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Chief Investment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investors should also be aware of the following other potential conflicts of interest: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subscribed for founder shares prior to the date of the prospectus and purchased private placement warrants in a transaction that closed simultaneously with the closing of our initial public offering.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certain of our executive officers and directors own ordinary shares or warrants directly or indirectly, they may have a conflict of interest in determining whether a particular target business is an appropriate business with which to effectuate our initial business combination.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or another independent entity that commonly renders valuation opinions,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of the above mentioned conflicts will be resolved in our favor.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submit our initial business combination to our public shareholders for a vote, our Sponsor, our Founders and each member of our management team have agreed to vote their founder shares and any public shares purchased during or after our initial public offering in favor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provisions, the insurance and the indemnity agreements are necessary to attract and retain talented and experienced officers and directors.</w:t>
      </w:r>
    </w:p>
    <w:p>
      <w:pPr>
        <w:pStyle w:val="TextBody"/>
        <w:spacing w:before="0" w:after="0"/>
        <w:ind w:left="0" w:right="0" w:firstLine="720"/>
        <w:jc w:val="both"/>
        <w:rPr>
          <w:caps w:val="false"/>
          <w:smallCaps w:val="false"/>
        </w:rPr>
      </w:pPr>
      <w:r>
        <w:rPr>
          <w:caps w:val="false"/>
          <w:smallCaps w:val="false"/>
        </w:rPr>
        <w:t> </w:t>
      </w:r>
    </w:p>
    <w:tbl>
      <w:tblPr>
        <w:tblW w:w="4398" w:type="dxa"/>
        <w:jc w:val="left"/>
        <w:tblInd w:w="0" w:type="dxa"/>
        <w:tblCellMar>
          <w:top w:w="0" w:type="dxa"/>
          <w:left w:w="0" w:type="dxa"/>
          <w:bottom w:w="0" w:type="dxa"/>
          <w:right w:w="0" w:type="dxa"/>
        </w:tblCellMar>
      </w:tblPr>
      <w:tblGrid>
        <w:gridCol w:w="38"/>
        <w:gridCol w:w="965"/>
        <w:gridCol w:w="339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pPr>
            <w:bookmarkStart w:id="21" w:name="a_020"/>
            <w:bookmarkEnd w:id="21"/>
            <w:r>
              <w:rPr/>
              <w:t>ITEM 11.</w:t>
            </w:r>
          </w:p>
        </w:tc>
        <w:tc>
          <w:tcPr>
            <w:tcW w:w="3395" w:type="dxa"/>
            <w:tcBorders/>
            <w:shd w:fill="auto" w:val="clear"/>
            <w:vAlign w:val="center"/>
          </w:tcPr>
          <w:p>
            <w:pPr>
              <w:pStyle w:val="TableContents"/>
              <w:spacing w:before="0" w:after="283"/>
              <w:jc w:val="both"/>
              <w:rPr/>
            </w:pPr>
            <w:r>
              <w:rPr/>
              <w:t>EXECUTIVE COMPENSATION</w:t>
            </w:r>
          </w:p>
        </w:tc>
      </w:tr>
    </w:tbl>
    <w:p>
      <w:pPr>
        <w:pStyle w:val="TextBody"/>
        <w:spacing w:before="0" w:after="0"/>
        <w:ind w:left="1440" w:right="0" w:hanging="1440"/>
        <w:rPr>
          <w:caps/>
        </w:rPr>
      </w:pPr>
      <w:r>
        <w:rPr>
          <w:caps/>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 and 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concerns the compensation of our executive officers and directors for the fiscal year ended December 31, 2020 (i.e., pre-business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reimburse an affiliate of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executive officers or directors, or our or their affiliates. Any such payments prior to an initial business combination are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are paid by the company to our Sponsor, executive officers and directors, or any of their respective affiliates, prior to completion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our initial business combination, directors or members of our management team who remain with us may be paid consulting or management fees from the combined company. All of these fees are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825"/>
        <w:gridCol w:w="9342"/>
      </w:tblGrid>
      <w:tr>
        <w:trPr/>
        <w:tc>
          <w:tcPr>
            <w:tcW w:w="38"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jc w:val="left"/>
              <w:rPr/>
            </w:pPr>
            <w:bookmarkStart w:id="22" w:name="a_021"/>
            <w:bookmarkEnd w:id="22"/>
            <w:r>
              <w:rPr/>
              <w:t>ITEM 12.</w:t>
            </w:r>
          </w:p>
        </w:tc>
        <w:tc>
          <w:tcPr>
            <w:tcW w:w="9342" w:type="dxa"/>
            <w:tcBorders/>
            <w:shd w:fill="auto" w:val="clear"/>
            <w:vAlign w:val="center"/>
          </w:tcPr>
          <w:p>
            <w:pPr>
              <w:pStyle w:val="TableContents"/>
              <w:spacing w:before="0" w:after="283"/>
              <w:jc w:val="both"/>
              <w:rPr/>
            </w:pPr>
            <w:r>
              <w:rPr/>
              <w:t>SECURITY OWNERSHIP OF CERTAIN BENEFICIAL OWNERS AND MANAGEMENT AND RELATED SHAREHOLDER MATTERS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ordinary shares as of December 31, 2020 based on information obtained from the persons named below, with respect to the beneficial ownership of our ordinary shares, by:</w:t>
      </w:r>
    </w:p>
    <w:p>
      <w:pPr>
        <w:pStyle w:val="TextBody"/>
        <w:spacing w:before="0" w:after="0"/>
        <w:ind w:left="0" w:right="0" w:firstLine="720"/>
        <w:jc w:val="both"/>
        <w:rPr>
          <w:caps w:val="false"/>
          <w:smallCaps w:val="false"/>
        </w:rPr>
      </w:pPr>
      <w:r>
        <w:rPr>
          <w:caps w:val="false"/>
          <w:smallCaps w:val="false"/>
        </w:rPr>
        <w:t> </w:t>
      </w:r>
    </w:p>
    <w:tbl>
      <w:tblPr>
        <w:tblW w:w="9588" w:type="dxa"/>
        <w:jc w:val="left"/>
        <w:tblInd w:w="0" w:type="dxa"/>
        <w:tblCellMar>
          <w:top w:w="0" w:type="dxa"/>
          <w:left w:w="0" w:type="dxa"/>
          <w:bottom w:w="0" w:type="dxa"/>
          <w:right w:w="0" w:type="dxa"/>
        </w:tblCellMar>
      </w:tblPr>
      <w:tblGrid>
        <w:gridCol w:w="38"/>
        <w:gridCol w:w="170"/>
        <w:gridCol w:w="93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3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 the beneficial owner of more than 5% of our issued and outstanding ordinary shares;</w:t>
            </w:r>
          </w:p>
        </w:tc>
      </w:tr>
    </w:tbl>
    <w:p>
      <w:pPr>
        <w:pStyle w:val="TextBody"/>
        <w:spacing w:before="0" w:after="0"/>
        <w:rPr>
          <w:caps w:val="false"/>
          <w:smallCaps w:val="false"/>
        </w:rPr>
      </w:pPr>
      <w:r>
        <w:rPr>
          <w:caps w:val="false"/>
          <w:smallCaps w:val="false"/>
        </w:rPr>
        <w:t> </w:t>
      </w:r>
    </w:p>
    <w:tbl>
      <w:tblPr>
        <w:tblW w:w="7248" w:type="dxa"/>
        <w:jc w:val="left"/>
        <w:tblInd w:w="0" w:type="dxa"/>
        <w:tblCellMar>
          <w:top w:w="0" w:type="dxa"/>
          <w:left w:w="0" w:type="dxa"/>
          <w:bottom w:w="0" w:type="dxa"/>
          <w:right w:w="0" w:type="dxa"/>
        </w:tblCellMar>
      </w:tblPr>
      <w:tblGrid>
        <w:gridCol w:w="38"/>
        <w:gridCol w:w="170"/>
        <w:gridCol w:w="70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0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that beneficially owns ordinary shares; and</w:t>
            </w:r>
          </w:p>
        </w:tc>
      </w:tr>
    </w:tbl>
    <w:p>
      <w:pPr>
        <w:pStyle w:val="TextBody"/>
        <w:spacing w:before="0" w:after="0"/>
        <w:rPr>
          <w:caps w:val="false"/>
          <w:smallCaps w:val="false"/>
        </w:rPr>
      </w:pPr>
      <w:r>
        <w:rPr>
          <w:caps w:val="false"/>
          <w:smallCaps w:val="false"/>
        </w:rPr>
        <w:t> </w:t>
      </w:r>
    </w:p>
    <w:tbl>
      <w:tblPr>
        <w:tblW w:w="4263" w:type="dxa"/>
        <w:jc w:val="left"/>
        <w:tblInd w:w="0" w:type="dxa"/>
        <w:tblCellMar>
          <w:top w:w="0" w:type="dxa"/>
          <w:left w:w="0" w:type="dxa"/>
          <w:bottom w:w="0" w:type="dxa"/>
          <w:right w:w="0" w:type="dxa"/>
        </w:tblCellMar>
      </w:tblPr>
      <w:tblGrid>
        <w:gridCol w:w="38"/>
        <w:gridCol w:w="170"/>
        <w:gridCol w:w="40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0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executive officers and directors as a group.</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table below, percentage ownership is based on 30,000,000 Class A ordinary shares (which includes Class A ordinary shares that are underlying the units) and 7,500,000 Class B ordinary shares outstanding as of December 31, 2020. The table below does not include the Class A ordinary shares underlying the private placement warrants held by our Sponsor because these securities are not exercisable within 60 days of this Report.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93"/>
        <w:gridCol w:w="60"/>
        <w:gridCol w:w="114"/>
        <w:gridCol w:w="1606"/>
        <w:gridCol w:w="65"/>
        <w:gridCol w:w="65"/>
        <w:gridCol w:w="211"/>
        <w:gridCol w:w="1557"/>
        <w:gridCol w:w="215"/>
        <w:gridCol w:w="60"/>
        <w:gridCol w:w="121"/>
        <w:gridCol w:w="1600"/>
        <w:gridCol w:w="67"/>
        <w:gridCol w:w="67"/>
        <w:gridCol w:w="278"/>
        <w:gridCol w:w="1490"/>
        <w:gridCol w:w="236"/>
      </w:tblGrid>
      <w:tr>
        <w:trPr/>
        <w:tc>
          <w:tcPr>
            <w:tcW w:w="239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Class B ordinary shares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Class A ordinary shares</w:t>
            </w:r>
          </w:p>
        </w:tc>
        <w:tc>
          <w:tcPr>
            <w:tcW w:w="236" w:type="dxa"/>
            <w:tcBorders/>
            <w:shd w:fill="auto" w:val="clear"/>
            <w:vAlign w:val="center"/>
          </w:tcPr>
          <w:p>
            <w:pPr>
              <w:pStyle w:val="TableContents"/>
              <w:spacing w:before="0" w:after="283"/>
              <w:rPr/>
            </w:pPr>
            <w:r>
              <w:rPr/>
              <w:t> </w:t>
            </w:r>
          </w:p>
        </w:tc>
      </w:tr>
      <w:tr>
        <w:trPr/>
        <w:tc>
          <w:tcPr>
            <w:tcW w:w="2393" w:type="dxa"/>
            <w:tcBorders>
              <w:bottom w:val="single" w:sz="12" w:space="0" w:color="000000"/>
            </w:tcBorders>
            <w:shd w:fill="auto" w:val="clear"/>
            <w:tcMar>
              <w:bottom w:w="28" w:type="dxa"/>
            </w:tcMar>
            <w:vAlign w:val="center"/>
          </w:tcPr>
          <w:p>
            <w:pPr>
              <w:pStyle w:val="TableContents"/>
              <w:spacing w:before="0" w:after="283"/>
              <w:rPr>
                <w:b/>
              </w:rPr>
            </w:pPr>
            <w:r>
              <w:rPr>
                <w:b/>
              </w:rPr>
              <w:t>Name of Beneficial Owners</w:t>
            </w:r>
            <w:r>
              <w:rPr>
                <w:b/>
                <w:position w:val="8"/>
                <w:sz w:val="19"/>
              </w:rPr>
              <w:t>(1)</w:t>
            </w:r>
          </w:p>
        </w:tc>
        <w:tc>
          <w:tcPr>
            <w:tcW w:w="60" w:type="dxa"/>
            <w:tcBorders/>
            <w:shd w:fill="auto" w:val="clear"/>
            <w:vAlign w:val="center"/>
          </w:tcPr>
          <w:p>
            <w:pPr>
              <w:pStyle w:val="TableContents"/>
              <w:spacing w:before="0" w:after="283"/>
              <w:rPr/>
            </w:pPr>
            <w:r>
              <w:rPr/>
              <w:t> </w:t>
            </w:r>
          </w:p>
        </w:tc>
        <w:tc>
          <w:tcPr>
            <w:tcW w:w="17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Number of Shares Beneficially Owned</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76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Approximate Percentage of Class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2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Number of Shares Beneficially Owned</w:t>
            </w:r>
          </w:p>
        </w:tc>
        <w:tc>
          <w:tcPr>
            <w:tcW w:w="67"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76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Approximate Percentage of Class</w:t>
            </w:r>
          </w:p>
        </w:tc>
        <w:tc>
          <w:tcPr>
            <w:tcW w:w="236" w:type="dxa"/>
            <w:tcBorders/>
            <w:shd w:fill="auto" w:val="clear"/>
            <w:vAlign w:val="center"/>
          </w:tcPr>
          <w:p>
            <w:pPr>
              <w:pStyle w:val="TableContents"/>
              <w:spacing w:before="0" w:after="283"/>
              <w:ind w:left="0" w:right="0" w:hanging="144"/>
              <w:rPr/>
            </w:pPr>
            <w:r>
              <w:rPr/>
              <w:t> </w:t>
            </w:r>
          </w:p>
        </w:tc>
      </w:tr>
      <w:tr>
        <w:trPr/>
        <w:tc>
          <w:tcPr>
            <w:tcW w:w="2393" w:type="dxa"/>
            <w:tcBorders/>
            <w:shd w:fill="CCEEFF" w:val="clear"/>
            <w:vAlign w:val="center"/>
          </w:tcPr>
          <w:p>
            <w:pPr>
              <w:pStyle w:val="TableContents"/>
              <w:spacing w:before="0" w:after="283"/>
              <w:jc w:val="left"/>
              <w:rPr/>
            </w:pPr>
            <w:r>
              <w:rPr/>
              <w:t>Sustainable Opportunities Holdings LLC (our Sponsor)</w:t>
              <w:tab/>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1606" w:type="dxa"/>
            <w:tcBorders/>
            <w:shd w:fill="CCEEFF" w:val="clear"/>
            <w:vAlign w:val="center"/>
          </w:tcPr>
          <w:p>
            <w:pPr>
              <w:pStyle w:val="TableContents"/>
              <w:spacing w:before="0" w:after="283"/>
              <w:jc w:val="right"/>
              <w:rPr/>
            </w:pPr>
            <w:r>
              <w:rPr/>
              <w:t>7,410,000</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jc w:val="left"/>
              <w:rPr/>
            </w:pPr>
            <w:r>
              <w:rPr/>
              <w:t> </w:t>
            </w:r>
          </w:p>
        </w:tc>
        <w:tc>
          <w:tcPr>
            <w:tcW w:w="1557" w:type="dxa"/>
            <w:tcBorders/>
            <w:shd w:fill="CCEEFF" w:val="clear"/>
            <w:vAlign w:val="center"/>
          </w:tcPr>
          <w:p>
            <w:pPr>
              <w:pStyle w:val="TableContents"/>
              <w:spacing w:before="0" w:after="283"/>
              <w:jc w:val="right"/>
              <w:rPr/>
            </w:pPr>
            <w:r>
              <w:rPr/>
              <w:t>98.8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60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jc w:val="left"/>
              <w:rPr/>
            </w:pPr>
            <w:r>
              <w:rPr/>
              <w:t> </w:t>
            </w:r>
          </w:p>
        </w:tc>
        <w:tc>
          <w:tcPr>
            <w:tcW w:w="67"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490" w:type="dxa"/>
            <w:tcBorders/>
            <w:shd w:fill="CCEEFF" w:val="clear"/>
            <w:vAlign w:val="center"/>
          </w:tcPr>
          <w:p>
            <w:pPr>
              <w:pStyle w:val="TableContents"/>
              <w:spacing w:before="0" w:after="283"/>
              <w:jc w:val="right"/>
              <w:rPr/>
            </w:pPr>
            <w:r>
              <w:rPr/>
              <w:t>—</w:t>
            </w:r>
          </w:p>
        </w:tc>
        <w:tc>
          <w:tcPr>
            <w:tcW w:w="236" w:type="dxa"/>
            <w:tcBorders/>
            <w:shd w:fill="CCEEFF" w:val="clear"/>
            <w:vAlign w:val="center"/>
          </w:tcPr>
          <w:p>
            <w:pPr>
              <w:pStyle w:val="TableContents"/>
              <w:spacing w:before="0" w:after="283"/>
              <w:ind w:left="0" w:right="0" w:hanging="144"/>
              <w:jc w:val="left"/>
              <w:rPr/>
            </w:pPr>
            <w:r>
              <w:rPr/>
              <w:t> </w:t>
            </w:r>
          </w:p>
        </w:tc>
      </w:tr>
      <w:tr>
        <w:trPr/>
        <w:tc>
          <w:tcPr>
            <w:tcW w:w="2393" w:type="dxa"/>
            <w:tcBorders/>
            <w:shd w:fill="FFFFFF" w:val="clear"/>
            <w:vAlign w:val="center"/>
          </w:tcPr>
          <w:p>
            <w:pPr>
              <w:pStyle w:val="TableContents"/>
              <w:spacing w:before="0" w:after="283"/>
              <w:jc w:val="left"/>
              <w:rPr/>
            </w:pPr>
            <w:r>
              <w:rPr/>
              <w:t>Scott Leonard</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1606" w:type="dxa"/>
            <w:tcBorders/>
            <w:shd w:fill="FFFFFF" w:val="clear"/>
            <w:vAlign w:val="center"/>
          </w:tcPr>
          <w:p>
            <w:pPr>
              <w:pStyle w:val="TableContents"/>
              <w:spacing w:before="0" w:after="283"/>
              <w:jc w:val="right"/>
              <w:rPr/>
            </w:pPr>
            <w:r>
              <w:rPr/>
              <w:t>7,410,000</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jc w:val="left"/>
              <w:rPr/>
            </w:pPr>
            <w:r>
              <w:rPr/>
              <w:t> </w:t>
            </w:r>
          </w:p>
        </w:tc>
        <w:tc>
          <w:tcPr>
            <w:tcW w:w="1557" w:type="dxa"/>
            <w:tcBorders/>
            <w:shd w:fill="FFFFFF" w:val="clear"/>
            <w:vAlign w:val="center"/>
          </w:tcPr>
          <w:p>
            <w:pPr>
              <w:pStyle w:val="TableContents"/>
              <w:spacing w:before="0" w:after="283"/>
              <w:jc w:val="right"/>
              <w:rPr/>
            </w:pPr>
            <w:r>
              <w:rPr/>
              <w:t>98.8</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1600" w:type="dxa"/>
            <w:tcBorders/>
            <w:shd w:fill="FFFFFF" w:val="clear"/>
            <w:vAlign w:val="center"/>
          </w:tcPr>
          <w:p>
            <w:pPr>
              <w:pStyle w:val="TableContents"/>
              <w:spacing w:before="0" w:after="283"/>
              <w:jc w:val="right"/>
              <w:rPr/>
            </w:pPr>
            <w:r>
              <w:rPr/>
              <w:t>—</w:t>
            </w:r>
          </w:p>
        </w:tc>
        <w:tc>
          <w:tcPr>
            <w:tcW w:w="67"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490" w:type="dxa"/>
            <w:tcBorders/>
            <w:shd w:fill="FFFFFF" w:val="clear"/>
            <w:vAlign w:val="center"/>
          </w:tcPr>
          <w:p>
            <w:pPr>
              <w:pStyle w:val="TableContents"/>
              <w:spacing w:before="0" w:after="283"/>
              <w:jc w:val="right"/>
              <w:rPr/>
            </w:pPr>
            <w:r>
              <w:rPr/>
              <w:t>—</w:t>
            </w:r>
          </w:p>
        </w:tc>
        <w:tc>
          <w:tcPr>
            <w:tcW w:w="236" w:type="dxa"/>
            <w:tcBorders/>
            <w:shd w:fill="FFFFFF" w:val="clear"/>
            <w:vAlign w:val="center"/>
          </w:tcPr>
          <w:p>
            <w:pPr>
              <w:pStyle w:val="TableContents"/>
              <w:spacing w:before="0" w:after="283"/>
              <w:ind w:left="0" w:right="0" w:hanging="144"/>
              <w:jc w:val="left"/>
              <w:rPr/>
            </w:pPr>
            <w:r>
              <w:rPr/>
              <w:t> </w:t>
            </w:r>
          </w:p>
        </w:tc>
      </w:tr>
      <w:tr>
        <w:trPr/>
        <w:tc>
          <w:tcPr>
            <w:tcW w:w="2393" w:type="dxa"/>
            <w:tcBorders/>
            <w:shd w:fill="CCEEFF" w:val="clear"/>
            <w:vAlign w:val="center"/>
          </w:tcPr>
          <w:p>
            <w:pPr>
              <w:pStyle w:val="TableContents"/>
              <w:spacing w:before="0" w:after="283"/>
              <w:rPr/>
            </w:pPr>
            <w:r>
              <w:rPr/>
              <w:t>Scott Honour</w:t>
            </w:r>
            <w:r>
              <w:rPr>
                <w:position w:val="8"/>
                <w:sz w:val="19"/>
              </w:rPr>
              <w:t xml:space="preserve">(2)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1606" w:type="dxa"/>
            <w:tcBorders/>
            <w:shd w:fill="CCEEFF" w:val="clear"/>
            <w:vAlign w:val="center"/>
          </w:tcPr>
          <w:p>
            <w:pPr>
              <w:pStyle w:val="TableContents"/>
              <w:spacing w:before="0" w:after="283"/>
              <w:jc w:val="right"/>
              <w:rPr/>
            </w:pPr>
            <w:r>
              <w:rPr/>
              <w:t>7,410,000</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jc w:val="left"/>
              <w:rPr/>
            </w:pPr>
            <w:r>
              <w:rPr/>
              <w:t> </w:t>
            </w:r>
          </w:p>
        </w:tc>
        <w:tc>
          <w:tcPr>
            <w:tcW w:w="1557" w:type="dxa"/>
            <w:tcBorders/>
            <w:shd w:fill="CCEEFF" w:val="clear"/>
            <w:vAlign w:val="center"/>
          </w:tcPr>
          <w:p>
            <w:pPr>
              <w:pStyle w:val="TableContents"/>
              <w:spacing w:before="0" w:after="283"/>
              <w:jc w:val="right"/>
              <w:rPr/>
            </w:pPr>
            <w:r>
              <w:rPr/>
              <w:t>98.8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60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jc w:val="left"/>
              <w:rPr/>
            </w:pPr>
            <w:r>
              <w:rPr/>
              <w:t> </w:t>
            </w:r>
          </w:p>
        </w:tc>
        <w:tc>
          <w:tcPr>
            <w:tcW w:w="67"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490" w:type="dxa"/>
            <w:tcBorders/>
            <w:shd w:fill="CCEEFF" w:val="clear"/>
            <w:vAlign w:val="center"/>
          </w:tcPr>
          <w:p>
            <w:pPr>
              <w:pStyle w:val="TableContents"/>
              <w:spacing w:before="0" w:after="283"/>
              <w:jc w:val="right"/>
              <w:rPr/>
            </w:pPr>
            <w:r>
              <w:rPr/>
              <w:t>—</w:t>
            </w:r>
          </w:p>
        </w:tc>
        <w:tc>
          <w:tcPr>
            <w:tcW w:w="236" w:type="dxa"/>
            <w:tcBorders/>
            <w:shd w:fill="CCEEFF" w:val="clear"/>
            <w:vAlign w:val="center"/>
          </w:tcPr>
          <w:p>
            <w:pPr>
              <w:pStyle w:val="TableContents"/>
              <w:spacing w:before="0" w:after="283"/>
              <w:ind w:left="0" w:right="0" w:hanging="144"/>
              <w:jc w:val="left"/>
              <w:rPr/>
            </w:pPr>
            <w:r>
              <w:rPr/>
              <w:t> </w:t>
            </w:r>
          </w:p>
        </w:tc>
      </w:tr>
      <w:tr>
        <w:trPr/>
        <w:tc>
          <w:tcPr>
            <w:tcW w:w="2393" w:type="dxa"/>
            <w:tcBorders/>
            <w:shd w:fill="FFFFFF" w:val="clear"/>
            <w:vAlign w:val="center"/>
          </w:tcPr>
          <w:p>
            <w:pPr>
              <w:pStyle w:val="TableContents"/>
              <w:spacing w:before="0" w:after="283"/>
              <w:jc w:val="left"/>
              <w:rPr/>
            </w:pPr>
            <w:r>
              <w:rPr/>
              <w:t xml:space="preserve">David Quiram </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1606" w:type="dxa"/>
            <w:tcBorders/>
            <w:shd w:fill="FFFFFF" w:val="clear"/>
            <w:vAlign w:val="center"/>
          </w:tcPr>
          <w:p>
            <w:pPr>
              <w:pStyle w:val="TableContents"/>
              <w:spacing w:before="0" w:after="283"/>
              <w:jc w:val="right"/>
              <w:rPr/>
            </w:pPr>
            <w:r>
              <w:rPr/>
              <w:t>—</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jc w:val="left"/>
              <w:rPr/>
            </w:pPr>
            <w:r>
              <w:rPr/>
              <w:t> </w:t>
            </w:r>
          </w:p>
        </w:tc>
        <w:tc>
          <w:tcPr>
            <w:tcW w:w="1557"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1600" w:type="dxa"/>
            <w:tcBorders/>
            <w:shd w:fill="FFFFFF" w:val="clear"/>
            <w:vAlign w:val="center"/>
          </w:tcPr>
          <w:p>
            <w:pPr>
              <w:pStyle w:val="TableContents"/>
              <w:spacing w:before="0" w:after="283"/>
              <w:jc w:val="right"/>
              <w:rPr/>
            </w:pPr>
            <w:r>
              <w:rPr/>
              <w:t>—</w:t>
            </w:r>
          </w:p>
        </w:tc>
        <w:tc>
          <w:tcPr>
            <w:tcW w:w="67"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490" w:type="dxa"/>
            <w:tcBorders/>
            <w:shd w:fill="FFFFFF" w:val="clear"/>
            <w:vAlign w:val="center"/>
          </w:tcPr>
          <w:p>
            <w:pPr>
              <w:pStyle w:val="TableContents"/>
              <w:spacing w:before="0" w:after="283"/>
              <w:jc w:val="right"/>
              <w:rPr/>
            </w:pPr>
            <w:r>
              <w:rPr/>
              <w:t>—</w:t>
            </w:r>
          </w:p>
        </w:tc>
        <w:tc>
          <w:tcPr>
            <w:tcW w:w="236" w:type="dxa"/>
            <w:tcBorders/>
            <w:shd w:fill="FFFFFF" w:val="clear"/>
            <w:vAlign w:val="center"/>
          </w:tcPr>
          <w:p>
            <w:pPr>
              <w:pStyle w:val="TableContents"/>
              <w:spacing w:before="0" w:after="283"/>
              <w:ind w:left="0" w:right="0" w:hanging="144"/>
              <w:jc w:val="left"/>
              <w:rPr/>
            </w:pPr>
            <w:r>
              <w:rPr/>
              <w:t> </w:t>
            </w:r>
          </w:p>
        </w:tc>
      </w:tr>
      <w:tr>
        <w:trPr/>
        <w:tc>
          <w:tcPr>
            <w:tcW w:w="2393" w:type="dxa"/>
            <w:tcBorders/>
            <w:shd w:fill="CCEEFF" w:val="clear"/>
            <w:vAlign w:val="center"/>
          </w:tcPr>
          <w:p>
            <w:pPr>
              <w:pStyle w:val="TableContents"/>
              <w:spacing w:before="0" w:after="283"/>
              <w:jc w:val="left"/>
              <w:rPr/>
            </w:pPr>
            <w:r>
              <w:rPr/>
              <w:t xml:space="preserve">Rick Gaenzle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1606" w:type="dxa"/>
            <w:tcBorders/>
            <w:shd w:fill="CCEEFF" w:val="clear"/>
            <w:vAlign w:val="center"/>
          </w:tcPr>
          <w:p>
            <w:pPr>
              <w:pStyle w:val="TableContents"/>
              <w:spacing w:before="0" w:after="283"/>
              <w:jc w:val="right"/>
              <w:rPr/>
            </w:pPr>
            <w:r>
              <w:rPr/>
              <w:t>30,000</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jc w:val="left"/>
              <w:rPr/>
            </w:pPr>
            <w:r>
              <w:rPr/>
              <w:t> </w:t>
            </w:r>
          </w:p>
        </w:tc>
        <w:tc>
          <w:tcPr>
            <w:tcW w:w="1557"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60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jc w:val="left"/>
              <w:rPr/>
            </w:pPr>
            <w:r>
              <w:rPr/>
              <w:t> </w:t>
            </w:r>
          </w:p>
        </w:tc>
        <w:tc>
          <w:tcPr>
            <w:tcW w:w="67"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490" w:type="dxa"/>
            <w:tcBorders/>
            <w:shd w:fill="CCEEFF" w:val="clear"/>
            <w:vAlign w:val="center"/>
          </w:tcPr>
          <w:p>
            <w:pPr>
              <w:pStyle w:val="TableContents"/>
              <w:spacing w:before="0" w:after="283"/>
              <w:jc w:val="right"/>
              <w:rPr/>
            </w:pPr>
            <w:r>
              <w:rPr/>
              <w:t>—</w:t>
            </w:r>
          </w:p>
        </w:tc>
        <w:tc>
          <w:tcPr>
            <w:tcW w:w="236" w:type="dxa"/>
            <w:tcBorders/>
            <w:shd w:fill="CCEEFF" w:val="clear"/>
            <w:vAlign w:val="center"/>
          </w:tcPr>
          <w:p>
            <w:pPr>
              <w:pStyle w:val="TableContents"/>
              <w:spacing w:before="0" w:after="283"/>
              <w:ind w:left="0" w:right="0" w:hanging="144"/>
              <w:jc w:val="left"/>
              <w:rPr/>
            </w:pPr>
            <w:r>
              <w:rPr/>
              <w:t> </w:t>
            </w:r>
          </w:p>
        </w:tc>
      </w:tr>
      <w:tr>
        <w:trPr/>
        <w:tc>
          <w:tcPr>
            <w:tcW w:w="2393" w:type="dxa"/>
            <w:tcBorders/>
            <w:shd w:fill="FFFFFF" w:val="clear"/>
            <w:vAlign w:val="center"/>
          </w:tcPr>
          <w:p>
            <w:pPr>
              <w:pStyle w:val="TableContents"/>
              <w:spacing w:before="0" w:after="283"/>
              <w:jc w:val="left"/>
              <w:rPr/>
            </w:pPr>
            <w:r>
              <w:rPr/>
              <w:t>Isaac Barchas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1606" w:type="dxa"/>
            <w:tcBorders/>
            <w:shd w:fill="FFFFFF" w:val="clear"/>
            <w:vAlign w:val="center"/>
          </w:tcPr>
          <w:p>
            <w:pPr>
              <w:pStyle w:val="TableContents"/>
              <w:spacing w:before="0" w:after="283"/>
              <w:jc w:val="right"/>
              <w:rPr/>
            </w:pPr>
            <w:r>
              <w:rPr/>
              <w:t>30,000</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jc w:val="left"/>
              <w:rPr/>
            </w:pPr>
            <w:r>
              <w:rPr/>
              <w:t> </w:t>
            </w:r>
          </w:p>
        </w:tc>
        <w:tc>
          <w:tcPr>
            <w:tcW w:w="1557"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1600" w:type="dxa"/>
            <w:tcBorders/>
            <w:shd w:fill="FFFFFF" w:val="clear"/>
            <w:vAlign w:val="center"/>
          </w:tcPr>
          <w:p>
            <w:pPr>
              <w:pStyle w:val="TableContents"/>
              <w:spacing w:before="0" w:after="283"/>
              <w:jc w:val="right"/>
              <w:rPr/>
            </w:pPr>
            <w:r>
              <w:rPr/>
              <w:t>—</w:t>
            </w:r>
          </w:p>
        </w:tc>
        <w:tc>
          <w:tcPr>
            <w:tcW w:w="67"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490" w:type="dxa"/>
            <w:tcBorders/>
            <w:shd w:fill="FFFFFF" w:val="clear"/>
            <w:vAlign w:val="center"/>
          </w:tcPr>
          <w:p>
            <w:pPr>
              <w:pStyle w:val="TableContents"/>
              <w:spacing w:before="0" w:after="283"/>
              <w:jc w:val="right"/>
              <w:rPr/>
            </w:pPr>
            <w:r>
              <w:rPr/>
              <w:t>—</w:t>
            </w:r>
          </w:p>
        </w:tc>
        <w:tc>
          <w:tcPr>
            <w:tcW w:w="236" w:type="dxa"/>
            <w:tcBorders/>
            <w:shd w:fill="FFFFFF" w:val="clear"/>
            <w:vAlign w:val="center"/>
          </w:tcPr>
          <w:p>
            <w:pPr>
              <w:pStyle w:val="TableContents"/>
              <w:spacing w:before="0" w:after="283"/>
              <w:ind w:left="0" w:right="0" w:hanging="144"/>
              <w:jc w:val="left"/>
              <w:rPr/>
            </w:pPr>
            <w:r>
              <w:rPr/>
              <w:t> </w:t>
            </w:r>
          </w:p>
        </w:tc>
      </w:tr>
      <w:tr>
        <w:trPr/>
        <w:tc>
          <w:tcPr>
            <w:tcW w:w="2393" w:type="dxa"/>
            <w:tcBorders/>
            <w:shd w:fill="CCEEFF" w:val="clear"/>
            <w:vAlign w:val="center"/>
          </w:tcPr>
          <w:p>
            <w:pPr>
              <w:pStyle w:val="TableContents"/>
              <w:spacing w:before="0" w:after="283"/>
              <w:jc w:val="left"/>
              <w:rPr/>
            </w:pPr>
            <w:r>
              <w:rPr/>
              <w:t xml:space="preserve">Justin Kelly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1606" w:type="dxa"/>
            <w:tcBorders/>
            <w:shd w:fill="CCEEFF" w:val="clear"/>
            <w:vAlign w:val="center"/>
          </w:tcPr>
          <w:p>
            <w:pPr>
              <w:pStyle w:val="TableContents"/>
              <w:spacing w:before="0" w:after="283"/>
              <w:jc w:val="right"/>
              <w:rPr/>
            </w:pPr>
            <w:r>
              <w:rPr/>
              <w:t>30,000</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jc w:val="left"/>
              <w:rPr/>
            </w:pPr>
            <w:r>
              <w:rPr/>
              <w:t> </w:t>
            </w:r>
          </w:p>
        </w:tc>
        <w:tc>
          <w:tcPr>
            <w:tcW w:w="1557"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600" w:type="dxa"/>
            <w:tcBorders/>
            <w:shd w:fill="CCEEFF" w:val="clear"/>
            <w:vAlign w:val="center"/>
          </w:tcPr>
          <w:p>
            <w:pPr>
              <w:pStyle w:val="TableContents"/>
              <w:spacing w:before="0" w:after="283"/>
              <w:jc w:val="right"/>
              <w:rPr/>
            </w:pPr>
            <w:r>
              <w:rPr/>
              <w:t>—</w:t>
            </w:r>
          </w:p>
        </w:tc>
        <w:tc>
          <w:tcPr>
            <w:tcW w:w="67" w:type="dxa"/>
            <w:tcBorders/>
            <w:shd w:fill="CCEEFF" w:val="clear"/>
            <w:vAlign w:val="center"/>
          </w:tcPr>
          <w:p>
            <w:pPr>
              <w:pStyle w:val="TableContents"/>
              <w:spacing w:before="0" w:after="283"/>
              <w:jc w:val="left"/>
              <w:rPr/>
            </w:pPr>
            <w:r>
              <w:rPr/>
              <w:t> </w:t>
            </w:r>
          </w:p>
        </w:tc>
        <w:tc>
          <w:tcPr>
            <w:tcW w:w="67"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490" w:type="dxa"/>
            <w:tcBorders/>
            <w:shd w:fill="CCEEFF" w:val="clear"/>
            <w:vAlign w:val="center"/>
          </w:tcPr>
          <w:p>
            <w:pPr>
              <w:pStyle w:val="TableContents"/>
              <w:spacing w:before="0" w:after="283"/>
              <w:jc w:val="right"/>
              <w:rPr/>
            </w:pPr>
            <w:r>
              <w:rPr/>
              <w:t>—</w:t>
            </w:r>
          </w:p>
        </w:tc>
        <w:tc>
          <w:tcPr>
            <w:tcW w:w="236" w:type="dxa"/>
            <w:tcBorders/>
            <w:shd w:fill="CCEEFF" w:val="clear"/>
            <w:vAlign w:val="center"/>
          </w:tcPr>
          <w:p>
            <w:pPr>
              <w:pStyle w:val="TableContents"/>
              <w:spacing w:before="0" w:after="283"/>
              <w:ind w:left="0" w:right="0" w:hanging="144"/>
              <w:jc w:val="left"/>
              <w:rPr/>
            </w:pPr>
            <w:r>
              <w:rPr/>
              <w:t> </w:t>
            </w:r>
          </w:p>
        </w:tc>
      </w:tr>
      <w:tr>
        <w:trPr/>
        <w:tc>
          <w:tcPr>
            <w:tcW w:w="2393" w:type="dxa"/>
            <w:tcBorders/>
            <w:shd w:fill="FFFFFF" w:val="clear"/>
            <w:vAlign w:val="center"/>
          </w:tcPr>
          <w:p>
            <w:pPr>
              <w:pStyle w:val="TableContents"/>
              <w:spacing w:before="0" w:after="283"/>
              <w:jc w:val="left"/>
              <w:rPr/>
            </w:pPr>
            <w:r>
              <w:rPr/>
              <w:t>All officers, directors and director nominees as a group (six individuals)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1606" w:type="dxa"/>
            <w:tcBorders/>
            <w:shd w:fill="FFFFFF" w:val="clear"/>
            <w:vAlign w:val="center"/>
          </w:tcPr>
          <w:p>
            <w:pPr>
              <w:pStyle w:val="TableContents"/>
              <w:spacing w:before="0" w:after="283"/>
              <w:jc w:val="right"/>
              <w:rPr/>
            </w:pPr>
            <w:r>
              <w:rPr/>
              <w:t>7,500,000</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jc w:val="left"/>
              <w:rPr/>
            </w:pPr>
            <w:r>
              <w:rPr/>
              <w:t> </w:t>
            </w:r>
          </w:p>
        </w:tc>
        <w:tc>
          <w:tcPr>
            <w:tcW w:w="1557" w:type="dxa"/>
            <w:tcBorders/>
            <w:shd w:fill="FFFFFF" w:val="clear"/>
            <w:vAlign w:val="center"/>
          </w:tcPr>
          <w:p>
            <w:pPr>
              <w:pStyle w:val="TableContents"/>
              <w:spacing w:before="0" w:after="283"/>
              <w:jc w:val="right"/>
              <w:rPr/>
            </w:pPr>
            <w:r>
              <w:rPr/>
              <w:t>100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1600" w:type="dxa"/>
            <w:tcBorders/>
            <w:shd w:fill="FFFFFF" w:val="clear"/>
            <w:vAlign w:val="center"/>
          </w:tcPr>
          <w:p>
            <w:pPr>
              <w:pStyle w:val="TableContents"/>
              <w:spacing w:before="0" w:after="283"/>
              <w:jc w:val="right"/>
              <w:rPr/>
            </w:pPr>
            <w:r>
              <w:rPr/>
              <w:t>—</w:t>
            </w:r>
          </w:p>
        </w:tc>
        <w:tc>
          <w:tcPr>
            <w:tcW w:w="67"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490" w:type="dxa"/>
            <w:tcBorders/>
            <w:shd w:fill="FFFFFF" w:val="clear"/>
            <w:vAlign w:val="center"/>
          </w:tcPr>
          <w:p>
            <w:pPr>
              <w:pStyle w:val="TableContents"/>
              <w:spacing w:before="0" w:after="283"/>
              <w:jc w:val="right"/>
              <w:rPr/>
            </w:pPr>
            <w:r>
              <w:rPr/>
              <w:t>—</w:t>
            </w:r>
          </w:p>
        </w:tc>
        <w:tc>
          <w:tcPr>
            <w:tcW w:w="236" w:type="dxa"/>
            <w:tcBorders/>
            <w:shd w:fill="FFFFFF" w:val="clear"/>
            <w:vAlign w:val="center"/>
          </w:tcPr>
          <w:p>
            <w:pPr>
              <w:pStyle w:val="TableContents"/>
              <w:spacing w:before="0" w:after="283"/>
              <w:ind w:left="0" w:right="0" w:hanging="144"/>
              <w:jc w:val="left"/>
              <w:rPr/>
            </w:pPr>
            <w:r>
              <w:rPr/>
              <w:t> </w:t>
            </w:r>
          </w:p>
        </w:tc>
      </w:tr>
      <w:tr>
        <w:trPr/>
        <w:tc>
          <w:tcPr>
            <w:tcW w:w="2393" w:type="dxa"/>
            <w:tcBorders/>
            <w:shd w:fill="CCEEFF" w:val="clear"/>
            <w:vAlign w:val="center"/>
          </w:tcPr>
          <w:p>
            <w:pPr>
              <w:pStyle w:val="TableContents"/>
              <w:spacing w:before="0" w:after="283"/>
              <w:jc w:val="left"/>
              <w:rPr/>
            </w:pPr>
            <w:r>
              <w:rPr/>
              <w:t>Periscope Capital</w:t>
            </w:r>
            <w:r>
              <w:rPr>
                <w:position w:val="8"/>
                <w:sz w:val="19"/>
              </w:rPr>
              <w:t>(3)</w:t>
            </w:r>
            <w:r>
              <w:rPr/>
              <w: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1606" w:type="dxa"/>
            <w:tcBorders/>
            <w:shd w:fill="CCEEFF" w:val="clear"/>
            <w:vAlign w:val="center"/>
          </w:tcPr>
          <w:p>
            <w:pPr>
              <w:pStyle w:val="TableContents"/>
              <w:spacing w:before="0" w:after="283"/>
              <w:jc w:val="right"/>
              <w:rPr/>
            </w:pPr>
            <w:r>
              <w:rPr/>
              <w:t>—</w:t>
            </w:r>
          </w:p>
        </w:tc>
        <w:tc>
          <w:tcPr>
            <w:tcW w:w="65" w:type="dxa"/>
            <w:tcBorders/>
            <w:shd w:fill="CCEEFF" w:val="clear"/>
            <w:vAlign w:val="center"/>
          </w:tcPr>
          <w:p>
            <w:pPr>
              <w:pStyle w:val="TableContents"/>
              <w:spacing w:before="0" w:after="283"/>
              <w:jc w:val="left"/>
              <w:rPr/>
            </w:pPr>
            <w:r>
              <w:rPr/>
              <w:t> </w:t>
            </w:r>
          </w:p>
        </w:tc>
        <w:tc>
          <w:tcPr>
            <w:tcW w:w="65"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jc w:val="left"/>
              <w:rPr/>
            </w:pPr>
            <w:r>
              <w:rPr/>
              <w:t> </w:t>
            </w:r>
          </w:p>
        </w:tc>
        <w:tc>
          <w:tcPr>
            <w:tcW w:w="1557" w:type="dxa"/>
            <w:tcBorders/>
            <w:shd w:fill="CCEEFF" w:val="clear"/>
            <w:vAlign w:val="center"/>
          </w:tcPr>
          <w:p>
            <w:pPr>
              <w:pStyle w:val="TableContents"/>
              <w:spacing w:before="0" w:after="283"/>
              <w:jc w:val="right"/>
              <w:rPr/>
            </w:pPr>
            <w:r>
              <w:rPr/>
              <w:t>—</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600" w:type="dxa"/>
            <w:tcBorders/>
            <w:shd w:fill="CCEEFF" w:val="clear"/>
            <w:vAlign w:val="center"/>
          </w:tcPr>
          <w:p>
            <w:pPr>
              <w:pStyle w:val="TableContents"/>
              <w:spacing w:before="0" w:after="283"/>
              <w:jc w:val="right"/>
              <w:rPr/>
            </w:pPr>
            <w:r>
              <w:rPr/>
              <w:t>1,746,609</w:t>
            </w:r>
          </w:p>
        </w:tc>
        <w:tc>
          <w:tcPr>
            <w:tcW w:w="67" w:type="dxa"/>
            <w:tcBorders/>
            <w:shd w:fill="CCEEFF" w:val="clear"/>
            <w:vAlign w:val="center"/>
          </w:tcPr>
          <w:p>
            <w:pPr>
              <w:pStyle w:val="TableContents"/>
              <w:spacing w:before="0" w:after="283"/>
              <w:jc w:val="left"/>
              <w:rPr/>
            </w:pPr>
            <w:r>
              <w:rPr/>
              <w:t> </w:t>
            </w:r>
          </w:p>
        </w:tc>
        <w:tc>
          <w:tcPr>
            <w:tcW w:w="67"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left"/>
              <w:rPr/>
            </w:pPr>
            <w:r>
              <w:rPr/>
              <w:t> </w:t>
            </w:r>
          </w:p>
        </w:tc>
        <w:tc>
          <w:tcPr>
            <w:tcW w:w="1490" w:type="dxa"/>
            <w:tcBorders/>
            <w:shd w:fill="CCEEFF" w:val="clear"/>
            <w:vAlign w:val="center"/>
          </w:tcPr>
          <w:p>
            <w:pPr>
              <w:pStyle w:val="TableContents"/>
              <w:spacing w:before="0" w:after="283"/>
              <w:jc w:val="right"/>
              <w:rPr/>
            </w:pPr>
            <w:r>
              <w:rPr/>
              <w:t>5.8</w:t>
            </w:r>
          </w:p>
        </w:tc>
        <w:tc>
          <w:tcPr>
            <w:tcW w:w="236" w:type="dxa"/>
            <w:tcBorders/>
            <w:shd w:fill="CCEEFF" w:val="clear"/>
            <w:vAlign w:val="center"/>
          </w:tcPr>
          <w:p>
            <w:pPr>
              <w:pStyle w:val="TableContents"/>
              <w:spacing w:before="0" w:after="283"/>
              <w:jc w:val="left"/>
              <w:rPr/>
            </w:pPr>
            <w:r>
              <w:rPr/>
              <w:t>%</w:t>
            </w:r>
          </w:p>
        </w:tc>
      </w:tr>
      <w:tr>
        <w:trPr/>
        <w:tc>
          <w:tcPr>
            <w:tcW w:w="2393" w:type="dxa"/>
            <w:tcBorders/>
            <w:shd w:fill="FFFFFF" w:val="clear"/>
            <w:vAlign w:val="center"/>
          </w:tcPr>
          <w:p>
            <w:pPr>
              <w:pStyle w:val="TableContents"/>
              <w:spacing w:before="0" w:after="283"/>
              <w:jc w:val="left"/>
              <w:rPr/>
            </w:pPr>
            <w:r>
              <w:rPr/>
              <w:t>Glazer Capital, LLC</w:t>
            </w:r>
            <w:r>
              <w:rPr>
                <w:position w:val="8"/>
                <w:sz w:val="19"/>
              </w:rPr>
              <w:t>(4)</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1606" w:type="dxa"/>
            <w:tcBorders/>
            <w:shd w:fill="FFFFFF" w:val="clear"/>
            <w:vAlign w:val="center"/>
          </w:tcPr>
          <w:p>
            <w:pPr>
              <w:pStyle w:val="TableContents"/>
              <w:spacing w:before="0" w:after="283"/>
              <w:jc w:val="right"/>
              <w:rPr/>
            </w:pPr>
            <w:r>
              <w:rPr/>
              <w:t>—</w:t>
            </w:r>
          </w:p>
        </w:tc>
        <w:tc>
          <w:tcPr>
            <w:tcW w:w="65" w:type="dxa"/>
            <w:tcBorders/>
            <w:shd w:fill="FFFFFF" w:val="clear"/>
            <w:vAlign w:val="center"/>
          </w:tcPr>
          <w:p>
            <w:pPr>
              <w:pStyle w:val="TableContents"/>
              <w:spacing w:before="0" w:after="283"/>
              <w:jc w:val="left"/>
              <w:rPr/>
            </w:pPr>
            <w:r>
              <w:rPr/>
              <w:t> </w:t>
            </w:r>
          </w:p>
        </w:tc>
        <w:tc>
          <w:tcPr>
            <w:tcW w:w="65"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jc w:val="left"/>
              <w:rPr/>
            </w:pPr>
            <w:r>
              <w:rPr/>
              <w:t> </w:t>
            </w:r>
          </w:p>
        </w:tc>
        <w:tc>
          <w:tcPr>
            <w:tcW w:w="1557" w:type="dxa"/>
            <w:tcBorders/>
            <w:shd w:fill="FFFFFF" w:val="clear"/>
            <w:vAlign w:val="center"/>
          </w:tcPr>
          <w:p>
            <w:pPr>
              <w:pStyle w:val="TableContents"/>
              <w:spacing w:before="0" w:after="283"/>
              <w:jc w:val="right"/>
              <w:rPr/>
            </w:pPr>
            <w:r>
              <w:rPr/>
              <w:t>—</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jc w:val="left"/>
              <w:rPr/>
            </w:pPr>
            <w:r>
              <w:rPr/>
              <w:t> </w:t>
            </w:r>
          </w:p>
        </w:tc>
        <w:tc>
          <w:tcPr>
            <w:tcW w:w="1600" w:type="dxa"/>
            <w:tcBorders/>
            <w:shd w:fill="FFFFFF" w:val="clear"/>
            <w:vAlign w:val="center"/>
          </w:tcPr>
          <w:p>
            <w:pPr>
              <w:pStyle w:val="TableContents"/>
              <w:spacing w:before="0" w:after="283"/>
              <w:jc w:val="right"/>
              <w:rPr/>
            </w:pPr>
            <w:r>
              <w:rPr/>
              <w:t>1,532,363</w:t>
            </w:r>
          </w:p>
        </w:tc>
        <w:tc>
          <w:tcPr>
            <w:tcW w:w="67" w:type="dxa"/>
            <w:tcBorders/>
            <w:shd w:fill="FFFFFF" w:val="clear"/>
            <w:vAlign w:val="center"/>
          </w:tcPr>
          <w:p>
            <w:pPr>
              <w:pStyle w:val="TableContents"/>
              <w:spacing w:before="0" w:after="283"/>
              <w:jc w:val="left"/>
              <w:rPr/>
            </w:pPr>
            <w:r>
              <w:rPr/>
              <w:t> </w:t>
            </w:r>
          </w:p>
        </w:tc>
        <w:tc>
          <w:tcPr>
            <w:tcW w:w="67"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left"/>
              <w:rPr/>
            </w:pPr>
            <w:r>
              <w:rPr/>
              <w:t> </w:t>
            </w:r>
          </w:p>
        </w:tc>
        <w:tc>
          <w:tcPr>
            <w:tcW w:w="1490" w:type="dxa"/>
            <w:tcBorders/>
            <w:shd w:fill="FFFFFF" w:val="clear"/>
            <w:vAlign w:val="center"/>
          </w:tcPr>
          <w:p>
            <w:pPr>
              <w:pStyle w:val="TableContents"/>
              <w:spacing w:before="0" w:after="283"/>
              <w:jc w:val="right"/>
              <w:rPr/>
            </w:pPr>
            <w:r>
              <w:rPr/>
              <w:t>5.1</w:t>
            </w:r>
          </w:p>
        </w:tc>
        <w:tc>
          <w:tcPr>
            <w:tcW w:w="236"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tbl>
      <w:tblPr>
        <w:tblW w:w="1998" w:type="dxa"/>
        <w:jc w:val="left"/>
        <w:tblInd w:w="0" w:type="dxa"/>
        <w:tblCellMar>
          <w:top w:w="0" w:type="dxa"/>
          <w:left w:w="0" w:type="dxa"/>
          <w:bottom w:w="0" w:type="dxa"/>
          <w:right w:w="0" w:type="dxa"/>
        </w:tblCellMar>
      </w:tblPr>
      <w:tblGrid>
        <w:gridCol w:w="38"/>
        <w:gridCol w:w="125"/>
        <w:gridCol w:w="183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tbl>
      <w:tblPr>
        <w:tblW w:w="10205" w:type="dxa"/>
        <w:jc w:val="left"/>
        <w:tblInd w:w="0" w:type="dxa"/>
        <w:tblCellMar>
          <w:top w:w="0" w:type="dxa"/>
          <w:left w:w="0" w:type="dxa"/>
          <w:bottom w:w="0" w:type="dxa"/>
          <w:right w:w="0" w:type="dxa"/>
        </w:tblCellMar>
      </w:tblPr>
      <w:tblGrid>
        <w:gridCol w:w="38"/>
        <w:gridCol w:w="243"/>
        <w:gridCol w:w="9924"/>
      </w:tblGrid>
      <w:tr>
        <w:trPr/>
        <w:tc>
          <w:tcPr>
            <w:tcW w:w="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our shareholders is 1601 Bryan Street, Suite 4141, Dallas, TX 75201.</w:t>
            </w:r>
          </w:p>
        </w:tc>
      </w:tr>
    </w:tbl>
    <w:tbl>
      <w:tblPr>
        <w:tblW w:w="10205" w:type="dxa"/>
        <w:jc w:val="left"/>
        <w:tblInd w:w="0" w:type="dxa"/>
        <w:tblCellMar>
          <w:top w:w="0" w:type="dxa"/>
          <w:left w:w="0" w:type="dxa"/>
          <w:bottom w:w="0" w:type="dxa"/>
          <w:right w:w="0" w:type="dxa"/>
        </w:tblCellMar>
      </w:tblPr>
      <w:tblGrid>
        <w:gridCol w:w="38"/>
        <w:gridCol w:w="218"/>
        <w:gridCol w:w="9949"/>
      </w:tblGrid>
      <w:tr>
        <w:trPr/>
        <w:tc>
          <w:tcPr>
            <w:tcW w:w="3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 and Scott Honour are the managers of our sponsor and share voting and dispositive power over the securities held by our sponsor and therefore each may be deemed to be a beneficial owner thereof.</w:t>
            </w:r>
          </w:p>
        </w:tc>
      </w:tr>
    </w:tbl>
    <w:tbl>
      <w:tblPr>
        <w:tblW w:w="10205" w:type="dxa"/>
        <w:jc w:val="left"/>
        <w:tblInd w:w="0" w:type="dxa"/>
        <w:tblCellMar>
          <w:top w:w="0" w:type="dxa"/>
          <w:left w:w="0" w:type="dxa"/>
          <w:bottom w:w="0" w:type="dxa"/>
          <w:right w:w="0" w:type="dxa"/>
        </w:tblCellMar>
      </w:tblPr>
      <w:tblGrid>
        <w:gridCol w:w="38"/>
        <w:gridCol w:w="198"/>
        <w:gridCol w:w="9969"/>
      </w:tblGrid>
      <w:tr>
        <w:trPr/>
        <w:tc>
          <w:tcPr>
            <w:tcW w:w="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Periscope Capital Inc. is 333 Bay Street, Suite 1240, Toronto, Ontario, Canada M5H 2R2, based on a Schedule 13G filed on February 16, 2021 (the “Periscope 13G”). According to the Periscope 13G, Periscope Capital Inc. beneficially owns 1,282,132 shares of Class A ordinary shares and acts as investment manager of, and exercises investment discretion with respect to, certain private investment funds that collectively directly own 464,477 Class A ordinary shares.</w:t>
            </w:r>
          </w:p>
        </w:tc>
      </w:tr>
    </w:tbl>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Glazer Capital, LLC (“Glazer Capital”) is 250 West 55th Street, Suite 30A, New York, New York 10019, based on a Schedule 13G/A filed on February 16, 2021 (the “Glazer 13G”). According to the Adage 13G, Mr. Paul Glazer (“Mr. Glazer”) is the managing member of Glazer Capital and therefore Mr. Glazer may be deemed to have beneficial ownership of the shares of Class A ordinary shares directly owned by Glazer Capital.</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officers and directors are deemed to be our “promoter” as such term is defined under the federal securities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907"/>
        <w:gridCol w:w="9260"/>
      </w:tblGrid>
      <w:tr>
        <w:trPr/>
        <w:tc>
          <w:tcPr>
            <w:tcW w:w="38"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jc w:val="left"/>
              <w:rPr/>
            </w:pPr>
            <w:bookmarkStart w:id="23" w:name="a_022"/>
            <w:bookmarkEnd w:id="23"/>
            <w:r>
              <w:rPr/>
              <w:t>ITEM 13.</w:t>
            </w:r>
          </w:p>
        </w:tc>
        <w:tc>
          <w:tcPr>
            <w:tcW w:w="9260" w:type="dxa"/>
            <w:tcBorders/>
            <w:shd w:fill="auto" w:val="clear"/>
            <w:vAlign w:val="center"/>
          </w:tcPr>
          <w:p>
            <w:pPr>
              <w:pStyle w:val="TableContents"/>
              <w:spacing w:before="0" w:after="283"/>
              <w:jc w:val="both"/>
              <w:rPr/>
            </w:pPr>
            <w:r>
              <w:rPr/>
              <w:t>CERTAIN RELATIONSHIPS AND RELATED TRANSACTIONS, AND DIRECTOR INDEPENDENCE</w:t>
            </w:r>
          </w:p>
        </w:tc>
      </w:tr>
    </w:tbl>
    <w:p>
      <w:pPr>
        <w:pStyle w:val="TextBody"/>
        <w:spacing w:before="0" w:after="0"/>
        <w:ind w:left="1440" w:right="0" w:hanging="1440"/>
        <w:rPr>
          <w:caps/>
        </w:rPr>
      </w:pPr>
      <w:r>
        <w:rPr>
          <w:caps/>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2019, the Sponsor paid $25,000, or approximately $0.003 per share, to cover certain of our offering costs in consideration of 8,625,000 Class B ordinary shares, par value $0.0001. Of these, an aggregate of up to 1,125,000 shares were subject to forfeiture to the company by the Sponsor for no consideration to the extent that the underwriter’s over-allotment option was not exercised in full or in part, so that the initial shareholders would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 </w:t>
      </w:r>
      <w:r>
        <w:rPr>
          <w:rFonts w:ascii="Times New Roman;Times;Serif" w:hAnsi="Times New Roman;Times;Serif"/>
          <w:b w:val="false"/>
          <w:i w:val="false"/>
          <w:caps w:val="false"/>
          <w:smallCaps w:val="false"/>
          <w:sz w:val="20"/>
          <w:highlight w:val="white"/>
        </w:rPr>
        <w:t> In March 2020, the Sponsor transferred 30,000 founder shares to each of the Company’s independent directors.  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herein, the Sponsor and SOAC’s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Any permitted transferees will be subject to the same restrictions and other agreements of our Sponsor with respect to any founder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our initial public offering, we completed the sale of Private Placement Warrants to our Sponsor in a private placement, generating gross proceeds of $9.5 million. Each Private Placement Warrant is exercisable for one (1) share of our Class A ordinary shares at an exercise price of $11.50 per share. A portion of the purchase price of the Private Placement Warrants was added to the proceeds from our initial public offering held in the Trust Account. If our initial business combination is not completed by November 8, 2021, the proceeds from the sale of the Private Placement Warrants held in the Trust Account will be used to fund the redemption of the Class A ordinary shares (subject to the requirements of applicable law) and the Private Placement Warrants will expire worthless. The Private Placement Warrants will be non-redeemable for cash and exercisable on a cashless basis so long as they are held by the sponsor or its permitted transferees.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agreed, subject to limited exceptions, not to transfer, assign or sell any of its Private Placement Warrants until thirty (30) days after the completion of our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val="false"/>
          <w:i/>
          <w:caps w:val="false"/>
          <w:smallCaps w:val="false"/>
          <w:sz w:val="20"/>
        </w:rPr>
        <w:t>Related Party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the Sponsor agreed to loan the company an aggregate of up to $300,000 to cover expenses related to the initial public offering pursuant to a promissory note (the “</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This loan was non-interest bearing and payable upon the completion of the initial public offering. The Company borrowed approximately $163,000 under the Note and fully repaid this amount on May 8,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or an affiliate of the Sponsor, or certain of the Company’s officers and directors may, but are not obligated to, loan the Company funds as may be required (“</w:t>
      </w:r>
      <w:r>
        <w:rPr>
          <w:rFonts w:ascii="Times New Roman;Times;Serif" w:hAnsi="Times New Roman;Times;Serif"/>
          <w:b w:val="false"/>
          <w:i/>
          <w:caps w:val="false"/>
          <w:smallCaps w:val="false"/>
          <w:sz w:val="20"/>
        </w:rPr>
        <w:t>Working Capital Loans</w:t>
      </w:r>
      <w:r>
        <w:rPr>
          <w:rFonts w:ascii="Times New Roman;Times;Serif" w:hAnsi="Times New Roman;Times;Serif"/>
          <w:b w:val="false"/>
          <w:i w:val="false"/>
          <w:caps w:val="false"/>
          <w:smallCaps w:val="false"/>
          <w:sz w:val="20"/>
        </w:rPr>
        <w:t>”).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$80,000 in expenses in connection with such services and recorded in general and administrative expenses in the statements of operations for the three and twelve months ended December 31, 2020,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for Approval of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must review and approve any related person transaction we propose to enter into. Our audit committee charter details the policies and procedures relating to transactions that may present actual, potential or perceived conflicts of interest and may raise questions as to whether such transactions are consistent with the best interest of our company and our shareholders. A summary of such policies and procedures is set forth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the audit committee will be provided with the details of each new, existing or proposed related party transaction, including the terms of the transaction, the business purpose of the transaction and the benefits to us and to the relevant related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to approve a related party transaction, the audit committee must consider, among other factors, the following factors to the extent relevant:</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terms of the transaction are fair to us and on the same basis as would apply if the transaction did not involve a related party;</w:t>
            </w:r>
          </w:p>
        </w:tc>
      </w:tr>
    </w:tbl>
    <w:p>
      <w:pPr>
        <w:pStyle w:val="TextBody"/>
        <w:spacing w:before="0" w:after="0"/>
        <w:ind w:left="0" w:right="0" w:hanging="0"/>
        <w:rPr>
          <w:caps w:val="false"/>
          <w:smallCaps w:val="false"/>
        </w:rPr>
      </w:pPr>
      <w:r>
        <w:rPr>
          <w:caps w:val="false"/>
          <w:smallCaps w:val="false"/>
        </w:rPr>
        <w:t> </w:t>
      </w:r>
    </w:p>
    <w:tbl>
      <w:tblPr>
        <w:tblW w:w="5838" w:type="dxa"/>
        <w:jc w:val="left"/>
        <w:tblInd w:w="0" w:type="dxa"/>
        <w:tblCellMar>
          <w:top w:w="0" w:type="dxa"/>
          <w:left w:w="0" w:type="dxa"/>
          <w:bottom w:w="0" w:type="dxa"/>
          <w:right w:w="0" w:type="dxa"/>
        </w:tblCellMar>
      </w:tblPr>
      <w:tblGrid>
        <w:gridCol w:w="38"/>
        <w:gridCol w:w="170"/>
        <w:gridCol w:w="56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6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there are business reasons for us to enter into the transaction;</w:t>
            </w:r>
          </w:p>
        </w:tc>
      </w:tr>
    </w:tbl>
    <w:p>
      <w:pPr>
        <w:pStyle w:val="TextBody"/>
        <w:spacing w:before="0" w:after="0"/>
        <w:rPr>
          <w:caps w:val="false"/>
          <w:smallCaps w:val="false"/>
        </w:rPr>
      </w:pPr>
      <w:r>
        <w:rPr>
          <w:caps w:val="false"/>
          <w:smallCaps w:val="false"/>
        </w:rPr>
        <w:t> </w:t>
      </w:r>
    </w:p>
    <w:tbl>
      <w:tblPr>
        <w:tblW w:w="6573" w:type="dxa"/>
        <w:jc w:val="left"/>
        <w:tblInd w:w="0" w:type="dxa"/>
        <w:tblCellMar>
          <w:top w:w="0" w:type="dxa"/>
          <w:left w:w="0" w:type="dxa"/>
          <w:bottom w:w="0" w:type="dxa"/>
          <w:right w:w="0" w:type="dxa"/>
        </w:tblCellMar>
      </w:tblPr>
      <w:tblGrid>
        <w:gridCol w:w="38"/>
        <w:gridCol w:w="170"/>
        <w:gridCol w:w="63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3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would impair the independence of an outside director;</w:t>
            </w:r>
          </w:p>
        </w:tc>
      </w:tr>
    </w:tbl>
    <w:p>
      <w:pPr>
        <w:pStyle w:val="TextBody"/>
        <w:spacing w:before="0" w:after="0"/>
        <w:rPr>
          <w:caps w:val="false"/>
          <w:smallCaps w:val="false"/>
        </w:rPr>
      </w:pPr>
      <w:r>
        <w:rPr>
          <w:caps w:val="false"/>
          <w:smallCaps w:val="false"/>
        </w:rPr>
        <w:t> </w:t>
      </w:r>
    </w:p>
    <w:tbl>
      <w:tblPr>
        <w:tblW w:w="9183" w:type="dxa"/>
        <w:jc w:val="left"/>
        <w:tblInd w:w="0" w:type="dxa"/>
        <w:tblCellMar>
          <w:top w:w="0" w:type="dxa"/>
          <w:left w:w="0" w:type="dxa"/>
          <w:bottom w:w="0" w:type="dxa"/>
          <w:right w:w="0" w:type="dxa"/>
        </w:tblCellMar>
      </w:tblPr>
      <w:tblGrid>
        <w:gridCol w:w="38"/>
        <w:gridCol w:w="170"/>
        <w:gridCol w:w="89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9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would present an improper conflict of interest for any director or executive officer; and</w:t>
            </w:r>
          </w:p>
        </w:tc>
      </w:tr>
    </w:tbl>
    <w:p>
      <w:pPr>
        <w:pStyle w:val="TextBody"/>
        <w:spacing w:before="0" w:after="0"/>
        <w:rPr>
          <w:caps w:val="false"/>
          <w:smallCaps w:val="false"/>
        </w:rPr>
      </w:pPr>
      <w:r>
        <w:rPr>
          <w:caps w:val="false"/>
          <w:smallCaps w:val="false"/>
        </w:rPr>
        <w:t> </w:t>
      </w:r>
    </w:p>
    <w:tbl>
      <w:tblPr>
        <w:tblW w:w="3543" w:type="dxa"/>
        <w:jc w:val="left"/>
        <w:tblInd w:w="0" w:type="dxa"/>
        <w:tblCellMar>
          <w:top w:w="0" w:type="dxa"/>
          <w:left w:w="0" w:type="dxa"/>
          <w:bottom w:w="0" w:type="dxa"/>
          <w:right w:w="0" w:type="dxa"/>
        </w:tblCellMar>
      </w:tblPr>
      <w:tblGrid>
        <w:gridCol w:w="38"/>
        <w:gridCol w:w="170"/>
        <w:gridCol w:w="33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3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pre-existing contractual obligations.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spacing w:before="0" w:after="0"/>
        <w:jc w:val="center"/>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and our shareholders from a financial point of view. No finder’s fees, reimbursements, consulting fee, monies in respect of any payment of a loan or other compensation will be paid by us to our Sponsor, officers or directors, or any affiliate of our Sponsor or officers,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our initial public offering held in the trust account prior to the completion of our initial business combination:</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up to an aggregate of $300,000 in loans made to us by our Sponsor to cover offering related and organizational expenses;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to an affiliate of our Sponsor of $10,000 per month, for up to 18 months, for office space, utilities and secretarial and administrative support;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for any out-of-pocket expenses related to identifying, investigating and completing an initial business combination;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on a quarterly basis all payments that were made to our Sponsor, officers or directors, or our or their affiliates.</w:t>
      </w:r>
    </w:p>
    <w:p>
      <w:pPr>
        <w:pStyle w:val="TextBody"/>
        <w:spacing w:before="0" w:after="0"/>
        <w:ind w:left="0" w:right="0" w:firstLine="720"/>
        <w:jc w:val="both"/>
        <w:rPr>
          <w:caps w:val="false"/>
          <w:smallCaps w:val="false"/>
        </w:rPr>
      </w:pPr>
      <w:r>
        <w:rPr>
          <w:caps w:val="false"/>
          <w:smallCaps w:val="false"/>
        </w:rPr>
        <w:t> </w:t>
      </w:r>
    </w:p>
    <w:tbl>
      <w:tblPr>
        <w:tblW w:w="6513" w:type="dxa"/>
        <w:jc w:val="left"/>
        <w:tblInd w:w="0" w:type="dxa"/>
        <w:tblCellMar>
          <w:top w:w="0" w:type="dxa"/>
          <w:left w:w="0" w:type="dxa"/>
          <w:bottom w:w="0" w:type="dxa"/>
          <w:right w:w="0" w:type="dxa"/>
        </w:tblCellMar>
      </w:tblPr>
      <w:tblGrid>
        <w:gridCol w:w="38"/>
        <w:gridCol w:w="965"/>
        <w:gridCol w:w="551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pPr>
            <w:bookmarkStart w:id="24" w:name="a_023"/>
            <w:bookmarkEnd w:id="24"/>
            <w:r>
              <w:rPr/>
              <w:t>ITEM 14.</w:t>
            </w:r>
          </w:p>
        </w:tc>
        <w:tc>
          <w:tcPr>
            <w:tcW w:w="5510" w:type="dxa"/>
            <w:tcBorders/>
            <w:shd w:fill="auto" w:val="clear"/>
            <w:vAlign w:val="center"/>
          </w:tcPr>
          <w:p>
            <w:pPr>
              <w:pStyle w:val="TableContents"/>
              <w:spacing w:before="0" w:after="283"/>
              <w:jc w:val="both"/>
              <w:rPr/>
            </w:pPr>
            <w:r>
              <w:rPr/>
              <w:t>PRINCIPAL ACCOUNTANT FEES AND SERVICES</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fees paid to Marcum LLP (“Marcum”), for services rendered.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Audit fees consist of fees billed for professional services rendered for the audit of our financial statements for the period from December 18, 2019 (inception) through December 31, 2020, reviews of our quarterly financial statements and services that are normally provided by our independent registered public accounting firm in connection with statutory and regulatory filings. The aggregate fees billed by Marcum LLP for audit fees, inclusive of required filings with the SEC for the period from December 18, 2019 (inception) through December 31, 2020, and of services rendered in connection with our initial public offering, totaled $82,240.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During the year ended December 31, 2020, we did not pay Marcum for consultations concerning financial accounting and reporting standards.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Tax fees consist of fees billed for professional services relating to tax compliance, tax planning and tax advice. We did not pay Marcum for tax planning and tax advice during the year ended December 31,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All other fees consist of fees billed for all other services. We did not pay Marcum for other services during the year ended December 31,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PART IV</w:t>
      </w:r>
    </w:p>
    <w:p>
      <w:pPr>
        <w:pStyle w:val="TextBody"/>
        <w:spacing w:before="0" w:after="0"/>
        <w:ind w:left="0" w:right="0" w:hanging="0"/>
        <w:jc w:val="center"/>
        <w:rPr>
          <w:caps w:val="false"/>
          <w:smallCaps w:val="false"/>
        </w:rPr>
      </w:pPr>
      <w:r>
        <w:rPr>
          <w:caps w:val="false"/>
          <w:smallCaps w:val="false"/>
        </w:rPr>
        <w:t> </w:t>
      </w:r>
    </w:p>
    <w:tbl>
      <w:tblPr>
        <w:tblW w:w="6993" w:type="dxa"/>
        <w:jc w:val="left"/>
        <w:tblInd w:w="0" w:type="dxa"/>
        <w:tblCellMar>
          <w:top w:w="0" w:type="dxa"/>
          <w:left w:w="0" w:type="dxa"/>
          <w:bottom w:w="0" w:type="dxa"/>
          <w:right w:w="0" w:type="dxa"/>
        </w:tblCellMar>
      </w:tblPr>
      <w:tblGrid>
        <w:gridCol w:w="38"/>
        <w:gridCol w:w="965"/>
        <w:gridCol w:w="599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pPr>
            <w:bookmarkStart w:id="26" w:name="a_025"/>
            <w:bookmarkEnd w:id="26"/>
            <w:r>
              <w:rPr/>
              <w:t>ITEM 15.</w:t>
            </w:r>
          </w:p>
        </w:tc>
        <w:tc>
          <w:tcPr>
            <w:tcW w:w="5990" w:type="dxa"/>
            <w:tcBorders/>
            <w:shd w:fill="auto" w:val="clear"/>
            <w:vAlign w:val="center"/>
          </w:tcPr>
          <w:p>
            <w:pPr>
              <w:pStyle w:val="TableContents"/>
              <w:spacing w:before="0" w:after="283"/>
              <w:jc w:val="both"/>
              <w:rPr/>
            </w:pPr>
            <w:r>
              <w:rPr/>
              <w:t>EXHIBIT AND FINANCIAL STATEMENT SCHEDULES</w:t>
            </w:r>
          </w:p>
        </w:tc>
      </w:tr>
    </w:tbl>
    <w:p>
      <w:pPr>
        <w:pStyle w:val="TextBody"/>
        <w:spacing w:before="0" w:after="0"/>
        <w:ind w:left="1440" w:right="0" w:hanging="1440"/>
        <w:rPr>
          <w:caps/>
        </w:rPr>
      </w:pPr>
      <w:r>
        <w:rPr>
          <w:caps/>
        </w:rPr>
        <w:t> </w:t>
      </w:r>
    </w:p>
    <w:tbl>
      <w:tblPr>
        <w:tblW w:w="4878" w:type="dxa"/>
        <w:jc w:val="left"/>
        <w:tblInd w:w="0" w:type="dxa"/>
        <w:tblCellMar>
          <w:top w:w="0" w:type="dxa"/>
          <w:left w:w="0" w:type="dxa"/>
          <w:bottom w:w="0" w:type="dxa"/>
          <w:right w:w="0" w:type="dxa"/>
        </w:tblCellMar>
      </w:tblPr>
      <w:tblGrid>
        <w:gridCol w:w="38"/>
        <w:gridCol w:w="230"/>
        <w:gridCol w:w="461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tc>
      </w:tr>
    </w:tbl>
    <w:p>
      <w:pPr>
        <w:pStyle w:val="TextBody"/>
        <w:spacing w:before="0" w:after="0"/>
        <w:rPr>
          <w:caps w:val="false"/>
          <w:smallCaps w:val="false"/>
        </w:rPr>
      </w:pPr>
      <w:r>
        <w:rPr>
          <w:caps w:val="false"/>
          <w:smallCaps w:val="false"/>
        </w:rPr>
        <w:t> </w:t>
      </w:r>
    </w:p>
    <w:tbl>
      <w:tblPr>
        <w:tblW w:w="2073" w:type="dxa"/>
        <w:jc w:val="left"/>
        <w:tblInd w:w="0" w:type="dxa"/>
        <w:tblCellMar>
          <w:top w:w="0" w:type="dxa"/>
          <w:left w:w="0" w:type="dxa"/>
          <w:bottom w:w="0" w:type="dxa"/>
          <w:right w:w="0" w:type="dxa"/>
        </w:tblCellMar>
      </w:tblPr>
      <w:tblGrid>
        <w:gridCol w:w="38"/>
        <w:gridCol w:w="245"/>
        <w:gridCol w:w="179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748"/>
        <w:gridCol w:w="60"/>
        <w:gridCol w:w="397"/>
      </w:tblGrid>
      <w:tr>
        <w:trPr/>
        <w:tc>
          <w:tcPr>
            <w:tcW w:w="9748" w:type="dxa"/>
            <w:tcBorders/>
            <w:shd w:fill="auto" w:val="clear"/>
            <w:vAlign w:val="center"/>
          </w:tcPr>
          <w:p>
            <w:pPr>
              <w:pStyle w:val="TableContents"/>
              <w:spacing w:before="0" w:after="283"/>
              <w:ind w:left="0" w:right="0" w:hanging="200"/>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397" w:type="dxa"/>
            <w:tcBorders>
              <w:bottom w:val="single" w:sz="12" w:space="0" w:color="000000"/>
            </w:tcBorders>
            <w:shd w:fill="auto" w:val="clear"/>
            <w:tcMar>
              <w:bottom w:w="28" w:type="dxa"/>
            </w:tcMar>
            <w:vAlign w:val="center"/>
          </w:tcPr>
          <w:p>
            <w:pPr>
              <w:pStyle w:val="TableContents"/>
              <w:spacing w:before="0" w:after="0"/>
              <w:ind w:left="0" w:right="0" w:hanging="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8" w:type="dxa"/>
            <w:tcBorders/>
            <w:shd w:fill="CCEEFF" w:val="clear"/>
            <w:vAlign w:val="center"/>
          </w:tcPr>
          <w:p>
            <w:pPr>
              <w:pStyle w:val="TableContents"/>
              <w:spacing w:before="0" w:after="283"/>
              <w:rPr/>
            </w:pPr>
            <w:hyperlink w:anchor="b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spacing w:before="0" w:after="283"/>
              <w:rPr/>
            </w:pPr>
            <w:r>
              <w:rPr/>
              <w:t> </w:t>
            </w:r>
          </w:p>
        </w:tc>
        <w:tc>
          <w:tcPr>
            <w:tcW w:w="397" w:type="dxa"/>
            <w:tcBorders/>
            <w:shd w:fill="CCEEFF" w:val="clear"/>
            <w:vAlign w:val="center"/>
          </w:tcPr>
          <w:p>
            <w:pPr>
              <w:pStyle w:val="TableContents"/>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48" w:type="dxa"/>
            <w:tcBorders/>
            <w:shd w:fill="FFFFFF" w:val="clear"/>
            <w:vAlign w:val="center"/>
          </w:tcPr>
          <w:p>
            <w:pPr>
              <w:pStyle w:val="TableContents"/>
              <w:spacing w:before="0" w:after="283"/>
              <w:rPr/>
            </w:pPr>
            <w:hyperlink w:anchor="b002">
              <w:r>
                <w:rPr>
                  <w:rStyle w:val="InternetLink"/>
                  <w:rFonts w:ascii="Times New Roman;Times;Serif" w:hAnsi="Times New Roman;Times;Serif"/>
                  <w:b w:val="false"/>
                  <w:i w:val="false"/>
                  <w:caps w:val="false"/>
                  <w:smallCaps w:val="false"/>
                  <w:sz w:val="20"/>
                </w:rPr>
                <w:t>Balance Sheets as of December 31, 2020 and 2019</w:t>
              </w:r>
            </w:hyperlink>
          </w:p>
        </w:tc>
        <w:tc>
          <w:tcPr>
            <w:tcW w:w="60" w:type="dxa"/>
            <w:tcBorders/>
            <w:shd w:fill="FFFFFF" w:val="clear"/>
            <w:vAlign w:val="center"/>
          </w:tcPr>
          <w:p>
            <w:pPr>
              <w:pStyle w:val="TableContents"/>
              <w:spacing w:before="0" w:after="283"/>
              <w:rPr/>
            </w:pPr>
            <w:r>
              <w:rPr/>
              <w:t> </w:t>
            </w:r>
          </w:p>
        </w:tc>
        <w:tc>
          <w:tcPr>
            <w:tcW w:w="397" w:type="dxa"/>
            <w:tcBorders/>
            <w:shd w:fill="FFFFFF" w:val="clear"/>
            <w:vAlign w:val="center"/>
          </w:tcPr>
          <w:p>
            <w:pPr>
              <w:pStyle w:val="TableContents"/>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48" w:type="dxa"/>
            <w:tcBorders/>
            <w:shd w:fill="CCEEFF" w:val="clear"/>
            <w:vAlign w:val="center"/>
          </w:tcPr>
          <w:p>
            <w:pPr>
              <w:pStyle w:val="TableContents"/>
              <w:spacing w:before="0" w:after="283"/>
              <w:rPr/>
            </w:pPr>
            <w:hyperlink w:anchor="b003">
              <w:r>
                <w:rPr>
                  <w:rStyle w:val="InternetLink"/>
                  <w:rFonts w:ascii="Times New Roman;Times;Serif" w:hAnsi="Times New Roman;Times;Serif"/>
                  <w:b w:val="false"/>
                  <w:i w:val="false"/>
                  <w:caps w:val="false"/>
                  <w:smallCaps w:val="false"/>
                  <w:sz w:val="20"/>
                </w:rPr>
                <w:t>Statements of Operations for the Year Ended December 31, 2020 and for the Period from December 18, 2019 (inception) to December 31, 2019</w:t>
              </w:r>
            </w:hyperlink>
          </w:p>
        </w:tc>
        <w:tc>
          <w:tcPr>
            <w:tcW w:w="60" w:type="dxa"/>
            <w:tcBorders/>
            <w:shd w:fill="CCEEFF" w:val="clear"/>
            <w:vAlign w:val="center"/>
          </w:tcPr>
          <w:p>
            <w:pPr>
              <w:pStyle w:val="TableContents"/>
              <w:spacing w:before="0" w:after="283"/>
              <w:rPr/>
            </w:pPr>
            <w:r>
              <w:rPr/>
              <w:t> </w:t>
            </w:r>
          </w:p>
        </w:tc>
        <w:tc>
          <w:tcPr>
            <w:tcW w:w="397" w:type="dxa"/>
            <w:tcBorders/>
            <w:shd w:fill="CCEEFF" w:val="clear"/>
            <w:vAlign w:val="center"/>
          </w:tcPr>
          <w:p>
            <w:pPr>
              <w:pStyle w:val="TableContents"/>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48" w:type="dxa"/>
            <w:tcBorders/>
            <w:shd w:fill="FFFFFF" w:val="clear"/>
            <w:vAlign w:val="center"/>
          </w:tcPr>
          <w:p>
            <w:pPr>
              <w:pStyle w:val="TableContents"/>
              <w:spacing w:before="0" w:after="283"/>
              <w:rPr/>
            </w:pPr>
            <w:hyperlink w:anchor="b004">
              <w:r>
                <w:rPr>
                  <w:rStyle w:val="InternetLink"/>
                  <w:rFonts w:ascii="Times New Roman;Times;Serif" w:hAnsi="Times New Roman;Times;Serif"/>
                  <w:b w:val="false"/>
                  <w:i w:val="false"/>
                  <w:caps w:val="false"/>
                  <w:smallCaps w:val="false"/>
                  <w:sz w:val="20"/>
                </w:rPr>
                <w:t>Statements of Changes in Shareholders’ Equity for the Year Ended December 31, 2020 and for the Period from December 18, 2019 (inception) to December 31, 2019</w:t>
              </w:r>
            </w:hyperlink>
          </w:p>
        </w:tc>
        <w:tc>
          <w:tcPr>
            <w:tcW w:w="60" w:type="dxa"/>
            <w:tcBorders/>
            <w:shd w:fill="FFFFFF" w:val="clear"/>
            <w:vAlign w:val="center"/>
          </w:tcPr>
          <w:p>
            <w:pPr>
              <w:pStyle w:val="TableContents"/>
              <w:spacing w:before="0" w:after="283"/>
              <w:rPr/>
            </w:pPr>
            <w:r>
              <w:rPr/>
              <w:t> </w:t>
            </w:r>
          </w:p>
        </w:tc>
        <w:tc>
          <w:tcPr>
            <w:tcW w:w="397" w:type="dxa"/>
            <w:tcBorders/>
            <w:shd w:fill="FFFFFF" w:val="clear"/>
            <w:vAlign w:val="center"/>
          </w:tcPr>
          <w:p>
            <w:pPr>
              <w:pStyle w:val="TableContents"/>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48" w:type="dxa"/>
            <w:tcBorders/>
            <w:shd w:fill="CCEEFF" w:val="clear"/>
            <w:vAlign w:val="center"/>
          </w:tcPr>
          <w:p>
            <w:pPr>
              <w:pStyle w:val="TableContents"/>
              <w:spacing w:before="0" w:after="283"/>
              <w:rPr/>
            </w:pPr>
            <w:hyperlink w:anchor="b005">
              <w:r>
                <w:rPr>
                  <w:rStyle w:val="InternetLink"/>
                  <w:rFonts w:ascii="Times New Roman;Times;Serif" w:hAnsi="Times New Roman;Times;Serif"/>
                  <w:b w:val="false"/>
                  <w:i w:val="false"/>
                  <w:caps w:val="false"/>
                  <w:smallCaps w:val="false"/>
                  <w:sz w:val="20"/>
                </w:rPr>
                <w:t>Statements of Cash Flows for the Year Ended December 31, 2020 and for the Period from December 18, 2019 (inception) to December 31, 2019</w:t>
              </w:r>
            </w:hyperlink>
          </w:p>
        </w:tc>
        <w:tc>
          <w:tcPr>
            <w:tcW w:w="60" w:type="dxa"/>
            <w:tcBorders/>
            <w:shd w:fill="CCEEFF" w:val="clear"/>
            <w:vAlign w:val="center"/>
          </w:tcPr>
          <w:p>
            <w:pPr>
              <w:pStyle w:val="TableContents"/>
              <w:spacing w:before="0" w:after="283"/>
              <w:rPr/>
            </w:pPr>
            <w:r>
              <w:rPr/>
              <w:t> </w:t>
            </w:r>
          </w:p>
        </w:tc>
        <w:tc>
          <w:tcPr>
            <w:tcW w:w="397" w:type="dxa"/>
            <w:tcBorders/>
            <w:shd w:fill="CCEEFF" w:val="clear"/>
            <w:vAlign w:val="center"/>
          </w:tcPr>
          <w:p>
            <w:pPr>
              <w:pStyle w:val="TableContents"/>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48" w:type="dxa"/>
            <w:tcBorders/>
            <w:shd w:fill="FFFFFF" w:val="clear"/>
            <w:vAlign w:val="center"/>
          </w:tcPr>
          <w:p>
            <w:pPr>
              <w:pStyle w:val="TableContents"/>
              <w:spacing w:before="0" w:after="283"/>
              <w:rPr/>
            </w:pPr>
            <w:hyperlink w:anchor="b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FFFFFF" w:val="clear"/>
            <w:vAlign w:val="center"/>
          </w:tcPr>
          <w:p>
            <w:pPr>
              <w:pStyle w:val="TableContents"/>
              <w:spacing w:before="0" w:after="283"/>
              <w:rPr/>
            </w:pPr>
            <w:r>
              <w:rPr/>
              <w:t> </w:t>
            </w:r>
          </w:p>
        </w:tc>
        <w:tc>
          <w:tcPr>
            <w:tcW w:w="397"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spacing w:before="0" w:after="0"/>
        <w:rPr>
          <w:caps w:val="false"/>
          <w:smallCaps w:val="false"/>
        </w:rPr>
      </w:pPr>
      <w:r>
        <w:rPr>
          <w:caps w:val="false"/>
          <w:smallCaps w:val="false"/>
        </w:rPr>
        <w:t> </w:t>
      </w:r>
    </w:p>
    <w:tbl>
      <w:tblPr>
        <w:tblW w:w="2868" w:type="dxa"/>
        <w:jc w:val="left"/>
        <w:tblInd w:w="0" w:type="dxa"/>
        <w:tblCellMar>
          <w:top w:w="0" w:type="dxa"/>
          <w:left w:w="0" w:type="dxa"/>
          <w:bottom w:w="0" w:type="dxa"/>
          <w:right w:w="0" w:type="dxa"/>
        </w:tblCellMar>
      </w:tblPr>
      <w:tblGrid>
        <w:gridCol w:w="38"/>
        <w:gridCol w:w="245"/>
        <w:gridCol w:w="258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5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w:t>
            </w:r>
          </w:p>
        </w:tc>
      </w:tr>
    </w:tbl>
    <w:p>
      <w:pPr>
        <w:pStyle w:val="TextBody"/>
        <w:spacing w:before="0" w:after="0"/>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2160" w:right="0" w:hanging="0"/>
        <w:jc w:val="both"/>
        <w:rPr>
          <w:caps w:val="false"/>
          <w:smallCaps w:val="false"/>
        </w:rPr>
      </w:pPr>
      <w:r>
        <w:rPr>
          <w:caps w:val="false"/>
          <w:smallCaps w:val="false"/>
        </w:rPr>
        <w:t> </w:t>
      </w:r>
    </w:p>
    <w:tbl>
      <w:tblPr>
        <w:tblW w:w="1008" w:type="dxa"/>
        <w:jc w:val="left"/>
        <w:tblInd w:w="0" w:type="dxa"/>
        <w:tblCellMar>
          <w:top w:w="0" w:type="dxa"/>
          <w:left w:w="0" w:type="dxa"/>
          <w:bottom w:w="0" w:type="dxa"/>
          <w:right w:w="0" w:type="dxa"/>
        </w:tblCellMar>
      </w:tblPr>
      <w:tblGrid>
        <w:gridCol w:w="38"/>
        <w:gridCol w:w="245"/>
        <w:gridCol w:w="72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file as part of this Report the exhibits listed in the attached Exhibit Index. Exhibits which are incorporated herein by reference can be obtained from the SEC’s website at www.sec.gov.</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72"/>
        <w:gridCol w:w="60"/>
        <w:gridCol w:w="9473"/>
      </w:tblGrid>
      <w:tr>
        <w:trPr/>
        <w:tc>
          <w:tcPr>
            <w:tcW w:w="672" w:type="dxa"/>
            <w:tcBorders>
              <w:bottom w:val="single" w:sz="12" w:space="0" w:color="000000"/>
            </w:tcBorders>
            <w:shd w:fill="auto" w:val="clear"/>
            <w:vAlign w:val="center"/>
          </w:tcPr>
          <w:p>
            <w:pPr>
              <w:pStyle w:val="TableContents"/>
              <w:spacing w:before="0" w:after="0"/>
              <w:ind w:left="144"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473"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March 4, 2021, by and among Sustainable Acquisition Corp., 1291924 B.C. Unlimited Liability Company, an unlimited liability company existing under the laws of British Columbia, Canada, and DeepGreen Metals Inc., a company existing under the laws of British Columbia, Canada.</w:t>
              </w:r>
            </w:hyperlink>
            <w:r>
              <w:rPr>
                <w:rFonts w:ascii="Times New Roman;Times;Serif" w:hAnsi="Times New Roman;Times;Serif"/>
                <w:b w:val="false"/>
                <w:i w:val="false"/>
                <w:caps w:val="false"/>
                <w:smallCaps w:val="false"/>
                <w:position w:val="7"/>
                <w:sz w:val="16"/>
                <w:sz w:val="20"/>
              </w:rPr>
              <w:t>(1)</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b w:val="false"/>
                  <w:i w:val="false"/>
                  <w:caps w:val="false"/>
                  <w:smallCaps w:val="false"/>
                  <w:sz w:val="20"/>
                </w:rPr>
                <w:t>Amended and Restated Memorandum and Articles of Association.</w:t>
              </w:r>
            </w:hyperlink>
            <w:r>
              <w:rPr>
                <w:rFonts w:ascii="Times New Roman;Times;Serif" w:hAnsi="Times New Roman;Times;Serif"/>
                <w:b w:val="false"/>
                <w:i w:val="false"/>
                <w:caps w:val="false"/>
                <w:smallCaps w:val="false"/>
                <w:position w:val="7"/>
                <w:sz w:val="16"/>
                <w:sz w:val="20"/>
              </w:rPr>
              <w:t>(2)</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20"/>
                </w:rPr>
                <w:t>Warrant Agreement between Continental Stock Transfer &amp; Trust Company and the Registrant.</w:t>
              </w:r>
            </w:hyperlink>
            <w:r>
              <w:rPr>
                <w:rFonts w:ascii="Times New Roman;Times;Serif" w:hAnsi="Times New Roman;Times;Serif"/>
                <w:b w:val="false"/>
                <w:i w:val="false"/>
                <w:caps w:val="false"/>
                <w:smallCaps w:val="false"/>
                <w:position w:val="7"/>
                <w:sz w:val="16"/>
                <w:sz w:val="20"/>
              </w:rPr>
              <w:t>(2)</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b w:val="false"/>
                  <w:i w:val="false"/>
                  <w:caps w:val="false"/>
                  <w:smallCaps w:val="false"/>
                  <w:sz w:val="20"/>
                </w:rPr>
                <w:t>Specimen Unit Certificate.</w:t>
              </w:r>
            </w:hyperlink>
            <w:hyperlink r:id="rId6">
              <w:r>
                <w:rPr>
                  <w:rStyle w:val="InternetLink"/>
                  <w:rFonts w:ascii="Times New Roman;Times;Serif" w:hAnsi="Times New Roman;Times;Serif"/>
                  <w:b w:val="false"/>
                  <w:i w:val="false"/>
                  <w:caps w:val="false"/>
                  <w:smallCaps w:val="false"/>
                  <w:position w:val="7"/>
                  <w:sz w:val="16"/>
                  <w:sz w:val="20"/>
                </w:rPr>
                <w:t>(3)</w:t>
              </w:r>
            </w:hyperlink>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b w:val="false"/>
                  <w:i w:val="false"/>
                  <w:caps w:val="false"/>
                  <w:smallCaps w:val="false"/>
                  <w:sz w:val="20"/>
                </w:rPr>
                <w:t>Specimen Class A Ordinary Share Certificate.</w:t>
              </w:r>
            </w:hyperlink>
            <w:r>
              <w:rPr>
                <w:rFonts w:ascii="Times New Roman;Times;Serif" w:hAnsi="Times New Roman;Times;Serif"/>
                <w:b w:val="false"/>
                <w:i w:val="false"/>
                <w:caps w:val="false"/>
                <w:smallCaps w:val="false"/>
                <w:position w:val="7"/>
                <w:sz w:val="16"/>
                <w:sz w:val="20"/>
              </w:rPr>
              <w:t>(3)</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w:anchor="f10k2020ex4-4_sustainable.htm">
              <w:r>
                <w:rPr>
                  <w:rStyle w:val="InternetLink"/>
                  <w:rFonts w:ascii="Times New Roman;Times;Serif" w:hAnsi="Times New Roman;Times;Serif"/>
                  <w:b w:val="false"/>
                  <w:i w:val="false"/>
                  <w:caps w:val="false"/>
                  <w:smallCaps w:val="false"/>
                  <w:sz w:val="20"/>
                </w:rPr>
                <w:t>Description of Registrant’s Securities.*</w:t>
              </w:r>
            </w:hyperlink>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b w:val="false"/>
                  <w:i w:val="false"/>
                  <w:caps w:val="false"/>
                  <w:smallCaps w:val="false"/>
                  <w:sz w:val="20"/>
                </w:rPr>
                <w:t>Investment Management Trust Agreement between Continental Stock Transfer &amp; Trust Company and the Registrant</w:t>
              </w:r>
            </w:hyperlink>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b w:val="false"/>
                  <w:i w:val="false"/>
                  <w:caps w:val="false"/>
                  <w:smallCaps w:val="false"/>
                  <w:sz w:val="20"/>
                </w:rPr>
                <w:t>Registration and Shareholder Rights Agreement among the Registrant, the Sponsor and the other parties thereto.</w:t>
              </w:r>
            </w:hyperlink>
            <w:r>
              <w:rPr>
                <w:rFonts w:ascii="Times New Roman;Times;Serif" w:hAnsi="Times New Roman;Times;Serif"/>
                <w:b w:val="false"/>
                <w:i w:val="false"/>
                <w:caps w:val="false"/>
                <w:smallCaps w:val="false"/>
                <w:position w:val="7"/>
                <w:sz w:val="16"/>
                <w:sz w:val="20"/>
              </w:rPr>
              <w:t>(2)</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b w:val="false"/>
                  <w:i w:val="false"/>
                  <w:caps w:val="false"/>
                  <w:smallCaps w:val="false"/>
                  <w:sz w:val="20"/>
                </w:rPr>
                <w:t>Private Placement Warrants Purchase Agreement between the Registrant and the Sponsor.</w:t>
              </w:r>
            </w:hyperlink>
            <w:r>
              <w:rPr>
                <w:rFonts w:ascii="Times New Roman;Times;Serif" w:hAnsi="Times New Roman;Times;Serif"/>
                <w:b w:val="false"/>
                <w:i w:val="false"/>
                <w:caps w:val="false"/>
                <w:smallCaps w:val="false"/>
                <w:position w:val="7"/>
                <w:sz w:val="16"/>
                <w:sz w:val="20"/>
              </w:rPr>
              <w:t>(2)</w:t>
            </w:r>
          </w:p>
        </w:tc>
      </w:tr>
      <w:tr>
        <w:trPr/>
        <w:tc>
          <w:tcPr>
            <w:tcW w:w="672"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473"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67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spacing w:before="0" w:after="283"/>
              <w:rPr/>
            </w:pPr>
            <w:r>
              <w:rPr/>
              <w:t> </w:t>
            </w:r>
          </w:p>
        </w:tc>
        <w:tc>
          <w:tcPr>
            <w:tcW w:w="9473" w:type="dxa"/>
            <w:tcBorders/>
            <w:shd w:fill="CCEEFF"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b w:val="false"/>
                  <w:i w:val="false"/>
                  <w:caps w:val="false"/>
                  <w:smallCaps w:val="false"/>
                  <w:sz w:val="20"/>
                </w:rPr>
                <w:t>Letter Agreement between the Registrant and the Sponsor.</w:t>
              </w:r>
            </w:hyperlink>
            <w:r>
              <w:rPr>
                <w:rFonts w:ascii="Times New Roman;Times;Serif" w:hAnsi="Times New Roman;Times;Serif"/>
                <w:b w:val="false"/>
                <w:i w:val="false"/>
                <w:caps w:val="false"/>
                <w:smallCaps w:val="false"/>
                <w:position w:val="7"/>
                <w:sz w:val="16"/>
                <w:sz w:val="20"/>
              </w:rPr>
              <w:t>(2)</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94"/>
        <w:gridCol w:w="60"/>
        <w:gridCol w:w="9051"/>
      </w:tblGrid>
      <w:tr>
        <w:trPr/>
        <w:tc>
          <w:tcPr>
            <w:tcW w:w="1094" w:type="dxa"/>
            <w:tcBorders>
              <w:bottom w:val="single" w:sz="12" w:space="0" w:color="000000"/>
            </w:tcBorders>
            <w:shd w:fill="auto" w:val="clear"/>
            <w:vAlign w:val="center"/>
          </w:tcPr>
          <w:p>
            <w:pPr>
              <w:pStyle w:val="TableContents"/>
              <w:spacing w:before="0" w:after="0"/>
              <w:ind w:left="144"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051"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b w:val="false"/>
                  <w:i w:val="false"/>
                  <w:caps w:val="false"/>
                  <w:smallCaps w:val="false"/>
                  <w:sz w:val="20"/>
                </w:rPr>
                <w:t>Letter Agreement between the Registrant and each of the executive officers and directors of the registrant.</w:t>
              </w:r>
            </w:hyperlink>
            <w:r>
              <w:rPr>
                <w:rFonts w:ascii="Times New Roman;Times;Serif" w:hAnsi="Times New Roman;Times;Serif"/>
                <w:b w:val="false"/>
                <w:i w:val="false"/>
                <w:caps w:val="false"/>
                <w:smallCaps w:val="false"/>
                <w:position w:val="7"/>
                <w:sz w:val="16"/>
                <w:sz w:val="20"/>
              </w:rPr>
              <w:t>(2)</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b w:val="false"/>
                  <w:i w:val="false"/>
                  <w:caps w:val="false"/>
                  <w:smallCaps w:val="false"/>
                  <w:sz w:val="20"/>
                </w:rPr>
                <w:t>Administrative Services Agreement between the Registrant and the Sponsor.</w:t>
              </w:r>
            </w:hyperlink>
            <w:r>
              <w:rPr>
                <w:rFonts w:ascii="Times New Roman;Times;Serif" w:hAnsi="Times New Roman;Times;Serif"/>
                <w:b w:val="false"/>
                <w:i w:val="false"/>
                <w:caps w:val="false"/>
                <w:smallCaps w:val="false"/>
                <w:position w:val="7"/>
                <w:sz w:val="16"/>
                <w:sz w:val="20"/>
              </w:rPr>
              <w:t>(2)</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b w:val="false"/>
                  <w:i w:val="false"/>
                  <w:caps w:val="false"/>
                  <w:smallCaps w:val="false"/>
                  <w:sz w:val="20"/>
                </w:rPr>
                <w:t>Form of PIPE Subscription Agreement for institutional investors.</w:t>
              </w:r>
            </w:hyperlink>
            <w:r>
              <w:rPr>
                <w:rFonts w:ascii="Times New Roman;Times;Serif" w:hAnsi="Times New Roman;Times;Serif"/>
                <w:b w:val="false"/>
                <w:i w:val="false"/>
                <w:caps w:val="false"/>
                <w:smallCaps w:val="false"/>
                <w:position w:val="7"/>
                <w:sz w:val="16"/>
                <w:sz w:val="20"/>
              </w:rPr>
              <w:t>(1)</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b w:val="false"/>
                  <w:i w:val="false"/>
                  <w:caps w:val="false"/>
                  <w:smallCaps w:val="false"/>
                  <w:sz w:val="20"/>
                </w:rPr>
                <w:t>Form of PIPE Subscription Agreement for accredited investors.</w:t>
              </w:r>
            </w:hyperlink>
            <w:r>
              <w:rPr>
                <w:rFonts w:ascii="Times New Roman;Times;Serif" w:hAnsi="Times New Roman;Times;Serif"/>
                <w:b w:val="false"/>
                <w:i w:val="false"/>
                <w:caps w:val="false"/>
                <w:smallCaps w:val="false"/>
                <w:position w:val="7"/>
                <w:sz w:val="16"/>
                <w:sz w:val="20"/>
              </w:rPr>
              <w:t>(1)</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b w:val="false"/>
                  <w:i w:val="false"/>
                  <w:caps w:val="false"/>
                  <w:smallCaps w:val="false"/>
                  <w:sz w:val="20"/>
                </w:rPr>
                <w:t>Form of Transaction Support Agreement.</w:t>
              </w:r>
            </w:hyperlink>
            <w:r>
              <w:rPr>
                <w:rFonts w:ascii="Times New Roman;Times;Serif" w:hAnsi="Times New Roman;Times;Serif"/>
                <w:b w:val="false"/>
                <w:i w:val="false"/>
                <w:caps w:val="false"/>
                <w:smallCaps w:val="false"/>
                <w:position w:val="7"/>
                <w:sz w:val="16"/>
                <w:sz w:val="20"/>
              </w:rPr>
              <w:t>(1)</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b w:val="false"/>
                  <w:i w:val="false"/>
                  <w:caps w:val="false"/>
                  <w:smallCaps w:val="false"/>
                  <w:sz w:val="20"/>
                </w:rPr>
                <w:t>Sponsor Letter Agreement, dated as of March 4, 2021, by and among the Registrant, certain other holders party thereto, Sponsor and DeepGreen Metals, Inc.</w:t>
              </w:r>
            </w:hyperlink>
            <w:r>
              <w:rPr>
                <w:rFonts w:ascii="Times New Roman;Times;Serif" w:hAnsi="Times New Roman;Times;Serif"/>
                <w:b w:val="false"/>
                <w:i w:val="false"/>
                <w:caps w:val="false"/>
                <w:smallCaps w:val="false"/>
                <w:position w:val="7"/>
                <w:sz w:val="16"/>
                <w:sz w:val="20"/>
              </w:rPr>
              <w:t>(1)</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w:anchor="f10k2020ex31-1_sustainable.htm">
              <w:r>
                <w:rPr>
                  <w:rStyle w:val="InternetLink"/>
                  <w:rFonts w:ascii="Times New Roman;Times;Serif" w:hAnsi="Times New Roman;Times;Serif"/>
                  <w:b w:val="false"/>
                  <w:i w:val="false"/>
                  <w:caps w:val="false"/>
                  <w:smallCaps w:val="false"/>
                  <w:sz w:val="20"/>
                </w:rPr>
                <w:t>Certification of the Chief Executive Officer required by Rule 13a-14(a) or Rule 15d-14(a).*</w:t>
              </w:r>
            </w:hyperlink>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w:anchor="f10k2020ex31-2_sustainable.htm">
              <w:r>
                <w:rPr>
                  <w:rStyle w:val="InternetLink"/>
                  <w:rFonts w:ascii="Times New Roman;Times;Serif" w:hAnsi="Times New Roman;Times;Serif"/>
                  <w:b w:val="false"/>
                  <w:i w:val="false"/>
                  <w:caps w:val="false"/>
                  <w:smallCaps w:val="false"/>
                  <w:sz w:val="20"/>
                </w:rPr>
                <w:t>Certification of the Chief Financial Officer required by Rule 13a-14(a) or Rule 15d-14(a).*</w:t>
              </w:r>
            </w:hyperlink>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w:anchor="f10k2020ex32-1_sustainable.htm">
              <w:r>
                <w:rPr>
                  <w:rStyle w:val="InternetLink"/>
                  <w:rFonts w:ascii="Times New Roman;Times;Serif" w:hAnsi="Times New Roman;Times;Serif"/>
                  <w:b w:val="false"/>
                  <w:i w:val="false"/>
                  <w:caps w:val="false"/>
                  <w:smallCaps w:val="false"/>
                  <w:sz w:val="20"/>
                </w:rPr>
                <w:t>Certification of the Chief Executive Officer required by Rule 13a-14(b) or Rule 15d-14(b) and 18 U.S.C. 1350**</w:t>
              </w:r>
            </w:hyperlink>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pPr>
            <w:hyperlink w:anchor="f10k2020ex32-2_sustainable.htm">
              <w:r>
                <w:rPr>
                  <w:rStyle w:val="InternetLink"/>
                  <w:rFonts w:ascii="Times New Roman;Times;Serif" w:hAnsi="Times New Roman;Times;Serif"/>
                  <w:b w:val="false"/>
                  <w:i w:val="false"/>
                  <w:caps w:val="false"/>
                  <w:smallCaps w:val="false"/>
                  <w:sz w:val="20"/>
                </w:rPr>
                <w:t>Certification of the Chief Financial Officer required by Rule 13a-14(b) or Rule 15d-14(b) and 18 U.S.C. 1350**</w:t>
              </w:r>
            </w:hyperlink>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 Document</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Taxonomy Extension Schema</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Taxonomy Extension Calculation Linkbase</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Taxonomy Extension Definition Linkbase</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Taxonomy Extension Label Linkbase</w:t>
            </w:r>
          </w:p>
        </w:tc>
      </w:tr>
      <w:tr>
        <w:trPr/>
        <w:tc>
          <w:tcPr>
            <w:tcW w:w="1094"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pPr>
            <w:r>
              <w:rPr/>
              <w:t> </w:t>
            </w:r>
          </w:p>
        </w:tc>
        <w:tc>
          <w:tcPr>
            <w:tcW w:w="9051"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109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 XBRL</w:t>
            </w:r>
          </w:p>
        </w:tc>
        <w:tc>
          <w:tcPr>
            <w:tcW w:w="60" w:type="dxa"/>
            <w:tcBorders/>
            <w:shd w:fill="CCEEFF" w:val="clear"/>
            <w:tcMar>
              <w:bottom w:w="0" w:type="dxa"/>
            </w:tcMar>
            <w:vAlign w:val="center"/>
          </w:tcPr>
          <w:p>
            <w:pPr>
              <w:pStyle w:val="TableContents"/>
              <w:spacing w:before="0" w:after="283"/>
              <w:rPr/>
            </w:pPr>
            <w:r>
              <w:rPr/>
              <w:t> </w:t>
            </w:r>
          </w:p>
        </w:tc>
        <w:tc>
          <w:tcPr>
            <w:tcW w:w="9051"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Taxonomy Extension Presentation Linkbase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left"/>
        <w:rPr>
          <w:bdr w:val="single" w:sz="12" w:space="1" w:color="000000"/>
        </w:rPr>
      </w:pPr>
      <w:r>
        <w:rPr>
          <w:bdr w:val="single" w:sz="12" w:space="1" w:color="000000"/>
        </w:rPr>
        <w:t> </w:t>
      </w:r>
    </w:p>
    <w:tbl>
      <w:tblPr>
        <w:tblW w:w="1368" w:type="dxa"/>
        <w:jc w:val="left"/>
        <w:tblInd w:w="0" w:type="dxa"/>
        <w:tblCellMar>
          <w:top w:w="0" w:type="dxa"/>
          <w:left w:w="0" w:type="dxa"/>
          <w:bottom w:w="0" w:type="dxa"/>
          <w:right w:w="0" w:type="dxa"/>
        </w:tblCellMar>
      </w:tblPr>
      <w:tblGrid>
        <w:gridCol w:w="38"/>
        <w:gridCol w:w="125"/>
        <w:gridCol w:w="120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tbl>
      <w:tblPr>
        <w:tblW w:w="1863" w:type="dxa"/>
        <w:jc w:val="left"/>
        <w:tblInd w:w="0" w:type="dxa"/>
        <w:tblCellMar>
          <w:top w:w="0" w:type="dxa"/>
          <w:left w:w="0" w:type="dxa"/>
          <w:bottom w:w="0" w:type="dxa"/>
          <w:right w:w="0" w:type="dxa"/>
        </w:tblCellMar>
      </w:tblPr>
      <w:tblGrid>
        <w:gridCol w:w="38"/>
        <w:gridCol w:w="230"/>
        <w:gridCol w:w="159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tbl>
      <w:tblPr>
        <w:tblW w:w="9273" w:type="dxa"/>
        <w:jc w:val="left"/>
        <w:tblInd w:w="0" w:type="dxa"/>
        <w:tblCellMar>
          <w:top w:w="0" w:type="dxa"/>
          <w:left w:w="0" w:type="dxa"/>
          <w:bottom w:w="0" w:type="dxa"/>
          <w:right w:w="0" w:type="dxa"/>
        </w:tblCellMar>
      </w:tblPr>
      <w:tblGrid>
        <w:gridCol w:w="38"/>
        <w:gridCol w:w="245"/>
        <w:gridCol w:w="899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registrant’s Current Report on Form 8-K, filed with the SEC on March 4, 2021.</w:t>
            </w:r>
          </w:p>
        </w:tc>
      </w:tr>
    </w:tbl>
    <w:tbl>
      <w:tblPr>
        <w:tblW w:w="9123" w:type="dxa"/>
        <w:jc w:val="left"/>
        <w:tblInd w:w="0" w:type="dxa"/>
        <w:tblCellMar>
          <w:top w:w="0" w:type="dxa"/>
          <w:left w:w="0" w:type="dxa"/>
          <w:bottom w:w="0" w:type="dxa"/>
          <w:right w:w="0" w:type="dxa"/>
        </w:tblCellMar>
      </w:tblPr>
      <w:tblGrid>
        <w:gridCol w:w="38"/>
        <w:gridCol w:w="245"/>
        <w:gridCol w:w="884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4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registrant’s Current Report on Form 8-K, filed with the SEC on May 8, 2020.</w:t>
            </w:r>
          </w:p>
        </w:tc>
      </w:tr>
    </w:tbl>
    <w:tbl>
      <w:tblPr>
        <w:tblW w:w="9738" w:type="dxa"/>
        <w:jc w:val="left"/>
        <w:tblInd w:w="0" w:type="dxa"/>
        <w:tblCellMar>
          <w:top w:w="0" w:type="dxa"/>
          <w:left w:w="0" w:type="dxa"/>
          <w:bottom w:w="0" w:type="dxa"/>
          <w:right w:w="0" w:type="dxa"/>
        </w:tblCellMar>
      </w:tblPr>
      <w:tblGrid>
        <w:gridCol w:w="38"/>
        <w:gridCol w:w="245"/>
        <w:gridCol w:w="945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4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registrant’s Registration Statement on Form S-1, filed with the SEC on May 1, 2020.</w:t>
            </w:r>
          </w:p>
        </w:tc>
      </w:tr>
    </w:tbl>
    <w:p>
      <w:pPr>
        <w:pStyle w:val="TextBody"/>
        <w:spacing w:before="0" w:after="0"/>
        <w:ind w:left="0" w:right="0" w:hanging="0"/>
        <w:rPr>
          <w:caps w:val="false"/>
          <w:smallCaps w:val="false"/>
        </w:rPr>
      </w:pPr>
      <w:r>
        <w:rPr>
          <w:caps w:val="false"/>
          <w:smallCaps w:val="false"/>
        </w:rPr>
        <w:t> </w:t>
      </w:r>
    </w:p>
    <w:tbl>
      <w:tblPr>
        <w:tblW w:w="3603" w:type="dxa"/>
        <w:jc w:val="left"/>
        <w:tblInd w:w="0" w:type="dxa"/>
        <w:tblCellMar>
          <w:top w:w="0" w:type="dxa"/>
          <w:left w:w="0" w:type="dxa"/>
          <w:bottom w:w="0" w:type="dxa"/>
          <w:right w:w="0" w:type="dxa"/>
        </w:tblCellMar>
      </w:tblPr>
      <w:tblGrid>
        <w:gridCol w:w="38"/>
        <w:gridCol w:w="965"/>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pPr>
            <w:bookmarkStart w:id="27" w:name="a_026"/>
            <w:bookmarkEnd w:id="27"/>
            <w:r>
              <w:rPr/>
              <w:t>ITEM 16.</w:t>
            </w:r>
          </w:p>
        </w:tc>
        <w:tc>
          <w:tcPr>
            <w:tcW w:w="2600" w:type="dxa"/>
            <w:tcBorders/>
            <w:shd w:fill="auto" w:val="clear"/>
            <w:vAlign w:val="center"/>
          </w:tcPr>
          <w:p>
            <w:pPr>
              <w:pStyle w:val="TableContents"/>
              <w:spacing w:before="0" w:after="283"/>
              <w:jc w:val="both"/>
              <w:rPr/>
            </w:pPr>
            <w:r>
              <w:rPr/>
              <w:t>FORM 10-K SUMMARY</w:t>
            </w:r>
          </w:p>
        </w:tc>
      </w:tr>
    </w:tbl>
    <w:p>
      <w:pPr>
        <w:pStyle w:val="TextBody"/>
        <w:spacing w:before="0" w:after="0"/>
        <w:ind w:left="1440" w:right="0" w:hanging="144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spacing w:before="0" w:after="0"/>
        <w:jc w:val="center"/>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Act of 1934, the registrant has duly caused this Annual Report on Form 10-K to be signed on its behalf by the undersigned, thereunto duly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TextBody"/>
        <w:spacing w:before="0" w:after="0"/>
        <w:ind w:left="0" w:right="0" w:hanging="0"/>
        <w:rPr>
          <w:caps w:val="false"/>
          <w:smallCaps w:val="false"/>
        </w:rPr>
      </w:pPr>
      <w:r>
        <w:rPr>
          <w:caps w:val="false"/>
          <w:smallCaps w:val="false"/>
        </w:rPr>
        <w:t> </w:t>
      </w:r>
    </w:p>
    <w:tbl>
      <w:tblPr>
        <w:tblW w:w="6040" w:type="dxa"/>
        <w:jc w:val="left"/>
        <w:tblInd w:w="0" w:type="dxa"/>
        <w:tblCellMar>
          <w:top w:w="0" w:type="dxa"/>
          <w:left w:w="0" w:type="dxa"/>
          <w:bottom w:w="0" w:type="dxa"/>
          <w:right w:w="0" w:type="dxa"/>
        </w:tblCellMar>
      </w:tblPr>
      <w:tblGrid>
        <w:gridCol w:w="75"/>
        <w:gridCol w:w="590"/>
        <w:gridCol w:w="5375"/>
      </w:tblGrid>
      <w:tr>
        <w:trPr/>
        <w:tc>
          <w:tcPr>
            <w:tcW w:w="75" w:type="dxa"/>
            <w:tcBorders/>
            <w:shd w:fill="auto" w:val="clear"/>
            <w:vAlign w:val="center"/>
          </w:tcPr>
          <w:p>
            <w:pPr>
              <w:pStyle w:val="TableContents"/>
              <w:spacing w:before="0" w:after="283"/>
              <w:rPr/>
            </w:pPr>
            <w:r>
              <w:rPr/>
              <w:t> </w:t>
            </w:r>
          </w:p>
        </w:tc>
        <w:tc>
          <w:tcPr>
            <w:tcW w:w="5965" w:type="dxa"/>
            <w:gridSpan w:val="2"/>
            <w:tcBorders/>
            <w:shd w:fill="auto" w:val="clear"/>
            <w:vAlign w:val="center"/>
          </w:tcPr>
          <w:p>
            <w:pPr>
              <w:pStyle w:val="TableContents"/>
              <w:spacing w:before="0" w:after="283"/>
              <w:rPr>
                <w:b/>
                <w:sz w:val="20"/>
              </w:rPr>
            </w:pPr>
            <w:r>
              <w:rPr>
                <w:b/>
                <w:sz w:val="20"/>
              </w:rPr>
              <w:t>SUSTAINABLE OPPORTUNITIES ACQUISITION CORP.</w:t>
            </w:r>
          </w:p>
        </w:tc>
      </w:tr>
      <w:tr>
        <w:trPr/>
        <w:tc>
          <w:tcPr>
            <w:tcW w:w="75" w:type="dxa"/>
            <w:tcBorders/>
            <w:shd w:fill="auto" w:val="clear"/>
            <w:vAlign w:val="center"/>
          </w:tcPr>
          <w:p>
            <w:pPr>
              <w:pStyle w:val="TableContents"/>
              <w:spacing w:before="0" w:after="283"/>
              <w:rPr/>
            </w:pPr>
            <w:r>
              <w:rPr/>
              <w:t> </w:t>
            </w:r>
          </w:p>
        </w:tc>
        <w:tc>
          <w:tcPr>
            <w:tcW w:w="5965"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965" w:type="dxa"/>
            <w:gridSpan w:val="2"/>
            <w:tcBorders>
              <w:bottom w:val="single" w:sz="12" w:space="0" w:color="000000"/>
            </w:tcBorders>
            <w:shd w:fill="auto" w:val="clear"/>
            <w:tcMar>
              <w:bottom w:w="28" w:type="dxa"/>
            </w:tcMar>
            <w:vAlign w:val="center"/>
          </w:tcPr>
          <w:p>
            <w:pPr>
              <w:pStyle w:val="TableContents"/>
              <w:spacing w:before="0" w:after="283"/>
              <w:rPr>
                <w:sz w:val="20"/>
              </w:rPr>
            </w:pPr>
            <w:r>
              <w:rPr>
                <w:sz w:val="20"/>
              </w:rPr>
              <w:t>/s/ Scott Leonard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Name: </w:t>
            </w:r>
          </w:p>
        </w:tc>
        <w:tc>
          <w:tcPr>
            <w:tcW w:w="5375" w:type="dxa"/>
            <w:tcBorders/>
            <w:shd w:fill="auto" w:val="clear"/>
            <w:vAlign w:val="center"/>
          </w:tcPr>
          <w:p>
            <w:pPr>
              <w:pStyle w:val="TableContents"/>
              <w:spacing w:before="0" w:after="283"/>
              <w:rPr>
                <w:sz w:val="20"/>
              </w:rPr>
            </w:pPr>
            <w:r>
              <w:rPr>
                <w:sz w:val="20"/>
              </w:rPr>
              <w:t>Scott Leonard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Title:</w:t>
            </w:r>
          </w:p>
        </w:tc>
        <w:tc>
          <w:tcPr>
            <w:tcW w:w="5375" w:type="dxa"/>
            <w:tcBorders/>
            <w:shd w:fill="auto" w:val="clear"/>
            <w:vAlign w:val="center"/>
          </w:tcPr>
          <w:p>
            <w:pPr>
              <w:pStyle w:val="TableContents"/>
              <w:spacing w:before="0" w:after="283"/>
              <w:rPr>
                <w:sz w:val="20"/>
              </w:rPr>
            </w:pPr>
            <w:r>
              <w:rPr>
                <w:sz w:val="20"/>
              </w:rPr>
              <w:t>Chief Executive Officer and Director (Principal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spacing w:before="0" w:after="0"/>
        <w:ind w:left="0" w:right="0" w:firstLine="720"/>
        <w:jc w:val="both"/>
        <w:rPr>
          <w:caps w:val="false"/>
          <w:smallCaps w:val="false"/>
        </w:rPr>
      </w:pPr>
      <w:r>
        <w:rPr>
          <w:caps w:val="false"/>
          <w:smallCaps w:val="false"/>
        </w:rPr>
        <w:t> </w:t>
      </w:r>
    </w:p>
    <w:tbl>
      <w:tblPr>
        <w:tblW w:w="6495" w:type="dxa"/>
        <w:jc w:val="left"/>
        <w:tblInd w:w="0" w:type="dxa"/>
        <w:tblCellMar>
          <w:top w:w="0" w:type="dxa"/>
          <w:left w:w="0" w:type="dxa"/>
          <w:bottom w:w="28" w:type="dxa"/>
          <w:right w:w="0" w:type="dxa"/>
        </w:tblCellMar>
      </w:tblPr>
      <w:tblGrid>
        <w:gridCol w:w="1415"/>
        <w:gridCol w:w="60"/>
        <w:gridCol w:w="3635"/>
        <w:gridCol w:w="60"/>
        <w:gridCol w:w="1325"/>
      </w:tblGrid>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3635"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shd w:fill="auto" w:val="clear"/>
            <w:tcMar>
              <w:bottom w:w="0" w:type="dxa"/>
            </w:tcMar>
            <w:vAlign w:val="center"/>
          </w:tcPr>
          <w:p>
            <w:pPr>
              <w:pStyle w:val="TableContents"/>
              <w:spacing w:before="0" w:after="283"/>
              <w:rPr/>
            </w:pPr>
            <w:r>
              <w:rPr/>
              <w:t> </w:t>
            </w:r>
          </w:p>
        </w:tc>
        <w:tc>
          <w:tcPr>
            <w:tcW w:w="132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Leonard</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Leonard</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Honour</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Honour</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Quiram</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Quiram</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Gaenzle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Gaenzle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Isaac Barchas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Isaac Barchas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415" w:type="dxa"/>
            <w:tcBorders>
              <w:bottom w:val="single" w:sz="12" w:space="0" w:color="000000"/>
            </w:tcBorders>
            <w:shd w:fill="auto" w:val="clear"/>
            <w:vAlign w:val="center"/>
          </w:tcPr>
          <w:p>
            <w:pPr>
              <w:pStyle w:val="TableContents"/>
              <w:spacing w:before="0" w:after="0"/>
              <w:ind w:left="144" w:right="0" w:hanging="14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Justin Kelly</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41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Kelly</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SUSTAINABLE OPPORTUNITIES ACQUISITION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380"/>
        <w:gridCol w:w="60"/>
        <w:gridCol w:w="765"/>
      </w:tblGrid>
      <w:tr>
        <w:trPr/>
        <w:tc>
          <w:tcPr>
            <w:tcW w:w="938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765" w:type="dxa"/>
            <w:tcBorders>
              <w:bottom w:val="single" w:sz="12" w:space="0" w:color="000000"/>
            </w:tcBorders>
            <w:shd w:fill="auto" w:val="clear"/>
            <w:tcMar>
              <w:bottom w:w="28" w:type="dxa"/>
            </w:tcMar>
            <w:vAlign w:val="center"/>
          </w:tcPr>
          <w:p>
            <w:pPr>
              <w:pStyle w:val="TableContents"/>
              <w:spacing w:before="0" w:after="283"/>
              <w:jc w:val="center"/>
              <w:rPr>
                <w:b/>
              </w:rPr>
            </w:pPr>
            <w:r>
              <w:rPr>
                <w:b/>
              </w:rPr>
              <w:t>Page No.</w:t>
            </w:r>
          </w:p>
        </w:tc>
      </w:tr>
      <w:tr>
        <w:trPr/>
        <w:tc>
          <w:tcPr>
            <w:tcW w:w="9380" w:type="dxa"/>
            <w:tcBorders/>
            <w:shd w:fill="CCEEFF" w:val="clear"/>
            <w:vAlign w:val="center"/>
          </w:tcPr>
          <w:p>
            <w:pPr>
              <w:pStyle w:val="TableContents"/>
              <w:spacing w:before="0" w:after="283"/>
              <w:jc w:val="both"/>
              <w:rPr/>
            </w:pPr>
            <w:hyperlink w:anchor="b001">
              <w:r>
                <w:rPr>
                  <w:rStyle w:val="InternetLink"/>
                </w:rPr>
                <w:t>Report of Independent Registered Public Accounting Firm</w:t>
              </w:r>
            </w:hyperlink>
          </w:p>
        </w:tc>
        <w:tc>
          <w:tcPr>
            <w:tcW w:w="60" w:type="dxa"/>
            <w:tcBorders/>
            <w:shd w:fill="CCEEFF" w:val="clear"/>
            <w:vAlign w:val="center"/>
          </w:tcPr>
          <w:p>
            <w:pPr>
              <w:pStyle w:val="TableContents"/>
              <w:spacing w:before="0" w:after="283"/>
              <w:rPr/>
            </w:pPr>
            <w:r>
              <w:rPr/>
              <w:t> </w:t>
            </w:r>
          </w:p>
        </w:tc>
        <w:tc>
          <w:tcPr>
            <w:tcW w:w="765" w:type="dxa"/>
            <w:tcBorders/>
            <w:shd w:fill="CCEEFF" w:val="clear"/>
            <w:vAlign w:val="center"/>
          </w:tcPr>
          <w:p>
            <w:pPr>
              <w:pStyle w:val="TableContents"/>
              <w:spacing w:before="0" w:after="283"/>
              <w:jc w:val="center"/>
              <w:rPr/>
            </w:pPr>
            <w:r>
              <w:rPr/>
              <w:t>F-2</w:t>
            </w:r>
          </w:p>
        </w:tc>
      </w:tr>
      <w:tr>
        <w:trPr/>
        <w:tc>
          <w:tcPr>
            <w:tcW w:w="9380"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765" w:type="dxa"/>
            <w:tcBorders/>
            <w:shd w:fill="FFFFFF" w:val="clear"/>
            <w:vAlign w:val="center"/>
          </w:tcPr>
          <w:p>
            <w:pPr>
              <w:pStyle w:val="TableContents"/>
              <w:spacing w:before="0" w:after="283"/>
              <w:jc w:val="center"/>
              <w:rPr/>
            </w:pPr>
            <w:r>
              <w:rPr/>
              <w:t> </w:t>
            </w:r>
          </w:p>
        </w:tc>
      </w:tr>
      <w:tr>
        <w:trPr/>
        <w:tc>
          <w:tcPr>
            <w:tcW w:w="9380" w:type="dxa"/>
            <w:tcBorders/>
            <w:shd w:fill="CCEEFF" w:val="clear"/>
            <w:vAlign w:val="center"/>
          </w:tcPr>
          <w:p>
            <w:pPr>
              <w:pStyle w:val="TableContents"/>
              <w:spacing w:before="0" w:after="0"/>
              <w:ind w:left="0" w:right="0" w:hanging="0"/>
              <w:jc w:val="both"/>
              <w:rPr/>
            </w:pPr>
            <w:r>
              <w:rPr/>
              <w:t>Financial Statements:</w:t>
            </w:r>
          </w:p>
        </w:tc>
        <w:tc>
          <w:tcPr>
            <w:tcW w:w="60" w:type="dxa"/>
            <w:tcBorders/>
            <w:shd w:fill="CCEEFF" w:val="clear"/>
            <w:vAlign w:val="center"/>
          </w:tcPr>
          <w:p>
            <w:pPr>
              <w:pStyle w:val="TableContents"/>
              <w:spacing w:before="0" w:after="283"/>
              <w:rPr/>
            </w:pPr>
            <w:r>
              <w:rPr/>
              <w:t> </w:t>
            </w:r>
          </w:p>
        </w:tc>
        <w:tc>
          <w:tcPr>
            <w:tcW w:w="765" w:type="dxa"/>
            <w:tcBorders/>
            <w:shd w:fill="CCEEFF" w:val="clear"/>
            <w:vAlign w:val="center"/>
          </w:tcPr>
          <w:p>
            <w:pPr>
              <w:pStyle w:val="TableContents"/>
              <w:spacing w:before="0" w:after="283"/>
              <w:jc w:val="center"/>
              <w:rPr/>
            </w:pPr>
            <w:r>
              <w:rPr/>
              <w:t> </w:t>
            </w:r>
          </w:p>
        </w:tc>
      </w:tr>
      <w:tr>
        <w:trPr/>
        <w:tc>
          <w:tcPr>
            <w:tcW w:w="93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65" w:type="dxa"/>
            <w:tcBorders/>
            <w:shd w:fill="FFFFFF" w:val="clear"/>
            <w:vAlign w:val="center"/>
          </w:tcPr>
          <w:p>
            <w:pPr>
              <w:pStyle w:val="TableContents"/>
              <w:spacing w:before="0" w:after="283"/>
              <w:jc w:val="center"/>
              <w:rPr/>
            </w:pPr>
            <w:r>
              <w:rPr/>
              <w:t> </w:t>
            </w:r>
          </w:p>
        </w:tc>
      </w:tr>
      <w:tr>
        <w:trPr/>
        <w:tc>
          <w:tcPr>
            <w:tcW w:w="9380" w:type="dxa"/>
            <w:tcBorders/>
            <w:shd w:fill="CCEEFF" w:val="clear"/>
            <w:vAlign w:val="center"/>
          </w:tcPr>
          <w:p>
            <w:pPr>
              <w:pStyle w:val="TableContents"/>
              <w:spacing w:before="0" w:after="0"/>
              <w:ind w:left="360" w:right="0" w:hanging="360"/>
              <w:jc w:val="both"/>
              <w:rPr/>
            </w:pPr>
            <w:hyperlink w:anchor="b002">
              <w:r>
                <w:rPr>
                  <w:rStyle w:val="InternetLink"/>
                </w:rPr>
                <w:t>Balance Sheets as of December 31, 2020 and 2019</w:t>
              </w:r>
            </w:hyperlink>
          </w:p>
        </w:tc>
        <w:tc>
          <w:tcPr>
            <w:tcW w:w="60" w:type="dxa"/>
            <w:tcBorders/>
            <w:shd w:fill="CCEEFF" w:val="clear"/>
            <w:vAlign w:val="center"/>
          </w:tcPr>
          <w:p>
            <w:pPr>
              <w:pStyle w:val="TableContents"/>
              <w:spacing w:before="0" w:after="283"/>
              <w:rPr/>
            </w:pPr>
            <w:r>
              <w:rPr/>
              <w:t> </w:t>
            </w:r>
          </w:p>
        </w:tc>
        <w:tc>
          <w:tcPr>
            <w:tcW w:w="765" w:type="dxa"/>
            <w:tcBorders/>
            <w:shd w:fill="CCEEFF" w:val="clear"/>
            <w:vAlign w:val="center"/>
          </w:tcPr>
          <w:p>
            <w:pPr>
              <w:pStyle w:val="TableContents"/>
              <w:spacing w:before="0" w:after="283"/>
              <w:ind w:left="0" w:right="0" w:hanging="180"/>
              <w:jc w:val="center"/>
              <w:rPr/>
            </w:pPr>
            <w:r>
              <w:rPr/>
              <w:t>F-3</w:t>
            </w:r>
          </w:p>
        </w:tc>
      </w:tr>
      <w:tr>
        <w:trPr/>
        <w:tc>
          <w:tcPr>
            <w:tcW w:w="9380" w:type="dxa"/>
            <w:tcBorders/>
            <w:shd w:fill="FFFFFF" w:val="clear"/>
            <w:vAlign w:val="center"/>
          </w:tcPr>
          <w:p>
            <w:pPr>
              <w:pStyle w:val="TableContents"/>
              <w:spacing w:before="0" w:after="283"/>
              <w:jc w:val="both"/>
              <w:rPr/>
            </w:pPr>
            <w:hyperlink w:anchor="b003">
              <w:r>
                <w:rPr>
                  <w:rStyle w:val="InternetLink"/>
                </w:rPr>
                <w:t>Statements of Operations for the Year Ended December 31, 2020 and for the Period from December 18, 2019 (inception) to December 31, 2019</w:t>
              </w:r>
            </w:hyperlink>
          </w:p>
        </w:tc>
        <w:tc>
          <w:tcPr>
            <w:tcW w:w="60" w:type="dxa"/>
            <w:tcBorders/>
            <w:shd w:fill="FFFFFF" w:val="clear"/>
            <w:vAlign w:val="center"/>
          </w:tcPr>
          <w:p>
            <w:pPr>
              <w:pStyle w:val="TableContents"/>
              <w:spacing w:before="0" w:after="283"/>
              <w:rPr/>
            </w:pPr>
            <w:r>
              <w:rPr/>
              <w:t> </w:t>
            </w:r>
          </w:p>
        </w:tc>
        <w:tc>
          <w:tcPr>
            <w:tcW w:w="765" w:type="dxa"/>
            <w:tcBorders/>
            <w:shd w:fill="FFFFFF" w:val="clear"/>
            <w:vAlign w:val="center"/>
          </w:tcPr>
          <w:p>
            <w:pPr>
              <w:pStyle w:val="TableContents"/>
              <w:spacing w:before="0" w:after="283"/>
              <w:ind w:left="0" w:right="0" w:hanging="180"/>
              <w:jc w:val="center"/>
              <w:rPr/>
            </w:pPr>
            <w:r>
              <w:rPr/>
              <w:t>F-4</w:t>
            </w:r>
          </w:p>
        </w:tc>
      </w:tr>
      <w:tr>
        <w:trPr/>
        <w:tc>
          <w:tcPr>
            <w:tcW w:w="9380" w:type="dxa"/>
            <w:tcBorders/>
            <w:shd w:fill="CCEEFF" w:val="clear"/>
            <w:vAlign w:val="center"/>
          </w:tcPr>
          <w:p>
            <w:pPr>
              <w:pStyle w:val="TableContents"/>
              <w:spacing w:before="0" w:after="283"/>
              <w:jc w:val="both"/>
              <w:rPr/>
            </w:pPr>
            <w:hyperlink w:anchor="b004">
              <w:r>
                <w:rPr>
                  <w:rStyle w:val="InternetLink"/>
                </w:rPr>
                <w:t>Statements of Changes in Shareholders’ Equity for the Year Ended December 31, 2020 and for the Period from December 18, 2019 (inception) to December 31, 2019</w:t>
              </w:r>
            </w:hyperlink>
          </w:p>
        </w:tc>
        <w:tc>
          <w:tcPr>
            <w:tcW w:w="60" w:type="dxa"/>
            <w:tcBorders/>
            <w:shd w:fill="CCEEFF" w:val="clear"/>
            <w:vAlign w:val="center"/>
          </w:tcPr>
          <w:p>
            <w:pPr>
              <w:pStyle w:val="TableContents"/>
              <w:spacing w:before="0" w:after="283"/>
              <w:rPr/>
            </w:pPr>
            <w:r>
              <w:rPr/>
              <w:t> </w:t>
            </w:r>
          </w:p>
        </w:tc>
        <w:tc>
          <w:tcPr>
            <w:tcW w:w="765" w:type="dxa"/>
            <w:tcBorders/>
            <w:shd w:fill="CCEEFF" w:val="clear"/>
            <w:vAlign w:val="center"/>
          </w:tcPr>
          <w:p>
            <w:pPr>
              <w:pStyle w:val="TableContents"/>
              <w:spacing w:before="0" w:after="283"/>
              <w:ind w:left="0" w:right="0" w:hanging="180"/>
              <w:jc w:val="center"/>
              <w:rPr/>
            </w:pPr>
            <w:r>
              <w:rPr/>
              <w:t>F-5</w:t>
            </w:r>
          </w:p>
        </w:tc>
      </w:tr>
      <w:tr>
        <w:trPr/>
        <w:tc>
          <w:tcPr>
            <w:tcW w:w="9380" w:type="dxa"/>
            <w:tcBorders/>
            <w:shd w:fill="FFFFFF" w:val="clear"/>
            <w:vAlign w:val="center"/>
          </w:tcPr>
          <w:p>
            <w:pPr>
              <w:pStyle w:val="TableContents"/>
              <w:spacing w:before="0" w:after="283"/>
              <w:jc w:val="both"/>
              <w:rPr/>
            </w:pPr>
            <w:hyperlink w:anchor="b005">
              <w:r>
                <w:rPr>
                  <w:rStyle w:val="InternetLink"/>
                </w:rPr>
                <w:t>Statements of Cash Flows for the Year Ended December 31, 2020 and for the Period from December 18, 2019 (inception) to December 31, 2019</w:t>
              </w:r>
            </w:hyperlink>
          </w:p>
        </w:tc>
        <w:tc>
          <w:tcPr>
            <w:tcW w:w="60" w:type="dxa"/>
            <w:tcBorders/>
            <w:shd w:fill="FFFFFF" w:val="clear"/>
            <w:vAlign w:val="center"/>
          </w:tcPr>
          <w:p>
            <w:pPr>
              <w:pStyle w:val="TableContents"/>
              <w:spacing w:before="0" w:after="283"/>
              <w:rPr/>
            </w:pPr>
            <w:r>
              <w:rPr/>
              <w:t> </w:t>
            </w:r>
          </w:p>
        </w:tc>
        <w:tc>
          <w:tcPr>
            <w:tcW w:w="765" w:type="dxa"/>
            <w:tcBorders/>
            <w:shd w:fill="FFFFFF" w:val="clear"/>
            <w:vAlign w:val="center"/>
          </w:tcPr>
          <w:p>
            <w:pPr>
              <w:pStyle w:val="TableContents"/>
              <w:spacing w:before="0" w:after="283"/>
              <w:ind w:left="0" w:right="0" w:hanging="180"/>
              <w:jc w:val="center"/>
              <w:rPr/>
            </w:pPr>
            <w:r>
              <w:rPr/>
              <w:t>F-6</w:t>
            </w:r>
          </w:p>
        </w:tc>
      </w:tr>
      <w:tr>
        <w:trPr/>
        <w:tc>
          <w:tcPr>
            <w:tcW w:w="9380" w:type="dxa"/>
            <w:tcBorders/>
            <w:shd w:fill="CCEEFF" w:val="clear"/>
            <w:vAlign w:val="center"/>
          </w:tcPr>
          <w:p>
            <w:pPr>
              <w:pStyle w:val="TableContents"/>
              <w:spacing w:before="0" w:after="283"/>
              <w:jc w:val="both"/>
              <w:rPr/>
            </w:pPr>
            <w:hyperlink w:anchor="b006">
              <w:r>
                <w:rPr>
                  <w:rStyle w:val="InternetLink"/>
                </w:rPr>
                <w:t>Notes to Financial Statements</w:t>
              </w:r>
            </w:hyperlink>
          </w:p>
        </w:tc>
        <w:tc>
          <w:tcPr>
            <w:tcW w:w="60" w:type="dxa"/>
            <w:tcBorders/>
            <w:shd w:fill="CCEEFF" w:val="clear"/>
            <w:vAlign w:val="center"/>
          </w:tcPr>
          <w:p>
            <w:pPr>
              <w:pStyle w:val="TableContents"/>
              <w:spacing w:before="0" w:after="283"/>
              <w:rPr/>
            </w:pPr>
            <w:r>
              <w:rPr/>
              <w:t> </w:t>
            </w:r>
          </w:p>
        </w:tc>
        <w:tc>
          <w:tcPr>
            <w:tcW w:w="765" w:type="dxa"/>
            <w:tcBorders/>
            <w:shd w:fill="CCEEFF" w:val="clear"/>
            <w:vAlign w:val="center"/>
          </w:tcPr>
          <w:p>
            <w:pPr>
              <w:pStyle w:val="TableContents"/>
              <w:spacing w:before="0" w:after="283"/>
              <w:jc w:val="center"/>
              <w:rPr/>
            </w:pPr>
            <w:r>
              <w:rPr/>
              <w:t>F-7</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28" w:name="b001"/>
      <w:bookmarkEnd w:id="28"/>
      <w:r>
        <w:rPr>
          <w:rFonts w:ascii="Times New Roman;serif" w:hAnsi="Times New Roman;serif"/>
          <w:b/>
          <w:i w:val="false"/>
          <w:caps w:val="false"/>
          <w:smallCaps w:val="false"/>
          <w:sz w:val="20"/>
        </w:rPr>
        <w:t>REPORT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Sustainable Opportunities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Sustainable Opportunities Acquisition Corp. (the “Company”) as of December 31, 2020 and 2019, the related statements of operations, changes in shareholders’ equity and cash flows for the year ended December 31, 2020 and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December 18, 2019 (inception) through December 31, 2019,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Explanatory Paragraph -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have been prepared assuming that the Company will continue as a going concern. </w:t>
      </w:r>
      <w:r>
        <w:rPr>
          <w:rFonts w:ascii="Times New Roman;Times;Serif" w:hAnsi="Times New Roman;Times;Serif"/>
          <w:b w:val="false"/>
          <w:i w:val="false"/>
          <w:caps w:val="false"/>
          <w:smallCaps w:val="false"/>
          <w:sz w:val="20"/>
          <w:highlight w:val="white"/>
        </w:rPr>
        <w:t>As discussed in Note 1 to the financial statements, the Company’s business plan is dependent on the completion of a business combination by November 8, 2021, and the Company’s cash and working capital as of December 31, 2020 are not sufficient to complete its planned activities which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29" w:name="b002"/>
      <w:bookmarkEnd w:id="29"/>
      <w:r>
        <w:rPr>
          <w:rFonts w:ascii="Times New Roman;serif" w:hAnsi="Times New Roman;serif"/>
          <w:b/>
          <w:i w:val="false"/>
          <w:caps w:val="false"/>
          <w:smallCaps w:val="false"/>
          <w:sz w:val="20"/>
        </w:rPr>
        <w:t>SUSTAINABLE OPPORTUNITIES ACQUISITION CORP.</w:t>
      </w:r>
    </w:p>
    <w:p>
      <w:pPr>
        <w:pStyle w:val="TextBody"/>
        <w:spacing w:before="0" w:after="0"/>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SHEETS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51"/>
        <w:gridCol w:w="60"/>
        <w:gridCol w:w="154"/>
        <w:gridCol w:w="1344"/>
        <w:gridCol w:w="95"/>
        <w:gridCol w:w="60"/>
        <w:gridCol w:w="188"/>
        <w:gridCol w:w="1076"/>
        <w:gridCol w:w="477"/>
      </w:tblGrid>
      <w:tr>
        <w:trPr/>
        <w:tc>
          <w:tcPr>
            <w:tcW w:w="67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8"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December 31, 2020</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264"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December 31, 2019</w:t>
            </w:r>
          </w:p>
        </w:tc>
        <w:tc>
          <w:tcPr>
            <w:tcW w:w="477" w:type="dxa"/>
            <w:tcBorders/>
            <w:shd w:fill="FFFFFF" w:val="clear"/>
            <w:vAlign w:val="center"/>
          </w:tcPr>
          <w:p>
            <w:pPr>
              <w:pStyle w:val="TableContents"/>
              <w:spacing w:before="0" w:after="283"/>
              <w:jc w:val="center"/>
              <w:rPr/>
            </w:pPr>
            <w:r>
              <w:rPr/>
              <w:t> </w:t>
            </w:r>
          </w:p>
        </w:tc>
      </w:tr>
      <w:tr>
        <w:trPr/>
        <w:tc>
          <w:tcPr>
            <w:tcW w:w="67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93" w:type="dxa"/>
            <w:gridSpan w:val="3"/>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41" w:type="dxa"/>
            <w:gridSpan w:val="3"/>
            <w:tcBorders/>
            <w:shd w:fill="FFFFFF" w:val="clear"/>
            <w:vAlign w:val="center"/>
          </w:tcPr>
          <w:p>
            <w:pPr>
              <w:pStyle w:val="TableContents"/>
              <w:spacing w:before="0" w:after="283"/>
              <w:rPr/>
            </w:pPr>
            <w:r>
              <w:rPr/>
              <w:t> </w:t>
            </w:r>
          </w:p>
        </w:tc>
      </w:tr>
      <w:tr>
        <w:trPr/>
        <w:tc>
          <w:tcPr>
            <w:tcW w:w="6751" w:type="dxa"/>
            <w:tcBorders/>
            <w:shd w:fill="FFFFFF" w:val="clear"/>
            <w:vAlign w:val="center"/>
          </w:tcPr>
          <w:p>
            <w:pPr>
              <w:pStyle w:val="TableContents"/>
              <w:spacing w:before="0" w:after="283"/>
              <w:rPr>
                <w:b/>
              </w:rPr>
            </w:pPr>
            <w:r>
              <w:rPr>
                <w:b/>
              </w:rPr>
              <w:t>Assets: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pPr>
            <w:r>
              <w:rPr/>
              <w:t>Current assets: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ind w:left="0" w:right="0" w:firstLine="400"/>
              <w:jc w:val="left"/>
              <w:rPr/>
            </w:pPr>
            <w:r>
              <w:rPr/>
              <w:t> </w:t>
            </w:r>
          </w:p>
        </w:tc>
      </w:tr>
      <w:tr>
        <w:trPr/>
        <w:tc>
          <w:tcPr>
            <w:tcW w:w="6751"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w:t>
            </w:r>
          </w:p>
        </w:tc>
        <w:tc>
          <w:tcPr>
            <w:tcW w:w="1344" w:type="dxa"/>
            <w:tcBorders/>
            <w:shd w:fill="CCEEFF" w:val="clear"/>
            <w:vAlign w:val="center"/>
          </w:tcPr>
          <w:p>
            <w:pPr>
              <w:pStyle w:val="TableContents"/>
              <w:spacing w:before="0" w:after="283"/>
              <w:jc w:val="right"/>
              <w:rPr/>
            </w:pPr>
            <w:r>
              <w:rPr/>
              <w:t>1,299,301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w:t>
            </w:r>
          </w:p>
        </w:tc>
        <w:tc>
          <w:tcPr>
            <w:tcW w:w="1076" w:type="dxa"/>
            <w:tcBorders/>
            <w:shd w:fill="CCEEFF" w:val="clear"/>
            <w:vAlign w:val="center"/>
          </w:tcPr>
          <w:p>
            <w:pPr>
              <w:pStyle w:val="TableContents"/>
              <w:spacing w:before="0" w:after="283"/>
              <w:jc w:val="right"/>
              <w:rPr/>
            </w:pPr>
            <w:r>
              <w:rPr/>
              <w:t>-</w:t>
            </w:r>
          </w:p>
        </w:tc>
        <w:tc>
          <w:tcPr>
            <w:tcW w:w="477" w:type="dxa"/>
            <w:tcBorders/>
            <w:shd w:fill="CCEEFF" w:val="clear"/>
            <w:vAlign w:val="center"/>
          </w:tcPr>
          <w:p>
            <w:pPr>
              <w:pStyle w:val="TableContents"/>
              <w:spacing w:before="0" w:after="283"/>
              <w:ind w:left="0" w:right="0" w:firstLine="400"/>
              <w:jc w:val="left"/>
              <w:rPr/>
            </w:pPr>
            <w:r>
              <w:rPr/>
              <w:t> </w:t>
            </w:r>
          </w:p>
        </w:tc>
      </w:tr>
      <w:tr>
        <w:trPr/>
        <w:tc>
          <w:tcPr>
            <w:tcW w:w="6751" w:type="dxa"/>
            <w:tcBorders/>
            <w:shd w:fill="FFFFFF" w:val="clear"/>
            <w:vAlign w:val="center"/>
          </w:tcPr>
          <w:p>
            <w:pPr>
              <w:pStyle w:val="TableContents"/>
              <w:spacing w:before="0" w:after="283"/>
              <w:jc w:val="left"/>
              <w:rPr/>
            </w:pPr>
            <w:r>
              <w:rPr/>
              <w:t>Prepaid expenses</w:t>
            </w:r>
          </w:p>
        </w:tc>
        <w:tc>
          <w:tcPr>
            <w:tcW w:w="60"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spacing w:before="0" w:after="283"/>
              <w:jc w:val="right"/>
              <w:rPr/>
            </w:pPr>
            <w:r>
              <w:rPr/>
              <w:t>209,784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spacing w:before="0" w:after="283"/>
              <w:jc w:val="right"/>
              <w:rPr/>
            </w:pPr>
            <w:r>
              <w:rPr/>
              <w:t>15,961</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b/>
              </w:rPr>
            </w:pPr>
            <w:r>
              <w:rPr>
                <w:b/>
              </w:rPr>
              <w:t>Total current assets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1,509,085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15,961</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pPr>
            <w:r>
              <w:rPr/>
              <w:t>Investments held in Trust Account</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300,069,135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pPr>
            <w:r>
              <w:rPr/>
              <w:t>Deferred offering costs associated with initial public offering</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pPr>
            <w:r>
              <w:rPr/>
              <w:t>103,660</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b/>
              </w:rPr>
            </w:pPr>
            <w:r>
              <w:rPr>
                <w:b/>
              </w:rPr>
              <w:t>Total Assets</w:t>
            </w:r>
          </w:p>
        </w:tc>
        <w:tc>
          <w:tcPr>
            <w:tcW w:w="60" w:type="dxa"/>
            <w:tcBorders/>
            <w:shd w:fill="FFFFFF" w:val="clear"/>
            <w:vAlign w:val="center"/>
          </w:tcPr>
          <w:p>
            <w:pPr>
              <w:pStyle w:val="TableContents"/>
              <w:spacing w:before="0" w:after="283"/>
              <w:rPr/>
            </w:pPr>
            <w:r>
              <w:rPr/>
              <w:t> </w:t>
            </w:r>
          </w:p>
        </w:tc>
        <w:tc>
          <w:tcPr>
            <w:tcW w:w="154"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344" w:type="dxa"/>
            <w:tcBorders>
              <w:bottom w:val="double" w:sz="10" w:space="0" w:color="000000"/>
            </w:tcBorders>
            <w:shd w:fill="FFFFFF" w:val="clear"/>
            <w:tcMar>
              <w:bottom w:w="28" w:type="dxa"/>
            </w:tcMar>
            <w:vAlign w:val="center"/>
          </w:tcPr>
          <w:p>
            <w:pPr>
              <w:pStyle w:val="TableContents"/>
              <w:spacing w:before="0" w:after="283"/>
              <w:jc w:val="right"/>
              <w:rPr>
                <w:b/>
              </w:rPr>
            </w:pPr>
            <w:r>
              <w:rPr>
                <w:b/>
              </w:rPr>
              <w:t>301,578,220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076" w:type="dxa"/>
            <w:tcBorders>
              <w:bottom w:val="double" w:sz="10" w:space="0" w:color="000000"/>
            </w:tcBorders>
            <w:shd w:fill="FFFFFF" w:val="clear"/>
            <w:tcMar>
              <w:bottom w:w="28" w:type="dxa"/>
            </w:tcMar>
            <w:vAlign w:val="center"/>
          </w:tcPr>
          <w:p>
            <w:pPr>
              <w:pStyle w:val="TableContents"/>
              <w:spacing w:before="0" w:after="283"/>
              <w:jc w:val="right"/>
              <w:rPr>
                <w:b/>
              </w:rPr>
            </w:pPr>
            <w:r>
              <w:rPr>
                <w:b/>
              </w:rPr>
              <w:t>119,621</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b/>
              </w:rPr>
            </w:pPr>
            <w:r>
              <w:rPr>
                <w:b/>
              </w:rPr>
              <w:t>Liabilities and Shareholders’ Equity: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ind w:left="0" w:right="0" w:firstLine="400"/>
              <w:jc w:val="left"/>
              <w:rPr/>
            </w:pPr>
            <w:r>
              <w:rPr/>
              <w:t> </w:t>
            </w:r>
          </w:p>
        </w:tc>
      </w:tr>
      <w:tr>
        <w:trPr/>
        <w:tc>
          <w:tcPr>
            <w:tcW w:w="6751" w:type="dxa"/>
            <w:tcBorders/>
            <w:shd w:fill="FFFFFF" w:val="clear"/>
            <w:vAlign w:val="center"/>
          </w:tcPr>
          <w:p>
            <w:pPr>
              <w:pStyle w:val="TableContents"/>
              <w:spacing w:before="0" w:after="283"/>
              <w:jc w:val="left"/>
              <w:rPr/>
            </w:pPr>
            <w:r>
              <w:rPr/>
              <w:t>Accounts payable</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w:t>
            </w:r>
          </w:p>
        </w:tc>
        <w:tc>
          <w:tcPr>
            <w:tcW w:w="1344" w:type="dxa"/>
            <w:tcBorders/>
            <w:shd w:fill="FFFFFF" w:val="clear"/>
            <w:vAlign w:val="center"/>
          </w:tcPr>
          <w:p>
            <w:pPr>
              <w:pStyle w:val="TableContents"/>
              <w:spacing w:before="0" w:after="283"/>
              <w:jc w:val="right"/>
              <w:rPr/>
            </w:pPr>
            <w:r>
              <w:rPr/>
              <w:t>34,298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w:t>
            </w:r>
          </w:p>
        </w:tc>
        <w:tc>
          <w:tcPr>
            <w:tcW w:w="1076" w:type="dxa"/>
            <w:tcBorders/>
            <w:shd w:fill="FFFFFF" w:val="clear"/>
            <w:vAlign w:val="center"/>
          </w:tcPr>
          <w:p>
            <w:pPr>
              <w:pStyle w:val="TableContents"/>
              <w:spacing w:before="0" w:after="283"/>
              <w:jc w:val="right"/>
              <w:rPr/>
            </w:pPr>
            <w:r>
              <w:rPr/>
              <w:t>23,060</w:t>
            </w:r>
          </w:p>
        </w:tc>
        <w:tc>
          <w:tcPr>
            <w:tcW w:w="477" w:type="dxa"/>
            <w:tcBorders/>
            <w:shd w:fill="FFFFFF" w:val="clear"/>
            <w:vAlign w:val="center"/>
          </w:tcPr>
          <w:p>
            <w:pPr>
              <w:pStyle w:val="TableContents"/>
              <w:spacing w:before="0" w:after="283"/>
              <w:ind w:left="0" w:right="0" w:firstLine="400"/>
              <w:jc w:val="left"/>
              <w:rPr/>
            </w:pPr>
            <w:r>
              <w:rPr/>
              <w:t> </w:t>
            </w:r>
          </w:p>
        </w:tc>
      </w:tr>
      <w:tr>
        <w:trPr/>
        <w:tc>
          <w:tcPr>
            <w:tcW w:w="6751" w:type="dxa"/>
            <w:tcBorders/>
            <w:shd w:fill="CCEEFF" w:val="clear"/>
            <w:vAlign w:val="center"/>
          </w:tcPr>
          <w:p>
            <w:pPr>
              <w:pStyle w:val="TableContents"/>
              <w:spacing w:before="0" w:after="283"/>
              <w:jc w:val="left"/>
              <w:rPr/>
            </w:pPr>
            <w:r>
              <w:rPr/>
              <w:t>Accrued expenses</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spacing w:before="0" w:after="283"/>
              <w:jc w:val="right"/>
              <w:rPr/>
            </w:pPr>
            <w:r>
              <w:rPr/>
              <w:t>1,846,704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pPr>
            <w:r>
              <w:rPr/>
              <w:t>80,600</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b/>
              </w:rPr>
            </w:pPr>
            <w:r>
              <w:rPr>
                <w:b/>
              </w:rPr>
              <w:t>Total current liabilities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1,881,002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103,660</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pPr>
            <w:r>
              <w:rPr/>
              <w:t>Deferred underwriting commissions</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spacing w:before="0" w:after="283"/>
              <w:jc w:val="right"/>
              <w:rPr/>
            </w:pPr>
            <w:r>
              <w:rPr/>
              <w:t>10,500,000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b/>
              </w:rPr>
            </w:pPr>
            <w:r>
              <w:rPr>
                <w:b/>
              </w:rPr>
              <w:t>Total liabilities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12,381,002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103,660</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b/>
              </w:rPr>
            </w:pPr>
            <w:r>
              <w:rPr>
                <w:b/>
              </w:rPr>
              <w:t>Commitments and Contingencies (Note 5)</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ind w:left="0" w:right="0" w:hanging="180"/>
              <w:jc w:val="left"/>
              <w:rPr/>
            </w:pPr>
            <w:r>
              <w:rPr/>
              <w:t> </w:t>
            </w:r>
          </w:p>
        </w:tc>
      </w:tr>
      <w:tr>
        <w:trPr/>
        <w:tc>
          <w:tcPr>
            <w:tcW w:w="6751" w:type="dxa"/>
            <w:tcBorders/>
            <w:shd w:fill="FFFFFF" w:val="clear"/>
            <w:vAlign w:val="center"/>
          </w:tcPr>
          <w:p>
            <w:pPr>
              <w:pStyle w:val="TableContents"/>
              <w:spacing w:before="0" w:after="283"/>
              <w:jc w:val="left"/>
              <w:rPr/>
            </w:pPr>
            <w:r>
              <w:rPr/>
              <w:t>Class A ordinary shares, $0.0001 par value; 28,419,721 and -0- shares subject to possible redemption at $10.00 per share at December 31, 2020 and December 31, 2019, respectively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284,197,210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w:t>
            </w:r>
          </w:p>
        </w:tc>
        <w:tc>
          <w:tcPr>
            <w:tcW w:w="477" w:type="dxa"/>
            <w:tcBorders/>
            <w:shd w:fill="FFFFFF" w:val="clear"/>
            <w:vAlign w:val="center"/>
          </w:tcPr>
          <w:p>
            <w:pPr>
              <w:pStyle w:val="TableContents"/>
              <w:spacing w:before="0" w:after="283"/>
              <w:ind w:left="0" w:right="0" w:hanging="180"/>
              <w:jc w:val="left"/>
              <w:rPr/>
            </w:pPr>
            <w:r>
              <w:rPr/>
              <w:t> </w:t>
            </w:r>
          </w:p>
        </w:tc>
      </w:tr>
      <w:tr>
        <w:trPr/>
        <w:tc>
          <w:tcPr>
            <w:tcW w:w="67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ind w:left="0" w:right="0" w:hanging="180"/>
              <w:jc w:val="left"/>
              <w:rPr/>
            </w:pPr>
            <w:r>
              <w:rPr/>
              <w:t> </w:t>
            </w:r>
          </w:p>
        </w:tc>
      </w:tr>
      <w:tr>
        <w:trPr/>
        <w:tc>
          <w:tcPr>
            <w:tcW w:w="6751" w:type="dxa"/>
            <w:tcBorders/>
            <w:shd w:fill="FFFFFF" w:val="clear"/>
            <w:vAlign w:val="center"/>
          </w:tcPr>
          <w:p>
            <w:pPr>
              <w:pStyle w:val="TableContents"/>
              <w:spacing w:before="0" w:after="283"/>
              <w:jc w:val="left"/>
              <w:rPr>
                <w:b/>
              </w:rPr>
            </w:pPr>
            <w:r>
              <w:rPr>
                <w:b/>
              </w:rPr>
              <w:t>Shareholders’ Equity: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ind w:left="0" w:right="0" w:hanging="180"/>
              <w:jc w:val="left"/>
              <w:rPr/>
            </w:pPr>
            <w:r>
              <w:rPr/>
              <w:t> </w:t>
            </w:r>
          </w:p>
        </w:tc>
      </w:tr>
      <w:tr>
        <w:trPr/>
        <w:tc>
          <w:tcPr>
            <w:tcW w:w="6751" w:type="dxa"/>
            <w:tcBorders/>
            <w:shd w:fill="CCEEFF" w:val="clear"/>
            <w:vAlign w:val="center"/>
          </w:tcPr>
          <w:p>
            <w:pPr>
              <w:pStyle w:val="TableContents"/>
              <w:spacing w:before="0" w:after="283"/>
              <w:jc w:val="left"/>
              <w:rPr/>
            </w:pPr>
            <w:r>
              <w:rPr/>
              <w:t>Preference shares, $0.0001 par value; 1,000,000 shares authorized; none issued and outstanding</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w:t>
            </w:r>
          </w:p>
        </w:tc>
        <w:tc>
          <w:tcPr>
            <w:tcW w:w="477" w:type="dxa"/>
            <w:tcBorders/>
            <w:shd w:fill="CCEEFF" w:val="clear"/>
            <w:vAlign w:val="center"/>
          </w:tcPr>
          <w:p>
            <w:pPr>
              <w:pStyle w:val="TableContents"/>
              <w:spacing w:before="0" w:after="283"/>
              <w:ind w:left="0" w:right="0" w:hanging="180"/>
              <w:jc w:val="left"/>
              <w:rPr/>
            </w:pPr>
            <w:r>
              <w:rPr/>
              <w:t> </w:t>
            </w:r>
          </w:p>
        </w:tc>
      </w:tr>
      <w:tr>
        <w:trPr/>
        <w:tc>
          <w:tcPr>
            <w:tcW w:w="6751" w:type="dxa"/>
            <w:tcBorders/>
            <w:shd w:fill="FFFFFF" w:val="clear"/>
            <w:vAlign w:val="center"/>
          </w:tcPr>
          <w:p>
            <w:pPr>
              <w:pStyle w:val="TableContents"/>
              <w:spacing w:before="0" w:after="283"/>
              <w:jc w:val="left"/>
              <w:rPr/>
            </w:pPr>
            <w:r>
              <w:rPr/>
              <w:t>Class A ordinary shares, $0.0001 par value; 300,000,000 shares authorized; 1,580,279 and -0- shares issued and outstanding (excluding 28,419,721 and -0- shares subject to possible redemption) at December 31, 2020 and December 31, 2019, respectively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158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w:t>
            </w:r>
          </w:p>
        </w:tc>
        <w:tc>
          <w:tcPr>
            <w:tcW w:w="477" w:type="dxa"/>
            <w:tcBorders/>
            <w:shd w:fill="FFFFFF" w:val="clear"/>
            <w:vAlign w:val="center"/>
          </w:tcPr>
          <w:p>
            <w:pPr>
              <w:pStyle w:val="TableContents"/>
              <w:spacing w:before="0" w:after="283"/>
              <w:ind w:left="0" w:right="0" w:hanging="180"/>
              <w:jc w:val="left"/>
              <w:rPr/>
            </w:pPr>
            <w:r>
              <w:rPr/>
              <w:t> </w:t>
            </w:r>
          </w:p>
        </w:tc>
      </w:tr>
      <w:tr>
        <w:trPr/>
        <w:tc>
          <w:tcPr>
            <w:tcW w:w="6751" w:type="dxa"/>
            <w:tcBorders/>
            <w:shd w:fill="CCEEFF" w:val="clear"/>
            <w:vAlign w:val="center"/>
          </w:tcPr>
          <w:p>
            <w:pPr>
              <w:pStyle w:val="TableContents"/>
              <w:spacing w:before="0" w:after="283"/>
              <w:jc w:val="left"/>
              <w:rPr/>
            </w:pPr>
            <w:r>
              <w:rPr/>
              <w:t>Class B ordinary shares, $0.0001 par value; 30,000,000 shares authorized; 7,500,000 shares issued and outstanding at December 31, 2020 and 8,625,000 shares issued and oustanding at December 31, 2019, respectively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344" w:type="dxa"/>
            <w:tcBorders/>
            <w:shd w:fill="CCEEFF" w:val="clear"/>
            <w:vAlign w:val="center"/>
          </w:tcPr>
          <w:p>
            <w:pPr>
              <w:pStyle w:val="TableContents"/>
              <w:spacing w:before="0" w:after="283"/>
              <w:jc w:val="right"/>
              <w:rPr/>
            </w:pPr>
            <w:r>
              <w:rPr/>
              <w:t>750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076" w:type="dxa"/>
            <w:tcBorders/>
            <w:shd w:fill="CCEEFF" w:val="clear"/>
            <w:vAlign w:val="center"/>
          </w:tcPr>
          <w:p>
            <w:pPr>
              <w:pStyle w:val="TableContents"/>
              <w:spacing w:before="0" w:after="283"/>
              <w:jc w:val="right"/>
              <w:rPr/>
            </w:pPr>
            <w:r>
              <w:rPr/>
              <w:t>863</w:t>
            </w:r>
          </w:p>
        </w:tc>
        <w:tc>
          <w:tcPr>
            <w:tcW w:w="477" w:type="dxa"/>
            <w:tcBorders/>
            <w:shd w:fill="CCEEFF" w:val="clear"/>
            <w:vAlign w:val="center"/>
          </w:tcPr>
          <w:p>
            <w:pPr>
              <w:pStyle w:val="TableContents"/>
              <w:spacing w:before="0" w:after="283"/>
              <w:jc w:val="left"/>
              <w:rPr/>
            </w:pPr>
            <w:r>
              <w:rPr/>
              <w:t> </w:t>
            </w:r>
          </w:p>
        </w:tc>
      </w:tr>
      <w:tr>
        <w:trPr/>
        <w:tc>
          <w:tcPr>
            <w:tcW w:w="6751" w:type="dxa"/>
            <w:tcBorders/>
            <w:shd w:fill="FFFFFF" w:val="clear"/>
            <w:vAlign w:val="center"/>
          </w:tcPr>
          <w:p>
            <w:pPr>
              <w:pStyle w:val="TableContents"/>
              <w:spacing w:before="0" w:after="283"/>
              <w:jc w:val="left"/>
              <w:rPr/>
            </w:pPr>
            <w:r>
              <w:rPr/>
              <w:t>Additional paid-in capital</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344" w:type="dxa"/>
            <w:tcBorders/>
            <w:shd w:fill="FFFFFF" w:val="clear"/>
            <w:vAlign w:val="center"/>
          </w:tcPr>
          <w:p>
            <w:pPr>
              <w:pStyle w:val="TableContents"/>
              <w:spacing w:before="0" w:after="283"/>
              <w:jc w:val="right"/>
              <w:rPr/>
            </w:pPr>
            <w:r>
              <w:rPr/>
              <w:t>7,942,547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076" w:type="dxa"/>
            <w:tcBorders/>
            <w:shd w:fill="FFFFFF" w:val="clear"/>
            <w:vAlign w:val="center"/>
          </w:tcPr>
          <w:p>
            <w:pPr>
              <w:pStyle w:val="TableContents"/>
              <w:spacing w:before="0" w:after="283"/>
              <w:jc w:val="right"/>
              <w:rPr/>
            </w:pPr>
            <w:r>
              <w:rPr/>
              <w:t>24,137</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pPr>
            <w:r>
              <w:rPr/>
              <w:t>Accumulated deficit</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CCEEFF" w:val="clear"/>
            <w:tcMar>
              <w:bottom w:w="28" w:type="dxa"/>
            </w:tcMar>
            <w:vAlign w:val="center"/>
          </w:tcPr>
          <w:p>
            <w:pPr>
              <w:pStyle w:val="TableContents"/>
              <w:spacing w:before="0" w:after="283"/>
              <w:jc w:val="right"/>
              <w:rPr/>
            </w:pPr>
            <w:r>
              <w:rPr/>
              <w:t>(2,943,447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pPr>
            <w:r>
              <w:rPr/>
              <w:t>(9,039</w:t>
            </w:r>
          </w:p>
        </w:tc>
        <w:tc>
          <w:tcPr>
            <w:tcW w:w="477" w:type="dxa"/>
            <w:tcBorders/>
            <w:shd w:fill="CCEEFF" w:val="clear"/>
            <w:vAlign w:val="center"/>
          </w:tcPr>
          <w:p>
            <w:pPr>
              <w:pStyle w:val="TableContents"/>
              <w:spacing w:before="0" w:after="283"/>
              <w:jc w:val="left"/>
              <w:rPr/>
            </w:pPr>
            <w:r>
              <w:rPr/>
              <w:t>)</w:t>
            </w:r>
          </w:p>
        </w:tc>
      </w:tr>
      <w:tr>
        <w:trPr/>
        <w:tc>
          <w:tcPr>
            <w:tcW w:w="6751" w:type="dxa"/>
            <w:tcBorders/>
            <w:shd w:fill="FFFFFF" w:val="clear"/>
            <w:vAlign w:val="center"/>
          </w:tcPr>
          <w:p>
            <w:pPr>
              <w:pStyle w:val="TableContents"/>
              <w:spacing w:before="0" w:after="283"/>
              <w:jc w:val="left"/>
              <w:rPr>
                <w:b/>
              </w:rPr>
            </w:pPr>
            <w:r>
              <w:rPr>
                <w:b/>
              </w:rPr>
              <w:t>Total shareholders’ equity</w:t>
            </w:r>
          </w:p>
        </w:tc>
        <w:tc>
          <w:tcPr>
            <w:tcW w:w="60"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344" w:type="dxa"/>
            <w:tcBorders>
              <w:bottom w:val="single" w:sz="12" w:space="0" w:color="000000"/>
            </w:tcBorders>
            <w:shd w:fill="FFFFFF" w:val="clear"/>
            <w:tcMar>
              <w:bottom w:w="28" w:type="dxa"/>
            </w:tcMar>
            <w:vAlign w:val="center"/>
          </w:tcPr>
          <w:p>
            <w:pPr>
              <w:pStyle w:val="TableContents"/>
              <w:spacing w:before="0" w:after="283"/>
              <w:jc w:val="right"/>
              <w:rPr/>
            </w:pPr>
            <w:r>
              <w:rPr/>
              <w:t>5,000,008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spacing w:before="0" w:after="283"/>
              <w:jc w:val="right"/>
              <w:rPr/>
            </w:pPr>
            <w:r>
              <w:rPr/>
              <w:t>15,961</w:t>
            </w:r>
          </w:p>
        </w:tc>
        <w:tc>
          <w:tcPr>
            <w:tcW w:w="477" w:type="dxa"/>
            <w:tcBorders/>
            <w:shd w:fill="FFFFFF" w:val="clear"/>
            <w:vAlign w:val="center"/>
          </w:tcPr>
          <w:p>
            <w:pPr>
              <w:pStyle w:val="TableContents"/>
              <w:spacing w:before="0" w:after="283"/>
              <w:jc w:val="left"/>
              <w:rPr/>
            </w:pPr>
            <w:r>
              <w:rPr/>
              <w:t> </w:t>
            </w:r>
          </w:p>
        </w:tc>
      </w:tr>
      <w:tr>
        <w:trPr/>
        <w:tc>
          <w:tcPr>
            <w:tcW w:w="6751" w:type="dxa"/>
            <w:tcBorders/>
            <w:shd w:fill="CCEEFF" w:val="clear"/>
            <w:vAlign w:val="center"/>
          </w:tcPr>
          <w:p>
            <w:pPr>
              <w:pStyle w:val="TableContents"/>
              <w:spacing w:before="0" w:after="283"/>
              <w:jc w:val="left"/>
              <w:rPr>
                <w:b/>
              </w:rPr>
            </w:pPr>
            <w:r>
              <w:rPr>
                <w:b/>
              </w:rPr>
              <w:t>Total Liabilities and Shareholders’ Equity</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344" w:type="dxa"/>
            <w:tcBorders>
              <w:bottom w:val="single" w:sz="12" w:space="0" w:color="000000"/>
            </w:tcBorders>
            <w:shd w:fill="CCEEFF" w:val="clear"/>
            <w:tcMar>
              <w:bottom w:w="28" w:type="dxa"/>
            </w:tcMar>
            <w:vAlign w:val="center"/>
          </w:tcPr>
          <w:p>
            <w:pPr>
              <w:pStyle w:val="TableContents"/>
              <w:spacing w:before="0" w:after="283"/>
              <w:jc w:val="right"/>
              <w:rPr>
                <w:b/>
              </w:rPr>
            </w:pPr>
            <w:r>
              <w:rPr>
                <w:b/>
              </w:rPr>
              <w:t>301,578,220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076" w:type="dxa"/>
            <w:tcBorders>
              <w:bottom w:val="single" w:sz="12" w:space="0" w:color="000000"/>
            </w:tcBorders>
            <w:shd w:fill="CCEEFF" w:val="clear"/>
            <w:tcMar>
              <w:bottom w:w="28" w:type="dxa"/>
            </w:tcMar>
            <w:vAlign w:val="center"/>
          </w:tcPr>
          <w:p>
            <w:pPr>
              <w:pStyle w:val="TableContents"/>
              <w:spacing w:before="0" w:after="283"/>
              <w:jc w:val="right"/>
              <w:rPr>
                <w:b/>
              </w:rPr>
            </w:pPr>
            <w:r>
              <w:rPr>
                <w:b/>
              </w:rPr>
              <w:t>119,621</w:t>
            </w:r>
          </w:p>
        </w:tc>
        <w:tc>
          <w:tcPr>
            <w:tcW w:w="477"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val="false"/>
          <w:i/>
          <w:caps w:val="false"/>
          <w:smallCaps w:val="false"/>
          <w:sz w:val="20"/>
        </w:rPr>
      </w:pPr>
      <w:r>
        <w:rPr>
          <w:rFonts w:ascii="Times New Roman;serif" w:hAnsi="Times New Roman;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30" w:name="b003"/>
      <w:bookmarkEnd w:id="30"/>
      <w:r>
        <w:rPr>
          <w:rFonts w:ascii="Times New Roman;serif" w:hAnsi="Times New Roman;serif"/>
          <w:b/>
          <w:i w:val="false"/>
          <w:caps w:val="false"/>
          <w:smallCaps w:val="false"/>
          <w:sz w:val="20"/>
        </w:rPr>
        <w:t>SUSTAINABLE OPPORTUNITIES ACQUISITION CORP.</w:t>
      </w:r>
    </w:p>
    <w:p>
      <w:pPr>
        <w:pStyle w:val="TextBody"/>
        <w:spacing w:before="0" w:after="0"/>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STATEMENTS OF OPERATIONS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430"/>
        <w:gridCol w:w="60"/>
        <w:gridCol w:w="190"/>
        <w:gridCol w:w="1450"/>
        <w:gridCol w:w="80"/>
        <w:gridCol w:w="60"/>
        <w:gridCol w:w="211"/>
        <w:gridCol w:w="1429"/>
        <w:gridCol w:w="295"/>
      </w:tblGrid>
      <w:tr>
        <w:trPr/>
        <w:tc>
          <w:tcPr>
            <w:tcW w:w="6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0" w:type="dxa"/>
            <w:gridSpan w:val="2"/>
            <w:tcBorders>
              <w:bottom w:val="single" w:sz="12" w:space="0" w:color="000000"/>
            </w:tcBorders>
            <w:shd w:fill="FFFFFF" w:val="clear"/>
            <w:tcMar>
              <w:bottom w:w="28" w:type="dxa"/>
            </w:tcMar>
            <w:vAlign w:val="center"/>
          </w:tcPr>
          <w:p>
            <w:pPr>
              <w:pStyle w:val="TableContents"/>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Year ended</w:t>
              <w:br/>
              <w:t>December 31, 2020</w:t>
            </w:r>
          </w:p>
        </w:tc>
        <w:tc>
          <w:tcPr>
            <w:tcW w:w="8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0" w:type="dxa"/>
            <w:gridSpan w:val="2"/>
            <w:tcBorders>
              <w:bottom w:val="single" w:sz="12" w:space="0" w:color="000000"/>
            </w:tcBorders>
            <w:shd w:fill="FFFFFF" w:val="clear"/>
            <w:tcMar>
              <w:bottom w:w="28" w:type="dxa"/>
            </w:tcMar>
            <w:vAlign w:val="center"/>
          </w:tcPr>
          <w:p>
            <w:pPr>
              <w:pStyle w:val="TableContents"/>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Period</w:t>
              <w:br/>
              <w:t>from December 18,</w:t>
              <w:br/>
              <w:t>2019 (inception) to</w:t>
              <w:br/>
              <w:t>December 31, 2019</w:t>
            </w:r>
          </w:p>
        </w:tc>
        <w:tc>
          <w:tcPr>
            <w:tcW w:w="29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43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0"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2,923,654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1"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9"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9,039</w:t>
            </w:r>
          </w:p>
        </w:tc>
        <w:tc>
          <w:tcPr>
            <w:tcW w:w="2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 - related party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50"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9"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50"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(3,003,654</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(9,039</w:t>
            </w:r>
          </w:p>
        </w:tc>
        <w:tc>
          <w:tcPr>
            <w:tcW w:w="295" w:type="dxa"/>
            <w:tcBorders/>
            <w:shd w:fill="CCEEFF" w:val="clear"/>
            <w:vAlign w:val="center"/>
          </w:tcPr>
          <w:p>
            <w:pPr>
              <w:pStyle w:val="TableContents"/>
              <w:spacing w:before="0" w:after="283"/>
              <w:ind w:left="0" w:right="0" w:firstLine="20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43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gain on investments held in Trust Account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50"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69,135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5" w:type="dxa"/>
            <w:tcBorders/>
            <w:shd w:fill="FFFFFF"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643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earned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50"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9"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0"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(2,934,408</w:t>
            </w:r>
          </w:p>
        </w:tc>
        <w:tc>
          <w:tcPr>
            <w:tcW w:w="8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1" w:type="dxa"/>
            <w:tcBorders>
              <w:bottom w:val="double" w:sz="10" w:space="0" w:color="000000"/>
            </w:tcBorders>
            <w:shd w:fill="FFFFFF" w:val="clear"/>
            <w:tcMar>
              <w:bottom w:w="28" w:type="dxa"/>
            </w:tcM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9"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(9,039</w:t>
            </w:r>
          </w:p>
        </w:tc>
        <w:tc>
          <w:tcPr>
            <w:tcW w:w="295"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4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5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29"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295" w:type="dxa"/>
            <w:tcBorders/>
            <w:shd w:fill="CCEEFF" w:val="clear"/>
            <w:vAlign w:val="center"/>
          </w:tcPr>
          <w:p>
            <w:pPr>
              <w:pStyle w:val="TableContents"/>
              <w:spacing w:before="0" w:after="283"/>
              <w:jc w:val="left"/>
              <w:rPr/>
            </w:pPr>
            <w:r>
              <w:rPr/>
              <w:t> </w:t>
            </w:r>
          </w:p>
        </w:tc>
      </w:tr>
      <w:tr>
        <w:trPr/>
        <w:tc>
          <w:tcPr>
            <w:tcW w:w="6430"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 average shares outstanding subject to possible redemption, basic and diluted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50"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28,635,732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1"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9"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Basic and diluted net income per share, shares subject to possible redemption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0"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9"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Weighted average ordinary shares outstanding, basic and diluted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50"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8,387,147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1"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29" w:type="dxa"/>
            <w:tcBorders>
              <w:bottom w:val="double" w:sz="10"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8,625,000</w:t>
            </w:r>
          </w:p>
        </w:tc>
        <w:tc>
          <w:tcPr>
            <w:tcW w:w="2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430"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Basic and diluted net loss per share, Non-redeemable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0"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(0.36</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1"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9"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29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val="false"/>
          <w:i/>
          <w:caps w:val="false"/>
          <w:smallCaps w:val="false"/>
          <w:sz w:val="20"/>
        </w:rPr>
      </w:pPr>
      <w:r>
        <w:rPr>
          <w:rFonts w:ascii="Times New Roman;serif" w:hAnsi="Times New Roman;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31" w:name="b004"/>
      <w:bookmarkEnd w:id="31"/>
      <w:r>
        <w:rPr>
          <w:rFonts w:ascii="Times New Roman;serif" w:hAnsi="Times New Roman;serif"/>
          <w:b/>
          <w:i w:val="false"/>
          <w:caps w:val="false"/>
          <w:smallCaps w:val="false"/>
          <w:sz w:val="20"/>
        </w:rPr>
        <w:t>SUSTAINABLE OPPORTUNITIES ACQUISITION CORP.</w:t>
      </w:r>
    </w:p>
    <w:p>
      <w:pPr>
        <w:pStyle w:val="TextBody"/>
        <w:spacing w:before="0" w:after="0"/>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STATEMENTS OF CHANGES IN SHAREHOLDERS’ EQUITY</w:t>
      </w:r>
    </w:p>
    <w:p>
      <w:pPr>
        <w:pStyle w:val="TextBody"/>
        <w:spacing w:before="0" w:after="0"/>
        <w:ind w:left="0" w:right="0" w:hanging="0"/>
        <w:jc w:val="center"/>
        <w:rPr>
          <w:caps w:val="false"/>
          <w:smallCaps w:val="false"/>
        </w:rPr>
      </w:pPr>
      <w:r>
        <w:rPr>
          <w:caps w:val="false"/>
          <w:smallCaps w:val="false"/>
        </w:rPr>
        <w:t> </w:t>
      </w:r>
    </w:p>
    <w:tbl>
      <w:tblPr>
        <w:tblW w:w="10646" w:type="dxa"/>
        <w:jc w:val="left"/>
        <w:tblInd w:w="0" w:type="dxa"/>
        <w:tblCellMar>
          <w:top w:w="0" w:type="dxa"/>
          <w:left w:w="0" w:type="dxa"/>
          <w:bottom w:w="0" w:type="dxa"/>
          <w:right w:w="0" w:type="dxa"/>
        </w:tblCellMar>
      </w:tblPr>
      <w:tblGrid>
        <w:gridCol w:w="1205"/>
        <w:gridCol w:w="60"/>
        <w:gridCol w:w="60"/>
        <w:gridCol w:w="1175"/>
        <w:gridCol w:w="95"/>
        <w:gridCol w:w="60"/>
        <w:gridCol w:w="155"/>
        <w:gridCol w:w="705"/>
        <w:gridCol w:w="95"/>
        <w:gridCol w:w="60"/>
        <w:gridCol w:w="60"/>
        <w:gridCol w:w="1055"/>
        <w:gridCol w:w="95"/>
        <w:gridCol w:w="60"/>
        <w:gridCol w:w="201"/>
        <w:gridCol w:w="659"/>
        <w:gridCol w:w="119"/>
        <w:gridCol w:w="60"/>
        <w:gridCol w:w="140"/>
        <w:gridCol w:w="1295"/>
        <w:gridCol w:w="95"/>
        <w:gridCol w:w="60"/>
        <w:gridCol w:w="159"/>
        <w:gridCol w:w="1211"/>
        <w:gridCol w:w="102"/>
        <w:gridCol w:w="60"/>
        <w:gridCol w:w="140"/>
        <w:gridCol w:w="1295"/>
        <w:gridCol w:w="110"/>
      </w:tblGrid>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9381" w:type="dxa"/>
            <w:gridSpan w:val="27"/>
            <w:tcBorders>
              <w:bottom w:val="single" w:sz="12" w:space="0" w:color="000000"/>
            </w:tcBorders>
            <w:shd w:fill="FFFFFF" w:val="clear"/>
            <w:tcMar>
              <w:bottom w:w="28" w:type="dxa"/>
            </w:tcMar>
            <w:vAlign w:val="center"/>
          </w:tcPr>
          <w:p>
            <w:pPr>
              <w:pStyle w:val="TableContents"/>
              <w:spacing w:before="0" w:after="283"/>
              <w:jc w:val="center"/>
              <w:rPr>
                <w:b/>
              </w:rPr>
            </w:pPr>
            <w:r>
              <w:rPr>
                <w:b/>
              </w:rPr>
              <w:t>For the Year Ended December 31, 2020</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4654" w:type="dxa"/>
            <w:gridSpan w:val="15"/>
            <w:tcBorders>
              <w:bottom w:val="single" w:sz="12" w:space="0" w:color="000000"/>
            </w:tcBorders>
            <w:shd w:fill="FFFFFF" w:val="clear"/>
            <w:tcMar>
              <w:bottom w:w="28" w:type="dxa"/>
            </w:tcMar>
            <w:vAlign w:val="center"/>
          </w:tcPr>
          <w:p>
            <w:pPr>
              <w:pStyle w:val="TableContents"/>
              <w:spacing w:before="0" w:after="283"/>
              <w:jc w:val="center"/>
              <w:rPr>
                <w:b/>
              </w:rPr>
            </w:pPr>
            <w:r>
              <w:rPr>
                <w:b/>
              </w:rPr>
              <w:t>Ordinary Shares</w:t>
            </w:r>
          </w:p>
        </w:tc>
        <w:tc>
          <w:tcPr>
            <w:tcW w:w="60" w:type="dxa"/>
            <w:tcBorders/>
            <w:shd w:fill="auto" w:val="clear"/>
            <w:vAlign w:val="center"/>
          </w:tcPr>
          <w:p>
            <w:pPr>
              <w:pStyle w:val="TableContents"/>
              <w:spacing w:before="0" w:after="283"/>
              <w:jc w:val="center"/>
              <w:rPr/>
            </w:pPr>
            <w:r>
              <w:rPr/>
              <w:t> </w:t>
            </w:r>
          </w:p>
        </w:tc>
        <w:tc>
          <w:tcPr>
            <w:tcW w:w="1530" w:type="dxa"/>
            <w:gridSpan w:val="3"/>
            <w:tcBorders/>
            <w:shd w:fill="FFFFFF" w:val="clear"/>
            <w:vAlign w:val="center"/>
          </w:tcPr>
          <w:p>
            <w:pPr>
              <w:pStyle w:val="TableContents"/>
              <w:spacing w:before="0" w:after="283"/>
              <w:jc w:val="center"/>
              <w:rPr>
                <w:b/>
              </w:rPr>
            </w:pPr>
            <w:r>
              <w:rPr>
                <w:b/>
              </w:rPr>
              <w:t>Additional</w:t>
            </w:r>
          </w:p>
        </w:tc>
        <w:tc>
          <w:tcPr>
            <w:tcW w:w="60" w:type="dxa"/>
            <w:tcBorders/>
            <w:shd w:fill="auto" w:val="clear"/>
            <w:vAlign w:val="center"/>
          </w:tcPr>
          <w:p>
            <w:pPr>
              <w:pStyle w:val="TableContents"/>
              <w:spacing w:before="0" w:after="283"/>
              <w:jc w:val="center"/>
              <w:rPr/>
            </w:pPr>
            <w:r>
              <w:rPr/>
              <w:t> </w:t>
            </w:r>
          </w:p>
        </w:tc>
        <w:tc>
          <w:tcPr>
            <w:tcW w:w="1472" w:type="dxa"/>
            <w:gridSpan w:val="3"/>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45" w:type="dxa"/>
            <w:gridSpan w:val="3"/>
            <w:tcBorders/>
            <w:shd w:fill="FFFFFF" w:val="clear"/>
            <w:vAlign w:val="center"/>
          </w:tcPr>
          <w:p>
            <w:pPr>
              <w:pStyle w:val="TableContents"/>
              <w:spacing w:before="0" w:after="283"/>
              <w:jc w:val="center"/>
              <w:rPr>
                <w:b/>
              </w:rPr>
            </w:pPr>
            <w:r>
              <w:rPr>
                <w:b/>
              </w:rPr>
              <w:t>Total</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2345" w:type="dxa"/>
            <w:gridSpan w:val="7"/>
            <w:tcBorders>
              <w:bottom w:val="single" w:sz="12" w:space="0" w:color="000000"/>
            </w:tcBorders>
            <w:shd w:fill="FFFFFF" w:val="clear"/>
            <w:tcMar>
              <w:bottom w:w="28" w:type="dxa"/>
            </w:tcMar>
            <w:vAlign w:val="center"/>
          </w:tcPr>
          <w:p>
            <w:pPr>
              <w:pStyle w:val="TableContents"/>
              <w:spacing w:before="0" w:after="283"/>
              <w:jc w:val="center"/>
              <w:rPr>
                <w:b/>
              </w:rPr>
            </w:pPr>
            <w:r>
              <w:rPr>
                <w:b/>
              </w:rPr>
              <w:t>Class A</w:t>
            </w:r>
          </w:p>
        </w:tc>
        <w:tc>
          <w:tcPr>
            <w:tcW w:w="60" w:type="dxa"/>
            <w:tcBorders/>
            <w:shd w:fill="FFFFFF" w:val="clear"/>
            <w:vAlign w:val="center"/>
          </w:tcPr>
          <w:p>
            <w:pPr>
              <w:pStyle w:val="TableContents"/>
              <w:spacing w:before="0" w:after="283"/>
              <w:jc w:val="center"/>
              <w:rPr/>
            </w:pPr>
            <w:r>
              <w:rPr/>
              <w:t> </w:t>
            </w:r>
          </w:p>
        </w:tc>
        <w:tc>
          <w:tcPr>
            <w:tcW w:w="2249" w:type="dxa"/>
            <w:gridSpan w:val="7"/>
            <w:tcBorders>
              <w:bottom w:val="single" w:sz="12" w:space="0" w:color="000000"/>
            </w:tcBorders>
            <w:shd w:fill="FFFFFF" w:val="clear"/>
            <w:tcMar>
              <w:bottom w:w="28" w:type="dxa"/>
            </w:tcMar>
            <w:vAlign w:val="center"/>
          </w:tcPr>
          <w:p>
            <w:pPr>
              <w:pStyle w:val="TableContents"/>
              <w:spacing w:before="0" w:after="283"/>
              <w:jc w:val="center"/>
              <w:rPr>
                <w:b/>
              </w:rPr>
            </w:pPr>
            <w:r>
              <w:rPr>
                <w:b/>
              </w:rPr>
              <w:t>Class B</w:t>
            </w:r>
          </w:p>
        </w:tc>
        <w:tc>
          <w:tcPr>
            <w:tcW w:w="60" w:type="dxa"/>
            <w:tcBorders/>
            <w:shd w:fill="FFFFFF" w:val="clear"/>
            <w:vAlign w:val="center"/>
          </w:tcPr>
          <w:p>
            <w:pPr>
              <w:pStyle w:val="TableContents"/>
              <w:spacing w:before="0" w:after="283"/>
              <w:jc w:val="center"/>
              <w:rPr/>
            </w:pPr>
            <w:r>
              <w:rPr/>
              <w:t> </w:t>
            </w:r>
          </w:p>
        </w:tc>
        <w:tc>
          <w:tcPr>
            <w:tcW w:w="1530" w:type="dxa"/>
            <w:gridSpan w:val="3"/>
            <w:tcBorders/>
            <w:shd w:fill="FFFFFF" w:val="clear"/>
            <w:vAlign w:val="center"/>
          </w:tcPr>
          <w:p>
            <w:pPr>
              <w:pStyle w:val="TableContents"/>
              <w:spacing w:before="0" w:after="283"/>
              <w:jc w:val="center"/>
              <w:rPr>
                <w:b/>
              </w:rPr>
            </w:pPr>
            <w:r>
              <w:rPr>
                <w:b/>
              </w:rPr>
              <w:t>Paid-in</w:t>
            </w:r>
          </w:p>
        </w:tc>
        <w:tc>
          <w:tcPr>
            <w:tcW w:w="60" w:type="dxa"/>
            <w:tcBorders/>
            <w:shd w:fill="FFFFFF" w:val="clear"/>
            <w:vAlign w:val="center"/>
          </w:tcPr>
          <w:p>
            <w:pPr>
              <w:pStyle w:val="TableContents"/>
              <w:spacing w:before="0" w:after="283"/>
              <w:jc w:val="center"/>
              <w:rPr/>
            </w:pPr>
            <w:r>
              <w:rPr/>
              <w:t> </w:t>
            </w:r>
          </w:p>
        </w:tc>
        <w:tc>
          <w:tcPr>
            <w:tcW w:w="1472" w:type="dxa"/>
            <w:gridSpan w:val="3"/>
            <w:tcBorders/>
            <w:shd w:fill="FFFFFF" w:val="clear"/>
            <w:vAlign w:val="center"/>
          </w:tcPr>
          <w:p>
            <w:pPr>
              <w:pStyle w:val="TableContents"/>
              <w:spacing w:before="0" w:after="283"/>
              <w:jc w:val="center"/>
              <w:rPr>
                <w:b/>
              </w:rPr>
            </w:pPr>
            <w:r>
              <w:rPr>
                <w:b/>
              </w:rPr>
              <w:t>Accumulated</w:t>
            </w:r>
          </w:p>
        </w:tc>
        <w:tc>
          <w:tcPr>
            <w:tcW w:w="60" w:type="dxa"/>
            <w:tcBorders/>
            <w:shd w:fill="FFFFFF" w:val="clear"/>
            <w:vAlign w:val="center"/>
          </w:tcPr>
          <w:p>
            <w:pPr>
              <w:pStyle w:val="TableContents"/>
              <w:spacing w:before="0" w:after="283"/>
              <w:jc w:val="center"/>
              <w:rPr/>
            </w:pPr>
            <w:r>
              <w:rPr/>
              <w:t> </w:t>
            </w:r>
          </w:p>
        </w:tc>
        <w:tc>
          <w:tcPr>
            <w:tcW w:w="1545" w:type="dxa"/>
            <w:gridSpan w:val="3"/>
            <w:tcBorders/>
            <w:shd w:fill="FFFFFF" w:val="clear"/>
            <w:vAlign w:val="center"/>
          </w:tcPr>
          <w:p>
            <w:pPr>
              <w:pStyle w:val="TableContents"/>
              <w:spacing w:before="0" w:after="283"/>
              <w:jc w:val="center"/>
              <w:rPr>
                <w:b/>
              </w:rPr>
            </w:pPr>
            <w:r>
              <w:rPr>
                <w:b/>
              </w:rPr>
              <w:t>Shareholders’</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330"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Shares</w:t>
            </w:r>
          </w:p>
        </w:tc>
        <w:tc>
          <w:tcPr>
            <w:tcW w:w="60" w:type="dxa"/>
            <w:tcBorders/>
            <w:shd w:fill="FFFFFF" w:val="clear"/>
            <w:vAlign w:val="center"/>
          </w:tcPr>
          <w:p>
            <w:pPr>
              <w:pStyle w:val="TableContents"/>
              <w:spacing w:before="0" w:after="283"/>
              <w:jc w:val="center"/>
              <w:rPr/>
            </w:pPr>
            <w:r>
              <w:rPr/>
              <w:t> </w:t>
            </w:r>
          </w:p>
        </w:tc>
        <w:tc>
          <w:tcPr>
            <w:tcW w:w="955"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Amount</w:t>
            </w:r>
          </w:p>
        </w:tc>
        <w:tc>
          <w:tcPr>
            <w:tcW w:w="60" w:type="dxa"/>
            <w:tcBorders/>
            <w:shd w:fill="FFFFFF" w:val="clear"/>
            <w:vAlign w:val="center"/>
          </w:tcPr>
          <w:p>
            <w:pPr>
              <w:pStyle w:val="TableContents"/>
              <w:spacing w:before="0" w:after="283"/>
              <w:jc w:val="center"/>
              <w:rPr/>
            </w:pPr>
            <w:r>
              <w:rPr/>
              <w:t> </w:t>
            </w:r>
          </w:p>
        </w:tc>
        <w:tc>
          <w:tcPr>
            <w:tcW w:w="1210"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Shares</w:t>
            </w:r>
          </w:p>
        </w:tc>
        <w:tc>
          <w:tcPr>
            <w:tcW w:w="60" w:type="dxa"/>
            <w:tcBorders/>
            <w:shd w:fill="FFFFFF" w:val="clear"/>
            <w:vAlign w:val="center"/>
          </w:tcPr>
          <w:p>
            <w:pPr>
              <w:pStyle w:val="TableContents"/>
              <w:spacing w:before="0" w:after="283"/>
              <w:jc w:val="center"/>
              <w:rPr/>
            </w:pPr>
            <w:r>
              <w:rPr/>
              <w:t> </w:t>
            </w:r>
          </w:p>
        </w:tc>
        <w:tc>
          <w:tcPr>
            <w:tcW w:w="979"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Amount</w:t>
            </w:r>
          </w:p>
        </w:tc>
        <w:tc>
          <w:tcPr>
            <w:tcW w:w="60" w:type="dxa"/>
            <w:tcBorders/>
            <w:shd w:fill="FFFFFF" w:val="clear"/>
            <w:vAlign w:val="center"/>
          </w:tcPr>
          <w:p>
            <w:pPr>
              <w:pStyle w:val="TableContents"/>
              <w:spacing w:before="0" w:after="283"/>
              <w:jc w:val="center"/>
              <w:rPr/>
            </w:pPr>
            <w:r>
              <w:rPr/>
              <w:t> </w:t>
            </w:r>
          </w:p>
        </w:tc>
        <w:tc>
          <w:tcPr>
            <w:tcW w:w="1530"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Capital</w:t>
            </w:r>
          </w:p>
        </w:tc>
        <w:tc>
          <w:tcPr>
            <w:tcW w:w="60" w:type="dxa"/>
            <w:tcBorders/>
            <w:shd w:fill="FFFFFF" w:val="clear"/>
            <w:vAlign w:val="center"/>
          </w:tcPr>
          <w:p>
            <w:pPr>
              <w:pStyle w:val="TableContents"/>
              <w:spacing w:before="0" w:after="283"/>
              <w:jc w:val="center"/>
              <w:rPr/>
            </w:pPr>
            <w:r>
              <w:rPr/>
              <w:t> </w:t>
            </w:r>
          </w:p>
        </w:tc>
        <w:tc>
          <w:tcPr>
            <w:tcW w:w="1472"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Deficit</w:t>
            </w:r>
          </w:p>
        </w:tc>
        <w:tc>
          <w:tcPr>
            <w:tcW w:w="60" w:type="dxa"/>
            <w:tcBorders/>
            <w:shd w:fill="FFFFFF" w:val="clear"/>
            <w:vAlign w:val="center"/>
          </w:tcPr>
          <w:p>
            <w:pPr>
              <w:pStyle w:val="TableContents"/>
              <w:spacing w:before="0" w:after="283"/>
              <w:jc w:val="center"/>
              <w:rPr/>
            </w:pPr>
            <w:r>
              <w:rPr/>
              <w:t> </w:t>
            </w:r>
          </w:p>
        </w:tc>
        <w:tc>
          <w:tcPr>
            <w:tcW w:w="1545" w:type="dxa"/>
            <w:gridSpan w:val="3"/>
            <w:tcBorders>
              <w:bottom w:val="single" w:sz="12" w:space="0" w:color="000000"/>
            </w:tcBorders>
            <w:shd w:fill="FFFFFF" w:val="clear"/>
            <w:tcMar>
              <w:bottom w:w="28" w:type="dxa"/>
            </w:tcMar>
            <w:vAlign w:val="center"/>
          </w:tcPr>
          <w:p>
            <w:pPr>
              <w:pStyle w:val="TableContents"/>
              <w:spacing w:before="0" w:after="283"/>
              <w:jc w:val="center"/>
              <w:rPr>
                <w:b/>
              </w:rPr>
            </w:pPr>
            <w:r>
              <w:rPr>
                <w:b/>
              </w:rPr>
              <w:t>Equity</w:t>
            </w:r>
          </w:p>
        </w:tc>
      </w:tr>
      <w:tr>
        <w:trPr/>
        <w:tc>
          <w:tcPr>
            <w:tcW w:w="1205" w:type="dxa"/>
            <w:tcBorders/>
            <w:shd w:fill="CCEEFF" w:val="clear"/>
            <w:vAlign w:val="center"/>
          </w:tcPr>
          <w:p>
            <w:pPr>
              <w:pStyle w:val="TableContents"/>
              <w:spacing w:before="0" w:after="283"/>
              <w:rPr>
                <w:b/>
              </w:rPr>
            </w:pPr>
            <w:r>
              <w:rPr>
                <w:b/>
              </w:rPr>
              <w:t>Balance -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b/>
              </w:rPr>
            </w:pPr>
            <w:r>
              <w:rPr>
                <w:b/>
              </w:rPr>
              <w:t>$</w:t>
            </w:r>
          </w:p>
        </w:tc>
        <w:tc>
          <w:tcPr>
            <w:tcW w:w="70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b/>
              </w:rPr>
            </w:pPr>
            <w:r>
              <w:rPr>
                <w:b/>
              </w:rPr>
              <w:t>8,625,000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jc w:val="left"/>
              <w:rPr>
                <w:b/>
              </w:rPr>
            </w:pPr>
            <w:r>
              <w:rPr>
                <w:b/>
              </w:rPr>
              <w:t>$</w:t>
            </w:r>
          </w:p>
        </w:tc>
        <w:tc>
          <w:tcPr>
            <w:tcW w:w="659" w:type="dxa"/>
            <w:tcBorders/>
            <w:shd w:fill="CCEEFF" w:val="clear"/>
            <w:vAlign w:val="center"/>
          </w:tcPr>
          <w:p>
            <w:pPr>
              <w:pStyle w:val="TableContents"/>
              <w:spacing w:before="0" w:after="283"/>
              <w:jc w:val="right"/>
              <w:rPr>
                <w:b/>
              </w:rPr>
            </w:pPr>
            <w:r>
              <w:rPr>
                <w:b/>
              </w:rPr>
              <w:t>863</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95" w:type="dxa"/>
            <w:tcBorders/>
            <w:shd w:fill="CCEEFF" w:val="clear"/>
            <w:vAlign w:val="center"/>
          </w:tcPr>
          <w:p>
            <w:pPr>
              <w:pStyle w:val="TableContents"/>
              <w:spacing w:before="0" w:after="283"/>
              <w:jc w:val="right"/>
              <w:rPr>
                <w:b/>
              </w:rPr>
            </w:pPr>
            <w:r>
              <w:rPr>
                <w:b/>
              </w:rPr>
              <w:t>24,137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b/>
              </w:rPr>
            </w:pPr>
            <w:r>
              <w:rPr>
                <w:b/>
              </w:rPr>
              <w:t>$</w:t>
            </w:r>
          </w:p>
        </w:tc>
        <w:tc>
          <w:tcPr>
            <w:tcW w:w="1211" w:type="dxa"/>
            <w:tcBorders/>
            <w:shd w:fill="CCEEFF" w:val="clear"/>
            <w:vAlign w:val="center"/>
          </w:tcPr>
          <w:p>
            <w:pPr>
              <w:pStyle w:val="TableContents"/>
              <w:spacing w:before="0" w:after="283"/>
              <w:jc w:val="right"/>
              <w:rPr>
                <w:b/>
              </w:rPr>
            </w:pPr>
            <w:r>
              <w:rPr>
                <w:b/>
              </w:rPr>
              <w:t>(9,039</w:t>
            </w:r>
          </w:p>
        </w:tc>
        <w:tc>
          <w:tcPr>
            <w:tcW w:w="102"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95" w:type="dxa"/>
            <w:tcBorders/>
            <w:shd w:fill="CCEEFF" w:val="clear"/>
            <w:vAlign w:val="center"/>
          </w:tcPr>
          <w:p>
            <w:pPr>
              <w:pStyle w:val="TableContents"/>
              <w:spacing w:before="0" w:after="283"/>
              <w:jc w:val="right"/>
              <w:rPr>
                <w:b/>
              </w:rPr>
            </w:pPr>
            <w:r>
              <w:rPr>
                <w:b/>
              </w:rPr>
              <w:t>15,961</w:t>
            </w:r>
          </w:p>
        </w:tc>
        <w:tc>
          <w:tcPr>
            <w:tcW w:w="110" w:type="dxa"/>
            <w:tcBorders/>
            <w:shd w:fill="CCEE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left"/>
              <w:rPr/>
            </w:pPr>
            <w:r>
              <w:rPr/>
              <w:t>Sale of units in initial public offering, gross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30,000,000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3,000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299,997,000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1211" w:type="dxa"/>
            <w:tcBorders/>
            <w:shd w:fill="FFFFFF" w:val="clear"/>
            <w:vAlign w:val="center"/>
          </w:tcPr>
          <w:p>
            <w:pPr>
              <w:pStyle w:val="TableContents"/>
              <w:spacing w:before="0" w:after="283"/>
              <w:jc w:val="right"/>
              <w:rPr/>
            </w:pPr>
            <w:r>
              <w:rPr/>
              <w:t>-</w:t>
            </w:r>
          </w:p>
        </w:tc>
        <w:tc>
          <w:tcPr>
            <w:tcW w:w="10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300,000,000</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CCEEFF" w:val="clear"/>
            <w:vAlign w:val="center"/>
          </w:tcPr>
          <w:p>
            <w:pPr>
              <w:pStyle w:val="TableContents"/>
              <w:spacing w:before="0" w:after="283"/>
              <w:jc w:val="left"/>
              <w:rPr/>
            </w:pPr>
            <w:r>
              <w:rPr/>
              <w:t>Sale of private placement warrants to Sponsor in private placement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9,500,000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 </w:t>
            </w:r>
          </w:p>
        </w:tc>
        <w:tc>
          <w:tcPr>
            <w:tcW w:w="1211" w:type="dxa"/>
            <w:tcBorders/>
            <w:shd w:fill="CCEEFF" w:val="clear"/>
            <w:vAlign w:val="center"/>
          </w:tcPr>
          <w:p>
            <w:pPr>
              <w:pStyle w:val="TableContents"/>
              <w:spacing w:before="0" w:after="283"/>
              <w:jc w:val="right"/>
              <w:rPr/>
            </w:pPr>
            <w:r>
              <w:rPr/>
              <w:t>-</w:t>
            </w:r>
          </w:p>
        </w:tc>
        <w:tc>
          <w:tcPr>
            <w:tcW w:w="10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9,500,000</w:t>
            </w:r>
          </w:p>
        </w:tc>
        <w:tc>
          <w:tcPr>
            <w:tcW w:w="110" w:type="dxa"/>
            <w:tcBorders/>
            <w:shd w:fill="CCEE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left"/>
              <w:rPr/>
            </w:pPr>
            <w:r>
              <w:rPr/>
              <w:t>Forfeiture of Class B ordinary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(1,125,000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(113</w:t>
            </w:r>
          </w:p>
        </w:tc>
        <w:tc>
          <w:tcPr>
            <w:tcW w:w="119"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113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1211" w:type="dxa"/>
            <w:tcBorders/>
            <w:shd w:fill="FFFFFF" w:val="clear"/>
            <w:vAlign w:val="center"/>
          </w:tcPr>
          <w:p>
            <w:pPr>
              <w:pStyle w:val="TableContents"/>
              <w:spacing w:before="0" w:after="283"/>
              <w:jc w:val="right"/>
              <w:rPr/>
            </w:pPr>
            <w:r>
              <w:rPr/>
              <w:t>-</w:t>
            </w:r>
          </w:p>
        </w:tc>
        <w:tc>
          <w:tcPr>
            <w:tcW w:w="10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CCEEFF" w:val="clear"/>
            <w:vAlign w:val="center"/>
          </w:tcPr>
          <w:p>
            <w:pPr>
              <w:pStyle w:val="TableContents"/>
              <w:spacing w:before="0" w:after="283"/>
              <w:jc w:val="left"/>
              <w:rPr/>
            </w:pPr>
            <w:r>
              <w:rPr/>
              <w:t>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(17,384,335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pPr>
            <w:r>
              <w:rPr/>
              <w:t> </w:t>
            </w:r>
          </w:p>
        </w:tc>
        <w:tc>
          <w:tcPr>
            <w:tcW w:w="1211" w:type="dxa"/>
            <w:tcBorders/>
            <w:shd w:fill="CCEEFF" w:val="clear"/>
            <w:vAlign w:val="center"/>
          </w:tcPr>
          <w:p>
            <w:pPr>
              <w:pStyle w:val="TableContents"/>
              <w:spacing w:before="0" w:after="283"/>
              <w:jc w:val="right"/>
              <w:rPr/>
            </w:pPr>
            <w:r>
              <w:rPr/>
              <w:t>-</w:t>
            </w:r>
          </w:p>
        </w:tc>
        <w:tc>
          <w:tcPr>
            <w:tcW w:w="10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(17,384,335</w:t>
            </w:r>
          </w:p>
        </w:tc>
        <w:tc>
          <w:tcPr>
            <w:tcW w:w="110" w:type="dxa"/>
            <w:tcBorders/>
            <w:shd w:fill="CCEEFF" w:val="clear"/>
            <w:vAlign w:val="center"/>
          </w:tcPr>
          <w:p>
            <w:pPr>
              <w:pStyle w:val="TableContents"/>
              <w:spacing w:before="0" w:after="283"/>
              <w:jc w:val="left"/>
              <w:rPr/>
            </w:pPr>
            <w:r>
              <w:rPr/>
              <w:t>)</w:t>
            </w:r>
          </w:p>
        </w:tc>
      </w:tr>
      <w:tr>
        <w:trPr/>
        <w:tc>
          <w:tcPr>
            <w:tcW w:w="1205" w:type="dxa"/>
            <w:tcBorders/>
            <w:shd w:fill="FFFFFF" w:val="clear"/>
            <w:vAlign w:val="center"/>
          </w:tcPr>
          <w:p>
            <w:pPr>
              <w:pStyle w:val="TableContents"/>
              <w:spacing w:before="0" w:after="283"/>
              <w:jc w:val="left"/>
              <w:rPr/>
            </w:pPr>
            <w:r>
              <w:rPr/>
              <w:t>Ordinary shares subject to possible redemption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(28,419,721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(2,842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(284,194,368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1211" w:type="dxa"/>
            <w:tcBorders/>
            <w:shd w:fill="FFFFFF" w:val="clear"/>
            <w:vAlign w:val="center"/>
          </w:tcPr>
          <w:p>
            <w:pPr>
              <w:pStyle w:val="TableContents"/>
              <w:spacing w:before="0" w:after="283"/>
              <w:jc w:val="right"/>
              <w:rPr/>
            </w:pPr>
            <w:r>
              <w:rPr/>
              <w:t>-</w:t>
            </w:r>
          </w:p>
        </w:tc>
        <w:tc>
          <w:tcPr>
            <w:tcW w:w="10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(284,197,210</w:t>
            </w:r>
          </w:p>
        </w:tc>
        <w:tc>
          <w:tcPr>
            <w:tcW w:w="110" w:type="dxa"/>
            <w:tcBorders/>
            <w:shd w:fill="FFFFFF" w:val="clear"/>
            <w:vAlign w:val="center"/>
          </w:tcPr>
          <w:p>
            <w:pPr>
              <w:pStyle w:val="TableContents"/>
              <w:spacing w:before="0" w:after="283"/>
              <w:jc w:val="left"/>
              <w:rPr/>
            </w:pPr>
            <w:r>
              <w:rPr/>
              <w:t>)</w:t>
            </w:r>
          </w:p>
        </w:tc>
      </w:tr>
      <w:tr>
        <w:trPr/>
        <w:tc>
          <w:tcPr>
            <w:tcW w:w="120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9"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spacing w:before="0" w:after="283"/>
              <w:jc w:val="right"/>
              <w:rPr/>
            </w:pPr>
            <w:r>
              <w:rPr/>
              <w:t>(2,934,408</w:t>
            </w:r>
          </w:p>
        </w:tc>
        <w:tc>
          <w:tcPr>
            <w:tcW w:w="102"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(2,934,408</w:t>
            </w:r>
          </w:p>
        </w:tc>
        <w:tc>
          <w:tcPr>
            <w:tcW w:w="110" w:type="dxa"/>
            <w:tcBorders/>
            <w:shd w:fill="CCEEFF" w:val="clear"/>
            <w:vAlign w:val="center"/>
          </w:tcPr>
          <w:p>
            <w:pPr>
              <w:pStyle w:val="TableContents"/>
              <w:spacing w:before="0" w:after="283"/>
              <w:jc w:val="left"/>
              <w:rPr/>
            </w:pPr>
            <w:r>
              <w:rPr/>
              <w:t>)</w:t>
            </w:r>
          </w:p>
        </w:tc>
      </w:tr>
      <w:tr>
        <w:trPr/>
        <w:tc>
          <w:tcPr>
            <w:tcW w:w="1205" w:type="dxa"/>
            <w:tcBorders/>
            <w:shd w:fill="FFFFFF" w:val="clear"/>
            <w:vAlign w:val="center"/>
          </w:tcPr>
          <w:p>
            <w:pPr>
              <w:pStyle w:val="TableContents"/>
              <w:spacing w:before="0" w:after="283"/>
              <w:rPr>
                <w:b/>
              </w:rPr>
            </w:pPr>
            <w:r>
              <w:rPr>
                <w:b/>
              </w:rPr>
              <w:t>Balance - December 31, 2020</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b/>
              </w:rPr>
            </w:pPr>
            <w:r>
              <w:rPr>
                <w:b/>
              </w:rPr>
              <w:t>1,580,279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705" w:type="dxa"/>
            <w:tcBorders>
              <w:bottom w:val="double" w:sz="10" w:space="0" w:color="000000"/>
            </w:tcBorders>
            <w:shd w:fill="FFFFFF" w:val="clear"/>
            <w:tcMar>
              <w:bottom w:w="28" w:type="dxa"/>
            </w:tcMar>
            <w:vAlign w:val="center"/>
          </w:tcPr>
          <w:p>
            <w:pPr>
              <w:pStyle w:val="TableContents"/>
              <w:spacing w:before="0" w:after="283"/>
              <w:jc w:val="right"/>
              <w:rPr>
                <w:b/>
              </w:rPr>
            </w:pPr>
            <w:r>
              <w:rPr>
                <w:b/>
              </w:rPr>
              <w:t>158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spacing w:before="0" w:after="283"/>
              <w:jc w:val="right"/>
              <w:rPr>
                <w:b/>
              </w:rPr>
            </w:pPr>
            <w:r>
              <w:rPr>
                <w:b/>
              </w:rPr>
              <w:t>7,500,000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659" w:type="dxa"/>
            <w:tcBorders>
              <w:bottom w:val="double" w:sz="10" w:space="0" w:color="000000"/>
            </w:tcBorders>
            <w:shd w:fill="FFFFFF" w:val="clear"/>
            <w:tcMar>
              <w:bottom w:w="28" w:type="dxa"/>
            </w:tcMar>
            <w:vAlign w:val="center"/>
          </w:tcPr>
          <w:p>
            <w:pPr>
              <w:pStyle w:val="TableContents"/>
              <w:spacing w:before="0" w:after="283"/>
              <w:jc w:val="right"/>
              <w:rPr>
                <w:b/>
              </w:rPr>
            </w:pPr>
            <w:r>
              <w:rPr>
                <w:b/>
              </w:rPr>
              <w:t>750</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b/>
              </w:rPr>
            </w:pPr>
            <w:r>
              <w:rPr>
                <w:b/>
              </w:rPr>
              <w:t>7,942,547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11" w:type="dxa"/>
            <w:tcBorders>
              <w:bottom w:val="double" w:sz="10" w:space="0" w:color="000000"/>
            </w:tcBorders>
            <w:shd w:fill="FFFFFF" w:val="clear"/>
            <w:tcMar>
              <w:bottom w:w="28" w:type="dxa"/>
            </w:tcMar>
            <w:vAlign w:val="center"/>
          </w:tcPr>
          <w:p>
            <w:pPr>
              <w:pStyle w:val="TableContents"/>
              <w:spacing w:before="0" w:after="283"/>
              <w:jc w:val="right"/>
              <w:rPr>
                <w:b/>
              </w:rPr>
            </w:pPr>
            <w:r>
              <w:rPr>
                <w:b/>
              </w:rPr>
              <w:t>(2,943,447</w:t>
            </w:r>
          </w:p>
        </w:tc>
        <w:tc>
          <w:tcPr>
            <w:tcW w:w="102" w:type="dxa"/>
            <w:tcBorders/>
            <w:shd w:fill="FFFFFF" w:val="clear"/>
            <w:vAlign w:val="center"/>
          </w:tcPr>
          <w:p>
            <w:pPr>
              <w:pStyle w:val="TableContents"/>
              <w:spacing w:before="0" w:after="283"/>
              <w:jc w:val="left"/>
              <w:rPr>
                <w:b/>
              </w:rPr>
            </w:pPr>
            <w:r>
              <w:rPr>
                <w:b/>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b/>
              </w:rPr>
            </w:pPr>
            <w:r>
              <w:rPr>
                <w:b/>
              </w:rPr>
              <w:t>5,000,008</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 </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1211" w:type="dxa"/>
            <w:tcBorders/>
            <w:shd w:fill="FFFFFF" w:val="clear"/>
            <w:vAlign w:val="center"/>
          </w:tcPr>
          <w:p>
            <w:pPr>
              <w:pStyle w:val="TableContents"/>
              <w:spacing w:before="0" w:after="283"/>
              <w:jc w:val="right"/>
              <w:rPr/>
            </w:pPr>
            <w:r>
              <w:rPr/>
              <w:t> </w:t>
            </w:r>
          </w:p>
        </w:tc>
        <w:tc>
          <w:tcPr>
            <w:tcW w:w="10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9271" w:type="dxa"/>
            <w:gridSpan w:val="26"/>
            <w:tcBorders>
              <w:bottom w:val="single" w:sz="12" w:space="0" w:color="000000"/>
            </w:tcBorders>
            <w:shd w:fill="FFFFFF" w:val="clear"/>
            <w:tcMar>
              <w:bottom w:w="28" w:type="dxa"/>
            </w:tcMar>
            <w:vAlign w:val="center"/>
          </w:tcPr>
          <w:p>
            <w:pPr>
              <w:pStyle w:val="TableContents"/>
              <w:spacing w:before="0" w:after="283"/>
              <w:jc w:val="center"/>
              <w:rPr>
                <w:b/>
              </w:rPr>
            </w:pPr>
            <w:r>
              <w:rPr>
                <w:b/>
              </w:rPr>
              <w:t>For the Period from December 18, 2019 (inception) to December 31, 2019</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4535" w:type="dxa"/>
            <w:gridSpan w:val="14"/>
            <w:tcBorders>
              <w:bottom w:val="single" w:sz="12" w:space="0" w:color="000000"/>
            </w:tcBorders>
            <w:shd w:fill="FFFFFF" w:val="clear"/>
            <w:tcMar>
              <w:bottom w:w="28" w:type="dxa"/>
            </w:tcMar>
            <w:vAlign w:val="center"/>
          </w:tcPr>
          <w:p>
            <w:pPr>
              <w:pStyle w:val="TableContents"/>
              <w:spacing w:before="0" w:after="283"/>
              <w:jc w:val="center"/>
              <w:rPr>
                <w:b/>
              </w:rPr>
            </w:pPr>
            <w:r>
              <w:rPr>
                <w:b/>
              </w:rPr>
              <w:t>Ordinary Shares</w:t>
            </w:r>
          </w:p>
        </w:tc>
        <w:tc>
          <w:tcPr>
            <w:tcW w:w="11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shd w:fill="FFFFFF" w:val="clear"/>
            <w:vAlign w:val="center"/>
          </w:tcPr>
          <w:p>
            <w:pPr>
              <w:pStyle w:val="TableContents"/>
              <w:spacing w:before="0" w:after="283"/>
              <w:jc w:val="center"/>
              <w:rPr>
                <w:b/>
              </w:rPr>
            </w:pPr>
            <w:r>
              <w:rPr>
                <w:b/>
              </w:rPr>
              <w:t>Additional</w:t>
            </w:r>
          </w:p>
        </w:tc>
        <w:tc>
          <w:tcPr>
            <w:tcW w:w="95" w:type="dxa"/>
            <w:tcBorders/>
            <w:shd w:fill="FFFFFF"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59" w:type="dxa"/>
            <w:tcBorders/>
            <w:shd w:fill="auto" w:val="clear"/>
            <w:vAlign w:val="center"/>
          </w:tcPr>
          <w:p>
            <w:pPr>
              <w:pStyle w:val="TableContents"/>
              <w:spacing w:before="0" w:after="283"/>
              <w:jc w:val="center"/>
              <w:rPr/>
            </w:pPr>
            <w:r>
              <w:rPr/>
              <w:t> </w:t>
            </w:r>
          </w:p>
        </w:tc>
        <w:tc>
          <w:tcPr>
            <w:tcW w:w="1211" w:type="dxa"/>
            <w:tcBorders/>
            <w:shd w:fill="auto" w:val="clear"/>
            <w:vAlign w:val="center"/>
          </w:tcPr>
          <w:p>
            <w:pPr>
              <w:pStyle w:val="TableContents"/>
              <w:spacing w:before="0" w:after="283"/>
              <w:jc w:val="center"/>
              <w:rPr/>
            </w:pPr>
            <w:r>
              <w:rPr/>
              <w:t> </w:t>
            </w:r>
          </w:p>
        </w:tc>
        <w:tc>
          <w:tcPr>
            <w:tcW w:w="10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shd w:fill="FFFFFF" w:val="clear"/>
            <w:vAlign w:val="center"/>
          </w:tcPr>
          <w:p>
            <w:pPr>
              <w:pStyle w:val="TableContents"/>
              <w:spacing w:before="0" w:after="283"/>
              <w:jc w:val="center"/>
              <w:rPr>
                <w:b/>
              </w:rPr>
            </w:pPr>
            <w:r>
              <w:rPr>
                <w:b/>
              </w:rPr>
              <w:t>Total</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2250" w:type="dxa"/>
            <w:gridSpan w:val="6"/>
            <w:tcBorders>
              <w:bottom w:val="single" w:sz="12" w:space="0" w:color="000000"/>
            </w:tcBorders>
            <w:shd w:fill="FFFFFF" w:val="clear"/>
            <w:tcMar>
              <w:bottom w:w="28" w:type="dxa"/>
            </w:tcMar>
            <w:vAlign w:val="center"/>
          </w:tcPr>
          <w:p>
            <w:pPr>
              <w:pStyle w:val="TableContents"/>
              <w:spacing w:before="0" w:after="283"/>
              <w:jc w:val="center"/>
              <w:rPr>
                <w:b/>
              </w:rPr>
            </w:pPr>
            <w:r>
              <w:rPr>
                <w:b/>
              </w:rPr>
              <w:t>Class A</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2070" w:type="dxa"/>
            <w:gridSpan w:val="5"/>
            <w:tcBorders>
              <w:bottom w:val="single" w:sz="12" w:space="0" w:color="000000"/>
            </w:tcBorders>
            <w:shd w:fill="FFFFFF" w:val="clear"/>
            <w:tcMar>
              <w:bottom w:w="28" w:type="dxa"/>
            </w:tcMar>
            <w:vAlign w:val="center"/>
          </w:tcPr>
          <w:p>
            <w:pPr>
              <w:pStyle w:val="TableContents"/>
              <w:spacing w:before="0" w:after="283"/>
              <w:jc w:val="center"/>
              <w:rPr>
                <w:b/>
              </w:rPr>
            </w:pPr>
            <w:r>
              <w:rPr>
                <w:b/>
              </w:rPr>
              <w:t>Class B</w:t>
            </w:r>
          </w:p>
        </w:tc>
        <w:tc>
          <w:tcPr>
            <w:tcW w:w="119"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35" w:type="dxa"/>
            <w:gridSpan w:val="2"/>
            <w:tcBorders/>
            <w:shd w:fill="FFFFFF" w:val="clear"/>
            <w:vAlign w:val="center"/>
          </w:tcPr>
          <w:p>
            <w:pPr>
              <w:pStyle w:val="TableContents"/>
              <w:spacing w:before="0" w:after="283"/>
              <w:jc w:val="center"/>
              <w:rPr>
                <w:b/>
              </w:rPr>
            </w:pPr>
            <w:r>
              <w:rPr>
                <w:b/>
              </w:rPr>
              <w:t>Paid-in</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370" w:type="dxa"/>
            <w:gridSpan w:val="2"/>
            <w:tcBorders/>
            <w:shd w:fill="FFFFFF" w:val="clear"/>
            <w:vAlign w:val="center"/>
          </w:tcPr>
          <w:p>
            <w:pPr>
              <w:pStyle w:val="TableContents"/>
              <w:spacing w:before="0" w:after="283"/>
              <w:jc w:val="center"/>
              <w:rPr>
                <w:b/>
              </w:rPr>
            </w:pPr>
            <w:r>
              <w:rPr>
                <w:b/>
              </w:rPr>
              <w:t>Accumulated</w:t>
            </w:r>
          </w:p>
        </w:tc>
        <w:tc>
          <w:tcPr>
            <w:tcW w:w="10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35" w:type="dxa"/>
            <w:gridSpan w:val="2"/>
            <w:tcBorders/>
            <w:shd w:fill="FFFFFF" w:val="clear"/>
            <w:vAlign w:val="center"/>
          </w:tcPr>
          <w:p>
            <w:pPr>
              <w:pStyle w:val="TableContents"/>
              <w:spacing w:before="0" w:after="283"/>
              <w:jc w:val="center"/>
              <w:rPr>
                <w:b/>
              </w:rPr>
            </w:pPr>
            <w:r>
              <w:rPr>
                <w:b/>
              </w:rPr>
              <w:t>Shareholders’</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235" w:type="dxa"/>
            <w:gridSpan w:val="2"/>
            <w:tcBorders>
              <w:bottom w:val="single" w:sz="12" w:space="0" w:color="000000"/>
            </w:tcBorders>
            <w:shd w:fill="FFFFFF" w:val="clear"/>
            <w:tcMar>
              <w:bottom w:w="30" w:type="dxa"/>
            </w:tcMar>
            <w:vAlign w:val="center"/>
          </w:tcPr>
          <w:p>
            <w:pPr>
              <w:pStyle w:val="TableContents"/>
              <w:spacing w:before="0" w:after="283"/>
              <w:jc w:val="center"/>
              <w:rPr>
                <w:b/>
              </w:rPr>
            </w:pPr>
            <w:r>
              <w:rPr>
                <w:b/>
              </w:rPr>
              <w:t>Shares</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860"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Amount</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055" w:type="dxa"/>
            <w:tcBorders>
              <w:bottom w:val="single" w:sz="12" w:space="0" w:color="000000"/>
            </w:tcBorders>
            <w:shd w:fill="FFFFFF" w:val="clear"/>
            <w:tcMar>
              <w:bottom w:w="28" w:type="dxa"/>
            </w:tcMar>
            <w:vAlign w:val="center"/>
          </w:tcPr>
          <w:p>
            <w:pPr>
              <w:pStyle w:val="TableContents"/>
              <w:spacing w:before="0" w:after="283"/>
              <w:jc w:val="center"/>
              <w:rPr>
                <w:b/>
              </w:rPr>
            </w:pPr>
            <w:r>
              <w:rPr>
                <w:b/>
              </w:rPr>
              <w:t>Shares</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860"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Amount</w:t>
            </w:r>
          </w:p>
        </w:tc>
        <w:tc>
          <w:tcPr>
            <w:tcW w:w="119"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35"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Capital</w:t>
            </w:r>
          </w:p>
        </w:tc>
        <w:tc>
          <w:tcPr>
            <w:tcW w:w="9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370"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Deficit</w:t>
            </w:r>
          </w:p>
        </w:tc>
        <w:tc>
          <w:tcPr>
            <w:tcW w:w="10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center"/>
              <w:rPr/>
            </w:pPr>
            <w:r>
              <w:rPr/>
              <w:t> </w:t>
            </w:r>
          </w:p>
        </w:tc>
        <w:tc>
          <w:tcPr>
            <w:tcW w:w="1435" w:type="dxa"/>
            <w:gridSpan w:val="2"/>
            <w:tcBorders>
              <w:bottom w:val="single" w:sz="12" w:space="0" w:color="000000"/>
            </w:tcBorders>
            <w:shd w:fill="FFFFFF" w:val="clear"/>
            <w:tcMar>
              <w:bottom w:w="28" w:type="dxa"/>
            </w:tcMar>
            <w:vAlign w:val="center"/>
          </w:tcPr>
          <w:p>
            <w:pPr>
              <w:pStyle w:val="TableContents"/>
              <w:spacing w:before="0" w:after="283"/>
              <w:jc w:val="center"/>
              <w:rPr>
                <w:b/>
              </w:rPr>
            </w:pPr>
            <w:r>
              <w:rPr>
                <w:b/>
              </w:rPr>
              <w:t>Equity</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CCEEFF" w:val="clear"/>
            <w:vAlign w:val="center"/>
          </w:tcPr>
          <w:p>
            <w:pPr>
              <w:pStyle w:val="TableContents"/>
              <w:spacing w:before="0" w:after="283"/>
              <w:rPr>
                <w:b/>
              </w:rPr>
            </w:pPr>
            <w:r>
              <w:rPr>
                <w:b/>
              </w:rPr>
              <w:t>Balance - December 18, 2019 (Inception)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b/>
              </w:rPr>
            </w:pPr>
            <w:r>
              <w:rPr>
                <w:b/>
              </w:rPr>
              <w:t>$</w:t>
            </w:r>
          </w:p>
        </w:tc>
        <w:tc>
          <w:tcPr>
            <w:tcW w:w="70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jc w:val="left"/>
              <w:rPr>
                <w:b/>
              </w:rPr>
            </w:pPr>
            <w:r>
              <w:rPr>
                <w:b/>
              </w:rPr>
              <w:t>$</w:t>
            </w:r>
          </w:p>
        </w:tc>
        <w:tc>
          <w:tcPr>
            <w:tcW w:w="659" w:type="dxa"/>
            <w:tcBorders/>
            <w:shd w:fill="CCEEFF" w:val="clear"/>
            <w:vAlign w:val="center"/>
          </w:tcPr>
          <w:p>
            <w:pPr>
              <w:pStyle w:val="TableContents"/>
              <w:spacing w:before="0" w:after="283"/>
              <w:jc w:val="right"/>
              <w:rPr>
                <w:b/>
              </w:rPr>
            </w:pPr>
            <w:r>
              <w:rPr>
                <w:b/>
              </w:rPr>
              <w:t>-</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95" w:type="dxa"/>
            <w:tcBorders/>
            <w:shd w:fill="CCEEFF" w:val="cle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b/>
              </w:rPr>
            </w:pPr>
            <w:r>
              <w:rPr>
                <w:b/>
              </w:rPr>
              <w:t>$</w:t>
            </w:r>
          </w:p>
        </w:tc>
        <w:tc>
          <w:tcPr>
            <w:tcW w:w="1211" w:type="dxa"/>
            <w:tcBorders/>
            <w:shd w:fill="CCEEFF" w:val="clear"/>
            <w:vAlign w:val="center"/>
          </w:tcPr>
          <w:p>
            <w:pPr>
              <w:pStyle w:val="TableContents"/>
              <w:spacing w:before="0" w:after="283"/>
              <w:jc w:val="right"/>
              <w:rPr>
                <w:b/>
              </w:rPr>
            </w:pPr>
            <w:r>
              <w:rPr>
                <w:b/>
              </w:rPr>
              <w:t>-</w:t>
            </w:r>
          </w:p>
        </w:tc>
        <w:tc>
          <w:tcPr>
            <w:tcW w:w="10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95" w:type="dxa"/>
            <w:tcBorders/>
            <w:shd w:fill="CCEEFF" w:val="clear"/>
            <w:vAlign w:val="center"/>
          </w:tcPr>
          <w:p>
            <w:pPr>
              <w:pStyle w:val="TableContents"/>
              <w:spacing w:before="0" w:after="283"/>
              <w:jc w:val="right"/>
              <w:rPr>
                <w:b/>
              </w:rPr>
            </w:pPr>
            <w:r>
              <w:rPr>
                <w:b/>
              </w:rPr>
              <w:t>-</w:t>
            </w:r>
          </w:p>
        </w:tc>
        <w:tc>
          <w:tcPr>
            <w:tcW w:w="110" w:type="dxa"/>
            <w:tcBorders/>
            <w:shd w:fill="CCEEFF" w:val="clear"/>
            <w:vAlign w:val="center"/>
          </w:tcPr>
          <w:p>
            <w:pPr>
              <w:pStyle w:val="TableContents"/>
              <w:spacing w:before="0" w:after="283"/>
              <w:jc w:val="left"/>
              <w:rPr/>
            </w:pPr>
            <w:r>
              <w:rPr/>
              <w:t> </w:t>
            </w:r>
          </w:p>
        </w:tc>
      </w:tr>
      <w:tr>
        <w:trPr/>
        <w:tc>
          <w:tcPr>
            <w:tcW w:w="1205" w:type="dxa"/>
            <w:tcBorders/>
            <w:shd w:fill="FFFFFF" w:val="clear"/>
            <w:vAlign w:val="center"/>
          </w:tcPr>
          <w:p>
            <w:pPr>
              <w:pStyle w:val="TableContents"/>
              <w:spacing w:before="0" w:after="283"/>
              <w:jc w:val="left"/>
              <w:rPr/>
            </w:pPr>
            <w:r>
              <w:rPr/>
              <w:t>Issuance of Class B ordinary shares to Sponsor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8,625,000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863</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24,137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1211" w:type="dxa"/>
            <w:tcBorders/>
            <w:shd w:fill="FFFFFF" w:val="clear"/>
            <w:vAlign w:val="center"/>
          </w:tcPr>
          <w:p>
            <w:pPr>
              <w:pStyle w:val="TableContents"/>
              <w:spacing w:before="0" w:after="283"/>
              <w:jc w:val="right"/>
              <w:rPr/>
            </w:pPr>
            <w:r>
              <w:rPr/>
              <w:t>-</w:t>
            </w:r>
          </w:p>
        </w:tc>
        <w:tc>
          <w:tcPr>
            <w:tcW w:w="10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25,000</w:t>
            </w:r>
          </w:p>
        </w:tc>
        <w:tc>
          <w:tcPr>
            <w:tcW w:w="110" w:type="dxa"/>
            <w:tcBorders/>
            <w:shd w:fill="FFFFFF" w:val="clear"/>
            <w:vAlign w:val="center"/>
          </w:tcPr>
          <w:p>
            <w:pPr>
              <w:pStyle w:val="TableContents"/>
              <w:spacing w:before="0" w:after="283"/>
              <w:jc w:val="left"/>
              <w:rPr/>
            </w:pPr>
            <w:r>
              <w:rPr/>
              <w:t> </w:t>
            </w:r>
          </w:p>
        </w:tc>
      </w:tr>
      <w:tr>
        <w:trPr/>
        <w:tc>
          <w:tcPr>
            <w:tcW w:w="120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59" w:type="dxa"/>
            <w:tcBorders>
              <w:bottom w:val="single" w:sz="12" w:space="0" w:color="000000"/>
            </w:tcBorders>
            <w:shd w:fill="CCEEFF" w:val="clear"/>
            <w:tcMar>
              <w:bottom w:w="28" w:type="dxa"/>
            </w:tcMar>
            <w:vAlign w:val="center"/>
          </w:tcPr>
          <w:p>
            <w:pPr>
              <w:pStyle w:val="TableContents"/>
              <w:spacing w:before="0" w:after="283"/>
              <w:jc w:val="right"/>
              <w:rPr>
                <w:b/>
              </w:rPr>
            </w:pPr>
            <w:r>
              <w:rPr>
                <w:b/>
              </w:rPr>
              <w:t>-</w:t>
            </w:r>
          </w:p>
        </w:tc>
        <w:tc>
          <w:tcPr>
            <w:tcW w:w="11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b/>
              </w:rPr>
            </w:pPr>
            <w:r>
              <w:rPr>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spacing w:before="0" w:after="283"/>
              <w:jc w:val="right"/>
              <w:rPr/>
            </w:pPr>
            <w:r>
              <w:rPr/>
              <w:t>(9,039</w:t>
            </w:r>
          </w:p>
        </w:tc>
        <w:tc>
          <w:tcPr>
            <w:tcW w:w="102"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(9,039</w:t>
            </w:r>
          </w:p>
        </w:tc>
        <w:tc>
          <w:tcPr>
            <w:tcW w:w="110" w:type="dxa"/>
            <w:tcBorders/>
            <w:shd w:fill="CCEEFF" w:val="clear"/>
            <w:vAlign w:val="center"/>
          </w:tcPr>
          <w:p>
            <w:pPr>
              <w:pStyle w:val="TableContents"/>
              <w:spacing w:before="0" w:after="283"/>
              <w:jc w:val="left"/>
              <w:rPr/>
            </w:pPr>
            <w:r>
              <w:rPr/>
              <w:t>)</w:t>
            </w:r>
          </w:p>
        </w:tc>
      </w:tr>
      <w:tr>
        <w:trPr/>
        <w:tc>
          <w:tcPr>
            <w:tcW w:w="1205" w:type="dxa"/>
            <w:tcBorders/>
            <w:shd w:fill="FFFFFF" w:val="clear"/>
            <w:vAlign w:val="center"/>
          </w:tcPr>
          <w:p>
            <w:pPr>
              <w:pStyle w:val="TableContents"/>
              <w:spacing w:before="0" w:after="283"/>
              <w:rPr>
                <w:b/>
              </w:rPr>
            </w:pPr>
            <w:r>
              <w:rPr>
                <w:b/>
              </w:rPr>
              <w:t>Balance - December 31, 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b/>
              </w:rPr>
            </w:pPr>
            <w:r>
              <w:rPr>
                <w:b/>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705" w:type="dxa"/>
            <w:tcBorders>
              <w:bottom w:val="double" w:sz="10" w:space="0" w:color="000000"/>
            </w:tcBorders>
            <w:shd w:fill="FFFFFF" w:val="clear"/>
            <w:tcMar>
              <w:bottom w:w="28" w:type="dxa"/>
            </w:tcMar>
            <w:vAlign w:val="center"/>
          </w:tcPr>
          <w:p>
            <w:pPr>
              <w:pStyle w:val="TableContents"/>
              <w:spacing w:before="0" w:after="283"/>
              <w:jc w:val="right"/>
              <w:rPr>
                <w:b/>
              </w:rPr>
            </w:pPr>
            <w:r>
              <w:rPr>
                <w:b/>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spacing w:before="0" w:after="283"/>
              <w:jc w:val="right"/>
              <w:rPr>
                <w:b/>
              </w:rPr>
            </w:pPr>
            <w:r>
              <w:rPr>
                <w:b/>
              </w:rPr>
              <w:t>8,625,000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1"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659" w:type="dxa"/>
            <w:tcBorders>
              <w:bottom w:val="double" w:sz="10" w:space="0" w:color="000000"/>
            </w:tcBorders>
            <w:shd w:fill="FFFFFF" w:val="clear"/>
            <w:tcMar>
              <w:bottom w:w="28" w:type="dxa"/>
            </w:tcMar>
            <w:vAlign w:val="center"/>
          </w:tcPr>
          <w:p>
            <w:pPr>
              <w:pStyle w:val="TableContents"/>
              <w:spacing w:before="0" w:after="283"/>
              <w:jc w:val="right"/>
              <w:rPr>
                <w:b/>
              </w:rPr>
            </w:pPr>
            <w:r>
              <w:rPr>
                <w:b/>
              </w:rPr>
              <w:t>863</w:t>
            </w:r>
          </w:p>
        </w:tc>
        <w:tc>
          <w:tcPr>
            <w:tcW w:w="11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b/>
              </w:rPr>
            </w:pPr>
            <w:r>
              <w:rPr>
                <w:b/>
              </w:rPr>
              <w:t>24,137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11" w:type="dxa"/>
            <w:tcBorders>
              <w:bottom w:val="double" w:sz="10" w:space="0" w:color="000000"/>
            </w:tcBorders>
            <w:shd w:fill="FFFFFF" w:val="clear"/>
            <w:tcMar>
              <w:bottom w:w="28" w:type="dxa"/>
            </w:tcMar>
            <w:vAlign w:val="center"/>
          </w:tcPr>
          <w:p>
            <w:pPr>
              <w:pStyle w:val="TableContents"/>
              <w:spacing w:before="0" w:after="283"/>
              <w:jc w:val="right"/>
              <w:rPr>
                <w:b/>
              </w:rPr>
            </w:pPr>
            <w:r>
              <w:rPr>
                <w:b/>
              </w:rPr>
              <w:t>(9,039</w:t>
            </w:r>
          </w:p>
        </w:tc>
        <w:tc>
          <w:tcPr>
            <w:tcW w:w="102" w:type="dxa"/>
            <w:tcBorders/>
            <w:shd w:fill="FFFFFF" w:val="clear"/>
            <w:vAlign w:val="center"/>
          </w:tcPr>
          <w:p>
            <w:pPr>
              <w:pStyle w:val="TableContents"/>
              <w:spacing w:before="0" w:after="283"/>
              <w:jc w:val="left"/>
              <w:rPr>
                <w:b/>
              </w:rPr>
            </w:pPr>
            <w:r>
              <w:rPr>
                <w:b/>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b/>
              </w:rPr>
            </w:pPr>
            <w:r>
              <w:rPr>
                <w:b/>
              </w:rPr>
              <w:t>15,961</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val="false"/>
          <w:i/>
          <w:caps w:val="false"/>
          <w:smallCaps w:val="false"/>
          <w:sz w:val="20"/>
        </w:rPr>
      </w:pPr>
      <w:r>
        <w:rPr>
          <w:rFonts w:ascii="Times New Roman;serif" w:hAnsi="Times New Roman;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32" w:name="b005"/>
      <w:bookmarkEnd w:id="32"/>
      <w:r>
        <w:rPr>
          <w:rFonts w:ascii="Times New Roman;serif" w:hAnsi="Times New Roman;serif"/>
          <w:b/>
          <w:i w:val="false"/>
          <w:caps w:val="false"/>
          <w:smallCaps w:val="false"/>
          <w:sz w:val="20"/>
        </w:rPr>
        <w:t>SUSTAINABLE OPPORTUNITIES ACQUISITION CORP.</w:t>
      </w:r>
    </w:p>
    <w:p>
      <w:pPr>
        <w:pStyle w:val="TextBody"/>
        <w:spacing w:before="0" w:after="0"/>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STATEMENTS OF CASH FLOWS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248"/>
        <w:gridCol w:w="60"/>
        <w:gridCol w:w="165"/>
        <w:gridCol w:w="1475"/>
        <w:gridCol w:w="80"/>
        <w:gridCol w:w="60"/>
        <w:gridCol w:w="286"/>
        <w:gridCol w:w="1354"/>
        <w:gridCol w:w="477"/>
      </w:tblGrid>
      <w:tr>
        <w:trPr/>
        <w:tc>
          <w:tcPr>
            <w:tcW w:w="6248" w:type="dxa"/>
            <w:tcBorders/>
            <w:shd w:fill="FFFFFF"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40" w:type="dxa"/>
            <w:gridSpan w:val="2"/>
            <w:tcBorders>
              <w:bottom w:val="single" w:sz="12" w:space="0" w:color="000000"/>
            </w:tcBorders>
            <w:shd w:fill="FFFFFF" w:val="clear"/>
            <w:tcMar>
              <w:bottom w:w="28" w:type="dxa"/>
            </w:tcMar>
            <w:vAlign w:val="center"/>
          </w:tcPr>
          <w:p>
            <w:pPr>
              <w:pStyle w:val="TableContents"/>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Year ended</w:t>
              <w:br/>
              <w:t>December 31, 2020</w:t>
            </w:r>
          </w:p>
        </w:tc>
        <w:tc>
          <w:tcPr>
            <w:tcW w:w="8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Period</w:t>
              <w:br/>
              <w:t>from December 18,</w:t>
              <w:br/>
              <w:t>2019 (inception) to</w:t>
              <w:br/>
              <w:t>December 31, 2019</w:t>
            </w:r>
          </w:p>
        </w:tc>
        <w:tc>
          <w:tcPr>
            <w:tcW w:w="477"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0" w:type="dxa"/>
            <w:gridSpan w:val="3"/>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17" w:type="dxa"/>
            <w:gridSpan w:val="3"/>
            <w:tcBorders/>
            <w:shd w:fill="FFFFFF" w:val="clear"/>
            <w:vAlign w:val="center"/>
          </w:tcPr>
          <w:p>
            <w:pPr>
              <w:pStyle w:val="TableContents"/>
              <w:spacing w:before="0" w:after="283"/>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Operating Activities: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14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354"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(2,934,408</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(9,039</w:t>
            </w:r>
          </w:p>
        </w:tc>
        <w:tc>
          <w:tcPr>
            <w:tcW w:w="477"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loss to net cash used in operating activities: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14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354"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ind w:left="0" w:right="0" w:firstLine="400"/>
              <w:jc w:val="left"/>
              <w:rPr/>
            </w:pPr>
            <w:r>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 paid by related party under note agreement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70,123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9,039</w:t>
            </w:r>
          </w:p>
        </w:tc>
        <w:tc>
          <w:tcPr>
            <w:tcW w:w="477"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gain on investments held in Trust Account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(69,135</w:t>
            </w:r>
          </w:p>
        </w:tc>
        <w:tc>
          <w:tcPr>
            <w:tcW w:w="8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ind w:left="0" w:right="0" w:firstLine="400"/>
              <w:jc w:val="left"/>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(197,094</w:t>
            </w:r>
          </w:p>
        </w:tc>
        <w:tc>
          <w:tcPr>
            <w:tcW w:w="8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(51,821</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1,846,704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ind w:left="0" w:right="0" w:firstLine="402"/>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used in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(1,335,631</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14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354"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248"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Investing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deposited in Trust Account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(300,000,000</w:t>
            </w:r>
          </w:p>
        </w:tc>
        <w:tc>
          <w:tcPr>
            <w:tcW w:w="8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ind w:left="0" w:right="0" w:firstLine="402"/>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used in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(300,000,000</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14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354"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248"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Financing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received from initial public offering, gross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300,000,000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private placement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9,500,000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paid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(6,702,089</w:t>
            </w:r>
          </w:p>
        </w:tc>
        <w:tc>
          <w:tcPr>
            <w:tcW w:w="80"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Repayment of note payable from related party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(162,979</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CCEE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ind w:left="0" w:right="0" w:firstLine="402"/>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provided by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302,634,932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change in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1,299,301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jc w:val="left"/>
              <w:rPr/>
            </w:pPr>
            <w:r>
              <w:rPr/>
              <w:t> </w:t>
            </w:r>
          </w:p>
        </w:tc>
      </w:tr>
      <w:tr>
        <w:trPr/>
        <w:tc>
          <w:tcPr>
            <w:tcW w:w="6248" w:type="dxa"/>
            <w:tcBorders/>
            <w:shd w:fill="FFFFFF" w:val="clear"/>
            <w:vAlign w:val="center"/>
          </w:tcPr>
          <w:p>
            <w:pPr>
              <w:pStyle w:val="TableContents"/>
              <w:spacing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 beginning of the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75"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54" w:type="dxa"/>
            <w:tcBorders>
              <w:bottom w:val="single" w:sz="12" w:space="0" w:color="000000"/>
            </w:tcBorders>
            <w:shd w:fill="FFFFFF" w:val="clear"/>
            <w:tcMar>
              <w:bottom w:w="28" w:type="dxa"/>
            </w:tcM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 end of the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bottom w:val="double" w:sz="10" w:space="0" w:color="000000"/>
            </w:tcBorders>
            <w:shd w:fill="CCEEFF" w:val="clear"/>
            <w:tcMar>
              <w:bottom w:w="28" w:type="dxa"/>
            </w:tcM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475" w:type="dxa"/>
            <w:tcBorders>
              <w:bottom w:val="double" w:sz="10" w:space="0" w:color="000000"/>
            </w:tcBorders>
            <w:shd w:fill="CCEEFF" w:val="clear"/>
            <w:tcMar>
              <w:bottom w:w="28" w:type="dxa"/>
            </w:tcMar>
            <w:vAlign w:val="center"/>
          </w:tcPr>
          <w:p>
            <w:pPr>
              <w:pStyle w:val="TableContents"/>
              <w:spacing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1,299,301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bottom w:val="double" w:sz="10" w:space="0" w:color="000000"/>
            </w:tcBorders>
            <w:shd w:fill="CCEEFF" w:val="clear"/>
            <w:tcMar>
              <w:bottom w:w="28" w:type="dxa"/>
            </w:tcM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354" w:type="dxa"/>
            <w:tcBorders>
              <w:bottom w:val="double" w:sz="10" w:space="0" w:color="000000"/>
            </w:tcBorders>
            <w:shd w:fill="CCEEFF" w:val="clear"/>
            <w:tcMar>
              <w:bottom w:w="28" w:type="dxa"/>
            </w:tcMar>
            <w:vAlign w:val="center"/>
          </w:tcPr>
          <w:p>
            <w:pPr>
              <w:pStyle w:val="TableContents"/>
              <w:spacing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7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jc w:val="left"/>
              <w:rPr/>
            </w:pPr>
            <w:r>
              <w:rPr/>
              <w:t> </w:t>
            </w:r>
          </w:p>
        </w:tc>
        <w:tc>
          <w:tcPr>
            <w:tcW w:w="14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jc w:val="left"/>
              <w:rPr/>
            </w:pPr>
            <w:r>
              <w:rPr/>
              <w:t> </w:t>
            </w:r>
          </w:p>
        </w:tc>
        <w:tc>
          <w:tcPr>
            <w:tcW w:w="1354" w:type="dxa"/>
            <w:tcBorders/>
            <w:shd w:fill="FFFFFF" w:val="clear"/>
            <w:vAlign w:val="center"/>
          </w:tcPr>
          <w:p>
            <w:pPr>
              <w:pStyle w:val="TableContents"/>
              <w:spacing w:before="0" w:after="283"/>
              <w:jc w:val="right"/>
              <w:rPr/>
            </w:pPr>
            <w:r>
              <w:rPr/>
              <w:t> </w:t>
            </w:r>
          </w:p>
        </w:tc>
        <w:tc>
          <w:tcPr>
            <w:tcW w:w="477" w:type="dxa"/>
            <w:tcBorders/>
            <w:shd w:fill="FFFFFF" w:val="clear"/>
            <w:vAlign w:val="center"/>
          </w:tcPr>
          <w:p>
            <w:pPr>
              <w:pStyle w:val="TableContents"/>
              <w:spacing w:before="0" w:after="283"/>
              <w:jc w:val="left"/>
              <w:rPr/>
            </w:pPr>
            <w:r>
              <w:rPr/>
              <w:t> </w:t>
            </w:r>
          </w:p>
        </w:tc>
      </w:tr>
      <w:tr>
        <w:trPr/>
        <w:tc>
          <w:tcPr>
            <w:tcW w:w="6248" w:type="dxa"/>
            <w:tcBorders/>
            <w:shd w:fill="CCEEFF" w:val="clear"/>
            <w:vAlign w:val="center"/>
          </w:tcPr>
          <w:p>
            <w:pPr>
              <w:pStyle w:val="TableContents"/>
              <w:spacing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Supplemental disclosure of noncash investing and financing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jc w:val="left"/>
              <w:rPr/>
            </w:pPr>
            <w:r>
              <w:rPr/>
              <w:t> </w:t>
            </w:r>
          </w:p>
        </w:tc>
        <w:tc>
          <w:tcPr>
            <w:tcW w:w="14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left"/>
              <w:rPr/>
            </w:pPr>
            <w:r>
              <w:rPr/>
              <w:t> </w:t>
            </w:r>
          </w:p>
        </w:tc>
        <w:tc>
          <w:tcPr>
            <w:tcW w:w="1354" w:type="dxa"/>
            <w:tcBorders/>
            <w:shd w:fill="CCEEFF" w:val="clear"/>
            <w:vAlign w:val="center"/>
          </w:tcPr>
          <w:p>
            <w:pPr>
              <w:pStyle w:val="TableContents"/>
              <w:spacing w:before="0" w:after="283"/>
              <w:jc w:val="right"/>
              <w:rPr/>
            </w:pPr>
            <w:r>
              <w:rPr/>
              <w:t> </w:t>
            </w:r>
          </w:p>
        </w:tc>
        <w:tc>
          <w:tcPr>
            <w:tcW w:w="477" w:type="dxa"/>
            <w:tcBorders/>
            <w:shd w:fill="CCEEFF" w:val="clear"/>
            <w:vAlign w:val="center"/>
          </w:tcPr>
          <w:p>
            <w:pPr>
              <w:pStyle w:val="TableContents"/>
              <w:spacing w:before="0" w:after="283"/>
              <w:ind w:left="0" w:right="0" w:firstLine="400"/>
              <w:jc w:val="left"/>
              <w:rPr/>
            </w:pPr>
            <w:r>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included in 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23,060</w:t>
            </w:r>
          </w:p>
        </w:tc>
        <w:tc>
          <w:tcPr>
            <w:tcW w:w="477"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included in accrued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80,600</w:t>
            </w:r>
          </w:p>
        </w:tc>
        <w:tc>
          <w:tcPr>
            <w:tcW w:w="477"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funded with note payable to Sponsor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92,856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paid by Sponsor in exchange for issuance of Class B ordinary shares to Sponsor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15,961</w:t>
            </w:r>
          </w:p>
        </w:tc>
        <w:tc>
          <w:tcPr>
            <w:tcW w:w="477"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Use of retainer for offering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3,271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underwriting commissions in connection with the initial public offering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10,500,000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Initial value of Class A ordinary shares subject to possible redemption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5"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287,041,190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86" w:type="dxa"/>
            <w:tcBorders/>
            <w:shd w:fill="FFFF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FFFF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248"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value of Class A ordinary shares subject to possible redemption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5"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75"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(2,843,980</w:t>
            </w:r>
          </w:p>
        </w:tc>
        <w:tc>
          <w:tcPr>
            <w:tcW w:w="80"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86" w:type="dxa"/>
            <w:tcBorders/>
            <w:shd w:fill="CCEEFF" w:val="clear"/>
            <w:vAlign w:val="center"/>
          </w:tcPr>
          <w:p>
            <w:pPr>
              <w:pStyle w:val="TableContents"/>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54" w:type="dxa"/>
            <w:tcBorders/>
            <w:shd w:fill="CCEEFF" w:val="clear"/>
            <w:vAlign w:val="center"/>
          </w:tcPr>
          <w:p>
            <w:pPr>
              <w:pStyle w:val="TableContents"/>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77"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val="false"/>
          <w:i/>
          <w:caps w:val="false"/>
          <w:smallCaps w:val="false"/>
          <w:sz w:val="20"/>
        </w:rPr>
      </w:pPr>
      <w:r>
        <w:rPr>
          <w:rFonts w:ascii="Times New Roman;serif" w:hAnsi="Times New Roman;serif"/>
          <w:b w:val="false"/>
          <w:i/>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serif" w:hAnsi="Times New Roman;serif"/>
          <w:b/>
          <w:i w:val="false"/>
          <w:caps w:val="false"/>
          <w:smallCaps w:val="false"/>
          <w:sz w:val="20"/>
        </w:rPr>
      </w:pPr>
      <w:bookmarkStart w:id="33" w:name="b006"/>
      <w:bookmarkEnd w:id="33"/>
      <w:r>
        <w:rPr>
          <w:rFonts w:ascii="Times New Roman;serif" w:hAnsi="Times New Roman;serif"/>
          <w:b/>
          <w:i w:val="false"/>
          <w:caps w:val="false"/>
          <w:smallCaps w:val="false"/>
          <w:sz w:val="20"/>
        </w:rPr>
        <w:t>SUSTAINABLE OPPORTUNITIES ACQUISITION CORP.</w:t>
      </w:r>
    </w:p>
    <w:p>
      <w:pPr>
        <w:pStyle w:val="TextBody"/>
        <w:spacing w:before="0" w:after="0"/>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 — Description of Organization and Business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2020, the Company had not commenced any operations. All activity for the period from December 18, 2019 (inception) through December 31,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Sponsor, Initial Public Offering and Private Placement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Trust Account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Proposed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4, 2021, the Company entered into a Business Combination Agreement (the “</w:t>
      </w:r>
      <w:r>
        <w:rPr>
          <w:rFonts w:ascii="Times New Roman;serif" w:hAnsi="Times New Roman;serif"/>
          <w:b w:val="false"/>
          <w:i/>
          <w:caps w:val="false"/>
          <w:smallCaps w:val="false"/>
          <w:sz w:val="20"/>
        </w:rPr>
        <w:t>Business Combination Agreement</w:t>
      </w:r>
      <w:r>
        <w:rPr>
          <w:rFonts w:ascii="Times New Roman;serif" w:hAnsi="Times New Roman;serif"/>
          <w:b w:val="false"/>
          <w:i w:val="false"/>
          <w:caps w:val="false"/>
          <w:smallCaps w:val="false"/>
          <w:sz w:val="20"/>
        </w:rPr>
        <w:t>”), by and among the Company, 1291924 B.C. Unlimited Liability Company, an unlimited liability company existing under the laws of British Columbia, Canada (“</w:t>
      </w:r>
      <w:r>
        <w:rPr>
          <w:rFonts w:ascii="Times New Roman;serif" w:hAnsi="Times New Roman;serif"/>
          <w:b w:val="false"/>
          <w:i/>
          <w:caps w:val="false"/>
          <w:smallCaps w:val="false"/>
          <w:sz w:val="20"/>
        </w:rPr>
        <w:t>NewCo Sub</w:t>
      </w:r>
      <w:r>
        <w:rPr>
          <w:rFonts w:ascii="Times New Roman;serif" w:hAnsi="Times New Roman;serif"/>
          <w:b w:val="false"/>
          <w:i w:val="false"/>
          <w:caps w:val="false"/>
          <w:smallCaps w:val="false"/>
          <w:sz w:val="20"/>
        </w:rPr>
        <w:t>”), and DeepGreen Metals Inc., a company existing under the laws of British Columbia, Canada (the “</w:t>
      </w:r>
      <w:r>
        <w:rPr>
          <w:rFonts w:ascii="Times New Roman;serif" w:hAnsi="Times New Roman;serif"/>
          <w:b w:val="false"/>
          <w:i/>
          <w:caps w:val="false"/>
          <w:smallCaps w:val="false"/>
          <w:sz w:val="20"/>
        </w:rPr>
        <w:t>Company</w:t>
      </w:r>
      <w:r>
        <w:rPr>
          <w:rFonts w:ascii="Times New Roman;serif" w:hAnsi="Times New Roman;serif"/>
          <w:b w:val="false"/>
          <w:i w:val="false"/>
          <w:caps w:val="false"/>
          <w:smallCaps w:val="false"/>
          <w:sz w:val="20"/>
        </w:rPr>
        <w:t>” or “</w:t>
      </w:r>
      <w:r>
        <w:rPr>
          <w:rFonts w:ascii="Times New Roman;serif" w:hAnsi="Times New Roman;serif"/>
          <w:b w:val="false"/>
          <w:i/>
          <w:caps w:val="false"/>
          <w:smallCaps w:val="false"/>
          <w:sz w:val="20"/>
        </w:rPr>
        <w:t>DeepGreen</w:t>
      </w:r>
      <w:r>
        <w:rPr>
          <w:rFonts w:ascii="Times New Roman;serif" w:hAnsi="Times New Roman;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Business Combination Agreement, the Company will migrate to and be continued as a company in British Columbia, Canada (the “</w:t>
      </w:r>
      <w:r>
        <w:rPr>
          <w:rFonts w:ascii="Times New Roman;serif" w:hAnsi="Times New Roman;serif"/>
          <w:b w:val="false"/>
          <w:i/>
          <w:caps w:val="false"/>
          <w:smallCaps w:val="false"/>
          <w:sz w:val="20"/>
        </w:rPr>
        <w:t>SOAC Continuance</w:t>
      </w:r>
      <w:r>
        <w:rPr>
          <w:rFonts w:ascii="Times New Roman;serif" w:hAnsi="Times New Roman;serif"/>
          <w:b w:val="false"/>
          <w:i w:val="false"/>
          <w:caps w:val="false"/>
          <w:smallCaps w:val="false"/>
          <w:sz w:val="20"/>
        </w:rPr>
        <w:t>”). Following the SOAC Continuance, pursuant to a plan of arrangement (the “</w:t>
      </w:r>
      <w:r>
        <w:rPr>
          <w:rFonts w:ascii="Times New Roman;serif" w:hAnsi="Times New Roman;serif"/>
          <w:b w:val="false"/>
          <w:i/>
          <w:caps w:val="false"/>
          <w:smallCaps w:val="false"/>
          <w:sz w:val="20"/>
        </w:rPr>
        <w:t>Plan of Arrangement</w:t>
      </w:r>
      <w:r>
        <w:rPr>
          <w:rFonts w:ascii="Times New Roman;serif" w:hAnsi="Times New Roman;serif"/>
          <w:b w:val="false"/>
          <w:i w:val="false"/>
          <w:caps w:val="false"/>
          <w:smallCaps w:val="false"/>
          <w:sz w:val="20"/>
        </w:rPr>
        <w:t>”) under the </w:t>
      </w:r>
      <w:r>
        <w:rPr>
          <w:rFonts w:ascii="Times New Roman;serif" w:hAnsi="Times New Roman;serif"/>
          <w:b w:val="false"/>
          <w:i/>
          <w:caps w:val="false"/>
          <w:smallCaps w:val="false"/>
          <w:sz w:val="20"/>
        </w:rPr>
        <w:t>Business Corporations Act</w:t>
      </w:r>
      <w:r>
        <w:rPr>
          <w:rFonts w:ascii="Times New Roman;serif" w:hAnsi="Times New Roman;serif"/>
          <w:b w:val="false"/>
          <w:i w:val="false"/>
          <w:caps w:val="false"/>
          <w:smallCaps w:val="false"/>
          <w:sz w:val="20"/>
        </w:rPr>
        <w:t> (British Columbia), (i) the Company will acquire all of the issued and outstanding shares in the capital of DeepGreen (the “</w:t>
      </w:r>
      <w:r>
        <w:rPr>
          <w:rFonts w:ascii="Times New Roman;serif" w:hAnsi="Times New Roman;serif"/>
          <w:b w:val="false"/>
          <w:i/>
          <w:caps w:val="false"/>
          <w:smallCaps w:val="false"/>
          <w:sz w:val="20"/>
        </w:rPr>
        <w:t>DeepGreen Shares</w:t>
      </w:r>
      <w:r>
        <w:rPr>
          <w:rFonts w:ascii="Times New Roman;serif" w:hAnsi="Times New Roman;serif"/>
          <w:b w:val="false"/>
          <w:i w:val="false"/>
          <w:caps w:val="false"/>
          <w:smallCaps w:val="false"/>
          <w:sz w:val="20"/>
        </w:rPr>
        <w:t>”) from DeepGreen shareholders in exchange for the Company’s common shares (as defined below) and Company Earnout Shares (as defined in Note 8) (the “</w:t>
      </w:r>
      <w:r>
        <w:rPr>
          <w:rFonts w:ascii="Times New Roman;serif" w:hAnsi="Times New Roman;serif"/>
          <w:b w:val="false"/>
          <w:i/>
          <w:caps w:val="false"/>
          <w:smallCaps w:val="false"/>
          <w:sz w:val="20"/>
        </w:rPr>
        <w:t>Share Exchange</w:t>
      </w:r>
      <w:r>
        <w:rPr>
          <w:rFonts w:ascii="Times New Roman;serif" w:hAnsi="Times New Roman;serif"/>
          <w:b w:val="false"/>
          <w:i w:val="false"/>
          <w:caps w:val="false"/>
          <w:smallCaps w:val="false"/>
          <w:sz w:val="20"/>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See Note 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Going Concern Consideration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2020, the Company had approximately $1.3 million in cash and a working capital deficit of approximately $372,000.</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Basis of Presentation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financial statements are presented in U.S. dollars in conformity with accounting principles generally accepted in the United States of America (“U.S. GAAP”) for financial information and pursuant to the rules and regulations of the SEC.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Emerging Growth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other public companies difficult or impossible because of the potential differences in accounting standards used.</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 Summary of Significant Accounting Policies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Cash and Cash Equivalents</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considers all short-term investments with an original maturity of three months or less when purchased to be cash equivalents. The Company had no cash equivalents as of December 31, 2020 and 2019, respectively.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Investments Held in Trust Account</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Fair Value Measurement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spacing w:before="0" w:after="0"/>
        <w:ind w:left="0" w:right="0" w:firstLine="450"/>
        <w:jc w:val="both"/>
        <w:rPr>
          <w:caps w:val="false"/>
          <w:smallCaps w:val="false"/>
        </w:rPr>
      </w:pPr>
      <w:r>
        <w:rPr>
          <w:caps w:val="false"/>
          <w:smallCaps w:val="false"/>
        </w:rPr>
        <w:t> </w:t>
      </w:r>
    </w:p>
    <w:tbl>
      <w:tblPr>
        <w:tblW w:w="8575" w:type="dxa"/>
        <w:jc w:val="left"/>
        <w:tblInd w:w="0" w:type="dxa"/>
        <w:tblCellMar>
          <w:top w:w="0" w:type="dxa"/>
          <w:left w:w="0" w:type="dxa"/>
          <w:bottom w:w="0" w:type="dxa"/>
          <w:right w:w="0" w:type="dxa"/>
        </w:tblCellMar>
      </w:tblPr>
      <w:tblGrid>
        <w:gridCol w:w="75"/>
        <w:gridCol w:w="170"/>
        <w:gridCol w:w="83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8330" w:type="dxa"/>
            <w:tcBorders/>
            <w:shd w:fill="auto" w:val="clear"/>
            <w:vAlign w:val="center"/>
          </w:tcPr>
          <w:p>
            <w:pPr>
              <w:pStyle w:val="TableContents"/>
              <w:spacing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defined as observable inputs such as quoted prices for identical instruments in active markets;</w:t>
            </w:r>
          </w:p>
        </w:tc>
      </w:tr>
    </w:tbl>
    <w:p>
      <w:pPr>
        <w:pStyle w:val="TextBody"/>
        <w:spacing w:before="0" w:after="0"/>
        <w:ind w:left="0" w:right="0" w:firstLine="45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spacing w:before="0" w:after="0"/>
        <w:ind w:left="0" w:right="0" w:firstLine="45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Fair Value of Financial Instruments</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2020 and 2019, the carrying values of cash, prepaid expenses, and accounts payable approximate their fair values due to the short-term nature of the instruments. As of December 31, 2020, the Company’s portfolio of investments held in Trust Account is comprised entirely of investments in money market funds that invest in U.S. government securities. </w:t>
      </w:r>
    </w:p>
    <w:p>
      <w:pPr>
        <w:pStyle w:val="TextBody"/>
        <w:spacing w:before="0" w:after="0"/>
        <w:ind w:left="0" w:right="0" w:firstLine="45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Offering Costs Associated with the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Offering costs consist of legal, accounting, underwriting fees and other costs that were directly related to the Initial Public Offering and that were charged to additional paid-in capital upon the completion of the Initial Public Offering on May 8,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Class A Ordinary Shares subject to possible redemption</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December 31, 2020, 28,419,721 Class A ordinary shares subject to possible redemption were presented at redemption value as temporary equity, outside of the shareholders’ equity section of the Company’s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Net Loss Per Ordinary Share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applies the two-class method in calculating earnings per share. Net loss per share is computed by dividing net loss by the weighted-average number of ordinary shares outstanding during the periods. An aggregate of 28,419,721 and 0 Class A ordinary shares subject to possible redemption at December 31, 2020 and 2019, respectively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Reconciliation of Net Loss per Ordinary Share</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net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715"/>
        <w:gridCol w:w="60"/>
        <w:gridCol w:w="241"/>
        <w:gridCol w:w="1894"/>
        <w:gridCol w:w="95"/>
        <w:gridCol w:w="60"/>
        <w:gridCol w:w="253"/>
        <w:gridCol w:w="1777"/>
        <w:gridCol w:w="110"/>
      </w:tblGrid>
      <w:tr>
        <w:trPr/>
        <w:tc>
          <w:tcPr>
            <w:tcW w:w="5715" w:type="dxa"/>
            <w:tcBorders/>
            <w:shd w:fill="auto" w:val="clear"/>
            <w:vAlign w:val="center"/>
          </w:tcPr>
          <w:p>
            <w:pPr>
              <w:pStyle w:val="TableContents"/>
              <w:spacing w:before="0" w:after="283"/>
              <w:ind w:left="0" w:right="0" w:hanging="200"/>
              <w:rPr/>
            </w:pPr>
            <w:r>
              <w:rPr/>
              <w:t> </w:t>
            </w:r>
          </w:p>
        </w:tc>
        <w:tc>
          <w:tcPr>
            <w:tcW w:w="60" w:type="dxa"/>
            <w:tcBorders/>
            <w:shd w:fill="auto" w:val="clear"/>
            <w:vAlign w:val="center"/>
          </w:tcPr>
          <w:p>
            <w:pPr>
              <w:pStyle w:val="TableContents"/>
              <w:spacing w:before="0" w:after="283"/>
              <w:rPr/>
            </w:pPr>
            <w:r>
              <w:rPr/>
              <w:t> </w:t>
            </w:r>
          </w:p>
        </w:tc>
        <w:tc>
          <w:tcPr>
            <w:tcW w:w="21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For the Year Ended </w:t>
              <w:br/>
              <w:t>December 31, 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For the Period </w:t>
              <w:br/>
              <w:t xml:space="preserve">from December 18, </w:t>
              <w:br/>
              <w:t xml:space="preserve">2019 (inception) to </w:t>
              <w:br/>
              <w:t>December 31, 2019</w:t>
            </w:r>
          </w:p>
        </w:tc>
        <w:tc>
          <w:tcPr>
            <w:tcW w:w="110" w:type="dxa"/>
            <w:tcBorders/>
            <w:shd w:fill="auto" w:val="clear"/>
            <w:vAlign w:val="center"/>
          </w:tcPr>
          <w:p>
            <w:pPr>
              <w:pStyle w:val="TableContents"/>
              <w:spacing w:before="0" w:after="283"/>
              <w:ind w:left="0" w:right="0" w:hanging="200"/>
              <w:rPr/>
            </w:pPr>
            <w:r>
              <w:rPr/>
              <w:t> </w:t>
            </w:r>
          </w:p>
        </w:tc>
      </w:tr>
      <w:tr>
        <w:trPr/>
        <w:tc>
          <w:tcPr>
            <w:tcW w:w="5715" w:type="dxa"/>
            <w:tcBorders/>
            <w:shd w:fill="auto" w:val="clear"/>
            <w:vAlign w:val="center"/>
          </w:tcPr>
          <w:p>
            <w:pPr>
              <w:pStyle w:val="TableContents"/>
              <w:spacing w:before="0" w:after="283"/>
              <w:jc w:val="left"/>
              <w:rPr>
                <w:i/>
              </w:rPr>
            </w:pPr>
            <w:r>
              <w:rPr>
                <w:i/>
              </w:rPr>
              <w:t>Class A Ordinary Shares subject to possible redemption</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894"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5715" w:type="dxa"/>
            <w:tcBorders/>
            <w:shd w:fill="auto" w:val="clear"/>
            <w:vAlign w:val="center"/>
          </w:tcPr>
          <w:p>
            <w:pPr>
              <w:pStyle w:val="TableContents"/>
              <w:spacing w:before="0" w:after="283"/>
              <w:jc w:val="left"/>
              <w:rPr/>
            </w:pPr>
            <w:r>
              <w:rPr/>
              <w:t>Numerator: Earnings allocable to Ordinary Shares subject to possible redemption</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 </w:t>
            </w:r>
          </w:p>
        </w:tc>
        <w:tc>
          <w:tcPr>
            <w:tcW w:w="1894"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Income from investments held in Trust Account</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w:t>
            </w:r>
          </w:p>
        </w:tc>
        <w:tc>
          <w:tcPr>
            <w:tcW w:w="1894" w:type="dxa"/>
            <w:tcBorders/>
            <w:shd w:fill="CCEEFF" w:val="clear"/>
            <w:vAlign w:val="center"/>
          </w:tcPr>
          <w:p>
            <w:pPr>
              <w:pStyle w:val="TableContents"/>
              <w:spacing w:before="0" w:after="283"/>
              <w:jc w:val="right"/>
              <w:rPr/>
            </w:pPr>
            <w:r>
              <w:rPr/>
              <w:t>65,492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w:t>
            </w:r>
          </w:p>
        </w:tc>
        <w:tc>
          <w:tcPr>
            <w:tcW w:w="1777"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Less: Company’s portion available to be withdrawn to pay taxes</w:t>
            </w:r>
          </w:p>
        </w:tc>
        <w:tc>
          <w:tcPr>
            <w:tcW w:w="60" w:type="dxa"/>
            <w:tcBorders/>
            <w:shd w:fill="FFFFFF" w:val="clear"/>
            <w:vAlign w:val="center"/>
          </w:tcPr>
          <w:p>
            <w:pPr>
              <w:pStyle w:val="TableContents"/>
              <w:spacing w:before="0" w:after="283"/>
              <w:rPr/>
            </w:pPr>
            <w:r>
              <w:rPr/>
              <w:t> </w:t>
            </w:r>
          </w:p>
        </w:tc>
        <w:tc>
          <w:tcPr>
            <w:tcW w:w="24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894"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Net income attributable</w:t>
            </w:r>
          </w:p>
        </w:tc>
        <w:tc>
          <w:tcPr>
            <w:tcW w:w="60" w:type="dxa"/>
            <w:tcBorders/>
            <w:shd w:fill="CCEEFF" w:val="clear"/>
            <w:vAlign w:val="center"/>
          </w:tcPr>
          <w:p>
            <w:pPr>
              <w:pStyle w:val="TableContents"/>
              <w:spacing w:before="0" w:after="283"/>
              <w:rPr/>
            </w:pPr>
            <w:r>
              <w:rPr/>
              <w:t> </w:t>
            </w:r>
          </w:p>
        </w:tc>
        <w:tc>
          <w:tcPr>
            <w:tcW w:w="24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894" w:type="dxa"/>
            <w:tcBorders>
              <w:bottom w:val="double" w:sz="10" w:space="0" w:color="000000"/>
            </w:tcBorders>
            <w:shd w:fill="CCEEFF" w:val="clear"/>
            <w:tcMar>
              <w:bottom w:w="28" w:type="dxa"/>
            </w:tcMar>
            <w:vAlign w:val="center"/>
          </w:tcPr>
          <w:p>
            <w:pPr>
              <w:pStyle w:val="TableContents"/>
              <w:spacing w:before="0" w:after="283"/>
              <w:jc w:val="right"/>
              <w:rPr>
                <w:b/>
              </w:rPr>
            </w:pPr>
            <w:r>
              <w:rPr>
                <w:b/>
              </w:rPr>
              <w:t>65,492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777" w:type="dxa"/>
            <w:tcBorders>
              <w:bottom w:val="double" w:sz="10" w:space="0" w:color="000000"/>
            </w:tcBorders>
            <w:shd w:fill="CCEEFF" w:val="clear"/>
            <w:tcMar>
              <w:bottom w:w="28" w:type="dxa"/>
            </w:tcMar>
            <w:vAlign w:val="center"/>
          </w:tcPr>
          <w:p>
            <w:pPr>
              <w:pStyle w:val="TableContents"/>
              <w:spacing w:before="0" w:after="283"/>
              <w:jc w:val="right"/>
              <w:rPr>
                <w:b/>
              </w:rPr>
            </w:pPr>
            <w:r>
              <w:rPr>
                <w:b/>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Denominator: Weighted average Class A ordinary shares subject to possible redemption</w:t>
            </w:r>
          </w:p>
        </w:tc>
        <w:tc>
          <w:tcPr>
            <w:tcW w:w="60"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jc w:val="left"/>
              <w:rPr/>
            </w:pPr>
            <w:r>
              <w:rPr/>
              <w:t> </w:t>
            </w:r>
          </w:p>
        </w:tc>
        <w:tc>
          <w:tcPr>
            <w:tcW w:w="189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3" w:type="dxa"/>
            <w:tcBorders/>
            <w:shd w:fill="FFFFFF" w:val="clear"/>
            <w:vAlign w:val="center"/>
          </w:tcPr>
          <w:p>
            <w:pPr>
              <w:pStyle w:val="TableContents"/>
              <w:spacing w:before="0" w:after="283"/>
              <w:jc w:val="left"/>
              <w:rPr/>
            </w:pPr>
            <w:r>
              <w:rPr/>
              <w:t> </w:t>
            </w:r>
          </w:p>
        </w:tc>
        <w:tc>
          <w:tcPr>
            <w:tcW w:w="1777"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Weighted average shares outstanding of shares subject to redemption, basic and diluted</w:t>
            </w:r>
          </w:p>
        </w:tc>
        <w:tc>
          <w:tcPr>
            <w:tcW w:w="60" w:type="dxa"/>
            <w:tcBorders/>
            <w:shd w:fill="CCEEFF" w:val="clear"/>
            <w:vAlign w:val="center"/>
          </w:tcPr>
          <w:p>
            <w:pPr>
              <w:pStyle w:val="TableContents"/>
              <w:spacing w:before="0" w:after="283"/>
              <w:rPr/>
            </w:pPr>
            <w:r>
              <w:rPr/>
              <w:t> </w:t>
            </w:r>
          </w:p>
        </w:tc>
        <w:tc>
          <w:tcPr>
            <w:tcW w:w="241"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894" w:type="dxa"/>
            <w:tcBorders>
              <w:bottom w:val="double" w:sz="10" w:space="0" w:color="000000"/>
            </w:tcBorders>
            <w:shd w:fill="CCEEFF" w:val="clear"/>
            <w:tcMar>
              <w:bottom w:w="28" w:type="dxa"/>
            </w:tcMar>
            <w:vAlign w:val="center"/>
          </w:tcPr>
          <w:p>
            <w:pPr>
              <w:pStyle w:val="TableContents"/>
              <w:spacing w:before="0" w:after="283"/>
              <w:jc w:val="right"/>
              <w:rPr>
                <w:b/>
              </w:rPr>
            </w:pPr>
            <w:r>
              <w:rPr>
                <w:b/>
              </w:rPr>
              <w:t>28,635,732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777" w:type="dxa"/>
            <w:tcBorders>
              <w:bottom w:val="double" w:sz="10" w:space="0" w:color="000000"/>
            </w:tcBorders>
            <w:shd w:fill="CCEEFF" w:val="clear"/>
            <w:tcMar>
              <w:bottom w:w="28" w:type="dxa"/>
            </w:tcMar>
            <w:vAlign w:val="center"/>
          </w:tcPr>
          <w:p>
            <w:pPr>
              <w:pStyle w:val="TableContents"/>
              <w:spacing w:before="0" w:after="283"/>
              <w:jc w:val="right"/>
              <w:rPr>
                <w:b/>
              </w:rPr>
            </w:pPr>
            <w:r>
              <w:rPr>
                <w:b/>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Basic and diluted net income per share, shares subject to redemption</w:t>
            </w:r>
          </w:p>
        </w:tc>
        <w:tc>
          <w:tcPr>
            <w:tcW w:w="60" w:type="dxa"/>
            <w:tcBorders/>
            <w:shd w:fill="FFFFFF" w:val="clear"/>
            <w:vAlign w:val="center"/>
          </w:tcPr>
          <w:p>
            <w:pPr>
              <w:pStyle w:val="TableContents"/>
              <w:spacing w:before="0" w:after="283"/>
              <w:rPr/>
            </w:pPr>
            <w:r>
              <w:rPr/>
              <w:t> </w:t>
            </w:r>
          </w:p>
        </w:tc>
        <w:tc>
          <w:tcPr>
            <w:tcW w:w="241"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894" w:type="dxa"/>
            <w:tcBorders>
              <w:bottom w:val="double" w:sz="10" w:space="0" w:color="000000"/>
            </w:tcBorders>
            <w:shd w:fill="FFFFFF" w:val="clear"/>
            <w:tcMar>
              <w:bottom w:w="28" w:type="dxa"/>
            </w:tcMar>
            <w:vAlign w:val="center"/>
          </w:tcPr>
          <w:p>
            <w:pPr>
              <w:pStyle w:val="TableContents"/>
              <w:spacing w:before="0" w:after="283"/>
              <w:jc w:val="right"/>
              <w:rPr>
                <w:b/>
              </w:rPr>
            </w:pPr>
            <w:r>
              <w:rPr>
                <w:b/>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3"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1777" w:type="dxa"/>
            <w:tcBorders>
              <w:bottom w:val="double" w:sz="10" w:space="0" w:color="000000"/>
            </w:tcBorders>
            <w:shd w:fill="FFFFFF" w:val="clear"/>
            <w:tcMar>
              <w:bottom w:w="28" w:type="dxa"/>
            </w:tcMar>
            <w:vAlign w:val="center"/>
          </w:tcPr>
          <w:p>
            <w:pPr>
              <w:pStyle w:val="TableContents"/>
              <w:spacing w:before="0" w:after="283"/>
              <w:jc w:val="right"/>
              <w:rPr>
                <w:b/>
              </w:rPr>
            </w:pPr>
            <w:r>
              <w:rPr>
                <w:b/>
              </w:rPr>
              <w:t>-</w:t>
            </w:r>
          </w:p>
        </w:tc>
        <w:tc>
          <w:tcPr>
            <w:tcW w:w="110" w:type="dxa"/>
            <w:tcBorders/>
            <w:shd w:fill="FFFFFF"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 </w:t>
            </w:r>
          </w:p>
        </w:tc>
        <w:tc>
          <w:tcPr>
            <w:tcW w:w="189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i/>
              </w:rPr>
            </w:pPr>
            <w:r>
              <w:rPr>
                <w:i/>
              </w:rPr>
              <w:t>Non-Redeemable Ordinary Shares</w:t>
            </w:r>
          </w:p>
        </w:tc>
        <w:tc>
          <w:tcPr>
            <w:tcW w:w="60"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jc w:val="left"/>
              <w:rPr/>
            </w:pPr>
            <w:r>
              <w:rPr/>
              <w:t> </w:t>
            </w:r>
          </w:p>
        </w:tc>
        <w:tc>
          <w:tcPr>
            <w:tcW w:w="1894"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3" w:type="dxa"/>
            <w:tcBorders/>
            <w:shd w:fill="FFFFFF" w:val="clear"/>
            <w:vAlign w:val="center"/>
          </w:tcPr>
          <w:p>
            <w:pPr>
              <w:pStyle w:val="TableContents"/>
              <w:spacing w:before="0" w:after="283"/>
              <w:jc w:val="left"/>
              <w:rPr/>
            </w:pPr>
            <w:r>
              <w:rPr/>
              <w:t> </w:t>
            </w:r>
          </w:p>
        </w:tc>
        <w:tc>
          <w:tcPr>
            <w:tcW w:w="1777"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Numerator: Net Loss minus Net Earnings attributable to redeemable shares</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 </w:t>
            </w:r>
          </w:p>
        </w:tc>
        <w:tc>
          <w:tcPr>
            <w:tcW w:w="189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jc w:val="left"/>
              <w:rPr/>
            </w:pPr>
            <w:r>
              <w:rPr/>
              <w:t>$</w:t>
            </w:r>
          </w:p>
        </w:tc>
        <w:tc>
          <w:tcPr>
            <w:tcW w:w="1894" w:type="dxa"/>
            <w:tcBorders/>
            <w:shd w:fill="FFFFFF" w:val="clear"/>
            <w:vAlign w:val="center"/>
          </w:tcPr>
          <w:p>
            <w:pPr>
              <w:pStyle w:val="TableContents"/>
              <w:spacing w:before="0" w:after="283"/>
              <w:jc w:val="right"/>
              <w:rPr/>
            </w:pPr>
            <w:r>
              <w:rPr/>
              <w:t>(2,934,408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53" w:type="dxa"/>
            <w:tcBorders/>
            <w:shd w:fill="FFFFFF" w:val="clear"/>
            <w:vAlign w:val="center"/>
          </w:tcPr>
          <w:p>
            <w:pPr>
              <w:pStyle w:val="TableContents"/>
              <w:spacing w:before="0" w:after="283"/>
              <w:jc w:val="left"/>
              <w:rPr/>
            </w:pPr>
            <w:r>
              <w:rPr/>
              <w:t>$</w:t>
            </w:r>
          </w:p>
        </w:tc>
        <w:tc>
          <w:tcPr>
            <w:tcW w:w="1777" w:type="dxa"/>
            <w:tcBorders/>
            <w:shd w:fill="FFFFFF" w:val="clear"/>
            <w:vAlign w:val="center"/>
          </w:tcPr>
          <w:p>
            <w:pPr>
              <w:pStyle w:val="TableContents"/>
              <w:spacing w:before="0" w:after="283"/>
              <w:jc w:val="right"/>
              <w:rPr/>
            </w:pPr>
            <w:r>
              <w:rPr/>
              <w:t>(9,039</w:t>
            </w:r>
          </w:p>
        </w:tc>
        <w:tc>
          <w:tcPr>
            <w:tcW w:w="110" w:type="dxa"/>
            <w:tcBorders/>
            <w:shd w:fill="FFFFFF" w:val="clear"/>
            <w:vAlign w:val="center"/>
          </w:tcPr>
          <w:p>
            <w:pPr>
              <w:pStyle w:val="TableContents"/>
              <w:spacing w:before="0" w:after="283"/>
              <w:ind w:left="0" w:right="0" w:hanging="200"/>
              <w:jc w:val="left"/>
              <w:rPr/>
            </w:pPr>
            <w:r>
              <w:rPr/>
              <w:t>)</w:t>
            </w:r>
          </w:p>
        </w:tc>
      </w:tr>
      <w:tr>
        <w:trPr/>
        <w:tc>
          <w:tcPr>
            <w:tcW w:w="5715" w:type="dxa"/>
            <w:tcBorders/>
            <w:shd w:fill="CCEEFF" w:val="clear"/>
            <w:vAlign w:val="center"/>
          </w:tcPr>
          <w:p>
            <w:pPr>
              <w:pStyle w:val="TableContents"/>
              <w:spacing w:before="0" w:after="283"/>
              <w:jc w:val="left"/>
              <w:rPr/>
            </w:pPr>
            <w:r>
              <w:rPr/>
              <w:t>Less: Income attributable to Class A ordinary shares subject to possible redemption</w:t>
            </w:r>
          </w:p>
        </w:tc>
        <w:tc>
          <w:tcPr>
            <w:tcW w:w="60" w:type="dxa"/>
            <w:tcBorders/>
            <w:shd w:fill="CCEEFF" w:val="clear"/>
            <w:vAlign w:val="center"/>
          </w:tcPr>
          <w:p>
            <w:pPr>
              <w:pStyle w:val="TableContents"/>
              <w:spacing w:before="0" w:after="283"/>
              <w:rPr/>
            </w:pPr>
            <w:r>
              <w:rPr/>
              <w:t> </w:t>
            </w:r>
          </w:p>
        </w:tc>
        <w:tc>
          <w:tcPr>
            <w:tcW w:w="2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894" w:type="dxa"/>
            <w:tcBorders>
              <w:bottom w:val="single" w:sz="12" w:space="0" w:color="000000"/>
            </w:tcBorders>
            <w:shd w:fill="CCEEFF" w:val="clear"/>
            <w:tcMar>
              <w:bottom w:w="28" w:type="dxa"/>
            </w:tcMar>
            <w:vAlign w:val="center"/>
          </w:tcPr>
          <w:p>
            <w:pPr>
              <w:pStyle w:val="TableContents"/>
              <w:spacing w:before="0" w:after="283"/>
              <w:jc w:val="right"/>
              <w:rPr/>
            </w:pPr>
            <w:r>
              <w:rPr/>
              <w:t>(65,492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Non-redeemable net loss</w:t>
            </w:r>
          </w:p>
        </w:tc>
        <w:tc>
          <w:tcPr>
            <w:tcW w:w="60" w:type="dxa"/>
            <w:tcBorders/>
            <w:shd w:fill="FFFFFF" w:val="clear"/>
            <w:vAlign w:val="center"/>
          </w:tcPr>
          <w:p>
            <w:pPr>
              <w:pStyle w:val="TableContents"/>
              <w:spacing w:before="0" w:after="283"/>
              <w:rPr/>
            </w:pPr>
            <w:r>
              <w:rPr/>
              <w:t> </w:t>
            </w:r>
          </w:p>
        </w:tc>
        <w:tc>
          <w:tcPr>
            <w:tcW w:w="241"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894" w:type="dxa"/>
            <w:tcBorders>
              <w:bottom w:val="double" w:sz="10" w:space="0" w:color="000000"/>
            </w:tcBorders>
            <w:shd w:fill="FFFFFF" w:val="clear"/>
            <w:tcMar>
              <w:bottom w:w="28" w:type="dxa"/>
            </w:tcMar>
            <w:vAlign w:val="center"/>
          </w:tcPr>
          <w:p>
            <w:pPr>
              <w:pStyle w:val="TableContents"/>
              <w:spacing w:before="0" w:after="283"/>
              <w:jc w:val="right"/>
              <w:rPr/>
            </w:pPr>
            <w:r>
              <w:rPr/>
              <w:t>(2,999,900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53"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777" w:type="dxa"/>
            <w:tcBorders>
              <w:bottom w:val="double" w:sz="10" w:space="0" w:color="000000"/>
            </w:tcBorders>
            <w:shd w:fill="FFFFFF" w:val="clear"/>
            <w:tcMar>
              <w:bottom w:w="28" w:type="dxa"/>
            </w:tcMar>
            <w:vAlign w:val="center"/>
          </w:tcPr>
          <w:p>
            <w:pPr>
              <w:pStyle w:val="TableContents"/>
              <w:spacing w:before="0" w:after="283"/>
              <w:jc w:val="right"/>
              <w:rPr/>
            </w:pPr>
            <w:r>
              <w:rPr/>
              <w:t>(9,039</w:t>
            </w:r>
          </w:p>
        </w:tc>
        <w:tc>
          <w:tcPr>
            <w:tcW w:w="110" w:type="dxa"/>
            <w:tcBorders/>
            <w:shd w:fill="FFFFFF" w:val="clear"/>
            <w:vAlign w:val="center"/>
          </w:tcPr>
          <w:p>
            <w:pPr>
              <w:pStyle w:val="TableContents"/>
              <w:spacing w:before="0" w:after="283"/>
              <w:ind w:left="0" w:right="0" w:hanging="200"/>
              <w:jc w:val="left"/>
              <w:rPr/>
            </w:pPr>
            <w:r>
              <w:rPr/>
              <w:t>)</w:t>
            </w:r>
          </w:p>
        </w:tc>
      </w:tr>
      <w:tr>
        <w:trPr/>
        <w:tc>
          <w:tcPr>
            <w:tcW w:w="5715" w:type="dxa"/>
            <w:tcBorders/>
            <w:shd w:fill="CCEEFF" w:val="clear"/>
            <w:vAlign w:val="center"/>
          </w:tcPr>
          <w:p>
            <w:pPr>
              <w:pStyle w:val="TableContents"/>
              <w:spacing w:before="0" w:after="283"/>
              <w:rPr/>
            </w:pPr>
            <w:r>
              <w:rPr/>
              <w:t>Denominator: weighted average Non-redeemable ordinary shares</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jc w:val="left"/>
              <w:rPr/>
            </w:pPr>
            <w:r>
              <w:rPr/>
              <w:t> </w:t>
            </w:r>
          </w:p>
        </w:tc>
        <w:tc>
          <w:tcPr>
            <w:tcW w:w="1894"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200"/>
              <w:jc w:val="left"/>
              <w:rPr/>
            </w:pPr>
            <w:r>
              <w:rPr/>
              <w:t> </w:t>
            </w:r>
          </w:p>
        </w:tc>
      </w:tr>
      <w:tr>
        <w:trPr/>
        <w:tc>
          <w:tcPr>
            <w:tcW w:w="5715" w:type="dxa"/>
            <w:tcBorders/>
            <w:shd w:fill="FFFFFF" w:val="clear"/>
            <w:vAlign w:val="center"/>
          </w:tcPr>
          <w:p>
            <w:pPr>
              <w:pStyle w:val="TableContents"/>
              <w:spacing w:before="0" w:after="283"/>
              <w:jc w:val="left"/>
              <w:rPr/>
            </w:pPr>
            <w:r>
              <w:rPr/>
              <w:t>Weighted average ordinary shares outstanding, basic and diluted</w:t>
            </w:r>
          </w:p>
        </w:tc>
        <w:tc>
          <w:tcPr>
            <w:tcW w:w="60" w:type="dxa"/>
            <w:tcBorders/>
            <w:shd w:fill="FFFFFF" w:val="clear"/>
            <w:vAlign w:val="center"/>
          </w:tcPr>
          <w:p>
            <w:pPr>
              <w:pStyle w:val="TableContents"/>
              <w:spacing w:before="0" w:after="283"/>
              <w:rPr/>
            </w:pPr>
            <w:r>
              <w:rPr/>
              <w:t> </w:t>
            </w:r>
          </w:p>
        </w:tc>
        <w:tc>
          <w:tcPr>
            <w:tcW w:w="241"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894" w:type="dxa"/>
            <w:tcBorders>
              <w:bottom w:val="double" w:sz="10" w:space="0" w:color="000000"/>
            </w:tcBorders>
            <w:shd w:fill="FFFFFF" w:val="clear"/>
            <w:tcMar>
              <w:bottom w:w="28" w:type="dxa"/>
            </w:tcMar>
            <w:vAlign w:val="center"/>
          </w:tcPr>
          <w:p>
            <w:pPr>
              <w:pStyle w:val="TableContents"/>
              <w:spacing w:before="0" w:after="283"/>
              <w:jc w:val="right"/>
              <w:rPr/>
            </w:pPr>
            <w:r>
              <w:rPr/>
              <w:t>8,387,147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3"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777" w:type="dxa"/>
            <w:tcBorders>
              <w:bottom w:val="double" w:sz="10" w:space="0" w:color="000000"/>
            </w:tcBorders>
            <w:shd w:fill="FFFFFF" w:val="clear"/>
            <w:tcMar>
              <w:bottom w:w="28" w:type="dxa"/>
            </w:tcMar>
            <w:vAlign w:val="center"/>
          </w:tcPr>
          <w:p>
            <w:pPr>
              <w:pStyle w:val="TableContents"/>
              <w:spacing w:before="0" w:after="283"/>
              <w:jc w:val="right"/>
              <w:rPr/>
            </w:pPr>
            <w:r>
              <w:rPr/>
              <w:t>8,625,000</w:t>
            </w:r>
          </w:p>
        </w:tc>
        <w:tc>
          <w:tcPr>
            <w:tcW w:w="110" w:type="dxa"/>
            <w:tcBorders/>
            <w:shd w:fill="FFFFFF" w:val="clear"/>
            <w:vAlign w:val="center"/>
          </w:tcPr>
          <w:p>
            <w:pPr>
              <w:pStyle w:val="TableContents"/>
              <w:spacing w:before="0" w:after="283"/>
              <w:ind w:left="0" w:right="0" w:hanging="200"/>
              <w:jc w:val="left"/>
              <w:rPr/>
            </w:pPr>
            <w:r>
              <w:rPr/>
              <w:t> </w:t>
            </w:r>
          </w:p>
        </w:tc>
      </w:tr>
      <w:tr>
        <w:trPr/>
        <w:tc>
          <w:tcPr>
            <w:tcW w:w="5715" w:type="dxa"/>
            <w:tcBorders/>
            <w:shd w:fill="CCEEFF" w:val="clear"/>
            <w:vAlign w:val="center"/>
          </w:tcPr>
          <w:p>
            <w:pPr>
              <w:pStyle w:val="TableContents"/>
              <w:spacing w:before="0" w:after="283"/>
              <w:jc w:val="left"/>
              <w:rPr/>
            </w:pPr>
            <w:r>
              <w:rPr/>
              <w:t>Basic and diluted net loss per share, Non-redeemable shares</w:t>
            </w:r>
          </w:p>
        </w:tc>
        <w:tc>
          <w:tcPr>
            <w:tcW w:w="60" w:type="dxa"/>
            <w:tcBorders/>
            <w:shd w:fill="CCEEFF" w:val="clear"/>
            <w:vAlign w:val="center"/>
          </w:tcPr>
          <w:p>
            <w:pPr>
              <w:pStyle w:val="TableContents"/>
              <w:spacing w:before="0" w:after="283"/>
              <w:rPr/>
            </w:pPr>
            <w:r>
              <w:rPr/>
              <w:t> </w:t>
            </w:r>
          </w:p>
        </w:tc>
        <w:tc>
          <w:tcPr>
            <w:tcW w:w="24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894" w:type="dxa"/>
            <w:tcBorders>
              <w:bottom w:val="double" w:sz="10" w:space="0" w:color="000000"/>
            </w:tcBorders>
            <w:shd w:fill="CCEEFF" w:val="clear"/>
            <w:tcMar>
              <w:bottom w:w="28" w:type="dxa"/>
            </w:tcMar>
            <w:vAlign w:val="center"/>
          </w:tcPr>
          <w:p>
            <w:pPr>
              <w:pStyle w:val="TableContents"/>
              <w:spacing w:before="0" w:after="283"/>
              <w:jc w:val="right"/>
              <w:rPr>
                <w:b/>
              </w:rPr>
            </w:pPr>
            <w:r>
              <w:rPr>
                <w:b/>
              </w:rPr>
              <w:t>(0.36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253"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777" w:type="dxa"/>
            <w:tcBorders>
              <w:bottom w:val="double" w:sz="10" w:space="0" w:color="000000"/>
            </w:tcBorders>
            <w:shd w:fill="CCEEFF" w:val="clear"/>
            <w:tcMar>
              <w:bottom w:w="28" w:type="dxa"/>
            </w:tcMar>
            <w:vAlign w:val="center"/>
          </w:tcPr>
          <w:p>
            <w:pPr>
              <w:pStyle w:val="TableContents"/>
              <w:spacing w:before="0" w:after="283"/>
              <w:jc w:val="right"/>
              <w:rPr>
                <w:b/>
              </w:rPr>
            </w:pPr>
            <w:r>
              <w:rPr>
                <w:b/>
              </w:rPr>
              <w:t>(0.00</w:t>
            </w:r>
          </w:p>
        </w:tc>
        <w:tc>
          <w:tcPr>
            <w:tcW w:w="110" w:type="dxa"/>
            <w:tcBorders/>
            <w:shd w:fill="CCEEFF" w:val="clear"/>
            <w:vAlign w:val="center"/>
          </w:tcPr>
          <w:p>
            <w:pPr>
              <w:pStyle w:val="TableContents"/>
              <w:spacing w:before="0" w:after="283"/>
              <w:jc w:val="left"/>
              <w:rPr>
                <w:b/>
              </w:rPr>
            </w:pPr>
            <w:r>
              <w:rPr>
                <w:b/>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Income Taxes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December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Recent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does not believe that any recently issued, but not yet effective, accounting pronouncements, if currently adopted, would have a material effect on the Company’s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4 —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Founder Shares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Private Placement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Sponsor and the Company’s officers and directors agreed, subject to limited exceptions, not to transfer, assign or sell any of their Private Placement Warrants until 30 days after the completion of the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Related Party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2020, the Company had no borrowings under the Working Capital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Administrative Support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$80,000 and $0 in expenses in connection with such services and recorded in general and administrative expenses in the statements of operations for year ended December 31, 2020 and for the period December 18, 2019 (inception) to December 31, 2019,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5 — Commitments &amp;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Registration and Shareholder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Consulting Agreement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receiving consulting services in connection with identification of potential targets for a Business Combination and due diligence on such targets. As compensation for such services, the Company paid a nonrefundable fixed fee of $350,000 and agreed to pay the consulting firm $2,650,000 solely in the event that the Company completes a Business Combination. The consulting agreement may be terminated early by either party to the agreement provided that the Company pays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 Shareholders’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Preference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authorized to issue 1,000,000 preference shares with such designations, voting and other rights and preferences as may be determined from time to time by the Company’s board of directors. As of December 31, 2020 and December 31, 2019, there were no preference shares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Ordinary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i/>
          <w:caps w:val="false"/>
          <w:smallCaps w:val="false"/>
          <w:sz w:val="20"/>
        </w:rPr>
        <w:t>Class A Ordinary Shares </w:t>
      </w:r>
      <w:r>
        <w:rPr>
          <w:rFonts w:ascii="Times New Roman;serif" w:hAnsi="Times New Roman;serif"/>
          <w:b w:val="false"/>
          <w:i w:val="false"/>
          <w:caps w:val="false"/>
          <w:smallCaps w:val="false"/>
          <w:sz w:val="20"/>
        </w:rPr>
        <w:t>— The Company is authorized to issue 300,000,000 Class A ordinary shares with a par value of $0.0001 per share. As of December 31, 2020 and December 31, 2019, there were 30,000,000 and no Class A ordinary shares outstanding, including 28,419,721 and no Class A ordinary shares subject to possible redemption classified as temporary equity in the accompanying balance sheets, respectively.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i/>
          <w:caps w:val="false"/>
          <w:smallCaps w:val="false"/>
          <w:sz w:val="20"/>
        </w:rPr>
        <w:t>Class B Ordinary Shares </w:t>
      </w:r>
      <w:r>
        <w:rPr>
          <w:rFonts w:ascii="Times New Roman;serif" w:hAnsi="Times New Roman;serif"/>
          <w:b w:val="false"/>
          <w:i w:val="false"/>
          <w:caps w:val="false"/>
          <w:smallCaps w:val="false"/>
          <w:sz w:val="20"/>
        </w:rPr>
        <w:t>— The Company is authorized to issue 30,000,000 Class B ordinary shares with a par value of $0.0001 per share. Holders of Class B ordinary shares are entitled to one vote for each share. As of December 31, 2019, there were 8,625,000 Class B ordinary shares outstanding. Of these, an aggregate of up to 1,125,000 shares were subject to forfeiture to the Company by the Sponsor for no consideration to the extent that the underwriter’s over-allotment option was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Holders of the Class A ordinary shares and holders of the Class B ordinary shares will vote together as a single class on all matters submitted to a vote of the Company’s shareholders except as required by law.</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Times New Roman;serif" w:hAnsi="Times New Roman;serif"/>
          <w:b w:val="false"/>
          <w:i w:val="false"/>
          <w:caps w:val="false"/>
          <w:smallCaps w:val="false"/>
          <w:position w:val="7"/>
          <w:sz w:val="16"/>
          <w:sz w:val="20"/>
        </w:rPr>
        <w:t>th</w:t>
      </w:r>
      <w:r>
        <w:rPr>
          <w:rFonts w:ascii="Times New Roman;serif" w:hAnsi="Times New Roman;serif"/>
          <w:b w:val="false"/>
          <w:i w:val="false"/>
          <w:caps w:val="false"/>
          <w:smallCaps w:val="false"/>
          <w:sz w:val="20"/>
        </w:rPr>
        <w:t>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may call the Public Warrants for redemption (except with respect to the Private Placement Warrants):</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tc>
      </w:tr>
    </w:tbl>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7 — Subsequent Events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i/>
          <w:caps w:val="false"/>
          <w:smallCaps w:val="false"/>
          <w:sz w:val="20"/>
        </w:rPr>
      </w:pPr>
      <w:r>
        <w:rPr>
          <w:rFonts w:ascii="Times New Roman;serif" w:hAnsi="Times New Roman;serif"/>
          <w:b/>
          <w:i/>
          <w:caps w:val="false"/>
          <w:smallCaps w:val="false"/>
          <w:sz w:val="20"/>
        </w:rPr>
        <w:t>Proposed Business Combination and Related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March 4, 2021, the Company entered into a Business Combination Agreement (the “</w:t>
      </w:r>
      <w:r>
        <w:rPr>
          <w:rFonts w:ascii="Times New Roman;serif" w:hAnsi="Times New Roman;serif"/>
          <w:b w:val="false"/>
          <w:i/>
          <w:caps w:val="false"/>
          <w:smallCaps w:val="false"/>
          <w:sz w:val="20"/>
        </w:rPr>
        <w:t>Business Combination Agreement</w:t>
      </w:r>
      <w:r>
        <w:rPr>
          <w:rFonts w:ascii="Times New Roman;serif" w:hAnsi="Times New Roman;serif"/>
          <w:b w:val="false"/>
          <w:i w:val="false"/>
          <w:caps w:val="false"/>
          <w:smallCaps w:val="false"/>
          <w:sz w:val="20"/>
        </w:rPr>
        <w:t>”), by and among the Company, 1291924 B.C. Unlimited Liability Company, an unlimited liability company existing under the laws of British Columbia, Canada (“</w:t>
      </w:r>
      <w:r>
        <w:rPr>
          <w:rFonts w:ascii="Times New Roman;serif" w:hAnsi="Times New Roman;serif"/>
          <w:b w:val="false"/>
          <w:i/>
          <w:caps w:val="false"/>
          <w:smallCaps w:val="false"/>
          <w:sz w:val="20"/>
        </w:rPr>
        <w:t>NewCo Sub</w:t>
      </w:r>
      <w:r>
        <w:rPr>
          <w:rFonts w:ascii="Times New Roman;serif" w:hAnsi="Times New Roman;serif"/>
          <w:b w:val="false"/>
          <w:i w:val="false"/>
          <w:caps w:val="false"/>
          <w:smallCaps w:val="false"/>
          <w:sz w:val="20"/>
        </w:rPr>
        <w:t>”), and DeepGreen Metals Inc., a company existing under the laws of British Columbia, Canada (the “</w:t>
      </w:r>
      <w:r>
        <w:rPr>
          <w:rFonts w:ascii="Times New Roman;serif" w:hAnsi="Times New Roman;serif"/>
          <w:b w:val="false"/>
          <w:i/>
          <w:caps w:val="false"/>
          <w:smallCaps w:val="false"/>
          <w:sz w:val="20"/>
        </w:rPr>
        <w:t>Company</w:t>
      </w:r>
      <w:r>
        <w:rPr>
          <w:rFonts w:ascii="Times New Roman;serif" w:hAnsi="Times New Roman;serif"/>
          <w:b w:val="false"/>
          <w:i w:val="false"/>
          <w:caps w:val="false"/>
          <w:smallCaps w:val="false"/>
          <w:sz w:val="20"/>
        </w:rPr>
        <w:t>” or “</w:t>
      </w:r>
      <w:r>
        <w:rPr>
          <w:rFonts w:ascii="Times New Roman;serif" w:hAnsi="Times New Roman;serif"/>
          <w:b w:val="false"/>
          <w:i/>
          <w:caps w:val="false"/>
          <w:smallCaps w:val="false"/>
          <w:sz w:val="20"/>
        </w:rPr>
        <w:t>DeepGreen</w:t>
      </w:r>
      <w:r>
        <w:rPr>
          <w:rFonts w:ascii="Times New Roman;serif" w:hAnsi="Times New Roman;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Business Combination Agreement, the Company will migrate to and be continued as a company in British Columbia, Canada (the “</w:t>
      </w:r>
      <w:r>
        <w:rPr>
          <w:rFonts w:ascii="Times New Roman;serif" w:hAnsi="Times New Roman;serif"/>
          <w:b w:val="false"/>
          <w:i/>
          <w:caps w:val="false"/>
          <w:smallCaps w:val="false"/>
          <w:sz w:val="20"/>
        </w:rPr>
        <w:t>SOAC Continuance</w:t>
      </w:r>
      <w:r>
        <w:rPr>
          <w:rFonts w:ascii="Times New Roman;serif" w:hAnsi="Times New Roman;serif"/>
          <w:b w:val="false"/>
          <w:i w:val="false"/>
          <w:caps w:val="false"/>
          <w:smallCaps w:val="false"/>
          <w:sz w:val="20"/>
        </w:rPr>
        <w:t>”). Following the SOAC Continuance, pursuant to a plan of arrangement (the “</w:t>
      </w:r>
      <w:r>
        <w:rPr>
          <w:rFonts w:ascii="Times New Roman;serif" w:hAnsi="Times New Roman;serif"/>
          <w:b w:val="false"/>
          <w:i/>
          <w:caps w:val="false"/>
          <w:smallCaps w:val="false"/>
          <w:sz w:val="20"/>
        </w:rPr>
        <w:t>Plan of Arrangement</w:t>
      </w:r>
      <w:r>
        <w:rPr>
          <w:rFonts w:ascii="Times New Roman;serif" w:hAnsi="Times New Roman;serif"/>
          <w:b w:val="false"/>
          <w:i w:val="false"/>
          <w:caps w:val="false"/>
          <w:smallCaps w:val="false"/>
          <w:sz w:val="20"/>
        </w:rPr>
        <w:t>”) under the </w:t>
      </w:r>
      <w:r>
        <w:rPr>
          <w:rFonts w:ascii="Times New Roman;serif" w:hAnsi="Times New Roman;serif"/>
          <w:b w:val="false"/>
          <w:i/>
          <w:caps w:val="false"/>
          <w:smallCaps w:val="false"/>
          <w:sz w:val="20"/>
        </w:rPr>
        <w:t>Business Corporations Act</w:t>
      </w:r>
      <w:r>
        <w:rPr>
          <w:rFonts w:ascii="Times New Roman;serif" w:hAnsi="Times New Roman;serif"/>
          <w:b w:val="false"/>
          <w:i w:val="false"/>
          <w:caps w:val="false"/>
          <w:smallCaps w:val="false"/>
          <w:sz w:val="20"/>
        </w:rPr>
        <w:t> (British Columbia), (i) the Company will acquire all of the issued and outstanding shares in the capital of DeepGreen (the “</w:t>
      </w:r>
      <w:r>
        <w:rPr>
          <w:rFonts w:ascii="Times New Roman;serif" w:hAnsi="Times New Roman;serif"/>
          <w:b w:val="false"/>
          <w:i/>
          <w:caps w:val="false"/>
          <w:smallCaps w:val="false"/>
          <w:sz w:val="20"/>
        </w:rPr>
        <w:t>DeepGreen Shares</w:t>
      </w:r>
      <w:r>
        <w:rPr>
          <w:rFonts w:ascii="Times New Roman;serif" w:hAnsi="Times New Roman;serif"/>
          <w:b w:val="false"/>
          <w:i w:val="false"/>
          <w:caps w:val="false"/>
          <w:smallCaps w:val="false"/>
          <w:sz w:val="20"/>
        </w:rPr>
        <w:t>”) from DeepGreen shareholders in exchange for the Company’s common shares (as defined below) and Company Earnout Shares (as defined below) (the “</w:t>
      </w:r>
      <w:r>
        <w:rPr>
          <w:rFonts w:ascii="Times New Roman;serif" w:hAnsi="Times New Roman;serif"/>
          <w:b w:val="false"/>
          <w:i/>
          <w:caps w:val="false"/>
          <w:smallCaps w:val="false"/>
          <w:sz w:val="20"/>
        </w:rPr>
        <w:t>Share Exchange</w:t>
      </w:r>
      <w:r>
        <w:rPr>
          <w:rFonts w:ascii="Times New Roman;serif" w:hAnsi="Times New Roman;serif"/>
          <w:b w:val="false"/>
          <w:i w:val="false"/>
          <w:caps w:val="false"/>
          <w:smallCaps w:val="false"/>
          <w:sz w:val="20"/>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option to purchase common shares in the capital of the Company (the “</w:t>
      </w:r>
      <w:r>
        <w:rPr>
          <w:rFonts w:ascii="Times New Roman;serif" w:hAnsi="Times New Roman;serif"/>
          <w:b w:val="false"/>
          <w:i/>
          <w:caps w:val="false"/>
          <w:smallCaps w:val="false"/>
          <w:sz w:val="20"/>
        </w:rPr>
        <w:t>DeepGreen Options</w:t>
      </w:r>
      <w:r>
        <w:rPr>
          <w:rFonts w:ascii="Times New Roman;serif" w:hAnsi="Times New Roman;serif"/>
          <w:b w:val="false"/>
          <w:i w:val="false"/>
          <w:caps w:val="false"/>
          <w:smallCaps w:val="false"/>
          <w:sz w:val="20"/>
        </w:rPr>
        <w:t>”)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Proposed Business Combination is expected to close in the second quarter of 2021, following the receipt of the required approval by the Company’s shareholders and the fulfillment of other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shareholders and the optionholders of DeepGreen will be entitled to receive, in exchange for their DeepGreen Shares or DeepGreen Options, as applicable, an aggregate of (i) will receive shares in the capital of the Company or comparable equity awards that are settled or are exercisable for shares in the capital of the Company, as applicable, based on an implied DeepGreen equity value of $2.25 billion after giving effect to the SOAC Continuance (the “</w:t>
      </w:r>
      <w:r>
        <w:rPr>
          <w:rFonts w:ascii="Times New Roman;serif" w:hAnsi="Times New Roman;serif"/>
          <w:b w:val="false"/>
          <w:i/>
          <w:caps w:val="false"/>
          <w:smallCaps w:val="false"/>
          <w:sz w:val="20"/>
        </w:rPr>
        <w:t>SOAC Common Shares</w:t>
      </w:r>
      <w:r>
        <w:rPr>
          <w:rFonts w:ascii="Times New Roman;serif" w:hAnsi="Times New Roman;serif"/>
          <w:b w:val="false"/>
          <w:i w:val="false"/>
          <w:caps w:val="false"/>
          <w:smallCaps w:val="false"/>
          <w:sz w:val="20"/>
        </w:rPr>
        <w:t>”),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SOAC (collectively, the “</w:t>
      </w:r>
      <w:r>
        <w:rPr>
          <w:rFonts w:ascii="Times New Roman;serif" w:hAnsi="Times New Roman;serif"/>
          <w:b w:val="false"/>
          <w:i/>
          <w:caps w:val="false"/>
          <w:smallCaps w:val="false"/>
          <w:sz w:val="20"/>
        </w:rPr>
        <w:t>Company Earnout Shares</w:t>
      </w:r>
      <w:r>
        <w:rPr>
          <w:rFonts w:ascii="Times New Roman;serif" w:hAnsi="Times New Roman;serif"/>
          <w:b w:val="false"/>
          <w:i w:val="false"/>
          <w:caps w:val="false"/>
          <w:smallCaps w:val="false"/>
          <w:sz w:val="20"/>
        </w:rPr>
        <w:t>”), or, as applicable, options to purchase such SOAC Common Shares and Company Earnout Shares.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Concurrently with the execution of the Business Combination Agreement, the Company entered into subscription agreements (the “</w:t>
      </w:r>
      <w:r>
        <w:rPr>
          <w:rFonts w:ascii="Times New Roman;serif" w:hAnsi="Times New Roman;serif"/>
          <w:b w:val="false"/>
          <w:i/>
          <w:caps w:val="false"/>
          <w:smallCaps w:val="false"/>
          <w:sz w:val="20"/>
        </w:rPr>
        <w:t>Subscription Agreements</w:t>
      </w:r>
      <w:r>
        <w:rPr>
          <w:rFonts w:ascii="Times New Roman;serif" w:hAnsi="Times New Roman;serif"/>
          <w:b w:val="false"/>
          <w:i w:val="false"/>
          <w:caps w:val="false"/>
          <w:smallCaps w:val="false"/>
          <w:sz w:val="20"/>
        </w:rPr>
        <w:t>”)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Common Shares for $10.00 per share, for aggregate gross proceeds of $330,300,000 (the “</w:t>
      </w:r>
      <w:r>
        <w:rPr>
          <w:rFonts w:ascii="Times New Roman;serif" w:hAnsi="Times New Roman;serif"/>
          <w:b w:val="false"/>
          <w:i/>
          <w:caps w:val="false"/>
          <w:smallCaps w:val="false"/>
          <w:sz w:val="20"/>
        </w:rPr>
        <w:t>PIPE Financing</w:t>
      </w:r>
      <w:r>
        <w:rPr>
          <w:rFonts w:ascii="Times New Roman;serif" w:hAnsi="Times New Roman;serif"/>
          <w:b w:val="false"/>
          <w:i w:val="false"/>
          <w:caps w:val="false"/>
          <w:smallCaps w:val="false"/>
          <w:sz w:val="20"/>
        </w:rPr>
        <w:t>”).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4" w:name="f10k2020ex4-4_sustainable.htm"/>
      <w:bookmarkStart w:id="35" w:name="ksf10k2020ex44_sustainable"/>
      <w:bookmarkEnd w:id="34"/>
      <w:bookmarkEnd w:id="35"/>
      <w:r>
        <w:rPr>
          <w:rFonts w:ascii="Times New Roman;Times;Serif" w:hAnsi="Times New Roman;Times;Serif"/>
          <w:b/>
          <w:i w:val="false"/>
          <w:caps w:val="false"/>
          <w:smallCaps w:val="false"/>
          <w:sz w:val="20"/>
        </w:rPr>
        <w:t>Exhibit 4.4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December 31, 2020, Sustainable Opportunities Acquisition Corp. (“we,” “our,” “us” or the “company”) had the following three classes of securities registered under Section 12 of the Securities Exchange Act of 1934, as amended (the “Exchange Act”): (i) its units, each consisting of one Class A ordinary share and one-half of one redeemable warrant, (ii) Class A ordinary shares, par value $0.0001 per share, and (iii) redeemable warrants, each whole warrant exercisable for one Class A ordinary share at an exercise price of $11.50. In addition, this Description of Securities also references the company’s Class B ordinary shares, par value $0.0001 per share (the “Class B ordinary shares” or “founder shares”), which are not registered pursuant to Section 12 of the Exchange Act but are convertible into Class A ordinary shares. The description of the Class B ordinary shares is included to assist in the description of the Class A ordinary shares. Unless the context otherwise requires, references to our “sponsor” are to Sustainable Opportunities Holdings LLC and references to our “initial shareholders” are to our sponsor, officers and directors that held our founder shares prior to our initial public offering (our “IPO”).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affairs are governed by our amended and restated memorandum and articles of association, the Companies Law and the common law of the Cayman Islands. Pursuant to our amended and restated memorandum and articles of association, we are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consists of one Class A ordinary share and one-half of one warrant. Each whole warrant entitles the holder thereof to purchase one Class A ordinary share at a price of $11.50 per share.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are able to be traded.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have the option to continue to hold units or separate their units into the component securities. Holders will need to have their brokers contact our transfer agent in order to separate the units into Class A ordinary shares and warrants. Additionally, the units will automatically separate into their component parts and will not be traded after completion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of record are entitled to one vote for each share held on all matters to be voted on by shareholders. Holders of Class A ordinary shares and holders of Class B ordinary shares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requires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are not be entitled to vote on the election of directors during such time. In addition, prior to the completion of an initial business combination, holders of a majority of our founder shares may remove a member of the board of directors for any reason.</w:t>
      </w:r>
    </w:p>
    <w:p>
      <w:pPr>
        <w:pStyle w:val="TextBody"/>
        <w:jc w:val="both"/>
        <w:rPr>
          <w:caps w:val="false"/>
          <w:smallCaps w:val="false"/>
        </w:rPr>
      </w:pPr>
      <w:r>
        <w:rPr>
          <w:caps w:val="false"/>
          <w:smallCaps w:val="false"/>
        </w:rPr>
        <w:t> </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amended and restated memorandum and articles of association authorizes the issuance of up to 300,000,000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with only one class of directors being elected in each year and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There is no requirement under the Companies Law for us to hold annual or general meetings or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per share amount we will distribute to investors who properly redeem their shares will not be reduced by the deferred underwriting commissions we will pay to the underwriter. The redemption rights will include the requirement that a beneficial owner must identify itself in order to valid redeem its shares. 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vote in favor of the initial business combination. However, the participation of our sponsor, officers, directors, advisors or their affiliates in privately-negotiated transactions,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requires that at least five days’ notice will be given of any shareholder meeting.</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and any public shares held by them in favor of our initial business combination. Additionally, each public shareholder may elect to redeem their public shares irrespective of whether they vote for or against the proposed transaction.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memorandum and articles of association, if we have not consummated an initial business combination within 18 months from the closing of our IPO,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and members of our management team have entered into agreements with us, pursuant to which they have agreed to waive their rights to liquidating distributions from the trust account with respect to their founder shares if we fail to consummate an initial business combination within 18 months from the closing of our IPO. However, if our sponsor or members of our management team acquire public shares, they will be entitled to liquidating distributions from the trust account with respect to such public shares if we fail to complete our initial business combination within the prescribed time period. 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are designated as Class B ordinary shares and, except as described below, are identical to the Class A ordinary shares included in the units sold in our IPO, and holders of founder shares have the same shareholder rights as public shareholders, except that (i) the founder shares are subject to certain transfer restrictions, as described in more detail below; (ii) our sponsor, officers and directors have entered into agreements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IPO and (C) to waive their rights to liquidating distributions from the trust account with respect to its founder shares if we fail to consummate an initial business combination within 18 months from the closing of our IPO,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have the right to vote on the election of our directors. If we submit our initial business combination to our public shareholders for a vote, our sponsor, our Founders and each member of our management team have agreed to vote their founder shares and any public shares held by them in favor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our IPO,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exhibit,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are subject to the same restrictions and other agreements of our sponsor with respect to any founder shares. We refer to such transfer restrictions throughout this exhibit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initial business combination, only holders of our founder shares have the right to vote on the election of directors. Holders of our public shares are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vote together as a single class, with each share entitling the holder to one vote.</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we must keep a register of members and there shall be entered therein:</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names and addresses of the members, a statement of the shares held by each member, and of the amount paid or agreed to be considered as paid, on the shares of each member and the voting rights of shares;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05"/>
        <w:gridCol w:w="9955"/>
      </w:tblGrid>
      <w:tr>
        <w:trPr/>
        <w:tc>
          <w:tcPr>
            <w:tcW w:w="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w:t>
            </w:r>
          </w:p>
        </w:tc>
        <w:tc>
          <w:tcPr>
            <w:tcW w:w="9955" w:type="dxa"/>
            <w:tcBorders/>
            <w:shd w:fill="auto" w:val="clear"/>
            <w:vAlign w:val="center"/>
          </w:tcPr>
          <w:p>
            <w:pPr>
              <w:pStyle w:val="TableContents"/>
              <w:spacing w:before="0" w:after="283"/>
              <w:jc w:val="both"/>
              <w:rPr/>
            </w:pPr>
            <w:r>
              <w:rPr/>
              <w:t>the date on which the name of any person was entered on the register as a member;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328"/>
        <w:gridCol w:w="9804"/>
      </w:tblGrid>
      <w:tr>
        <w:trPr/>
        <w:tc>
          <w:tcPr>
            <w:tcW w:w="7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pPr>
            <w:r>
              <w:rPr/>
              <w:t>●</w:t>
            </w:r>
          </w:p>
        </w:tc>
        <w:tc>
          <w:tcPr>
            <w:tcW w:w="9804" w:type="dxa"/>
            <w:tcBorders/>
            <w:shd w:fill="auto" w:val="clear"/>
            <w:vAlign w:val="center"/>
          </w:tcPr>
          <w:p>
            <w:pPr>
              <w:pStyle w:val="TableContents"/>
              <w:spacing w:before="0" w:after="283"/>
              <w:jc w:val="both"/>
              <w:rPr/>
            </w:pPr>
            <w:r>
              <w:rPr/>
              <w:t>the date on which any person ceased to be a member.</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our IPO, the register of members was immediately updated to reflect the issue of shares by us. Once our register of members was updated, the shareholders recorded in the register of members were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authorizes 1,000,000 preference shares and provides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may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Shareholders’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to purchase one Class A ordinary share at a price of $11.50 per share, subject to adjustment as discussed below, at any time commencing on the later of one year from the closing of our IPO or 30 days after the completion of our initial business combination,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are issued upon separation of the units and only whole warrants are tradeable. The warrants will expire five years after the completion of our initial business combination, at 5:00 p.m., New York City time, or earlier upon redemption or liquidation.</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be obligated to deliver any Class A ordinary shares pursuant to the exercise of a warrant and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We will use our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Class A ordinary shares are at the time of any exercise of a warrant not listed on a national securities exchange such that it satisfies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reasonable best efforts to register or qualify the shares under applicable blue sky laws to the extent an exemption is not available.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Redemptions of warrants.</w:t>
      </w:r>
      <w:r>
        <w:rPr>
          <w:rFonts w:ascii="Times New Roman;Times;Serif" w:hAnsi="Times New Roman;Times;Serif"/>
          <w:b w:val="false"/>
          <w:i w:val="false"/>
          <w:caps w:val="false"/>
          <w:smallCaps w:val="false"/>
          <w:sz w:val="20"/>
        </w:rPr>
        <w:t> Once the warrants become exercisable, we may call the warrants for redemption:</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680"/>
        <w:gridCol w:w="9374"/>
      </w:tblGrid>
      <w:tr>
        <w:trPr/>
        <w:tc>
          <w:tcPr>
            <w:tcW w:w="1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pPr>
            <w:r>
              <w:rPr/>
              <w:t>●</w:t>
            </w:r>
          </w:p>
        </w:tc>
        <w:tc>
          <w:tcPr>
            <w:tcW w:w="9374" w:type="dxa"/>
            <w:tcBorders/>
            <w:shd w:fill="auto" w:val="clear"/>
            <w:vAlign w:val="center"/>
          </w:tcPr>
          <w:p>
            <w:pPr>
              <w:pStyle w:val="TableContents"/>
              <w:spacing w:before="0" w:after="283"/>
              <w:rPr/>
            </w:pPr>
            <w:r>
              <w:rPr/>
              <w:t>in whole and not in part;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2"/>
        <w:gridCol w:w="551"/>
        <w:gridCol w:w="9532"/>
      </w:tblGrid>
      <w:tr>
        <w:trPr/>
        <w:tc>
          <w:tcPr>
            <w:tcW w:w="122"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pPr>
            <w:r>
              <w:rPr/>
              <w:t>●</w:t>
            </w:r>
          </w:p>
        </w:tc>
        <w:tc>
          <w:tcPr>
            <w:tcW w:w="9532" w:type="dxa"/>
            <w:tcBorders/>
            <w:shd w:fill="auto" w:val="clear"/>
            <w:vAlign w:val="center"/>
          </w:tcPr>
          <w:p>
            <w:pPr>
              <w:pStyle w:val="TableContents"/>
              <w:spacing w:before="0" w:after="283"/>
              <w:jc w:val="both"/>
              <w:rPr/>
            </w:pPr>
            <w:r>
              <w:rPr/>
              <w:t>at a price of $0.01 per warrant;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99"/>
        <w:gridCol w:w="9962"/>
      </w:tblGrid>
      <w:tr>
        <w:trPr/>
        <w:tc>
          <w:tcPr>
            <w:tcW w:w="4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pPr>
            <w:r>
              <w:rPr/>
              <w:t>●</w:t>
            </w:r>
          </w:p>
        </w:tc>
        <w:tc>
          <w:tcPr>
            <w:tcW w:w="9962" w:type="dxa"/>
            <w:tcBorders/>
            <w:shd w:fill="auto" w:val="clear"/>
            <w:vAlign w:val="center"/>
          </w:tcPr>
          <w:p>
            <w:pPr>
              <w:pStyle w:val="TableContents"/>
              <w:spacing w:before="0" w:after="283"/>
              <w:jc w:val="both"/>
              <w:rPr/>
            </w:pPr>
            <w:r>
              <w:rPr/>
              <w:t>upon not less than 30 days’ prior written notice of redemption to each warrant holder;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if, and only if, the reported closing price of the ordinary shares equals or exceeds $18.00 per share (as adjusted for share subdivisions, share capitalizations, reorganizations, recapitalizations and the like) for any 20 trading days within a 30-trading day period ending three business days before we send to the notice of redemption to the warrant holders.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we may exercise our redemption right even if we are unable to register or qualify the underlying securities for sale under all applicable state securities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(for whole shares) warrant exercise price after the redemption notice is issued.</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procedures and cashless exercise.</w:t>
      </w:r>
      <w:r>
        <w:rPr>
          <w:rFonts w:ascii="Times New Roman;Times;Serif" w:hAnsi="Times New Roman;Times;Serif"/>
          <w:b w:val="false"/>
          <w:i w:val="false"/>
          <w:caps w:val="false"/>
          <w:smallCaps w:val="false"/>
          <w:sz w:val="20"/>
        </w:rPr>
        <w:t>  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If the number of outstanding Class A ordinary shares is increased by a share dividend payable in Class A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Class A ordinary shares at a price less than the fair market value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all or substantially all of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Class A ordinary shares if we do not consummate an initial business combination within 18 months from the closing of our IPO;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in “— Redemption of warrants” will be adjusted (to the nearest cent) to be equal to 180% of the higher of the Market Value and the Newly Issued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the prospectus related to our IPO,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You should review a copy of the warrant agreement, which was filed as an exhibit to the registration statement in connection with our IPO, for a complete description of the terms and conditions applicable to the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Class A ordinary shares issuable upon exercise of the private placement warrants) are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are not be redeemable by us so long as they are held by our sponsor or its permitted transferees.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to date and do not intend to pay cash dividends prior to the completion of a business combination. The payment of cash dividends is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Differences in Corporate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In certain circumstances, the Companies Law allows for mergers or consolidations between two Cayman Islands companies, or between a Cayman Islands exempted company and a company incorporated in another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is facilitated by the laws of that other jurisdiction).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are not proposing to act illegally or beyond the scope of our corporate authority and the statutory provisions as to majority vote have been complied with;</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247"/>
        <w:gridCol w:w="9903"/>
      </w:tblGrid>
      <w:tr>
        <w:trPr/>
        <w:tc>
          <w:tcPr>
            <w:tcW w:w="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pPr>
            <w:r>
              <w:rPr/>
              <w:t>●</w:t>
            </w:r>
          </w:p>
        </w:tc>
        <w:tc>
          <w:tcPr>
            <w:tcW w:w="9903" w:type="dxa"/>
            <w:tcBorders/>
            <w:shd w:fill="auto" w:val="clear"/>
            <w:vAlign w:val="center"/>
          </w:tcPr>
          <w:p>
            <w:pPr>
              <w:pStyle w:val="TableContents"/>
              <w:spacing w:before="0" w:after="283"/>
              <w:jc w:val="both"/>
              <w:rPr/>
            </w:pPr>
            <w:r>
              <w:rPr/>
              <w:t>the shareholders have been fairly represented at the meeting in question;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241"/>
        <w:gridCol w:w="9910"/>
      </w:tblGrid>
      <w:tr>
        <w:trPr/>
        <w:tc>
          <w:tcPr>
            <w:tcW w:w="5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w:t>
            </w:r>
          </w:p>
        </w:tc>
        <w:tc>
          <w:tcPr>
            <w:tcW w:w="9910" w:type="dxa"/>
            <w:tcBorders/>
            <w:shd w:fill="auto" w:val="clear"/>
            <w:vAlign w:val="center"/>
          </w:tcPr>
          <w:p>
            <w:pPr>
              <w:pStyle w:val="TableContents"/>
              <w:spacing w:before="0" w:after="283"/>
              <w:jc w:val="both"/>
              <w:rPr/>
            </w:pPr>
            <w:r>
              <w:rPr/>
              <w:t>the arrangement is such as a businessman would reasonably approve;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arrangement is not one that would more properly be sanctioned under some other provision of the Companies Law or that would amount to a “fraud on the minority.”</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Squeeze-out Provisions.</w:t>
      </w:r>
      <w:r>
        <w:rPr>
          <w:rFonts w:ascii="Times New Roman;Times;Serif" w:hAnsi="Times New Roman;Times;Serif"/>
          <w:b w:val="false"/>
          <w:i w:val="false"/>
          <w:caps w:val="false"/>
          <w:smallCaps w:val="false"/>
          <w:sz w:val="20"/>
        </w:rPr>
        <w:t>  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Our Cayman Islands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208"/>
        <w:gridCol w:w="9951"/>
      </w:tblGrid>
      <w:tr>
        <w:trPr/>
        <w:tc>
          <w:tcPr>
            <w:tcW w:w="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w:t>
            </w:r>
          </w:p>
        </w:tc>
        <w:tc>
          <w:tcPr>
            <w:tcW w:w="9951" w:type="dxa"/>
            <w:tcBorders/>
            <w:shd w:fill="auto" w:val="clear"/>
            <w:vAlign w:val="center"/>
          </w:tcPr>
          <w:p>
            <w:pPr>
              <w:pStyle w:val="TableContents"/>
              <w:spacing w:before="0" w:after="283"/>
              <w:jc w:val="both"/>
              <w:rPr/>
            </w:pPr>
            <w:r>
              <w:rPr/>
              <w:t>a company is acting, or proposing to act, illegally or beyond the scope of its authority;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act complained of, although not beyond the scope of the authority, could be effected if duly authorized by more than the number of votes which have actually been obtained;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3"/>
        <w:gridCol w:w="240"/>
        <w:gridCol w:w="9912"/>
      </w:tblGrid>
      <w:tr>
        <w:trPr/>
        <w:tc>
          <w:tcPr>
            <w:tcW w:w="5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w:t>
            </w:r>
          </w:p>
        </w:tc>
        <w:tc>
          <w:tcPr>
            <w:tcW w:w="9912" w:type="dxa"/>
            <w:tcBorders/>
            <w:shd w:fill="auto" w:val="clear"/>
            <w:vAlign w:val="center"/>
          </w:tcPr>
          <w:p>
            <w:pPr>
              <w:pStyle w:val="TableContents"/>
              <w:spacing w:before="0" w:after="283"/>
              <w:jc w:val="both"/>
              <w:rPr/>
            </w:pPr>
            <w:r>
              <w:rPr/>
              <w:t>those who control the company are perpetrating a “fraud on the minority.”</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Enforcement of Civil Liabilities.</w:t>
      </w:r>
      <w:r>
        <w:rPr>
          <w:rFonts w:ascii="Times New Roman;Times;Serif" w:hAnsi="Times New Roman;Times;Serif"/>
          <w:b w:val="false"/>
          <w:i w:val="false"/>
          <w:caps w:val="false"/>
          <w:smallCaps w:val="false"/>
          <w:sz w:val="20"/>
        </w:rPr>
        <w:t>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Considerations for Exempted Companies.</w:t>
      </w:r>
      <w:r>
        <w:rPr>
          <w:rFonts w:ascii="Times New Roman;Times;Serif" w:hAnsi="Times New Roman;Times;Serif"/>
          <w:b w:val="false"/>
          <w:i w:val="false"/>
          <w:caps w:val="false"/>
          <w:smallCaps w:val="false"/>
          <w:sz w:val="20"/>
        </w:rPr>
        <w:t>  We are an exempted company with limited liability (meaning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annual reporting requirements are minimal and consist mainly of a statement that the company has conducted its operations mainly outside of the Cayman Islands and has complied with the provisions of the Companies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6"/>
        <w:gridCol w:w="252"/>
        <w:gridCol w:w="9897"/>
      </w:tblGrid>
      <w:tr>
        <w:trPr/>
        <w:tc>
          <w:tcPr>
            <w:tcW w:w="5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w:t>
            </w:r>
          </w:p>
        </w:tc>
        <w:tc>
          <w:tcPr>
            <w:tcW w:w="9897" w:type="dxa"/>
            <w:tcBorders/>
            <w:shd w:fill="auto" w:val="clear"/>
            <w:vAlign w:val="center"/>
          </w:tcPr>
          <w:p>
            <w:pPr>
              <w:pStyle w:val="TableContents"/>
              <w:spacing w:before="0" w:after="283"/>
              <w:jc w:val="both"/>
              <w:rPr/>
            </w:pPr>
            <w:r>
              <w:rPr/>
              <w:t>an exempted company’s register of members is not open to inspection;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246"/>
        <w:gridCol w:w="9905"/>
      </w:tblGrid>
      <w:tr>
        <w:trPr/>
        <w:tc>
          <w:tcPr>
            <w:tcW w:w="5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pPr>
            <w:r>
              <w:rPr/>
              <w:t>●</w:t>
            </w:r>
          </w:p>
        </w:tc>
        <w:tc>
          <w:tcPr>
            <w:tcW w:w="9905" w:type="dxa"/>
            <w:tcBorders/>
            <w:shd w:fill="auto" w:val="clear"/>
            <w:vAlign w:val="center"/>
          </w:tcPr>
          <w:p>
            <w:pPr>
              <w:pStyle w:val="TableContents"/>
              <w:spacing w:before="0" w:after="283"/>
              <w:jc w:val="both"/>
              <w:rPr/>
            </w:pPr>
            <w:r>
              <w:rPr/>
              <w:t>an exempted company does not have to hold an annual general meeting;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01"/>
        <w:gridCol w:w="9959"/>
      </w:tblGrid>
      <w:tr>
        <w:trPr/>
        <w:tc>
          <w:tcPr>
            <w:tcW w:w="4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pPr>
            <w:r>
              <w:rPr/>
              <w:t>●</w:t>
            </w:r>
          </w:p>
        </w:tc>
        <w:tc>
          <w:tcPr>
            <w:tcW w:w="9959" w:type="dxa"/>
            <w:tcBorders/>
            <w:shd w:fill="auto" w:val="clear"/>
            <w:vAlign w:val="center"/>
          </w:tcPr>
          <w:p>
            <w:pPr>
              <w:pStyle w:val="TableContents"/>
              <w:spacing w:before="0" w:after="283"/>
              <w:jc w:val="both"/>
              <w:rPr/>
            </w:pPr>
            <w:r>
              <w:rPr/>
              <w:t>an exempted company may issue negotiable or bearer shares or shares with no par value;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an exempted company may obtain an undertaking against the imposition of any future taxation (such undertakings are usually given for 30 years in the first instance);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an exempted company may register by way of continuation in another jurisdiction and be deregistered in the Cayman Islands;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250"/>
        <w:gridCol w:w="9900"/>
      </w:tblGrid>
      <w:tr>
        <w:trPr/>
        <w:tc>
          <w:tcPr>
            <w:tcW w:w="5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w:t>
            </w:r>
          </w:p>
        </w:tc>
        <w:tc>
          <w:tcPr>
            <w:tcW w:w="9900" w:type="dxa"/>
            <w:tcBorders/>
            <w:shd w:fill="auto" w:val="clear"/>
            <w:vAlign w:val="center"/>
          </w:tcPr>
          <w:p>
            <w:pPr>
              <w:pStyle w:val="TableContents"/>
              <w:spacing w:before="0" w:after="283"/>
              <w:jc w:val="both"/>
              <w:rPr/>
            </w:pPr>
            <w:r>
              <w:rPr/>
              <w:t>an exempted company may register as a limited duration company;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250"/>
        <w:gridCol w:w="9900"/>
      </w:tblGrid>
      <w:tr>
        <w:trPr/>
        <w:tc>
          <w:tcPr>
            <w:tcW w:w="5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w:t>
            </w:r>
          </w:p>
        </w:tc>
        <w:tc>
          <w:tcPr>
            <w:tcW w:w="9900" w:type="dxa"/>
            <w:tcBorders/>
            <w:shd w:fill="auto" w:val="clear"/>
            <w:vAlign w:val="center"/>
          </w:tcPr>
          <w:p>
            <w:pPr>
              <w:pStyle w:val="TableContents"/>
              <w:spacing w:before="0" w:after="283"/>
              <w:jc w:val="both"/>
              <w:rPr/>
            </w:pPr>
            <w:r>
              <w:rPr/>
              <w:t>an exempted company may register as a segregated portfolio company.</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Memorandum and Articles of Association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contains provisions designed to provide certain rights and protections relating to our IPO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shareholders may participate in any vote to amend our amended and restated memorandum and articles of association and will have the discretion to vote in any manner they choose. Specifically, our amended and restated memorandum and articles of association provides, among other things, that: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if we have not consummated an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18 months from the closing of this offering or (y) amend the foregoing provisions;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 business combination is fair to our company from a financial point of view;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if our shareholders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will not effectuate our initial business combination solely with another blank check company or a similar company with nominal operations.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memorandum and articles of association provides that under no circumstances will we redeem our public shares in an amount that would cause our net tangible assets to be less than $5,000,001.</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our sponsor that, prior to the consummation of an initial business combination, we may not, without the consent of our sponsor, issue any additional equity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a)</w:t>
            </w:r>
          </w:p>
        </w:tc>
        <w:tc>
          <w:tcPr>
            <w:tcW w:w="10006" w:type="dxa"/>
            <w:tcBorders/>
            <w:shd w:fill="auto" w:val="clear"/>
            <w:vAlign w:val="center"/>
          </w:tcPr>
          <w:p>
            <w:pPr>
              <w:pStyle w:val="TableContents"/>
              <w:spacing w:before="0" w:after="283"/>
              <w:jc w:val="both"/>
              <w:rPr/>
            </w:pPr>
            <w:r>
              <w:rPr/>
              <w:t>the subscriber is a relevant financial business required to comply with the Anti-Money Laundering Regulations (2020 Revision) or is a majority-owned subsidiary of such a business;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b)</w:t>
            </w:r>
          </w:p>
        </w:tc>
        <w:tc>
          <w:tcPr>
            <w:tcW w:w="10007" w:type="dxa"/>
            <w:tcBorders/>
            <w:shd w:fill="auto" w:val="clear"/>
            <w:vAlign w:val="center"/>
          </w:tcPr>
          <w:p>
            <w:pPr>
              <w:pStyle w:val="TableContents"/>
              <w:spacing w:before="0" w:after="283"/>
              <w:jc w:val="both"/>
              <w:rPr/>
            </w:pPr>
            <w:r>
              <w:rPr/>
              <w:t>the subscriber is acting in the course of a business in relation to which a regulatory authority exercises regulatory functions and which is in a country listed by the Cayman Islands Anti-Money Laundering Steering Committee (“Equivalent Jurisdiction”) or is a majority-owned subsidiary of such subscriber;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3"/>
        <w:gridCol w:w="9995"/>
      </w:tblGrid>
      <w:tr>
        <w:trPr/>
        <w:tc>
          <w:tcPr>
            <w:tcW w:w="3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pPr>
            <w:r>
              <w:rPr/>
              <w:t>c)</w:t>
            </w:r>
          </w:p>
        </w:tc>
        <w:tc>
          <w:tcPr>
            <w:tcW w:w="9995" w:type="dxa"/>
            <w:tcBorders/>
            <w:shd w:fill="auto" w:val="clear"/>
            <w:vAlign w:val="center"/>
          </w:tcPr>
          <w:p>
            <w:pPr>
              <w:pStyle w:val="TableContents"/>
              <w:spacing w:before="0" w:after="283"/>
              <w:jc w:val="both"/>
              <w:rPr/>
            </w:pPr>
            <w:r>
              <w:rPr/>
              <w:t>the subscriber is a central or local government organization, statutory body or agency of government in the Cayman Islands or an Equivalent Jurisdiction;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6"/>
        <w:gridCol w:w="10002"/>
      </w:tblGrid>
      <w:tr>
        <w:trPr/>
        <w:tc>
          <w:tcPr>
            <w:tcW w:w="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pPr>
            <w:r>
              <w:rPr/>
              <w:t>d)</w:t>
            </w:r>
          </w:p>
        </w:tc>
        <w:tc>
          <w:tcPr>
            <w:tcW w:w="10002" w:type="dxa"/>
            <w:tcBorders/>
            <w:shd w:fill="auto" w:val="clear"/>
            <w:vAlign w:val="center"/>
          </w:tcPr>
          <w:p>
            <w:pPr>
              <w:pStyle w:val="TableContents"/>
              <w:spacing w:before="0" w:after="283"/>
              <w:jc w:val="both"/>
              <w:rPr/>
            </w:pPr>
            <w:r>
              <w:rPr/>
              <w:t>the subscriber is a company that is listed on a recognized stock exchange and subject to disclosure requirements which impose requirements to ensure adequate transparency of beneficial ownership, or is a majority-owned subsidiary of such a company;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e)</w:t>
            </w:r>
          </w:p>
        </w:tc>
        <w:tc>
          <w:tcPr>
            <w:tcW w:w="9998" w:type="dxa"/>
            <w:tcBorders/>
            <w:shd w:fill="auto" w:val="clear"/>
            <w:vAlign w:val="center"/>
          </w:tcPr>
          <w:p>
            <w:pPr>
              <w:pStyle w:val="TableContents"/>
              <w:spacing w:before="0" w:after="283"/>
              <w:jc w:val="both"/>
              <w:rPr/>
            </w:pPr>
            <w:r>
              <w:rPr/>
              <w:t>the subscriber is a pension fund for a professional association, trade union or is acting on behalf of employees of an entity referred to in sub-paragraphs (a) to (d);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05"/>
        <w:gridCol w:w="10063"/>
      </w:tblGrid>
      <w:tr>
        <w:trPr/>
        <w:tc>
          <w:tcPr>
            <w:tcW w:w="3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pPr>
            <w:r>
              <w:rPr/>
              <w:t>f)</w:t>
            </w:r>
          </w:p>
        </w:tc>
        <w:tc>
          <w:tcPr>
            <w:tcW w:w="10063" w:type="dxa"/>
            <w:tcBorders/>
            <w:shd w:fill="auto" w:val="clear"/>
            <w:vAlign w:val="center"/>
          </w:tcPr>
          <w:p>
            <w:pPr>
              <w:pStyle w:val="TableContents"/>
              <w:spacing w:before="0" w:after="283"/>
              <w:jc w:val="both"/>
              <w:rPr/>
            </w:pPr>
            <w:r>
              <w:rPr/>
              <w:t>the application is made through an intermediary which falls within one of sub-paragraphs (a) to (e). In this situation the company may rely on a written assurance from the intermediary which confirms (i) that the requisite identification and verification procedures on the applicant for business and its beneficial owners have been carried out; (ii) the nature and intended purpose of the business relationship; (iii) that the intermediary has identified the source of funds of the applicant for business; and (iv) that the intermediary shall make available copies of any identification and verification data or information and relevant documents.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(2020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 Cayman Islands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certain duties under the Data Protection Law, 2017 of the Cayman Islands (the “DPL”) based on internationally accepted principles of data privacy.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Introduction</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Data</w:t>
      </w:r>
    </w:p>
    <w:p>
      <w:pPr>
        <w:pStyle w:val="TextBody"/>
        <w:spacing w:before="0" w:after="0"/>
        <w:ind w:left="720" w:right="0" w:hanging="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this Affects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Company May Use a Shareholder’s Personal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 the data controller, may collect, store and use personal data for lawful purposes, including, in particular:</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4"/>
        <w:gridCol w:w="9894"/>
      </w:tblGrid>
      <w:tr>
        <w:trPr/>
        <w:tc>
          <w:tcPr>
            <w:tcW w:w="3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pPr>
            <w:r>
              <w:rPr/>
              <w:t>(a)</w:t>
            </w:r>
          </w:p>
        </w:tc>
        <w:tc>
          <w:tcPr>
            <w:tcW w:w="9894" w:type="dxa"/>
            <w:tcBorders/>
            <w:shd w:fill="auto" w:val="clear"/>
            <w:vAlign w:val="center"/>
          </w:tcPr>
          <w:p>
            <w:pPr>
              <w:pStyle w:val="TableContents"/>
              <w:spacing w:before="0" w:after="283"/>
              <w:jc w:val="both"/>
              <w:rPr/>
            </w:pPr>
            <w:r>
              <w:rPr/>
              <w:t>where this is necessary for the performance of our rights and obligations under any purchase agreements;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1"/>
        <w:gridCol w:w="9917"/>
      </w:tblGrid>
      <w:tr>
        <w:trPr/>
        <w:tc>
          <w:tcPr>
            <w:tcW w:w="37"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pPr>
            <w:r>
              <w:rPr/>
              <w:t>(b)</w:t>
            </w:r>
          </w:p>
        </w:tc>
        <w:tc>
          <w:tcPr>
            <w:tcW w:w="9917" w:type="dxa"/>
            <w:tcBorders/>
            <w:shd w:fill="auto" w:val="clear"/>
            <w:vAlign w:val="center"/>
          </w:tcPr>
          <w:p>
            <w:pPr>
              <w:pStyle w:val="TableContents"/>
              <w:spacing w:before="0" w:after="283"/>
              <w:jc w:val="both"/>
              <w:rPr/>
            </w:pPr>
            <w:r>
              <w:rPr/>
              <w:t>where this is necessary for compliance with a legal and regulatory obligation to which we are subject (such as compliance with anti-money laundering and FATCA/CRS requirements); and/or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9"/>
        <w:gridCol w:w="9919"/>
      </w:tblGrid>
      <w:tr>
        <w:trPr/>
        <w:tc>
          <w:tcPr>
            <w:tcW w:w="3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pPr>
            <w:r>
              <w:rPr/>
              <w:t>(c)</w:t>
            </w:r>
          </w:p>
        </w:tc>
        <w:tc>
          <w:tcPr>
            <w:tcW w:w="9919" w:type="dxa"/>
            <w:tcBorders/>
            <w:shd w:fill="auto" w:val="clear"/>
            <w:vAlign w:val="center"/>
          </w:tcPr>
          <w:p>
            <w:pPr>
              <w:pStyle w:val="TableContents"/>
              <w:spacing w:before="0" w:after="283"/>
              <w:jc w:val="both"/>
              <w:rPr/>
            </w:pPr>
            <w:r>
              <w:rPr/>
              <w:t>where this is necessary for the purposes of our legitimate interests and such interests are not overridden by your interests, fundamental rights or freedoms.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wish to use personal data for other specific purposes (including, if applicable, any purpose that requires your consent), we will contact you.</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Why We May Transfer Your Personal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Measures We Take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personal data by us or our duly authorized affiliates and/or delegates outside of the Cayman Islands shall be in accordance with the requirements of the DPL.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notify you of any personal data breach that is reasonably likely to result in a risk to your interests, fundamental rights or freedoms or those data subjects to whom the relevant personal data relates.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jc w:val="center"/>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our Amended and Restated Memorandum and Articles of Association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provides that our board of directors will be classified into three classes of directors. As a result, in most circumstances, a person can gain control of our board only by successfully engaging in a proxy contest at two or more annual meetings.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Eligible for Future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our IPO, we had 37,500,000 Class A ordinary shares issued and outstanding on an as-converted basis. Of these shares, the Class A ordinary shares sold in our IPO were freely tradable without restriction or further registration under the Securities Act, except for any Class A ordinary shares purchased by one of our affiliates within the meaning of Rule 144 under the Securities Act. All of the outstanding founder shares and all of the outstanding private placement warrants were restricted securities under Rule 144, in that they were issued in private transactions not involving a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72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spacing w:before="0" w:after="0"/>
        <w:ind w:left="720" w:right="0" w:hanging="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shares or warrants for at least six months is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1% of the total number of ordinary shares then outstanding, which will equal 375,000 shares immediately after our IPO;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average weekly reported trading volume of the Class A ordinary shares during the four calendar weeks preceding the filing of a notice on Form 144 with respect to the sale.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our affiliates under Rule 144 are also limited by manner of sale provisions and notice requirements and to the availability of current public information about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88"/>
        <w:gridCol w:w="9975"/>
      </w:tblGrid>
      <w:tr>
        <w:trPr/>
        <w:tc>
          <w:tcPr>
            <w:tcW w:w="4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pPr>
            <w:r>
              <w:rPr/>
              <w:t>●</w:t>
            </w:r>
          </w:p>
        </w:tc>
        <w:tc>
          <w:tcPr>
            <w:tcW w:w="9975" w:type="dxa"/>
            <w:tcBorders/>
            <w:shd w:fill="auto" w:val="clear"/>
            <w:vAlign w:val="center"/>
          </w:tcPr>
          <w:p>
            <w:pPr>
              <w:pStyle w:val="TableContents"/>
              <w:spacing w:before="0" w:after="283"/>
              <w:jc w:val="both"/>
              <w:rPr/>
            </w:pPr>
            <w:r>
              <w:rPr/>
              <w:t>the issuer of the securities that was formerly a shell company has ceased to be a shell company;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issuer of the securities is subject to the reporting requirements of Section 13 or 15(d) of the Exchange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at least one year has elapsed from the time that the issuer filed current Form 10 type information with the SEC reflecting its status as an entity that is not a shell company.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jc w:val="center"/>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sponsor will be able to sell its founder shares and private placement warrants, as applicable, pursuant to Rule 144 without registration one year after we have completed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Shareholder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our IPO.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exhibit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registration and shareholder rights agreement, our sponsor, upon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6" w:name="f10k2020ex31-1_sustainable.htm"/>
      <w:bookmarkStart w:id="37" w:name="ksf10k2020ex311_sustainable"/>
      <w:bookmarkEnd w:id="36"/>
      <w:bookmarkEnd w:id="37"/>
      <w:r>
        <w:rPr>
          <w:rFonts w:ascii="Times New Roman;Times;Serif" w:hAnsi="Times New Roman;Times;Serif"/>
          <w:b/>
          <w:i w:val="false"/>
          <w:caps w:val="false"/>
          <w:smallCaps w:val="false"/>
          <w:sz w:val="20"/>
        </w:rPr>
        <w:t>Exhibit 31.1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br/>
        <w:t>PURSUANT TO RULE 13a-14 AND 15d-14</w:t>
        <w:br/>
        <w:t>UNDER THE SECURITIES EXCHANGE ACT OF 1934, AS AMENDED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Leonard, certify that: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December 31, 2020 of Sustainable Opportunities Acquisition Corp.;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[Paragraph intentionally omitted in accordance with SEC Release Nos. 34-47986 and 34-54942];</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controls over financial reporting.</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p>
      <w:pPr>
        <w:pStyle w:val="TextBody"/>
        <w:spacing w:before="0" w:after="0"/>
        <w:ind w:left="0" w:right="0" w:hanging="0"/>
        <w:rPr>
          <w:caps w:val="false"/>
          <w:smallCaps w:val="false"/>
        </w:rPr>
      </w:pPr>
      <w:r>
        <w:rPr>
          <w:caps w:val="false"/>
          <w:smallCaps w:val="false"/>
        </w:rPr>
        <w:t> </w:t>
      </w:r>
    </w:p>
    <w:tbl>
      <w:tblPr>
        <w:tblW w:w="6775" w:type="dxa"/>
        <w:jc w:val="left"/>
        <w:tblInd w:w="0" w:type="dxa"/>
        <w:tblCellMar>
          <w:top w:w="0" w:type="dxa"/>
          <w:left w:w="0" w:type="dxa"/>
          <w:bottom w:w="0" w:type="dxa"/>
          <w:right w:w="0" w:type="dxa"/>
        </w:tblCellMar>
      </w:tblPr>
      <w:tblGrid>
        <w:gridCol w:w="75"/>
        <w:gridCol w:w="365"/>
        <w:gridCol w:w="633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335" w:type="dxa"/>
            <w:tcBorders>
              <w:bottom w:val="single" w:sz="12" w:space="0" w:color="000000"/>
            </w:tcBorders>
            <w:shd w:fill="auto" w:val="clear"/>
            <w:tcMar>
              <w:bottom w:w="28" w:type="dxa"/>
            </w:tcMar>
            <w:vAlign w:val="center"/>
          </w:tcPr>
          <w:p>
            <w:pPr>
              <w:pStyle w:val="TableContents"/>
              <w:spacing w:before="0" w:after="283"/>
              <w:rPr/>
            </w:pPr>
            <w:r>
              <w:rPr/>
              <w:t>/s/ Scott Leonard</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Scott Leonard</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Chief Executive Officer and Director (Principal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38" w:name="f10k2020ex31-2_sustainable.htm"/>
      <w:bookmarkStart w:id="39" w:name="ksf10k2020ex312_sustainable"/>
      <w:bookmarkEnd w:id="38"/>
      <w:bookmarkEnd w:id="39"/>
      <w:r>
        <w:rPr>
          <w:rFonts w:ascii="Times New Roman;Times;Serif" w:hAnsi="Times New Roman;Times;Serif"/>
          <w:b/>
          <w:i w:val="false"/>
          <w:caps w:val="false"/>
          <w:smallCaps w:val="false"/>
          <w:sz w:val="20"/>
        </w:rPr>
        <w:t>Exhibit 31.2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CERTIFICATION</w:t>
        <w:br/>
        <w:t>PURSUANT TO RULE 13a-14 AND 15d-14</w:t>
        <w:br/>
        <w:t>UNDER THE SECURITIES EXCHANGE ACT OF 1934, AS AMENDED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Quiram,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December 31, 2020 of Sustainable Opportunities Acquisition Corp..;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[Paragraph intentionally omitted in accordance with SEC Release Nos. 34-47986 and 34-54942];</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controls over financial reporting.</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p>
      <w:pPr>
        <w:pStyle w:val="TextBody"/>
        <w:spacing w:before="0" w:after="0"/>
        <w:ind w:left="0" w:right="0" w:hanging="0"/>
        <w:rPr>
          <w:caps w:val="false"/>
          <w:smallCaps w:val="false"/>
        </w:rPr>
      </w:pPr>
      <w:r>
        <w:rPr>
          <w:caps w:val="false"/>
          <w:smallCaps w:val="false"/>
        </w:rPr>
        <w:t> </w:t>
      </w:r>
    </w:p>
    <w:tbl>
      <w:tblPr>
        <w:tblW w:w="5050" w:type="dxa"/>
        <w:jc w:val="left"/>
        <w:tblInd w:w="0" w:type="dxa"/>
        <w:tblCellMar>
          <w:top w:w="0" w:type="dxa"/>
          <w:left w:w="0" w:type="dxa"/>
          <w:bottom w:w="0" w:type="dxa"/>
          <w:right w:w="0" w:type="dxa"/>
        </w:tblCellMar>
      </w:tblPr>
      <w:tblGrid>
        <w:gridCol w:w="75"/>
        <w:gridCol w:w="710"/>
        <w:gridCol w:w="4265"/>
      </w:tblGrid>
      <w:tr>
        <w:trPr/>
        <w:tc>
          <w:tcPr>
            <w:tcW w:w="75" w:type="dxa"/>
            <w:tcBorders/>
            <w:shd w:fill="auto" w:val="clear"/>
            <w:vAlign w:val="center"/>
          </w:tcPr>
          <w:p>
            <w:pPr>
              <w:pStyle w:val="TableContents"/>
              <w:spacing w:before="0" w:after="283"/>
              <w:rPr/>
            </w:pPr>
            <w:r>
              <w:rPr/>
              <w:t> </w:t>
            </w:r>
          </w:p>
        </w:tc>
        <w:tc>
          <w:tcPr>
            <w:tcW w:w="4975" w:type="dxa"/>
            <w:gridSpan w:val="2"/>
            <w:tcBorders>
              <w:bottom w:val="single" w:sz="12" w:space="0" w:color="000000"/>
            </w:tcBorders>
            <w:shd w:fill="auto" w:val="clear"/>
            <w:tcMar>
              <w:bottom w:w="28" w:type="dxa"/>
            </w:tcMar>
            <w:vAlign w:val="center"/>
          </w:tcPr>
          <w:p>
            <w:pPr>
              <w:pStyle w:val="TableContents"/>
              <w:spacing w:before="0" w:after="283"/>
              <w:rPr/>
            </w:pPr>
            <w:r>
              <w:rPr/>
              <w:t>/s/ David Quiram</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Name: </w:t>
            </w:r>
          </w:p>
        </w:tc>
        <w:tc>
          <w:tcPr>
            <w:tcW w:w="4265" w:type="dxa"/>
            <w:tcBorders/>
            <w:shd w:fill="auto" w:val="clear"/>
            <w:vAlign w:val="center"/>
          </w:tcPr>
          <w:p>
            <w:pPr>
              <w:pStyle w:val="TableContents"/>
              <w:spacing w:before="0" w:after="283"/>
              <w:rPr/>
            </w:pPr>
            <w:r>
              <w:rPr/>
              <w:t>David Quiram</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Title:</w:t>
            </w:r>
          </w:p>
        </w:tc>
        <w:tc>
          <w:tcPr>
            <w:tcW w:w="4265" w:type="dxa"/>
            <w:tcBorders/>
            <w:shd w:fill="auto" w:val="clear"/>
            <w:vAlign w:val="center"/>
          </w:tcPr>
          <w:p>
            <w:pPr>
              <w:pStyle w:val="TableContents"/>
              <w:spacing w:before="0" w:after="283"/>
              <w:rPr/>
            </w:pPr>
            <w:r>
              <w:rPr/>
              <w:t>Chief Financial Officer</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(Principal Financial and Accounting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40" w:name="f10k2020ex32-1_sustainable.htm"/>
      <w:bookmarkStart w:id="41" w:name="ksf10k2020ex321_sustainable"/>
      <w:bookmarkEnd w:id="40"/>
      <w:bookmarkEnd w:id="41"/>
      <w:r>
        <w:rPr>
          <w:rFonts w:ascii="Times New Roman;Times;Serif" w:hAnsi="Times New Roman;Times;Serif"/>
          <w:b/>
          <w:i w:val="false"/>
          <w:caps w:val="false"/>
          <w:smallCaps w:val="false"/>
          <w:sz w:val="20"/>
        </w:rPr>
        <w:t>Exhibit 32.1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CERTIFICATION PURSUANT TO</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18 U.S.C. 1350</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Sustainable Opportunities Acquisition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10-K for the year ended December 31, 2020,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Scott Leonard, Chief Executive Officer of the Company, certify, pursuant to 18 U.S.C. Section 1350, as adopted pursuant to Section 906 of the Sarbanes-Oxley Act of 2002, that, to the best of my knowledge: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p>
      <w:pPr>
        <w:pStyle w:val="TextBody"/>
        <w:spacing w:before="0" w:after="0"/>
        <w:ind w:left="0" w:right="0" w:hanging="0"/>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75"/>
        <w:gridCol w:w="710"/>
        <w:gridCol w:w="3545"/>
      </w:tblGrid>
      <w:tr>
        <w:trPr/>
        <w:tc>
          <w:tcPr>
            <w:tcW w:w="75" w:type="dxa"/>
            <w:tcBorders/>
            <w:shd w:fill="auto" w:val="clear"/>
            <w:vAlign w:val="center"/>
          </w:tcPr>
          <w:p>
            <w:pPr>
              <w:pStyle w:val="TableContents"/>
              <w:spacing w:before="0" w:after="283"/>
              <w:rPr/>
            </w:pPr>
            <w:r>
              <w:rPr/>
              <w:t> </w:t>
            </w:r>
          </w:p>
        </w:tc>
        <w:tc>
          <w:tcPr>
            <w:tcW w:w="4255" w:type="dxa"/>
            <w:gridSpan w:val="2"/>
            <w:tcBorders>
              <w:bottom w:val="single" w:sz="12" w:space="0" w:color="000000"/>
            </w:tcBorders>
            <w:shd w:fill="auto" w:val="clear"/>
            <w:tcMar>
              <w:bottom w:w="28" w:type="dxa"/>
            </w:tcMar>
            <w:vAlign w:val="center"/>
          </w:tcPr>
          <w:p>
            <w:pPr>
              <w:pStyle w:val="TableContents"/>
              <w:spacing w:before="0" w:after="283"/>
              <w:rPr/>
            </w:pPr>
            <w:r>
              <w:rPr/>
              <w:t>/s/ Scott Leonard</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Name: </w:t>
            </w:r>
          </w:p>
        </w:tc>
        <w:tc>
          <w:tcPr>
            <w:tcW w:w="3545" w:type="dxa"/>
            <w:tcBorders/>
            <w:shd w:fill="auto" w:val="clear"/>
            <w:vAlign w:val="center"/>
          </w:tcPr>
          <w:p>
            <w:pPr>
              <w:pStyle w:val="TableContents"/>
              <w:spacing w:before="0" w:after="283"/>
              <w:rPr/>
            </w:pPr>
            <w:r>
              <w:rPr/>
              <w:t>Scott Leonard</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Title:</w:t>
            </w:r>
          </w:p>
        </w:tc>
        <w:tc>
          <w:tcPr>
            <w:tcW w:w="3545" w:type="dxa"/>
            <w:tcBorders/>
            <w:shd w:fill="auto" w:val="clear"/>
            <w:vAlign w:val="center"/>
          </w:tcPr>
          <w:p>
            <w:pPr>
              <w:pStyle w:val="TableContents"/>
              <w:spacing w:before="0" w:after="283"/>
              <w:rPr/>
            </w:pPr>
            <w:r>
              <w:rPr/>
              <w:t>Chief Executive Officer and Director</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42" w:name="f10k2020ex32-2_sustainable.htm"/>
      <w:bookmarkStart w:id="43" w:name="ksf10k2020ex322_sustainable"/>
      <w:bookmarkEnd w:id="42"/>
      <w:bookmarkEnd w:id="43"/>
      <w:r>
        <w:rPr>
          <w:rFonts w:ascii="Times New Roman;Times;Serif" w:hAnsi="Times New Roman;Times;Serif"/>
          <w:b/>
          <w:i w:val="false"/>
          <w:caps w:val="false"/>
          <w:smallCaps w:val="false"/>
          <w:sz w:val="20"/>
        </w:rPr>
        <w:t>Exhibit 32.2</w:t>
      </w:r>
    </w:p>
    <w:p>
      <w:pPr>
        <w:pStyle w:val="TextBody"/>
        <w:spacing w:before="0" w:after="0"/>
        <w:ind w:left="0" w:right="0" w:hanging="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CERTIFICATION PURSUANT TO</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18 U.S.C. 1350</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Sustainable Opportunities Acquisition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10-K for the year ended December 31, 2020,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David Quiram, Principal Financial Officer of the Company, certify, pursuant to 18 U.S.C. Section 1350, as adopted pursuant to Section 906 of the Sarbanes-Oxley Act of 2002, that, to the best of my knowledge: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2021</w:t>
      </w:r>
    </w:p>
    <w:p>
      <w:pPr>
        <w:pStyle w:val="TextBody"/>
        <w:spacing w:before="0" w:after="0"/>
        <w:ind w:left="0" w:right="0" w:hanging="0"/>
        <w:rPr>
          <w:caps w:val="false"/>
          <w:smallCaps w:val="false"/>
        </w:rPr>
      </w:pPr>
      <w:r>
        <w:rPr>
          <w:caps w:val="false"/>
          <w:smallCaps w:val="false"/>
        </w:rPr>
        <w:t> </w:t>
      </w:r>
    </w:p>
    <w:tbl>
      <w:tblPr>
        <w:tblW w:w="5050" w:type="dxa"/>
        <w:jc w:val="left"/>
        <w:tblInd w:w="0" w:type="dxa"/>
        <w:tblCellMar>
          <w:top w:w="0" w:type="dxa"/>
          <w:left w:w="0" w:type="dxa"/>
          <w:bottom w:w="0" w:type="dxa"/>
          <w:right w:w="0" w:type="dxa"/>
        </w:tblCellMar>
      </w:tblPr>
      <w:tblGrid>
        <w:gridCol w:w="75"/>
        <w:gridCol w:w="710"/>
        <w:gridCol w:w="4265"/>
      </w:tblGrid>
      <w:tr>
        <w:trPr/>
        <w:tc>
          <w:tcPr>
            <w:tcW w:w="75" w:type="dxa"/>
            <w:tcBorders/>
            <w:shd w:fill="auto" w:val="clear"/>
            <w:vAlign w:val="center"/>
          </w:tcPr>
          <w:p>
            <w:pPr>
              <w:pStyle w:val="TableContents"/>
              <w:spacing w:before="0" w:after="283"/>
              <w:rPr/>
            </w:pPr>
            <w:r>
              <w:rPr/>
              <w:t> </w:t>
            </w:r>
          </w:p>
        </w:tc>
        <w:tc>
          <w:tcPr>
            <w:tcW w:w="4975" w:type="dxa"/>
            <w:gridSpan w:val="2"/>
            <w:tcBorders>
              <w:bottom w:val="single" w:sz="12" w:space="0" w:color="000000"/>
            </w:tcBorders>
            <w:shd w:fill="auto" w:val="clear"/>
            <w:tcMar>
              <w:bottom w:w="28" w:type="dxa"/>
            </w:tcMar>
            <w:vAlign w:val="center"/>
          </w:tcPr>
          <w:p>
            <w:pPr>
              <w:pStyle w:val="TableContents"/>
              <w:spacing w:before="0" w:after="283"/>
              <w:rPr/>
            </w:pPr>
            <w:r>
              <w:rPr/>
              <w:t>/s/ David Quiram</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Name: </w:t>
            </w:r>
          </w:p>
        </w:tc>
        <w:tc>
          <w:tcPr>
            <w:tcW w:w="4265" w:type="dxa"/>
            <w:tcBorders/>
            <w:shd w:fill="auto" w:val="clear"/>
            <w:vAlign w:val="center"/>
          </w:tcPr>
          <w:p>
            <w:pPr>
              <w:pStyle w:val="TableContents"/>
              <w:spacing w:before="0" w:after="283"/>
              <w:rPr/>
            </w:pPr>
            <w:r>
              <w:rPr/>
              <w:t>David Quiram</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Title:</w:t>
            </w:r>
          </w:p>
        </w:tc>
        <w:tc>
          <w:tcPr>
            <w:tcW w:w="4265" w:type="dxa"/>
            <w:tcBorders/>
            <w:shd w:fill="auto" w:val="clear"/>
            <w:vAlign w:val="center"/>
          </w:tcPr>
          <w:p>
            <w:pPr>
              <w:pStyle w:val="TableContents"/>
              <w:spacing w:before="0" w:after="283"/>
              <w:rPr/>
            </w:pPr>
            <w:r>
              <w:rPr/>
              <w:t>Chief Financial Officer</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(Principal Financial and Accounting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8562/000121390021013347/ea137001ex2-1_sustainable.htm" TargetMode="External"/><Relationship Id="rId3" Type="http://schemas.openxmlformats.org/officeDocument/2006/relationships/hyperlink" Target="https://www.sec.gov/Archives/edgar/data/1758766/000110465920097263/tm2024791d12_ex3-1.htm" TargetMode="External"/><Relationship Id="rId4" Type="http://schemas.openxmlformats.org/officeDocument/2006/relationships/hyperlink" Target="https://www.sec.gov/Archives/edgar/data/1758766/000110465920097263/tm2024791d12_ex4-1.htm" TargetMode="External"/><Relationship Id="rId5" Type="http://schemas.openxmlformats.org/officeDocument/2006/relationships/hyperlink" Target="http://www.sec.gov/Archives/edgar/data/1798562/000121390020010708/ea121276ex4-1_sustainable.htm" TargetMode="External"/><Relationship Id="rId6" Type="http://schemas.openxmlformats.org/officeDocument/2006/relationships/hyperlink" Target="http://www.sec.gov/Archives/edgar/data/1798562/000121390020010708/ea121276ex4-1_sustainable.htm" TargetMode="External"/><Relationship Id="rId7" Type="http://schemas.openxmlformats.org/officeDocument/2006/relationships/hyperlink" Target="http://www.sec.gov/Archives/edgar/data/1798562/000121390020010708/ea121276ex4-2_sustainable.htm" TargetMode="External"/><Relationship Id="rId8" Type="http://schemas.openxmlformats.org/officeDocument/2006/relationships/hyperlink" Target="https://www.sec.gov/Archives/edgar/data/1758766/000110465920097263/tm2024791d12_ex10-2.htm" TargetMode="External"/><Relationship Id="rId9" Type="http://schemas.openxmlformats.org/officeDocument/2006/relationships/hyperlink" Target="https://www.sec.gov/Archives/edgar/data/1758766/000110465920097263/tm2024791d12_ex10-3.htm" TargetMode="External"/><Relationship Id="rId10" Type="http://schemas.openxmlformats.org/officeDocument/2006/relationships/hyperlink" Target="https://www.sec.gov/Archives/edgar/data/1758766/000110465920097263/tm2024791d12_ex10-1.htm" TargetMode="External"/><Relationship Id="rId11" Type="http://schemas.openxmlformats.org/officeDocument/2006/relationships/hyperlink" Target="https://www.sec.gov/Archives/edgar/data/1758766/000110465920097263/tm2024791d12_ex10-4.htm" TargetMode="External"/><Relationship Id="rId12" Type="http://schemas.openxmlformats.org/officeDocument/2006/relationships/hyperlink" Target="http://www.sec.gov/Archives/edgar/data/1798562/000121390020011491/ea121545ex10-4_sustainable.htm" TargetMode="External"/><Relationship Id="rId13" Type="http://schemas.openxmlformats.org/officeDocument/2006/relationships/hyperlink" Target="https://www.sec.gov/Archives/edgar/data/1758766/000110465920097263/tm2024791d12_ex10-5.htm" TargetMode="External"/><Relationship Id="rId14" Type="http://schemas.openxmlformats.org/officeDocument/2006/relationships/hyperlink" Target="https://www.sec.gov/Archives/edgar/data/1758766/000110465920132220/tm2037633d1_ex10-3.htm" TargetMode="External"/><Relationship Id="rId15" Type="http://schemas.openxmlformats.org/officeDocument/2006/relationships/hyperlink" Target="http://www.sec.gov/Archives/edgar/data/1798562/000121390021013347/ea137001ex10-3_sustainable.htm" TargetMode="External"/><Relationship Id="rId16" Type="http://schemas.openxmlformats.org/officeDocument/2006/relationships/hyperlink" Target="https://www.sec.gov/Archives/edgar/data/1758766/000110465920132220/tm2037633d1_ex10-1.htm" TargetMode="External"/><Relationship Id="rId17" Type="http://schemas.openxmlformats.org/officeDocument/2006/relationships/hyperlink" Target="http://www.sec.gov/Archives/edgar/data/1798562/000121390021013347/ea137001ex10-1_sustainable.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80514</Words>
  <CharactersWithSpaces>510418</CharactersWithSpaces>
  <Paragraphs>5077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