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left="340" w:right="120"/>
        <w:spacing w:after="0" w:line="282" w:lineRule="auto"/>
        <w:rPr>
          <w:sz w:val="20"/>
          <w:szCs w:val="20"/>
          <w:color w:val="auto"/>
        </w:rPr>
      </w:pPr>
      <w:r>
        <w:rPr>
          <w:rFonts w:ascii="Arial" w:cs="Arial" w:eastAsia="Arial" w:hAnsi="Arial"/>
          <w:sz w:val="18"/>
          <w:szCs w:val="18"/>
          <w:b w:val="1"/>
          <w:bCs w:val="1"/>
          <w:color w:val="auto"/>
        </w:rPr>
        <w:t>SOAC Files Registration Statement on S-4 in Connection with Proposed Combination with DeepGreen Metals, Explorer of the World's Largest Undeveloped Resource of Battery Metals for EVs</w:t>
      </w:r>
    </w:p>
    <w:p>
      <w:pPr>
        <w:spacing w:after="0" w:line="200" w:lineRule="exact"/>
        <w:rPr>
          <w:sz w:val="24"/>
          <w:szCs w:val="24"/>
          <w:color w:val="auto"/>
        </w:rPr>
      </w:pPr>
    </w:p>
    <w:p>
      <w:pPr>
        <w:spacing w:after="0" w:line="249" w:lineRule="exact"/>
        <w:rPr>
          <w:sz w:val="24"/>
          <w:szCs w:val="24"/>
          <w:color w:val="auto"/>
        </w:rPr>
      </w:pPr>
    </w:p>
    <w:p>
      <w:pPr>
        <w:ind w:left="660" w:right="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Form S-4 filing with the SEC provides information about DeepGreen for current and prospective investors in advance of the combined company’s public listing as </w:t>
      </w:r>
      <w:r>
        <w:rPr>
          <w:rFonts w:ascii="Arial" w:cs="Arial" w:eastAsia="Arial" w:hAnsi="Arial"/>
          <w:sz w:val="18"/>
          <w:szCs w:val="18"/>
          <w:i w:val="1"/>
          <w:iCs w:val="1"/>
          <w:color w:val="auto"/>
        </w:rPr>
        <w:t>The Metals Company</w:t>
      </w:r>
    </w:p>
    <w:p>
      <w:pPr>
        <w:spacing w:after="0" w:line="170"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 combines the first ESG-focused SPAC with a company exploring the world’s largest estimated source of electric vehicle (EV) battery metals from deep-sea polymetallic nodules that are expected to be produced at low cost with dramatically reduced social and environmental impact as compared to land-based mining</w:t>
      </w:r>
    </w:p>
    <w:p>
      <w:pPr>
        <w:spacing w:after="0" w:line="183"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highlight w:val="white"/>
        </w:rPr>
        <w:t>The transaction represents a pro forma equity value of US$2.9 billion (assuming no redemptions) for the combined company, which will be renamed The Metals Company upon closing</w:t>
      </w:r>
    </w:p>
    <w:p>
      <w:pPr>
        <w:spacing w:after="0" w:line="319"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highlight w:val="white"/>
        </w:rPr>
        <w:t xml:space="preserve">DALLAS, Texas &amp; </w:t>
      </w:r>
      <w:r>
        <w:rPr>
          <w:rFonts w:ascii="Arial" w:cs="Arial" w:eastAsia="Arial" w:hAnsi="Arial"/>
          <w:sz w:val="18"/>
          <w:szCs w:val="18"/>
          <w:color w:val="auto"/>
        </w:rPr>
        <w:t>VANCOUVER, Canada — April 15, 2021 – Sustainable Opportunities Acquisition Corporation (NYSE: SOAC) announced that it has</w:t>
      </w:r>
      <w:r>
        <w:rPr>
          <w:rFonts w:ascii="Arial" w:cs="Arial" w:eastAsia="Arial" w:hAnsi="Arial"/>
          <w:sz w:val="18"/>
          <w:szCs w:val="18"/>
          <w:color w:val="auto"/>
          <w:highlight w:val="white"/>
        </w:rPr>
        <w:t xml:space="preserve"> </w:t>
      </w:r>
      <w:r>
        <w:rPr>
          <w:rFonts w:ascii="Arial" w:cs="Arial" w:eastAsia="Arial" w:hAnsi="Arial"/>
          <w:sz w:val="18"/>
          <w:szCs w:val="18"/>
          <w:color w:val="auto"/>
        </w:rPr>
        <w:t>filed a registration statement on Form S-4 with the U.S. Securities and Exchange Commission. The filing includes a preliminary proxy statement/prospectus in connection with SOAC’s proposed business combination with DeepGreen Metals Inc., a company exploring for lower-impact battery metals from polymetallic nodules lying on the seafloor.</w:t>
      </w:r>
    </w:p>
    <w:p>
      <w:pPr>
        <w:spacing w:after="0" w:line="106"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DeepGreen recently announced its entry into a definitive business combination agreement with SOAC, a special purpose acquisition company with a dedicated ESG focus and deep operational and capital market capabilities in the energy and resource sectors. DeepGreen is exploring a new, scalable source of battery metals in the form of polymetallic nodules which are found in the Clarion Clipperton Zone of the Pacific Ocean. The estimated battery metal resource on the seafloor in the exploration contract areas held by DeepGreen’s subsidiaries is equivalent to that contained in 280 million EVs — approximately one quarter of the current global passenger vehicle fleet.</w:t>
      </w:r>
    </w:p>
    <w:p>
      <w:pPr>
        <w:spacing w:after="0" w:line="120"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“We anticipate that The Metals Company will successfully scale to meet the expected deficit in electric vehicle battery metals that presents the biggest hurdle to the mass electrification of transportation,” said Scott Leonard, CEO of SOAC. “We look forward to advancing toward listing The Metals Company as a key part of our objective to become the world’s largest producer of critical battery minerals like nickel, copper and cobalt with the lowest ESG impact and production cost.”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60"/>
        <w:spacing w:after="0" w:line="311" w:lineRule="auto"/>
        <w:rPr>
          <w:sz w:val="20"/>
          <w:szCs w:val="20"/>
          <w:color w:val="auto"/>
        </w:rPr>
      </w:pPr>
      <w:r>
        <w:rPr>
          <w:rFonts w:ascii="Arial" w:cs="Arial" w:eastAsia="Arial" w:hAnsi="Arial"/>
          <w:sz w:val="16"/>
          <w:szCs w:val="16"/>
          <w:color w:val="auto"/>
        </w:rPr>
        <w:t>Gerard Barron, Chairman and CEO of DeepGreen, said: “The Form S-4 filing is a big milestone in the evolution of DeepGreen, and we could not ask for a more mission-aligned partner than SOAC to bring this project through feasibility and into production. We look forward to progressing the bright future possible through electrification by supplying critical battery metals to customers working to lower ESG impacts throughout their battery supply chains.”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completion of the transaction, the combined company will operate as The Metals Company and is expected to be listed under the ticker symbol TMC in the second quarter of 2021. Once the registration statement has been declared effective by the SEC, the final definitive proxy statement/prospectus will be mailed to shareholders of SOAC prior to its shareholder vote on the proposed transaction. Additional information on the proposed business combination is available here.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DeepGreen</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Corporation (SOAC) to accelerate project development and become a publicly traded company on NASDAQ as ‘The Metals Company’. More information is available at deep.green.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16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2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Unlimited Liability Company, an unlimited liability company existing under the laws of British Columbia, Canada, and DeepGreen Metals Inc., a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w:t>
      </w:r>
      <w:r>
        <w:rPr>
          <w:rFonts w:ascii="Arial" w:cs="Arial" w:eastAsia="Arial" w:hAnsi="Arial"/>
          <w:sz w:val="16"/>
          <w:szCs w:val="16"/>
          <w:color w:val="auto"/>
        </w:rPr>
        <w:t>”). In connection with the proposed Business Combination, SOAC has filed with the U.S. Securities and Exchange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xml:space="preserve">”) a Registration Statement on Form S-4, including a preliminary proxy statement/prospectus. </w:t>
      </w:r>
      <w:r>
        <w:rPr>
          <w:rFonts w:ascii="Arial" w:cs="Arial" w:eastAsia="Arial" w:hAnsi="Arial"/>
          <w:sz w:val="16"/>
          <w:szCs w:val="16"/>
          <w:b w:val="1"/>
          <w:bCs w:val="1"/>
          <w:color w:val="auto"/>
        </w:rPr>
        <w:t>SOAC’s shareholders and other interested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advised to read the preliminary proxy statement/prospectus and, when available, any amendments thereto and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statement/prospectus as well as other documents filed with the SEC in connection with the proposed Business Combination, as these materials will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contain important information about DeepGreen, SOAC, and the proposed Business Combination. </w:t>
      </w:r>
      <w:r>
        <w:rPr>
          <w:rFonts w:ascii="Arial" w:cs="Arial" w:eastAsia="Arial" w:hAnsi="Arial"/>
          <w:sz w:val="17"/>
          <w:szCs w:val="17"/>
          <w:color w:val="auto"/>
        </w:rPr>
        <w:t>When available,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and other relevant materials for the proposed Business Combination will be mailed to shareholders of SOAC as of a record date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established for voting on the proposed Business Combination. Shareholders will also be able to obtain copies of the preliminary proxy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the definitive proxy statement/prospectus, and other documents filed with the SEC that will be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charge, once available, at the SEC’s website at www.sec.gov, or by directing a request to: Investors@soa-corp.com.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proxy statement/prospectus for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Contacts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Rory Usher | DeepGreen Metals | rory.usher@deep.green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Chelsea Lauber | Antenna Group | tmc@antennagroup.com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2021-04-16T05:16:14Z</dcterms:created>
  <dcterms:modified xsi:type="dcterms:W3CDTF">2021-04-16T05:16:14Z</dcterms:modified>
</cp:coreProperties>
</file>