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12b-25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NOTIFICATION OF LATE FILING</w:t>
      </w:r>
    </w:p>
    <w:p>
      <w:pPr>
        <w:spacing w:after="0" w:line="22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001-39281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 FILE NUMBER</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G8598Y 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(Check One)</w:t>
      </w:r>
      <w:r>
        <w:rPr>
          <w:rFonts w:ascii="Arial" w:cs="Arial" w:eastAsia="Arial" w:hAnsi="Arial"/>
          <w:sz w:val="18"/>
          <w:szCs w:val="18"/>
          <w:color w:val="auto"/>
        </w:rPr>
        <w:t>:</w:t>
      </w:r>
    </w:p>
    <w:p>
      <w:pPr>
        <w:spacing w:after="0" w:line="192" w:lineRule="exact"/>
        <w:rPr>
          <w:sz w:val="24"/>
          <w:szCs w:val="24"/>
          <w:color w:val="auto"/>
        </w:rPr>
      </w:pPr>
    </w:p>
    <w:p>
      <w:pPr>
        <w:jc w:val="center"/>
        <w:ind w:left="4360" w:right="1740" w:hanging="2607"/>
        <w:spacing w:after="0" w:line="239" w:lineRule="exact"/>
        <w:tabs>
          <w:tab w:leader="none" w:pos="195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10-Q and 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 Form N-SAR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 For Period Ended: </w:t>
      </w:r>
      <w:r>
        <w:rPr>
          <w:rFonts w:ascii="Arial" w:cs="Arial" w:eastAsia="Arial" w:hAnsi="Arial"/>
          <w:sz w:val="18"/>
          <w:szCs w:val="18"/>
          <w:u w:val="single" w:color="auto"/>
          <w:color w:val="auto"/>
        </w:rPr>
        <w:t>March 31, 2021</w:t>
      </w:r>
    </w:p>
    <w:p>
      <w:pPr>
        <w:spacing w:after="0" w:line="200" w:lineRule="exact"/>
        <w:rPr>
          <w:rFonts w:ascii="MS PGothic" w:cs="MS PGothic" w:eastAsia="MS PGothic" w:hAnsi="MS PGothic"/>
          <w:sz w:val="18"/>
          <w:szCs w:val="18"/>
          <w:color w:val="auto"/>
        </w:rPr>
      </w:pPr>
    </w:p>
    <w:p>
      <w:pPr>
        <w:spacing w:after="0" w:line="218" w:lineRule="exact"/>
        <w:rPr>
          <w:rFonts w:ascii="MS PGothic" w:cs="MS PGothic" w:eastAsia="MS PGothic" w:hAnsi="MS PGothic"/>
          <w:sz w:val="18"/>
          <w:szCs w:val="18"/>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9" w:lineRule="exact"/>
        <w:rPr>
          <w:sz w:val="24"/>
          <w:szCs w:val="24"/>
          <w:color w:val="auto"/>
        </w:rPr>
      </w:pPr>
    </w:p>
    <w:p>
      <w:pPr>
        <w:ind w:left="1300"/>
        <w:spacing w:after="0"/>
        <w:tabs>
          <w:tab w:leader="none" w:pos="3880" w:val="left"/>
        </w:tabs>
        <w:rPr>
          <w:sz w:val="20"/>
          <w:szCs w:val="20"/>
          <w:color w:val="auto"/>
        </w:rPr>
      </w:pPr>
      <w:r>
        <w:rPr>
          <w:rFonts w:ascii="Arial" w:cs="Arial" w:eastAsia="Arial" w:hAnsi="Arial"/>
          <w:sz w:val="18"/>
          <w:szCs w:val="18"/>
          <w:color w:val="auto"/>
        </w:rPr>
        <w:t>For the Transition Period Ended:</w:t>
      </w:r>
      <w:r>
        <w:rPr>
          <w:sz w:val="20"/>
          <w:szCs w:val="20"/>
          <w:color w:val="auto"/>
        </w:rPr>
        <w:tab/>
      </w:r>
      <w:r>
        <w:rPr>
          <w:rFonts w:ascii="Arial" w:cs="Arial" w:eastAsia="Arial" w:hAnsi="Arial"/>
          <w:sz w:val="17"/>
          <w:szCs w:val="17"/>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2356485</wp:posOffset>
            </wp:positionH>
            <wp:positionV relativeFrom="paragraph">
              <wp:posOffset>-20320</wp:posOffset>
            </wp:positionV>
            <wp:extent cx="504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Nothing in this form shall be construed to imply that the Commission has verified any information contained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Full Name of Registrant:</w:t>
      </w:r>
    </w:p>
    <w:p>
      <w:pPr>
        <w:spacing w:after="0" w:line="23"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Sustainable Opportunities Acquisition Corp.</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Former Name if Applicable:</w:t>
      </w:r>
    </w:p>
    <w:p>
      <w:pPr>
        <w:spacing w:after="0" w:line="23"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N/A</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Address of Principal Executive Office (</w:t>
      </w:r>
      <w:r>
        <w:rPr>
          <w:rFonts w:ascii="Arial" w:cs="Arial" w:eastAsia="Arial" w:hAnsi="Arial"/>
          <w:sz w:val="18"/>
          <w:szCs w:val="18"/>
          <w:i w:val="1"/>
          <w:iCs w:val="1"/>
          <w:color w:val="auto"/>
        </w:rPr>
        <w:t>Street and Number</w:t>
      </w:r>
      <w:r>
        <w:rPr>
          <w:rFonts w:ascii="Arial" w:cs="Arial" w:eastAsia="Arial" w:hAnsi="Arial"/>
          <w:sz w:val="18"/>
          <w:szCs w:val="18"/>
          <w:color w:val="auto"/>
        </w:rPr>
        <w:t>):</w:t>
      </w:r>
    </w:p>
    <w:p>
      <w:pPr>
        <w:spacing w:after="0" w:line="225"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1601 Bryan Street, Suite 4141</w:t>
      </w:r>
    </w:p>
    <w:p>
      <w:pPr>
        <w:spacing w:after="0" w:line="23"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City, State and Zip Code:</w:t>
      </w:r>
    </w:p>
    <w:p>
      <w:pPr>
        <w:spacing w:after="0" w:line="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Dallas, Texas 75201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right="460" w:firstLine="648"/>
        <w:spacing w:after="0" w:line="233" w:lineRule="exact"/>
        <w:rPr>
          <w:sz w:val="20"/>
          <w:szCs w:val="20"/>
          <w:color w:val="auto"/>
        </w:rPr>
      </w:pPr>
      <w:r>
        <w:rPr>
          <w:rFonts w:ascii="Arial" w:cs="Arial" w:eastAsia="Arial" w:hAnsi="Arial"/>
          <w:sz w:val="18"/>
          <w:szCs w:val="18"/>
          <w:color w:val="auto"/>
        </w:rPr>
        <w:t xml:space="preserve">If the subject report could not be filed without unreasonable effort or expense and the registrant seeks relief pursuant to Rule 12b-25(b), the following should be completed. (Check box if appropriate) </w:t>
      </w:r>
      <w:r>
        <w:rPr>
          <w:rFonts w:ascii="MS PGothic" w:cs="MS PGothic" w:eastAsia="MS PGothic" w:hAnsi="MS PGothic"/>
          <w:sz w:val="18"/>
          <w:szCs w:val="18"/>
          <w:color w:val="auto"/>
        </w:rPr>
        <w:t>☒</w:t>
      </w:r>
    </w:p>
    <w:p>
      <w:pPr>
        <w:spacing w:after="0" w:line="182" w:lineRule="exact"/>
        <w:rPr>
          <w:sz w:val="20"/>
          <w:szCs w:val="20"/>
          <w:color w:val="auto"/>
        </w:rPr>
      </w:pPr>
    </w:p>
    <w:p>
      <w:pPr>
        <w:ind w:left="1620" w:hanging="802"/>
        <w:spacing w:after="0"/>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reasons described in reasonable detail in Part III of this form could not be eliminated without unreasonable effort or expense;</w:t>
      </w:r>
    </w:p>
    <w:p>
      <w:pPr>
        <w:spacing w:after="0" w:line="248" w:lineRule="exact"/>
        <w:rPr>
          <w:rFonts w:ascii="Arial" w:cs="Arial" w:eastAsia="Arial" w:hAnsi="Arial"/>
          <w:sz w:val="16"/>
          <w:szCs w:val="16"/>
          <w:color w:val="auto"/>
        </w:rPr>
      </w:pPr>
    </w:p>
    <w:p>
      <w:pPr>
        <w:ind w:left="1620" w:right="80" w:hanging="802"/>
        <w:spacing w:after="0" w:line="259"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86" w:lineRule="exact"/>
        <w:rPr>
          <w:rFonts w:ascii="Arial" w:cs="Arial" w:eastAsia="Arial" w:hAnsi="Arial"/>
          <w:sz w:val="18"/>
          <w:szCs w:val="18"/>
          <w:color w:val="auto"/>
        </w:rPr>
      </w:pPr>
    </w:p>
    <w:p>
      <w:pPr>
        <w:ind w:left="1620" w:hanging="802"/>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State below in reasonable detail the reasons why Forms 10-K, 20-F, 11-K, 10-Q, 10-D, N-SAR, N-CSR, or the transition report or portion thereof, could not be filed within the prescribed time period.</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Sustainable Opportunities Acquisition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determined that it is unable, without unreasonable effort or expense, to file its Quarterly Report on Form 10-Q for the fiscal quarter ended March 31, 2021 (the “</w:t>
      </w:r>
      <w:r>
        <w:rPr>
          <w:rFonts w:ascii="Arial" w:cs="Arial" w:eastAsia="Arial" w:hAnsi="Arial"/>
          <w:sz w:val="18"/>
          <w:szCs w:val="18"/>
          <w:b w:val="1"/>
          <w:bCs w:val="1"/>
          <w:i w:val="1"/>
          <w:iCs w:val="1"/>
          <w:color w:val="auto"/>
        </w:rPr>
        <w:t>Q1 2021 Form 10-Q</w:t>
      </w:r>
      <w:r>
        <w:rPr>
          <w:rFonts w:ascii="Arial" w:cs="Arial" w:eastAsia="Arial" w:hAnsi="Arial"/>
          <w:sz w:val="18"/>
          <w:szCs w:val="18"/>
          <w:color w:val="auto"/>
        </w:rPr>
        <w:t>”) by the prescribed due date for the reasons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96" w:right="419" w:bottom="1440" w:gutter="0" w:footer="0" w:header="0"/>
        </w:sectPr>
      </w:pPr>
    </w:p>
    <w:bookmarkStart w:id="2" w:name="page3"/>
    <w:bookmarkEnd w:id="2"/>
    <w:p>
      <w:pPr>
        <w:ind w:right="20" w:firstLine="648"/>
        <w:spacing w:after="0" w:line="287" w:lineRule="auto"/>
        <w:rPr>
          <w:sz w:val="20"/>
          <w:szCs w:val="20"/>
          <w:color w:val="auto"/>
        </w:rPr>
      </w:pPr>
      <w:r>
        <w:rPr>
          <w:rFonts w:ascii="Arial" w:cs="Arial" w:eastAsia="Arial" w:hAnsi="Arial"/>
          <w:sz w:val="16"/>
          <w:szCs w:val="16"/>
          <w:color w:val="auto"/>
        </w:rPr>
        <w:t>On April 12, 2021, the Staff of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issued the “Staff Statement on Accounting and Reporting Considerations for Warrants Issued by Special Purpose Acquisition Companies (“</w:t>
      </w:r>
      <w:r>
        <w:rPr>
          <w:rFonts w:ascii="Arial" w:cs="Arial" w:eastAsia="Arial" w:hAnsi="Arial"/>
          <w:sz w:val="16"/>
          <w:szCs w:val="16"/>
          <w:b w:val="1"/>
          <w:bCs w:val="1"/>
          <w:i w:val="1"/>
          <w:iCs w:val="1"/>
          <w:color w:val="auto"/>
        </w:rPr>
        <w:t>SPACs</w:t>
      </w:r>
      <w:r>
        <w:rPr>
          <w:rFonts w:ascii="Arial" w:cs="Arial" w:eastAsia="Arial" w:hAnsi="Arial"/>
          <w:sz w:val="16"/>
          <w:szCs w:val="16"/>
          <w:color w:val="auto"/>
        </w:rPr>
        <w:t>”)” (the “</w:t>
      </w:r>
      <w:r>
        <w:rPr>
          <w:rFonts w:ascii="Arial" w:cs="Arial" w:eastAsia="Arial" w:hAnsi="Arial"/>
          <w:sz w:val="16"/>
          <w:szCs w:val="16"/>
          <w:b w:val="1"/>
          <w:bCs w:val="1"/>
          <w:i w:val="1"/>
          <w:iCs w:val="1"/>
          <w:color w:val="auto"/>
        </w:rPr>
        <w:t>SEC Statement</w:t>
      </w:r>
      <w:r>
        <w:rPr>
          <w:rFonts w:ascii="Arial" w:cs="Arial" w:eastAsia="Arial" w:hAnsi="Arial"/>
          <w:sz w:val="16"/>
          <w:szCs w:val="16"/>
          <w:color w:val="auto"/>
        </w:rPr>
        <w:t>”), which clarified guidance for all SPAC-related companies regarding the accounting and reporting for their warrants. Following review of the SEC Statement, the Company reevaluated the accounting treatment of its public warrants and private placement warrants as equity, and concluded that, based on the SEC Statement, the public warrants and private placement warrants should be, and should previously have been, classified as a liability measured at fair value, with non-cash fair value adjustments recorded in earnings at each reporting period. The Company is currently evaluating the extent of the SEC Statement’s impact on its financial statements as of and for the fiscal quarter ended March 31, 2021 included in the Q1 2021 Form 10-Q and its previously filed financial statements. The Company is working diligently to complete the Q1 2021 Form 10-Q as soon as possible; however, given the scope of the process for determining the appropriate treatment of the public warrants and private placement warrants in accordance with the SEC Statement and appropriately reporting such treatment in the Q1 2021 Form 10-Q, the Company is unable to complete and file the Q1 2021 Form 10-Q by the required due date of May 17, 2021 without unreasonable effort and expense. The Company does, however, expect to file such report within five calendar days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660"/>
              <w:spacing w:after="0"/>
              <w:rPr>
                <w:sz w:val="20"/>
                <w:szCs w:val="20"/>
                <w:color w:val="auto"/>
              </w:rPr>
            </w:pPr>
            <w:r>
              <w:rPr>
                <w:rFonts w:ascii="Arial" w:cs="Arial" w:eastAsia="Arial" w:hAnsi="Arial"/>
                <w:sz w:val="18"/>
                <w:szCs w:val="18"/>
                <w:color w:val="auto"/>
                <w:w w:val="92"/>
              </w:rPr>
              <w:t>(1) Name and telephone number of person to contact in regard to this notification</w:t>
            </w:r>
          </w:p>
        </w:tc>
        <w:tc>
          <w:tcPr>
            <w:tcW w:w="168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32"/>
        </w:trPr>
        <w:tc>
          <w:tcPr>
            <w:tcW w:w="66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Scott Leonard</w:t>
            </w:r>
          </w:p>
        </w:tc>
        <w:tc>
          <w:tcPr>
            <w:tcW w:w="1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(952)</w:t>
            </w:r>
          </w:p>
        </w:tc>
        <w:tc>
          <w:tcPr>
            <w:tcW w:w="29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456-5304</w:t>
            </w:r>
          </w:p>
        </w:tc>
      </w:tr>
      <w:tr>
        <w:trPr>
          <w:trHeight w:val="224"/>
        </w:trPr>
        <w:tc>
          <w:tcPr>
            <w:tcW w:w="6640" w:type="dxa"/>
            <w:vAlign w:val="bottom"/>
          </w:tcPr>
          <w:p>
            <w:pPr>
              <w:spacing w:after="0"/>
              <w:rPr>
                <w:sz w:val="20"/>
                <w:szCs w:val="20"/>
                <w:color w:val="auto"/>
              </w:rPr>
            </w:pPr>
            <w:r>
              <w:rPr>
                <w:rFonts w:ascii="Arial" w:cs="Arial" w:eastAsia="Arial" w:hAnsi="Arial"/>
                <w:sz w:val="18"/>
                <w:szCs w:val="18"/>
                <w:color w:val="auto"/>
              </w:rPr>
              <w:t>(Name)</w:t>
            </w:r>
          </w:p>
        </w:tc>
        <w:tc>
          <w:tcPr>
            <w:tcW w:w="1680" w:type="dxa"/>
            <w:vAlign w:val="bottom"/>
          </w:tcPr>
          <w:p>
            <w:pPr>
              <w:ind w:left="120"/>
              <w:spacing w:after="0"/>
              <w:rPr>
                <w:sz w:val="20"/>
                <w:szCs w:val="20"/>
                <w:color w:val="auto"/>
              </w:rPr>
            </w:pPr>
            <w:r>
              <w:rPr>
                <w:rFonts w:ascii="Arial" w:cs="Arial" w:eastAsia="Arial" w:hAnsi="Arial"/>
                <w:sz w:val="18"/>
                <w:szCs w:val="18"/>
                <w:color w:val="auto"/>
              </w:rPr>
              <w:t>(Area Code)</w:t>
            </w:r>
          </w:p>
        </w:tc>
        <w:tc>
          <w:tcPr>
            <w:tcW w:w="2920" w:type="dxa"/>
            <w:vAlign w:val="bottom"/>
          </w:tcPr>
          <w:p>
            <w:pPr>
              <w:ind w:left="680"/>
              <w:spacing w:after="0"/>
              <w:rPr>
                <w:sz w:val="20"/>
                <w:szCs w:val="20"/>
                <w:color w:val="auto"/>
              </w:rPr>
            </w:pPr>
            <w:r>
              <w:rPr>
                <w:rFonts w:ascii="Arial" w:cs="Arial" w:eastAsia="Arial" w:hAnsi="Arial"/>
                <w:sz w:val="18"/>
                <w:szCs w:val="18"/>
                <w:color w:val="auto"/>
              </w:rPr>
              <w:t>(Telephone Number)</w:t>
            </w:r>
          </w:p>
        </w:tc>
      </w:tr>
    </w:tbl>
    <w:p>
      <w:pPr>
        <w:spacing w:after="0" w:line="187" w:lineRule="exact"/>
        <w:rPr>
          <w:sz w:val="20"/>
          <w:szCs w:val="20"/>
          <w:color w:val="auto"/>
        </w:rPr>
      </w:pPr>
    </w:p>
    <w:p>
      <w:pPr>
        <w:ind w:right="360" w:firstLine="656"/>
        <w:spacing w:after="0" w:line="263" w:lineRule="auto"/>
        <w:tabs>
          <w:tab w:leader="none" w:pos="903"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50" w:lineRule="exact"/>
        <w:rPr>
          <w:rFonts w:ascii="Arial" w:cs="Arial" w:eastAsia="Arial" w:hAnsi="Arial"/>
          <w:sz w:val="18"/>
          <w:szCs w:val="18"/>
          <w:color w:val="auto"/>
        </w:rPr>
      </w:pPr>
    </w:p>
    <w:p>
      <w:pPr>
        <w:ind w:left="9860" w:hanging="208"/>
        <w:spacing w:after="0" w:line="207" w:lineRule="exact"/>
        <w:tabs>
          <w:tab w:leader="none" w:pos="9860" w:val="left"/>
        </w:tabs>
        <w:numPr>
          <w:ilvl w:val="2"/>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7" w:lineRule="exact"/>
        <w:rPr>
          <w:rFonts w:ascii="MS PGothic" w:cs="MS PGothic" w:eastAsia="MS PGothic" w:hAnsi="MS PGothic"/>
          <w:sz w:val="18"/>
          <w:szCs w:val="18"/>
          <w:color w:val="auto"/>
        </w:rPr>
      </w:pPr>
    </w:p>
    <w:p>
      <w:pPr>
        <w:ind w:firstLine="656"/>
        <w:spacing w:after="0" w:line="277" w:lineRule="auto"/>
        <w:tabs>
          <w:tab w:leader="none" w:pos="903"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37" w:lineRule="exact"/>
        <w:rPr>
          <w:rFonts w:ascii="Arial" w:cs="Arial" w:eastAsia="Arial" w:hAnsi="Arial"/>
          <w:sz w:val="18"/>
          <w:szCs w:val="18"/>
          <w:color w:val="auto"/>
        </w:rPr>
      </w:pPr>
    </w:p>
    <w:p>
      <w:pPr>
        <w:ind w:left="9860" w:hanging="209"/>
        <w:spacing w:after="0" w:line="207" w:lineRule="exact"/>
        <w:tabs>
          <w:tab w:leader="none" w:pos="986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Disclosures About Forward-Looking Statements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Certain statements included in this Notification of Late Filing on Form 12b-25, which are not historical facts, are forward-looking statements. Such forward-looking statements speak only as of the date of this Notification. These forward-looking statements can be identified by the use of forward-looking terminology, including the words “expects,” “may,” “will,” “projects,” or “should,” or, in each case, their negative or other variations or comparable terminology. There can be no assurance that actual results will not materially differ from expectations. Such statements include any statements that are not statements of current or historical facts. These statements are based on management’s current expectations, but actual results may differ materially due to various factors, including, but not limited to, a variety of risk factors affecting the Company’s business and prospects disclosed in the Company’s annual, quarterly reports and subsequent reports filed with the SEC, as amended from time to time. The forward-looking statements contained in this Notification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Company’s annual, quarterly reports and subsequent reports filed with the SEC, as amended from time to time.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“Risk Factors” in the Company’s annual, quarterly reports and subsequent reports filed with the SEC, as amended from time to time may not be exhaustive.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4" w:name="page5"/>
    <w:bookmarkEnd w:id="4"/>
    <w:p>
      <w:pPr>
        <w:ind w:left="4020"/>
        <w:spacing w:after="0"/>
        <w:rPr>
          <w:sz w:val="20"/>
          <w:szCs w:val="20"/>
          <w:color w:val="auto"/>
        </w:rPr>
      </w:pPr>
      <w:r>
        <w:rPr>
          <w:rFonts w:ascii="Arial" w:cs="Arial" w:eastAsia="Arial" w:hAnsi="Arial"/>
          <w:sz w:val="18"/>
          <w:szCs w:val="18"/>
          <w:color w:val="auto"/>
        </w:rPr>
        <w:t>Sustainable Opportunities Acquisition Corp.</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1840" w:val="left"/>
          <w:tab w:leader="none" w:pos="4160" w:val="left"/>
          <w:tab w:leader="none" w:pos="4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67036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Scott Leonard</w:t>
      </w:r>
    </w:p>
    <w:p>
      <w:pPr>
        <w:spacing w:after="0" w:line="23"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6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2021-05-18T15:13:43Z</dcterms:created>
  <dcterms:modified xsi:type="dcterms:W3CDTF">2021-05-18T15:13:43Z</dcterms:modified>
</cp:coreProperties>
</file>