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8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1"/>
              </w:rPr>
              <w:t>Cayman Islands</w:t>
            </w:r>
          </w:p>
        </w:tc>
        <w:tc>
          <w:tcPr>
            <w:tcW w:w="274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0"/>
              </w:rPr>
              <w:t>001-39281</w:t>
            </w:r>
          </w:p>
        </w:tc>
        <w:tc>
          <w:tcPr>
            <w:tcW w:w="1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98-1523768</w:t>
            </w:r>
          </w:p>
        </w:tc>
      </w:tr>
      <w:tr>
        <w:trPr>
          <w:trHeight w:val="198"/>
        </w:trPr>
        <w:tc>
          <w:tcPr>
            <w:tcW w:w="38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gridSpan w:val="3"/>
          </w:tcPr>
          <w:p>
            <w:pPr>
              <w:jc w:val="center"/>
              <w:ind w:right="840"/>
              <w:spacing w:after="0" w:line="198" w:lineRule="exact"/>
              <w:rPr>
                <w:sz w:val="20"/>
                <w:szCs w:val="20"/>
                <w:color w:val="auto"/>
              </w:rPr>
            </w:pPr>
            <w:r>
              <w:rPr>
                <w:rFonts w:ascii="Arial" w:cs="Arial" w:eastAsia="Arial" w:hAnsi="Arial"/>
                <w:sz w:val="18"/>
                <w:szCs w:val="18"/>
                <w:b w:val="1"/>
                <w:bCs w:val="1"/>
                <w:color w:val="auto"/>
                <w:w w:val="89"/>
              </w:rPr>
              <w:t>(Commission</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8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0"/>
              </w:rPr>
              <w:t>of incorporation)</w:t>
            </w:r>
          </w:p>
        </w:tc>
        <w:tc>
          <w:tcPr>
            <w:tcW w:w="2840" w:type="dxa"/>
            <w:vAlign w:val="bottom"/>
            <w:gridSpan w:val="4"/>
          </w:tcPr>
          <w:p>
            <w:pPr>
              <w:jc w:val="center"/>
              <w:ind w:right="960"/>
              <w:spacing w:after="0"/>
              <w:rPr>
                <w:sz w:val="20"/>
                <w:szCs w:val="20"/>
                <w:color w:val="auto"/>
              </w:rPr>
            </w:pPr>
            <w:r>
              <w:rPr>
                <w:rFonts w:ascii="Arial" w:cs="Arial" w:eastAsia="Arial" w:hAnsi="Arial"/>
                <w:sz w:val="18"/>
                <w:szCs w:val="18"/>
                <w:b w:val="1"/>
                <w:bCs w:val="1"/>
                <w:color w:val="auto"/>
                <w:w w:val="94"/>
              </w:rPr>
              <w:t>File Number)</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630"/>
        </w:trPr>
        <w:tc>
          <w:tcPr>
            <w:tcW w:w="480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90"/>
              </w:rPr>
              <w:t>1601 Bryan Street, Suite 4141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80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b w:val="1"/>
                <w:bCs w:val="1"/>
                <w:color w:val="auto"/>
                <w:w w:val="87"/>
              </w:rPr>
              <w:t>Dallas, Texas</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370"/>
              <w:spacing w:after="0"/>
              <w:rPr>
                <w:sz w:val="20"/>
                <w:szCs w:val="20"/>
                <w:color w:val="auto"/>
              </w:rPr>
            </w:pPr>
            <w:r>
              <w:rPr>
                <w:rFonts w:ascii="Arial" w:cs="Arial" w:eastAsia="Arial" w:hAnsi="Arial"/>
                <w:sz w:val="18"/>
                <w:szCs w:val="18"/>
                <w:b w:val="1"/>
                <w:bCs w:val="1"/>
                <w:color w:val="auto"/>
              </w:rPr>
              <w:t>75201</w:t>
            </w:r>
          </w:p>
        </w:tc>
      </w:tr>
      <w:tr>
        <w:trPr>
          <w:trHeight w:val="234"/>
        </w:trPr>
        <w:tc>
          <w:tcPr>
            <w:tcW w:w="480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1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456-5304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55"/>
        </w:trPr>
        <w:tc>
          <w:tcPr>
            <w:tcW w:w="3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198"/>
        </w:trPr>
        <w:tc>
          <w:tcPr>
            <w:tcW w:w="38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7"/>
              </w:rPr>
              <w:t>SOAC.U</w:t>
            </w:r>
          </w:p>
        </w:tc>
        <w:tc>
          <w:tcPr>
            <w:tcW w:w="1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3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redeemable warrant</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9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9"/>
              </w:rPr>
              <w:t>Class A Ordinary Shares included as part of the</w:t>
            </w:r>
          </w:p>
        </w:tc>
        <w:tc>
          <w:tcPr>
            <w:tcW w:w="370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96"/>
              </w:rPr>
              <w:t>SOAC</w:t>
            </w:r>
          </w:p>
        </w:tc>
        <w:tc>
          <w:tcPr>
            <w:tcW w:w="3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34"/>
        </w:trPr>
        <w:tc>
          <w:tcPr>
            <w:tcW w:w="3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940" w:type="dxa"/>
            <w:vAlign w:val="bottom"/>
            <w:gridSpan w:val="2"/>
            <w:shd w:val="clear" w:color="auto" w:fill="CCEEFF"/>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Warrants included as part of the units, each</w:t>
            </w:r>
          </w:p>
        </w:tc>
        <w:tc>
          <w:tcPr>
            <w:tcW w:w="3700" w:type="dxa"/>
            <w:vAlign w:val="bottom"/>
            <w:gridSpan w:val="2"/>
            <w:shd w:val="clear" w:color="auto" w:fill="CCEEFF"/>
          </w:tcPr>
          <w:p>
            <w:pPr>
              <w:jc w:val="center"/>
              <w:ind w:right="80"/>
              <w:spacing w:after="0" w:line="198" w:lineRule="exact"/>
              <w:rPr>
                <w:sz w:val="20"/>
                <w:szCs w:val="20"/>
                <w:color w:val="auto"/>
              </w:rPr>
            </w:pPr>
            <w:r>
              <w:rPr>
                <w:rFonts w:ascii="Arial" w:cs="Arial" w:eastAsia="Arial" w:hAnsi="Arial"/>
                <w:sz w:val="18"/>
                <w:szCs w:val="18"/>
                <w:b w:val="1"/>
                <w:bCs w:val="1"/>
                <w:color w:val="auto"/>
                <w:w w:val="95"/>
              </w:rPr>
              <w:t>SOAC WS</w:t>
            </w:r>
          </w:p>
        </w:tc>
        <w:tc>
          <w:tcPr>
            <w:tcW w:w="36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3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9"/>
              </w:rPr>
              <w:t>whole warrant exercisable for one Class A</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Ordinary Share at an exercise price of $11.50</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792"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4.02 Non-Reliance on Previously Issued Financial Statements or a Related Audit Report or Completed Interim Review.</w:t>
      </w: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U.S. Securities and Exchange Commission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dated as of May 8, 2020, between Sustainable Opportunities Acquisition Corp. (“SOAC” or the “Company”) and Continental Stock Transfer &amp; Trust Company, a New York corporation, as warrant agent. As a result of the SEC Statement, the Company reevaluated the accounting treatment of (i) the 15,000,000 redeemable warrants (the “Public Warrants”) that were included in the units issued by the Company in its initial public offering (the “IPO”) and (ii) the 9,500,000 redeemable warrants (together with the Public Warrants, the “Warrants”) that were issued to the Company’s sponsor in a private placement that closed concurrently with the closing of the IPO, and determined to classify the Warrants as derivative liabilities measured at fair value, with changes in fair value each period reported in earnings. While the Company has not generated any operating revenues to date and will not generate any operating revenues until after completion of its initial business combination, at the earliest, the change in fair value of the Warrants is a non-cash charge and will be reflected in the Company’s statement of operations.</w:t>
      </w:r>
    </w:p>
    <w:p>
      <w:pPr>
        <w:spacing w:after="0" w:line="1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May 24, 2021, the Audit Committee of the Company’s Board of Directors (the “Audit Committee”), after consultation with the Company’s management, concluded that, in light of the SEC Statement, it is appropriate to restate the Company’s previously issued financial statements as of May 8, 2020, as of and for the year ended December 31, 2020, as of and for the three and nine month periods ended September 30, 2020 and as of and for the three and six month periods ended June 30, 2020 (the “Affected Periods”). Considering such restatement, such financial statements should no longer be relied upon. As a result, the Company today is announcing that it will restate its historical financial results for the Affected Periods, in each case to correctly reflect the change in warrant accounting treatment (the “Restatement”). The Audit Committee and management of the Company have discussed the matters disclosed pursuant to this Item 4.02(a) with its independent registered public accounting firm. The Company will file its Form 10-K/A for the fiscal year ended December 31, 2020 to reflect the Restatement as soon as reasonably practicable after the filing of this Current Report on Form 8-K (this “Current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LEGAL INFORMATION</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On March 4, 2021, the Company entered into that certain business combination agreement (the “Business Combination Agreement”), by and among the Company, 1291924 B.C. Unlimited Liability Company, an unlimited liability company existing under the laws of British Columbia, Canada, and DeepGreen Metals Inc., a company existing under the laws of British Columbia, Canada (“DeepGreen”) and other concurrent agreements related thereto (together, the “Business Combination”). In connection with the proposed Business Combination, SOAC has filed with the SEC a Registration Statement on Form S-4, including a preliminary proxy statement/prospectus. </w:t>
      </w:r>
      <w:r>
        <w:rPr>
          <w:rFonts w:ascii="Arial" w:cs="Arial" w:eastAsia="Arial" w:hAnsi="Arial"/>
          <w:sz w:val="17"/>
          <w:szCs w:val="17"/>
          <w:b w:val="1"/>
          <w:bCs w:val="1"/>
          <w:color w:val="auto"/>
        </w:rPr>
        <w:t>SOAC’s shareholders and other interested persons are advised to read the preliminary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proxy statement/prospectus and, when available, any amendments thereto and the definitive proxy statement/prospectus as well as other documents filed with the SEC in connection with the proposed Business Combination, as these materials will contain important information about DeepGreen, SOAC, and the proposed Business Combination. </w:t>
      </w:r>
      <w:r>
        <w:rPr>
          <w:rFonts w:ascii="Arial" w:cs="Arial" w:eastAsia="Arial" w:hAnsi="Arial"/>
          <w:sz w:val="17"/>
          <w:szCs w:val="17"/>
          <w:color w:val="auto"/>
        </w:rPr>
        <w:t>When available, the definitive proxy statement/prospectus and other relevant materials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proposed Business Combination will be mailed to shareholders of SOAC as of a record date to be established for voting on the proposed Business Combination. Shareholders will also be able to obtain copies of the preliminary proxy statement/prospectus, the definitive proxy statement/prospectus, and other documents filed with the SEC that will be incorporated by reference therein, without charge, once available, at the SEC’s website at www.sec.gov, or by directing a request to: Investors@soa-corp.com.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17" w:lineRule="exact"/>
        <w:rPr>
          <w:sz w:val="20"/>
          <w:szCs w:val="20"/>
          <w:color w:val="auto"/>
        </w:rPr>
      </w:pPr>
    </w:p>
    <w:p>
      <w:pPr>
        <w:jc w:val="both"/>
        <w:ind w:right="40"/>
        <w:spacing w:after="0" w:line="303" w:lineRule="auto"/>
        <w:rPr>
          <w:sz w:val="20"/>
          <w:szCs w:val="20"/>
          <w:color w:val="auto"/>
        </w:rPr>
      </w:pPr>
      <w:r>
        <w:rPr>
          <w:rFonts w:ascii="Arial" w:cs="Arial" w:eastAsia="Arial" w:hAnsi="Arial"/>
          <w:sz w:val="16"/>
          <w:szCs w:val="16"/>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6"/>
          <w:szCs w:val="16"/>
          <w:color w:val="auto"/>
        </w:rPr>
        <w:t>A list of the names of those directors and executive officers and a description of their interests in SOAC has been included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preliminary proxy statement/prospectus for the proposed Business Combination and be available at www.sec.gov. Additional information regarding the interests of such participants is contained in the preliminary proxy statement/prospectus for the proposed Business Combination.</w:t>
      </w:r>
    </w:p>
    <w:p>
      <w:pPr>
        <w:spacing w:after="0" w:line="43"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6"/>
          <w:szCs w:val="16"/>
          <w:color w:val="auto"/>
        </w:rPr>
        <w:t>A list of the names of such directors and executive officers and information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their interests in the proposed Business Combination is included in the preliminary proxy statement/prospectus for the proposed Business Combination.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the final prospectus of SOAC for its initial public offering and the proxy statement/prospectus relating to the proposed Business Combination,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Dated: May 24, 2021</w:t>
            </w:r>
          </w:p>
        </w:tc>
        <w:tc>
          <w:tcPr>
            <w:tcW w:w="7100" w:type="dxa"/>
            <w:vAlign w:val="bottom"/>
            <w:gridSpan w:val="2"/>
          </w:tcPr>
          <w:p>
            <w:pPr>
              <w:ind w:left="2620"/>
              <w:spacing w:after="0"/>
              <w:rPr>
                <w:sz w:val="20"/>
                <w:szCs w:val="20"/>
                <w:color w:val="auto"/>
              </w:rPr>
            </w:pPr>
            <w:r>
              <w:rPr>
                <w:rFonts w:ascii="Arial" w:cs="Arial" w:eastAsia="Arial" w:hAnsi="Arial"/>
                <w:sz w:val="18"/>
                <w:szCs w:val="18"/>
                <w:b w:val="1"/>
                <w:bCs w:val="1"/>
                <w:color w:val="auto"/>
              </w:rPr>
              <w:t>SUSTAINABLE OPPORTUNITIES ACQUISITION</w:t>
            </w:r>
          </w:p>
        </w:tc>
      </w:tr>
      <w:tr>
        <w:trPr>
          <w:trHeight w:val="234"/>
        </w:trPr>
        <w:tc>
          <w:tcPr>
            <w:tcW w:w="4140" w:type="dxa"/>
            <w:vAlign w:val="bottom"/>
          </w:tcPr>
          <w:p>
            <w:pPr>
              <w:spacing w:after="0"/>
              <w:rPr>
                <w:sz w:val="20"/>
                <w:szCs w:val="20"/>
                <w:color w:val="auto"/>
              </w:rPr>
            </w:pPr>
          </w:p>
        </w:tc>
        <w:tc>
          <w:tcPr>
            <w:tcW w:w="3180" w:type="dxa"/>
            <w:vAlign w:val="bottom"/>
          </w:tcPr>
          <w:p>
            <w:pPr>
              <w:ind w:left="2620"/>
              <w:spacing w:after="0"/>
              <w:rPr>
                <w:sz w:val="20"/>
                <w:szCs w:val="20"/>
                <w:color w:val="auto"/>
              </w:rPr>
            </w:pPr>
            <w:r>
              <w:rPr>
                <w:rFonts w:ascii="Arial" w:cs="Arial" w:eastAsia="Arial" w:hAnsi="Arial"/>
                <w:sz w:val="18"/>
                <w:szCs w:val="18"/>
                <w:b w:val="1"/>
                <w:bCs w:val="1"/>
                <w:color w:val="auto"/>
                <w:w w:val="94"/>
              </w:rPr>
              <w:t>CORP.</w:t>
            </w:r>
          </w:p>
        </w:tc>
        <w:tc>
          <w:tcPr>
            <w:tcW w:w="3920" w:type="dxa"/>
            <w:vAlign w:val="bottom"/>
          </w:tcPr>
          <w:p>
            <w:pPr>
              <w:spacing w:after="0"/>
              <w:rPr>
                <w:sz w:val="20"/>
                <w:szCs w:val="20"/>
                <w:color w:val="auto"/>
              </w:rPr>
            </w:pPr>
          </w:p>
        </w:tc>
      </w:tr>
      <w:tr>
        <w:trPr>
          <w:trHeight w:val="439"/>
        </w:trPr>
        <w:tc>
          <w:tcPr>
            <w:tcW w:w="4140" w:type="dxa"/>
            <w:vAlign w:val="bottom"/>
          </w:tcPr>
          <w:p>
            <w:pPr>
              <w:spacing w:after="0"/>
              <w:rPr>
                <w:sz w:val="24"/>
                <w:szCs w:val="24"/>
                <w:color w:val="auto"/>
              </w:rPr>
            </w:pPr>
          </w:p>
        </w:tc>
        <w:tc>
          <w:tcPr>
            <w:tcW w:w="3180" w:type="dxa"/>
            <w:vAlign w:val="bottom"/>
          </w:tcPr>
          <w:p>
            <w:pPr>
              <w:ind w:left="26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Leonard</w:t>
            </w:r>
          </w:p>
        </w:tc>
      </w:tr>
      <w:tr>
        <w:trPr>
          <w:trHeight w:val="215"/>
        </w:trPr>
        <w:tc>
          <w:tcPr>
            <w:tcW w:w="4140" w:type="dxa"/>
            <w:vAlign w:val="bottom"/>
          </w:tcPr>
          <w:p>
            <w:pPr>
              <w:spacing w:after="0"/>
              <w:rPr>
                <w:sz w:val="18"/>
                <w:szCs w:val="18"/>
                <w:color w:val="auto"/>
              </w:rPr>
            </w:pPr>
          </w:p>
        </w:tc>
        <w:tc>
          <w:tcPr>
            <w:tcW w:w="3180" w:type="dxa"/>
            <w:vAlign w:val="bottom"/>
          </w:tcPr>
          <w:p>
            <w:pPr>
              <w:ind w:left="2620"/>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Scott Leonard</w:t>
            </w:r>
          </w:p>
        </w:tc>
      </w:tr>
      <w:tr>
        <w:trPr>
          <w:trHeight w:val="230"/>
        </w:trPr>
        <w:tc>
          <w:tcPr>
            <w:tcW w:w="4140" w:type="dxa"/>
            <w:vAlign w:val="bottom"/>
          </w:tcPr>
          <w:p>
            <w:pPr>
              <w:spacing w:after="0"/>
              <w:rPr>
                <w:sz w:val="20"/>
                <w:szCs w:val="20"/>
                <w:color w:val="auto"/>
              </w:rPr>
            </w:pPr>
          </w:p>
        </w:tc>
        <w:tc>
          <w:tcPr>
            <w:tcW w:w="3180" w:type="dxa"/>
            <w:vAlign w:val="bottom"/>
          </w:tcPr>
          <w:p>
            <w:pPr>
              <w:ind w:left="26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47"/>
        </w:trPr>
        <w:tc>
          <w:tcPr>
            <w:tcW w:w="4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2021-05-24T15:05:43Z</dcterms:created>
  <dcterms:modified xsi:type="dcterms:W3CDTF">2021-05-24T15:05:43Z</dcterms:modified>
</cp:coreProperties>
</file>