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24,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8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1"/>
              </w:rPr>
              <w:t>Cayman Islands</w:t>
            </w:r>
          </w:p>
        </w:tc>
        <w:tc>
          <w:tcPr>
            <w:tcW w:w="274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0"/>
              </w:rPr>
              <w:t>001-39281</w:t>
            </w:r>
          </w:p>
        </w:tc>
        <w:tc>
          <w:tcPr>
            <w:tcW w:w="1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98-1523768</w:t>
            </w:r>
          </w:p>
        </w:tc>
      </w:tr>
      <w:tr>
        <w:trPr>
          <w:trHeight w:val="198"/>
        </w:trPr>
        <w:tc>
          <w:tcPr>
            <w:tcW w:w="38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1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740" w:type="dxa"/>
            <w:vAlign w:val="bottom"/>
            <w:tcBorders>
              <w:top w:val="single" w:sz="8" w:color="auto"/>
            </w:tcBorders>
            <w:gridSpan w:val="3"/>
          </w:tcPr>
          <w:p>
            <w:pPr>
              <w:jc w:val="center"/>
              <w:ind w:right="840"/>
              <w:spacing w:after="0" w:line="198" w:lineRule="exact"/>
              <w:rPr>
                <w:sz w:val="20"/>
                <w:szCs w:val="20"/>
                <w:color w:val="auto"/>
              </w:rPr>
            </w:pPr>
            <w:r>
              <w:rPr>
                <w:rFonts w:ascii="Arial" w:cs="Arial" w:eastAsia="Arial" w:hAnsi="Arial"/>
                <w:sz w:val="18"/>
                <w:szCs w:val="18"/>
                <w:b w:val="1"/>
                <w:bCs w:val="1"/>
                <w:color w:val="auto"/>
                <w:w w:val="89"/>
              </w:rPr>
              <w:t>(Commission</w:t>
            </w:r>
          </w:p>
        </w:tc>
        <w:tc>
          <w:tcPr>
            <w:tcW w:w="1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8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90"/>
              </w:rPr>
              <w:t>of incorporation)</w:t>
            </w:r>
          </w:p>
        </w:tc>
        <w:tc>
          <w:tcPr>
            <w:tcW w:w="284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4"/>
              </w:rPr>
              <w:t>File Number)</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630"/>
        </w:trPr>
        <w:tc>
          <w:tcPr>
            <w:tcW w:w="480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0"/>
              </w:rPr>
              <w:t>1601 Bryan Street, Suite 4141</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800" w:type="dxa"/>
            <w:vAlign w:val="bottom"/>
            <w:tcBorders>
              <w:bottom w:val="single" w:sz="8" w:color="auto"/>
            </w:tcBorders>
            <w:gridSpan w:val="3"/>
          </w:tcPr>
          <w:p>
            <w:pPr>
              <w:jc w:val="center"/>
              <w:ind w:left="870"/>
              <w:spacing w:after="0"/>
              <w:rPr>
                <w:sz w:val="20"/>
                <w:szCs w:val="20"/>
                <w:color w:val="auto"/>
              </w:rPr>
            </w:pPr>
            <w:r>
              <w:rPr>
                <w:rFonts w:ascii="Arial" w:cs="Arial" w:eastAsia="Arial" w:hAnsi="Arial"/>
                <w:sz w:val="18"/>
                <w:szCs w:val="18"/>
                <w:b w:val="1"/>
                <w:bCs w:val="1"/>
                <w:color w:val="auto"/>
                <w:w w:val="87"/>
              </w:rPr>
              <w:t>Dallas, Texas</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70"/>
              <w:spacing w:after="0"/>
              <w:rPr>
                <w:sz w:val="20"/>
                <w:szCs w:val="20"/>
                <w:color w:val="auto"/>
              </w:rPr>
            </w:pPr>
            <w:r>
              <w:rPr>
                <w:rFonts w:ascii="Arial" w:cs="Arial" w:eastAsia="Arial" w:hAnsi="Arial"/>
                <w:sz w:val="18"/>
                <w:szCs w:val="18"/>
                <w:b w:val="1"/>
                <w:bCs w:val="1"/>
                <w:color w:val="auto"/>
              </w:rPr>
              <w:t>75201</w:t>
            </w:r>
          </w:p>
        </w:tc>
      </w:tr>
      <w:tr>
        <w:trPr>
          <w:trHeight w:val="234"/>
        </w:trPr>
        <w:tc>
          <w:tcPr>
            <w:tcW w:w="480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1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55"/>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8"/>
        </w:trPr>
        <w:tc>
          <w:tcPr>
            <w:tcW w:w="382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88"/>
              </w:rPr>
              <w:t>Units, each consisting of one Class A Ordinary</w:t>
            </w:r>
          </w:p>
        </w:tc>
        <w:tc>
          <w:tcPr>
            <w:tcW w:w="1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7"/>
              </w:rPr>
              <w:t>SOAC.U</w:t>
            </w:r>
          </w:p>
        </w:tc>
        <w:tc>
          <w:tcPr>
            <w:tcW w:w="1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91"/>
              </w:rPr>
              <w:t>redeemable warrant</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94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9"/>
              </w:rPr>
              <w:t>Class A Ordinary Shares included as part of the</w:t>
            </w:r>
          </w:p>
        </w:tc>
        <w:tc>
          <w:tcPr>
            <w:tcW w:w="3700" w:type="dxa"/>
            <w:vAlign w:val="bottom"/>
            <w:gridSpan w:val="2"/>
          </w:tcPr>
          <w:p>
            <w:pPr>
              <w:jc w:val="center"/>
              <w:ind w:right="80"/>
              <w:spacing w:after="0" w:line="198" w:lineRule="exact"/>
              <w:rPr>
                <w:sz w:val="20"/>
                <w:szCs w:val="20"/>
                <w:color w:val="auto"/>
              </w:rPr>
            </w:pPr>
            <w:r>
              <w:rPr>
                <w:rFonts w:ascii="Arial" w:cs="Arial" w:eastAsia="Arial" w:hAnsi="Arial"/>
                <w:sz w:val="18"/>
                <w:szCs w:val="18"/>
                <w:b w:val="1"/>
                <w:bCs w:val="1"/>
                <w:color w:val="auto"/>
                <w:w w:val="96"/>
              </w:rPr>
              <w:t>SOAC</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34"/>
        </w:trPr>
        <w:tc>
          <w:tcPr>
            <w:tcW w:w="39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units</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198"/>
        </w:trPr>
        <w:tc>
          <w:tcPr>
            <w:tcW w:w="3940" w:type="dxa"/>
            <w:vAlign w:val="bottom"/>
            <w:gridSpan w:val="2"/>
            <w:shd w:val="clear" w:color="auto" w:fill="CCEEFF"/>
          </w:tcPr>
          <w:p>
            <w:pPr>
              <w:jc w:val="center"/>
              <w:ind w:right="120"/>
              <w:spacing w:after="0" w:line="198" w:lineRule="exact"/>
              <w:rPr>
                <w:sz w:val="20"/>
                <w:szCs w:val="20"/>
                <w:color w:val="auto"/>
              </w:rPr>
            </w:pPr>
            <w:r>
              <w:rPr>
                <w:rFonts w:ascii="Arial" w:cs="Arial" w:eastAsia="Arial" w:hAnsi="Arial"/>
                <w:sz w:val="18"/>
                <w:szCs w:val="18"/>
                <w:b w:val="1"/>
                <w:bCs w:val="1"/>
                <w:color w:val="auto"/>
                <w:w w:val="90"/>
              </w:rPr>
              <w:t>Warrants included as part of the units, each</w:t>
            </w:r>
          </w:p>
        </w:tc>
        <w:tc>
          <w:tcPr>
            <w:tcW w:w="3700" w:type="dxa"/>
            <w:vAlign w:val="bottom"/>
            <w:gridSpan w:val="2"/>
            <w:shd w:val="clear" w:color="auto" w:fill="CCEEFF"/>
          </w:tcPr>
          <w:p>
            <w:pPr>
              <w:jc w:val="center"/>
              <w:ind w:right="80"/>
              <w:spacing w:after="0" w:line="198" w:lineRule="exact"/>
              <w:rPr>
                <w:sz w:val="20"/>
                <w:szCs w:val="20"/>
                <w:color w:val="auto"/>
              </w:rPr>
            </w:pPr>
            <w:r>
              <w:rPr>
                <w:rFonts w:ascii="Arial" w:cs="Arial" w:eastAsia="Arial" w:hAnsi="Arial"/>
                <w:sz w:val="18"/>
                <w:szCs w:val="18"/>
                <w:b w:val="1"/>
                <w:bCs w:val="1"/>
                <w:color w:val="auto"/>
                <w:w w:val="95"/>
              </w:rPr>
              <w:t>SOAC WS</w:t>
            </w:r>
          </w:p>
        </w:tc>
        <w:tc>
          <w:tcPr>
            <w:tcW w:w="3600" w:type="dxa"/>
            <w:vAlign w:val="bottom"/>
            <w:shd w:val="clear" w:color="auto" w:fill="CCEEFF"/>
          </w:tcPr>
          <w:p>
            <w:pPr>
              <w:jc w:val="center"/>
              <w:spacing w:after="0" w:line="198" w:lineRule="exact"/>
              <w:rPr>
                <w:sz w:val="20"/>
                <w:szCs w:val="20"/>
                <w:color w:val="auto"/>
              </w:rPr>
            </w:pPr>
            <w:r>
              <w:rPr>
                <w:rFonts w:ascii="Arial" w:cs="Arial" w:eastAsia="Arial" w:hAnsi="Arial"/>
                <w:sz w:val="18"/>
                <w:szCs w:val="18"/>
                <w:b w:val="1"/>
                <w:bCs w:val="1"/>
                <w:color w:val="auto"/>
                <w:w w:val="90"/>
              </w:rPr>
              <w:t>The New York Stock Exchange</w:t>
            </w:r>
          </w:p>
        </w:tc>
      </w:tr>
      <w:tr>
        <w:trPr>
          <w:trHeight w:val="216"/>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whole warrant exercisable for one Class A</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r>
      <w:tr>
        <w:trPr>
          <w:trHeight w:val="234"/>
        </w:trPr>
        <w:tc>
          <w:tcPr>
            <w:tcW w:w="3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90"/>
              </w:rPr>
              <w:t>Ordinary Share at an exercise price of $11.50</w:t>
            </w:r>
          </w:p>
        </w:tc>
        <w:tc>
          <w:tcPr>
            <w:tcW w:w="3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bl>
    <w:p>
      <w:pPr>
        <w:spacing w:after="0" w:line="202"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792"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4.02 Non-Reliance on Previously Issued Financial Statements or a Related Audit Report or Completed Interim Review.</w:t>
      </w:r>
    </w:p>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U.S. Securities and Exchange Commission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Statement”). Specifically, the SEC Statement focused on certain settlement terms and provisions related to certain tender offers following a business combination, which terms are similar to those contained in the warrant agreement, dated as of May 8, 2020, between Sustainable Opportunities Acquisition Corp. (“SOAC” or the “Company”) and Continental Stock Transfer &amp; Trust Company, a New York corporation, as warrant agent. As a result of the SEC Statement, the Company reevaluated the accounting treatment of (i) the 15,000,000 redeemable warrants (the “Public Warrants”) that were included in the units issued by the Company in its initial public offering (the “IPO”) and (ii) the 9,500,000 redeemable warrants (together with the Public Warrants, the “Warrants”) that were issued to the Company’s sponsor in a private placement that closed concurrently with the closing of the IPO, and determined to classify the Warrants as derivative liabilities measured at fair value, with changes in fair value each period reported in earnings. While the Company has not generated any operating revenues to date and will not generate any operating revenues until after completion of its initial business combination, at the earliest, the change in fair value of the Warrants is a non-cash charge and will be reflected in the Company’s statement of operations.</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On May 24, 2021, the Audit Committee of the Company’s Board of Directors (the “Audit Committee”), after consultation with the Company’s management, concluded that, in light of the SEC Statement, it is appropriate to restate the Company’s previously issued financial statements as of May 8, 2020, as of and for the year ended December 31, 2020, as of and for the three and nine month periods ended September 30, 2020 and as of and for the three and six month periods ended June 30, 2020 (the “Affected Periods”). Considering such restatement, such financial statements should no longer be relied upon. As a result, the Company today is announcing that it will restate its historical financial results for the Affected Periods, in each case to correctly reflect the change in warrant accounting treatment (the “Restatement”). The Audit Committee and management of the Company have discussed the matters disclosed pursuant to this Item 4.02(a) with its independent registered public accounting firm. The Company will file its Form 10-K/A for the fiscal year ended December 31, 2020 to reflect the Restatement as soon as reasonably practicable after the filing of this Current Report on Form 8-K (this “Current Report”).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LEGAL INFORMATION</w:t>
      </w:r>
    </w:p>
    <w:p>
      <w:pPr>
        <w:spacing w:after="0" w:line="229"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On March 4, 2021, the Company entered into that certain business combination agreement (the “Business Combination Agreement”), by and among the Company, 1291924 B.C. Unlimited Liability Company, an unlimited liability company existing under the laws of British Columbia, Canada, and DeepGreen Metals Inc., a company existing under the laws of British Columbia, Canada (“DeepGreen”) and other concurrent agreements related thereto (together, the “Business Combination”). In connection with the proposed Business Combination, SOAC has filed with the SEC a Registration Statement on Form S-4, including a preliminary proxy statement/prospectus. </w:t>
      </w:r>
      <w:r>
        <w:rPr>
          <w:rFonts w:ascii="Arial" w:cs="Arial" w:eastAsia="Arial" w:hAnsi="Arial"/>
          <w:sz w:val="17"/>
          <w:szCs w:val="17"/>
          <w:b w:val="1"/>
          <w:bCs w:val="1"/>
          <w:color w:val="auto"/>
        </w:rPr>
        <w:t>SOAC’s shareholders and other interested persons are advised to read the preliminary</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proxy statement/prospectus and, when available, any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7"/>
          <w:szCs w:val="17"/>
          <w:color w:val="auto"/>
        </w:rPr>
        <w:t>When available, the definitive proxy statement/prospectus and other relevant materials for</w:t>
      </w:r>
      <w:r>
        <w:rPr>
          <w:rFonts w:ascii="Arial" w:cs="Arial" w:eastAsia="Arial" w:hAnsi="Arial"/>
          <w:sz w:val="17"/>
          <w:szCs w:val="17"/>
          <w:b w:val="1"/>
          <w:bCs w:val="1"/>
          <w:color w:val="auto"/>
        </w:rPr>
        <w:t xml:space="preserve"> </w:t>
      </w:r>
      <w:r>
        <w:rPr>
          <w:rFonts w:ascii="Arial" w:cs="Arial" w:eastAsia="Arial" w:hAnsi="Arial"/>
          <w:sz w:val="17"/>
          <w:szCs w:val="17"/>
          <w:color w:val="auto"/>
        </w:rPr>
        <w:t>the proposed Business 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17" w:lineRule="exact"/>
        <w:rPr>
          <w:sz w:val="20"/>
          <w:szCs w:val="20"/>
          <w:color w:val="auto"/>
        </w:rPr>
      </w:pPr>
    </w:p>
    <w:p>
      <w:pPr>
        <w:jc w:val="both"/>
        <w:ind w:right="40"/>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has been included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preliminary proxy statement/prospectus for the proposed Business Combination and be available at www.sec.gov. Additional information regarding the interests of such participants is contained in the preliminary proxy statement/prospectus for the proposed Business Combination.</w:t>
      </w:r>
    </w:p>
    <w:p>
      <w:pPr>
        <w:spacing w:after="0" w:line="43" w:lineRule="exact"/>
        <w:rPr>
          <w:sz w:val="20"/>
          <w:szCs w:val="20"/>
          <w:color w:val="auto"/>
        </w:rPr>
      </w:pPr>
    </w:p>
    <w:p>
      <w:pPr>
        <w:ind w:right="200"/>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is included in the preliminary proxy statement/prospectus for the proposed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Dated: May 24, 2021</w:t>
            </w:r>
          </w:p>
        </w:tc>
        <w:tc>
          <w:tcPr>
            <w:tcW w:w="7100" w:type="dxa"/>
            <w:vAlign w:val="bottom"/>
            <w:gridSpan w:val="2"/>
          </w:tcPr>
          <w:p>
            <w:pPr>
              <w:ind w:left="2620"/>
              <w:spacing w:after="0"/>
              <w:rPr>
                <w:sz w:val="20"/>
                <w:szCs w:val="20"/>
                <w:color w:val="auto"/>
              </w:rPr>
            </w:pPr>
            <w:r>
              <w:rPr>
                <w:rFonts w:ascii="Arial" w:cs="Arial" w:eastAsia="Arial" w:hAnsi="Arial"/>
                <w:sz w:val="18"/>
                <w:szCs w:val="18"/>
                <w:b w:val="1"/>
                <w:bCs w:val="1"/>
                <w:color w:val="auto"/>
              </w:rPr>
              <w:t>SUSTAINABLE OPPORTUNITIES ACQUISITION</w:t>
            </w:r>
          </w:p>
        </w:tc>
      </w:tr>
      <w:tr>
        <w:trPr>
          <w:trHeight w:val="234"/>
        </w:trPr>
        <w:tc>
          <w:tcPr>
            <w:tcW w:w="4140" w:type="dxa"/>
            <w:vAlign w:val="bottom"/>
          </w:tcPr>
          <w:p>
            <w:pPr>
              <w:spacing w:after="0"/>
              <w:rPr>
                <w:sz w:val="20"/>
                <w:szCs w:val="20"/>
                <w:color w:val="auto"/>
              </w:rPr>
            </w:pPr>
          </w:p>
        </w:tc>
        <w:tc>
          <w:tcPr>
            <w:tcW w:w="3180" w:type="dxa"/>
            <w:vAlign w:val="bottom"/>
          </w:tcPr>
          <w:p>
            <w:pPr>
              <w:ind w:left="2620"/>
              <w:spacing w:after="0"/>
              <w:rPr>
                <w:sz w:val="20"/>
                <w:szCs w:val="20"/>
                <w:color w:val="auto"/>
              </w:rPr>
            </w:pPr>
            <w:r>
              <w:rPr>
                <w:rFonts w:ascii="Arial" w:cs="Arial" w:eastAsia="Arial" w:hAnsi="Arial"/>
                <w:sz w:val="18"/>
                <w:szCs w:val="18"/>
                <w:b w:val="1"/>
                <w:bCs w:val="1"/>
                <w:color w:val="auto"/>
                <w:w w:val="94"/>
              </w:rPr>
              <w:t>CORP.</w:t>
            </w:r>
          </w:p>
        </w:tc>
        <w:tc>
          <w:tcPr>
            <w:tcW w:w="3920" w:type="dxa"/>
            <w:vAlign w:val="bottom"/>
          </w:tcPr>
          <w:p>
            <w:pPr>
              <w:spacing w:after="0"/>
              <w:rPr>
                <w:sz w:val="20"/>
                <w:szCs w:val="20"/>
                <w:color w:val="auto"/>
              </w:rPr>
            </w:pPr>
          </w:p>
        </w:tc>
      </w:tr>
      <w:tr>
        <w:trPr>
          <w:trHeight w:val="439"/>
        </w:trPr>
        <w:tc>
          <w:tcPr>
            <w:tcW w:w="4140" w:type="dxa"/>
            <w:vAlign w:val="bottom"/>
          </w:tcPr>
          <w:p>
            <w:pPr>
              <w:spacing w:after="0"/>
              <w:rPr>
                <w:sz w:val="24"/>
                <w:szCs w:val="24"/>
                <w:color w:val="auto"/>
              </w:rPr>
            </w:pPr>
          </w:p>
        </w:tc>
        <w:tc>
          <w:tcPr>
            <w:tcW w:w="3180" w:type="dxa"/>
            <w:vAlign w:val="bottom"/>
          </w:tcPr>
          <w:p>
            <w:pPr>
              <w:ind w:left="262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Leonard</w:t>
            </w:r>
          </w:p>
        </w:tc>
      </w:tr>
      <w:tr>
        <w:trPr>
          <w:trHeight w:val="215"/>
        </w:trPr>
        <w:tc>
          <w:tcPr>
            <w:tcW w:w="4140" w:type="dxa"/>
            <w:vAlign w:val="bottom"/>
          </w:tcPr>
          <w:p>
            <w:pPr>
              <w:spacing w:after="0"/>
              <w:rPr>
                <w:sz w:val="18"/>
                <w:szCs w:val="18"/>
                <w:color w:val="auto"/>
              </w:rPr>
            </w:pPr>
          </w:p>
        </w:tc>
        <w:tc>
          <w:tcPr>
            <w:tcW w:w="3180" w:type="dxa"/>
            <w:vAlign w:val="bottom"/>
          </w:tcPr>
          <w:p>
            <w:pPr>
              <w:ind w:left="2620"/>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Scott Leonard</w:t>
            </w:r>
          </w:p>
        </w:tc>
      </w:tr>
      <w:tr>
        <w:trPr>
          <w:trHeight w:val="230"/>
        </w:trPr>
        <w:tc>
          <w:tcPr>
            <w:tcW w:w="4140" w:type="dxa"/>
            <w:vAlign w:val="bottom"/>
          </w:tcPr>
          <w:p>
            <w:pPr>
              <w:spacing w:after="0"/>
              <w:rPr>
                <w:sz w:val="20"/>
                <w:szCs w:val="20"/>
                <w:color w:val="auto"/>
              </w:rPr>
            </w:pPr>
          </w:p>
        </w:tc>
        <w:tc>
          <w:tcPr>
            <w:tcW w:w="3180" w:type="dxa"/>
            <w:vAlign w:val="bottom"/>
          </w:tcPr>
          <w:p>
            <w:pPr>
              <w:ind w:left="262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547"/>
        </w:trPr>
        <w:tc>
          <w:tcPr>
            <w:tcW w:w="41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2021-05-24T15:10:38Z</dcterms:created>
  <dcterms:modified xsi:type="dcterms:W3CDTF">2021-05-24T15:10:38Z</dcterms:modified>
</cp:coreProperties>
</file>