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20" w:right="1040" w:hanging="2871"/>
        <w:spacing w:after="0" w:line="335" w:lineRule="auto"/>
        <w:tabs>
          <w:tab w:leader="none" w:pos="1376"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9" w:lineRule="exact"/>
        <w:rPr>
          <w:rFonts w:ascii="MS PGothic" w:cs="MS PGothic" w:eastAsia="MS PGothic" w:hAnsi="MS PGothic"/>
          <w:sz w:val="18"/>
          <w:szCs w:val="18"/>
          <w:color w:val="auto"/>
        </w:rPr>
      </w:pPr>
    </w:p>
    <w:p>
      <w:pPr>
        <w:jc w:val="center"/>
        <w:ind w:left="4360" w:right="860" w:hanging="3499"/>
        <w:spacing w:after="0" w:line="360" w:lineRule="auto"/>
        <w:tabs>
          <w:tab w:leader="none" w:pos="11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Cayman Islands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0"/>
              </w:rPr>
              <w:t>001-39281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98-1523768</w:t>
            </w:r>
          </w:p>
        </w:tc>
        <w:tc>
          <w:tcPr>
            <w:tcW w:w="0" w:type="dxa"/>
            <w:vAlign w:val="bottom"/>
          </w:tcPr>
          <w:p>
            <w:pPr>
              <w:spacing w:after="0"/>
              <w:rPr>
                <w:sz w:val="1"/>
                <w:szCs w:val="1"/>
                <w:color w:val="auto"/>
              </w:rPr>
            </w:pP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7"/>
          </w:tcPr>
          <w:p>
            <w:pPr>
              <w:jc w:val="center"/>
              <w:ind w:right="160"/>
              <w:spacing w:after="0" w:line="201" w:lineRule="exact"/>
              <w:rPr>
                <w:sz w:val="20"/>
                <w:szCs w:val="20"/>
                <w:color w:val="auto"/>
              </w:rPr>
            </w:pPr>
            <w:r>
              <w:rPr>
                <w:rFonts w:ascii="Arial" w:cs="Arial" w:eastAsia="Arial" w:hAnsi="Arial"/>
                <w:sz w:val="18"/>
                <w:szCs w:val="18"/>
                <w:color w:val="auto"/>
                <w:w w:val="93"/>
              </w:rPr>
              <w:t>(Commission File Number)</w:t>
            </w: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4640" w:type="dxa"/>
            <w:vAlign w:val="bottom"/>
            <w:gridSpan w:val="3"/>
          </w:tcPr>
          <w:p>
            <w:pPr>
              <w:jc w:val="center"/>
              <w:ind w:right="1020"/>
              <w:spacing w:after="0"/>
              <w:rPr>
                <w:sz w:val="20"/>
                <w:szCs w:val="20"/>
                <w:color w:val="auto"/>
              </w:rPr>
            </w:pPr>
            <w:r>
              <w:rPr>
                <w:rFonts w:ascii="Arial" w:cs="Arial" w:eastAsia="Arial" w:hAnsi="Arial"/>
                <w:sz w:val="18"/>
                <w:szCs w:val="18"/>
                <w:color w:val="auto"/>
                <w:w w:val="93"/>
              </w:rPr>
              <w:t>incorporation or organization)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r>
        <w:trPr>
          <w:trHeight w:val="292"/>
        </w:trPr>
        <w:tc>
          <w:tcPr>
            <w:tcW w:w="46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1601 Bryan Street, Suite 4141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7"/>
              </w:rPr>
              <w:t>Dallas, Texas</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jc w:val="right"/>
              <w:ind w:right="2430"/>
              <w:spacing w:after="0"/>
              <w:rPr>
                <w:sz w:val="20"/>
                <w:szCs w:val="20"/>
                <w:color w:val="auto"/>
              </w:rPr>
            </w:pPr>
            <w:r>
              <w:rPr>
                <w:rFonts w:ascii="Arial" w:cs="Arial" w:eastAsia="Arial" w:hAnsi="Arial"/>
                <w:sz w:val="18"/>
                <w:szCs w:val="18"/>
                <w:b w:val="1"/>
                <w:bCs w:val="1"/>
                <w:color w:val="auto"/>
              </w:rPr>
              <w:t>75201</w:t>
            </w:r>
          </w:p>
        </w:tc>
        <w:tc>
          <w:tcPr>
            <w:tcW w:w="0" w:type="dxa"/>
            <w:vAlign w:val="bottom"/>
          </w:tcPr>
          <w:p>
            <w:pPr>
              <w:spacing w:after="0"/>
              <w:rPr>
                <w:sz w:val="1"/>
                <w:szCs w:val="1"/>
                <w:color w:val="auto"/>
              </w:rPr>
            </w:pPr>
          </w:p>
        </w:tc>
      </w:tr>
      <w:tr>
        <w:trPr>
          <w:trHeight w:val="230"/>
        </w:trPr>
        <w:tc>
          <w:tcPr>
            <w:tcW w:w="464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96"/>
        </w:trPr>
        <w:tc>
          <w:tcPr>
            <w:tcW w:w="11240" w:type="dxa"/>
            <w:vAlign w:val="bottom"/>
            <w:gridSpan w:val="13"/>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(952) 456-5304</w:t>
            </w:r>
          </w:p>
        </w:tc>
        <w:tc>
          <w:tcPr>
            <w:tcW w:w="0" w:type="dxa"/>
            <w:vAlign w:val="bottom"/>
          </w:tcPr>
          <w:p>
            <w:pPr>
              <w:spacing w:after="0"/>
              <w:rPr>
                <w:sz w:val="1"/>
                <w:szCs w:val="1"/>
                <w:color w:val="auto"/>
              </w:rPr>
            </w:pPr>
          </w:p>
        </w:tc>
      </w:tr>
      <w:tr>
        <w:trPr>
          <w:trHeight w:val="296"/>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Not Applicable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40" w:type="dxa"/>
            <w:vAlign w:val="bottom"/>
            <w:gridSpan w:val="13"/>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0" w:type="dxa"/>
            <w:vAlign w:val="bottom"/>
          </w:tcPr>
          <w:p>
            <w:pPr>
              <w:spacing w:after="0"/>
              <w:rPr>
                <w:sz w:val="1"/>
                <w:szCs w:val="1"/>
                <w:color w:val="auto"/>
              </w:rPr>
            </w:pPr>
          </w:p>
        </w:tc>
      </w:tr>
      <w:tr>
        <w:trPr>
          <w:trHeight w:val="310"/>
        </w:trPr>
        <w:tc>
          <w:tcPr>
            <w:tcW w:w="11240" w:type="dxa"/>
            <w:vAlign w:val="bottom"/>
            <w:gridSpan w:val="1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318"/>
        </w:trPr>
        <w:tc>
          <w:tcPr>
            <w:tcW w:w="46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0"/>
              </w:rPr>
              <w:t>Title of Each Class: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Trading Symbol:</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02"/>
        </w:trPr>
        <w:tc>
          <w:tcPr>
            <w:tcW w:w="4640" w:type="dxa"/>
            <w:vAlign w:val="bottom"/>
            <w:gridSpan w:val="3"/>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0"/>
              </w:rPr>
              <w:t>Units, each consisting of one Class A Ordinary Share, $0.0001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5"/>
            <w:vMerge w:val="restart"/>
            <w:shd w:val="clear" w:color="auto" w:fill="CCEEFF"/>
          </w:tcPr>
          <w:p>
            <w:pPr>
              <w:jc w:val="center"/>
              <w:ind w:right="620"/>
              <w:spacing w:after="0"/>
              <w:rPr>
                <w:sz w:val="20"/>
                <w:szCs w:val="20"/>
                <w:color w:val="auto"/>
              </w:rPr>
            </w:pPr>
            <w:r>
              <w:rPr>
                <w:rFonts w:ascii="Arial" w:cs="Arial" w:eastAsia="Arial" w:hAnsi="Arial"/>
                <w:sz w:val="18"/>
                <w:szCs w:val="18"/>
                <w:color w:val="auto"/>
                <w:w w:val="95"/>
              </w:rPr>
              <w:t>SOAC.U</w:t>
            </w:r>
          </w:p>
        </w:tc>
        <w:tc>
          <w:tcPr>
            <w:tcW w:w="640" w:type="dxa"/>
            <w:vAlign w:val="bottom"/>
            <w:shd w:val="clear" w:color="auto" w:fill="CCEEFF"/>
          </w:tcPr>
          <w:p>
            <w:pPr>
              <w:spacing w:after="0"/>
              <w:rPr>
                <w:sz w:val="17"/>
                <w:szCs w:val="17"/>
                <w:color w:val="auto"/>
              </w:rPr>
            </w:pPr>
          </w:p>
        </w:tc>
        <w:tc>
          <w:tcPr>
            <w:tcW w:w="3800" w:type="dxa"/>
            <w:vAlign w:val="bottom"/>
            <w:gridSpan w:val="2"/>
            <w:vMerge w:val="restart"/>
            <w:shd w:val="clear" w:color="auto" w:fill="CCEEFF"/>
          </w:tcPr>
          <w:p>
            <w:pPr>
              <w:jc w:val="center"/>
              <w:ind w:right="1050"/>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r>
        <w:trPr>
          <w:trHeight w:val="122"/>
        </w:trPr>
        <w:tc>
          <w:tcPr>
            <w:tcW w:w="4640" w:type="dxa"/>
            <w:vAlign w:val="bottom"/>
            <w:gridSpan w:val="3"/>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89"/>
              </w:rPr>
              <w:t>par value, and one-half of one redeemable warrant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20" w:type="dxa"/>
            <w:vAlign w:val="bottom"/>
            <w:gridSpan w:val="5"/>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8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40" w:type="dxa"/>
            <w:vAlign w:val="bottom"/>
            <w:gridSpan w:val="3"/>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Class A Ordinary Shares included as part of the units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center"/>
              <w:ind w:right="600"/>
              <w:spacing w:after="0"/>
              <w:rPr>
                <w:sz w:val="20"/>
                <w:szCs w:val="20"/>
                <w:color w:val="auto"/>
              </w:rPr>
            </w:pPr>
            <w:r>
              <w:rPr>
                <w:rFonts w:ascii="Arial" w:cs="Arial" w:eastAsia="Arial" w:hAnsi="Arial"/>
                <w:sz w:val="18"/>
                <w:szCs w:val="18"/>
                <w:color w:val="auto"/>
                <w:w w:val="93"/>
              </w:rPr>
              <w:t>SOAC</w:t>
            </w:r>
          </w:p>
        </w:tc>
        <w:tc>
          <w:tcPr>
            <w:tcW w:w="640" w:type="dxa"/>
            <w:vAlign w:val="bottom"/>
          </w:tcPr>
          <w:p>
            <w:pPr>
              <w:spacing w:after="0"/>
              <w:rPr>
                <w:sz w:val="18"/>
                <w:szCs w:val="18"/>
                <w:color w:val="auto"/>
              </w:rPr>
            </w:pPr>
          </w:p>
        </w:tc>
        <w:tc>
          <w:tcPr>
            <w:tcW w:w="3800" w:type="dxa"/>
            <w:vAlign w:val="bottom"/>
            <w:gridSpan w:val="2"/>
          </w:tcPr>
          <w:p>
            <w:pPr>
              <w:jc w:val="center"/>
              <w:ind w:right="1050"/>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r>
        <w:trPr>
          <w:trHeight w:val="202"/>
        </w:trPr>
        <w:tc>
          <w:tcPr>
            <w:tcW w:w="4640" w:type="dxa"/>
            <w:vAlign w:val="bottom"/>
            <w:gridSpan w:val="3"/>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90"/>
              </w:rPr>
              <w:t>Warrants included as part of the units, each whole warrant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5"/>
            <w:shd w:val="clear" w:color="auto" w:fill="CCEEFF"/>
          </w:tcPr>
          <w:p>
            <w:pPr>
              <w:jc w:val="center"/>
              <w:ind w:right="100"/>
              <w:spacing w:after="0"/>
              <w:rPr>
                <w:sz w:val="20"/>
                <w:szCs w:val="20"/>
                <w:color w:val="auto"/>
              </w:rPr>
            </w:pPr>
            <w:r>
              <w:rPr>
                <w:rFonts w:ascii="Arial" w:cs="Arial" w:eastAsia="Arial" w:hAnsi="Arial"/>
                <w:sz w:val="18"/>
                <w:szCs w:val="18"/>
                <w:color w:val="auto"/>
                <w:w w:val="89"/>
              </w:rPr>
              <w:t>exercisable for one Class A Ordinary Share at an exercise price of</w:t>
            </w:r>
          </w:p>
        </w:tc>
        <w:tc>
          <w:tcPr>
            <w:tcW w:w="1920" w:type="dxa"/>
            <w:vAlign w:val="bottom"/>
            <w:gridSpan w:val="5"/>
            <w:shd w:val="clear" w:color="auto" w:fill="CCEEFF"/>
          </w:tcPr>
          <w:p>
            <w:pPr>
              <w:jc w:val="center"/>
              <w:ind w:right="600"/>
              <w:spacing w:after="0"/>
              <w:rPr>
                <w:sz w:val="20"/>
                <w:szCs w:val="20"/>
                <w:color w:val="auto"/>
              </w:rPr>
            </w:pPr>
            <w:r>
              <w:rPr>
                <w:rFonts w:ascii="Arial" w:cs="Arial" w:eastAsia="Arial" w:hAnsi="Arial"/>
                <w:sz w:val="18"/>
                <w:szCs w:val="18"/>
                <w:color w:val="auto"/>
                <w:w w:val="94"/>
              </w:rPr>
              <w:t>SOAC WS</w:t>
            </w:r>
          </w:p>
        </w:tc>
        <w:tc>
          <w:tcPr>
            <w:tcW w:w="6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right="1050"/>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0"/>
              </w:rPr>
              <w:t>$11.50</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00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00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560" w:type="dxa"/>
            <w:vAlign w:val="bottom"/>
          </w:tcPr>
          <w:p>
            <w:pPr>
              <w:ind w:left="200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aggregate market value of the ordinary shares outstanding, other than shares held by persons who may be deemed affiliates of the registrant, computed by reference to the closing sales price for the ordinary shares on June 30, 2020, as reported on the NYSE, was approximately $291,000,000.</w:t>
      </w:r>
    </w:p>
    <w:p>
      <w:pPr>
        <w:spacing w:after="0" w:line="6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March 30, 2021, 30,000,000 Class A ordinary shares (which includes Class A ordinary shares that are underlying the company’s units), par value $0.0001, and 7,500,000 Class B ordinary shares, par value $0.0001, were issued and outstanding.</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Sustainable Opportunities Acquisition Corp. (the “Company”) is filing this Amendment No. 1 to its Annual Report for the fiscal year ended December 31, 2020 on Form 10-K/A (the “Amendment”) to amend and restate certain items in its Annual Report for the fiscal year ended December 31, 2020 on Form 10-K originally filed with the U.S. Securities and Exchange Commission (the “SEC”) on March 30, 2021 (the “Original 10-K”). We are also restating our financial statements as of May 8, 2020, as of and for the year ended December 31, 2020, as of and for the three and nine month periods ended September 30, 2020 and as of and for the three and six month periods ended June 30, 2020 (the “Affected Periods”) in the accompanying financial statements included in this Annual Report, including describing the restatement and its impact on previously reported amounts.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restatement results from the Company’s prior accounting for its outstanding warrants issued in connection with its initial public offering in May 2020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stock, all holders of the warrants would be entitled to receive cash for their warrants (the “tender offer provision”). In other words, in the event of a qualifying cash tender offer (which could be outside the control of the Company), all warrant holders would be entitled to cash, while only certain of the holders of the underlying common stock would be entitled to cash.</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12, 2021, the Staff of the SEC’s Division of Corporation Finance (“Staff”) issued a statement (the “Staff Statement”) entitled “Staff Statement on Accounting and Reporting Considerations for Warrants Issued by Special Purpose Acquisition Companies.” In the Staff Statement, the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its accounting for its public warrants and private placement warrants issued in connection with the Company’s initial public offering (the “Warrants”), and concluded that the Warrants should be treated as derivative liabilities pursuant to Accounting Standards Codification (“ASC”) Subtopic 815-40 rather than as components of equity as the Company previously treated the Warrants.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the Company should have classified its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 Therefore, the Company is restating in this Amendment its financial statements for the Affected Periods (the “Restatement”).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Restatement, the Company’s management reassessed the effectiveness of its disclosure controls and procedures for the Affected Periods. As a result of that reassessment, the Company’s management determined that its disclosure controls and procedures for the Affected Periods were not effective solely as a result of its classification of the Warrants as a component of equity instead of as derivative liabilities. For more information, see Part II, Item 9A, Controls and Procedures included in this Amendment.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amended its previously filed Current Report on Form 8-K or Quarterly Reports on Form 10-Q for the periods affected by the restatement. The financial information that has been previously filed or otherwise reported for these periods is superseded by the information in this Annual Report on Form 10-K/A, and the financial statements and related financial information contained in such previously filed reports should no longer be relied upon.</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items are amended in this Amendment: (i) Part I, Item 1A. Risk Factors; (ii) Part II, Item 7. Management’s Discussion and Analysis of Financial Condition and Results of Operations; (iii) Part II, Item 8. Financial Statements and Supplementary Data; (iv) Part II, Item 9A. Controls and Procedures; and (v) Part IV, Item 15. Exhibits, Financial Statement Schedules (including to correct the hyperlinks to certain exhibits contained therein that contained errors in the Original 10-K due to a printer error). Additionally, in accordance with Rule 12b-15 under the Securities Exchange Act of 1934, as amended, the Company is including with this Amendment currently dated certifications from our principal executive officer and principal financial officer. These certifications are filed or furnished, as applicable, as Exhibits 31.1, 31.2, 32.1 and 32.2.</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Except as described above, this Amendment does not amend, update or change any other disclosures in the Original 10-K. In addition, the information contained in this Amendment does not reflect events occurring after the filing of the Original 10-K and does not modify or update the disclosures therein, except as specifically identified above. Among other things, forward-looking statements made in the Original 10-K have not been revised to reflect events, results or developments that occurred or facts that became known to us after the date of the Original 10-K, other than the Restatement, and such forward-looking statements should be read in conjunction with our filings with the SEC, including those subsequent to the filing of the Original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4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0460" w:type="dxa"/>
            <w:vAlign w:val="bottom"/>
            <w:gridSpan w:val="29"/>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CAUTIONARY NOTE REGARDING FORWARD-LOOKING STATEMENTS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2"/>
              </w:rPr>
              <w:t>iii</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w w:val="98"/>
              </w:rPr>
            </w:pPr>
            <w:hyperlink w:anchor="page8">
              <w:r>
                <w:rPr>
                  <w:rFonts w:ascii="Arial" w:cs="Arial" w:eastAsia="Arial" w:hAnsi="Arial"/>
                  <w:sz w:val="18"/>
                  <w:szCs w:val="18"/>
                  <w:b w:val="1"/>
                  <w:bCs w:val="1"/>
                  <w:color w:val="0000EE"/>
                  <w:w w:val="98"/>
                </w:rPr>
                <w:t>PART I</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9"/>
              </w:rPr>
              <w:t>1</w:t>
            </w:r>
          </w:p>
        </w:tc>
      </w:tr>
      <w:tr>
        <w:trPr>
          <w:trHeight w:val="175"/>
        </w:trPr>
        <w:tc>
          <w:tcPr>
            <w:tcW w:w="900" w:type="dxa"/>
            <w:vAlign w:val="bottom"/>
            <w:gridSpan w:val="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Item 1.</w:t>
              </w:r>
            </w:hyperlink>
          </w:p>
        </w:tc>
        <w:tc>
          <w:tcPr>
            <w:tcW w:w="9560" w:type="dxa"/>
            <w:vAlign w:val="bottom"/>
            <w:gridSpan w:val="2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3"/>
          </w:tcPr>
          <w:p>
            <w:pPr>
              <w:spacing w:after="0" w:line="17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1B.</w:t>
              </w:r>
            </w:hyperlink>
          </w:p>
        </w:tc>
        <w:tc>
          <w:tcPr>
            <w:tcW w:w="260" w:type="dxa"/>
            <w:vAlign w:val="bottom"/>
            <w:gridSpan w:val="4"/>
          </w:tcPr>
          <w:p>
            <w:pPr>
              <w:spacing w:after="0"/>
              <w:rPr>
                <w:sz w:val="15"/>
                <w:szCs w:val="15"/>
                <w:color w:val="auto"/>
              </w:rPr>
            </w:pPr>
          </w:p>
        </w:tc>
        <w:tc>
          <w:tcPr>
            <w:tcW w:w="9560" w:type="dxa"/>
            <w:vAlign w:val="bottom"/>
            <w:gridSpan w:val="22"/>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Unresolved Staff Comments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2.</w:t>
              </w:r>
            </w:hyperlink>
          </w:p>
        </w:tc>
        <w:tc>
          <w:tcPr>
            <w:tcW w:w="380" w:type="dxa"/>
            <w:vAlign w:val="bottom"/>
            <w:gridSpan w:val="6"/>
            <w:shd w:val="clear" w:color="auto" w:fill="CCEEFF"/>
          </w:tcPr>
          <w:p>
            <w:pPr>
              <w:spacing w:after="0"/>
              <w:rPr>
                <w:sz w:val="15"/>
                <w:szCs w:val="15"/>
                <w:color w:val="auto"/>
              </w:rPr>
            </w:pPr>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Properties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3.</w:t>
              </w:r>
            </w:hyperlink>
          </w:p>
        </w:tc>
        <w:tc>
          <w:tcPr>
            <w:tcW w:w="380" w:type="dxa"/>
            <w:vAlign w:val="bottom"/>
            <w:gridSpan w:val="6"/>
          </w:tcPr>
          <w:p>
            <w:pPr>
              <w:spacing w:after="0"/>
              <w:rPr>
                <w:sz w:val="15"/>
                <w:szCs w:val="15"/>
                <w:color w:val="auto"/>
              </w:rPr>
            </w:pPr>
          </w:p>
        </w:tc>
        <w:tc>
          <w:tcPr>
            <w:tcW w:w="9560" w:type="dxa"/>
            <w:vAlign w:val="bottom"/>
            <w:gridSpan w:val="22"/>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4.</w:t>
              </w:r>
            </w:hyperlink>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53</w:t>
            </w:r>
          </w:p>
        </w:tc>
      </w:tr>
      <w:tr>
        <w:trPr>
          <w:trHeight w:val="176"/>
        </w:trPr>
        <w:tc>
          <w:tcPr>
            <w:tcW w:w="6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5.</w:t>
              </w:r>
            </w:hyperlink>
          </w:p>
        </w:tc>
        <w:tc>
          <w:tcPr>
            <w:tcW w:w="240" w:type="dxa"/>
            <w:vAlign w:val="bottom"/>
            <w:tcBorders>
              <w:top w:val="single" w:sz="8" w:color="CCEEFF"/>
            </w:tcBorders>
            <w:gridSpan w:val="3"/>
          </w:tcPr>
          <w:p>
            <w:pPr>
              <w:spacing w:after="0"/>
              <w:rPr>
                <w:sz w:val="15"/>
                <w:szCs w:val="15"/>
                <w:color w:val="auto"/>
              </w:rPr>
            </w:pPr>
          </w:p>
        </w:tc>
        <w:tc>
          <w:tcPr>
            <w:tcW w:w="9560" w:type="dxa"/>
            <w:vAlign w:val="bottom"/>
            <w:tcBorders>
              <w:top w:val="single" w:sz="8" w:color="CCEEFF"/>
            </w:tcBorders>
            <w:gridSpan w:val="22"/>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Shareholder Matters and Issuer Purchases of Equity Securities</w:t>
              </w:r>
            </w:hyperlink>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6.</w:t>
              </w:r>
            </w:hyperlink>
          </w:p>
        </w:tc>
        <w:tc>
          <w:tcPr>
            <w:tcW w:w="380" w:type="dxa"/>
            <w:vAlign w:val="bottom"/>
            <w:gridSpan w:val="6"/>
            <w:shd w:val="clear" w:color="auto" w:fill="CCEEFF"/>
          </w:tcPr>
          <w:p>
            <w:pPr>
              <w:spacing w:after="0"/>
              <w:rPr>
                <w:sz w:val="15"/>
                <w:szCs w:val="15"/>
                <w:color w:val="auto"/>
              </w:rPr>
            </w:pPr>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Selected Financial Data</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7.</w:t>
              </w:r>
            </w:hyperlink>
          </w:p>
        </w:tc>
        <w:tc>
          <w:tcPr>
            <w:tcW w:w="380" w:type="dxa"/>
            <w:vAlign w:val="bottom"/>
            <w:gridSpan w:val="6"/>
          </w:tcPr>
          <w:p>
            <w:pPr>
              <w:spacing w:after="0"/>
              <w:rPr>
                <w:sz w:val="15"/>
                <w:szCs w:val="15"/>
                <w:color w:val="auto"/>
              </w:rPr>
            </w:pPr>
          </w:p>
        </w:tc>
        <w:tc>
          <w:tcPr>
            <w:tcW w:w="9560" w:type="dxa"/>
            <w:vAlign w:val="bottom"/>
            <w:gridSpan w:val="22"/>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7A.</w:t>
              </w:r>
            </w:hyperlink>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175"/>
        </w:trPr>
        <w:tc>
          <w:tcPr>
            <w:tcW w:w="64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8.</w:t>
              </w:r>
            </w:hyperlink>
          </w:p>
        </w:tc>
        <w:tc>
          <w:tcPr>
            <w:tcW w:w="260" w:type="dxa"/>
            <w:vAlign w:val="bottom"/>
            <w:tcBorders>
              <w:top w:val="single" w:sz="8" w:color="CCEEFF"/>
            </w:tcBorders>
            <w:gridSpan w:val="4"/>
          </w:tcPr>
          <w:p>
            <w:pPr>
              <w:spacing w:after="0"/>
              <w:rPr>
                <w:sz w:val="15"/>
                <w:szCs w:val="15"/>
                <w:color w:val="auto"/>
              </w:rPr>
            </w:pPr>
          </w:p>
        </w:tc>
        <w:tc>
          <w:tcPr>
            <w:tcW w:w="436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5200" w:type="dxa"/>
            <w:vAlign w:val="bottom"/>
            <w:tcBorders>
              <w:top w:val="single" w:sz="8" w:color="CCEEFF"/>
            </w:tcBorders>
            <w:gridSpan w:val="7"/>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9.</w:t>
              </w:r>
            </w:hyperlink>
          </w:p>
        </w:tc>
        <w:tc>
          <w:tcPr>
            <w:tcW w:w="380" w:type="dxa"/>
            <w:vAlign w:val="bottom"/>
            <w:tcBorders>
              <w:bottom w:val="single" w:sz="8" w:color="CCEEFF"/>
            </w:tcBorders>
            <w:gridSpan w:val="6"/>
            <w:shd w:val="clear" w:color="auto" w:fill="CCEEFF"/>
          </w:tcPr>
          <w:p>
            <w:pPr>
              <w:spacing w:after="0"/>
              <w:rPr>
                <w:sz w:val="17"/>
                <w:szCs w:val="17"/>
                <w:color w:val="auto"/>
              </w:rPr>
            </w:pPr>
          </w:p>
        </w:tc>
        <w:tc>
          <w:tcPr>
            <w:tcW w:w="64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176"/>
        </w:trPr>
        <w:tc>
          <w:tcPr>
            <w:tcW w:w="900" w:type="dxa"/>
            <w:vAlign w:val="bottom"/>
            <w:gridSpan w:val="7"/>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9A.</w:t>
              </w:r>
            </w:hyperlink>
          </w:p>
        </w:tc>
        <w:tc>
          <w:tcPr>
            <w:tcW w:w="9560" w:type="dxa"/>
            <w:vAlign w:val="bottom"/>
            <w:gridSpan w:val="22"/>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9B.</w:t>
              </w:r>
            </w:hyperlink>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60</w:t>
            </w:r>
          </w:p>
        </w:tc>
      </w:tr>
      <w:tr>
        <w:trPr>
          <w:trHeight w:val="175"/>
        </w:trPr>
        <w:tc>
          <w:tcPr>
            <w:tcW w:w="900" w:type="dxa"/>
            <w:vAlign w:val="bottom"/>
            <w:gridSpan w:val="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10.</w:t>
              </w:r>
            </w:hyperlink>
          </w:p>
        </w:tc>
        <w:tc>
          <w:tcPr>
            <w:tcW w:w="9560" w:type="dxa"/>
            <w:vAlign w:val="bottom"/>
            <w:gridSpan w:val="22"/>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11.</w:t>
              </w:r>
            </w:hyperlink>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67</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00" w:type="dxa"/>
            <w:vAlign w:val="bottom"/>
            <w:gridSpan w:val="7"/>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12.</w:t>
              </w:r>
            </w:hyperlink>
          </w:p>
        </w:tc>
        <w:tc>
          <w:tcPr>
            <w:tcW w:w="9560" w:type="dxa"/>
            <w:vAlign w:val="bottom"/>
            <w:gridSpan w:val="22"/>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shareholder Matters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13.</w:t>
              </w:r>
            </w:hyperlink>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gridSpan w:val="7"/>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14.</w:t>
              </w:r>
            </w:hyperlink>
          </w:p>
        </w:tc>
        <w:tc>
          <w:tcPr>
            <w:tcW w:w="9560" w:type="dxa"/>
            <w:vAlign w:val="bottom"/>
            <w:gridSpan w:val="22"/>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Accountant Fees and Services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900" w:type="dxa"/>
            <w:vAlign w:val="bottom"/>
            <w:gridSpan w:val="7"/>
          </w:tcPr>
          <w:p>
            <w:pPr>
              <w:spacing w:after="0" w:line="176"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72</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15.</w:t>
              </w:r>
            </w:hyperlink>
          </w:p>
        </w:tc>
        <w:tc>
          <w:tcPr>
            <w:tcW w:w="9560" w:type="dxa"/>
            <w:vAlign w:val="bottom"/>
            <w:gridSpan w:val="2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Exhibit and Financial Statement Schedules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gridSpan w:val="7"/>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16.</w:t>
              </w:r>
            </w:hyperlink>
          </w:p>
        </w:tc>
        <w:tc>
          <w:tcPr>
            <w:tcW w:w="9560" w:type="dxa"/>
            <w:vAlign w:val="bottom"/>
            <w:gridSpan w:val="22"/>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Form 10-K Summary</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4224"/>
        <w:spacing w:after="0"/>
        <w:rPr>
          <w:sz w:val="20"/>
          <w:szCs w:val="20"/>
          <w:color w:val="auto"/>
        </w:rPr>
      </w:pPr>
      <w:r>
        <w:rPr>
          <w:rFonts w:ascii="Arial" w:cs="Arial" w:eastAsia="Arial" w:hAnsi="Arial"/>
          <w:sz w:val="18"/>
          <w:szCs w:val="18"/>
          <w:b w:val="1"/>
          <w:bCs w:val="1"/>
          <w:color w:val="auto"/>
        </w:rPr>
        <w:t>CERTAIN TERMS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Unless otherwise stated in this Annual Report on Form 10-K (this “Report”), or the context otherwise requires, references to:</w:t>
      </w:r>
    </w:p>
    <w:p>
      <w:pPr>
        <w:spacing w:after="0" w:line="225" w:lineRule="exact"/>
        <w:rPr>
          <w:sz w:val="20"/>
          <w:szCs w:val="20"/>
          <w:color w:val="auto"/>
        </w:rPr>
      </w:pPr>
    </w:p>
    <w:p>
      <w:pPr>
        <w:ind w:left="324"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“amended and restated memorandum and articles of association” are to the amended and restated memorandum and articles of association that the company adopted prior to our initial public offering;</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“Companies Law” are to the Companies Law (2020 Revision) of the Cayman Islands as the same may be amended from time to time;</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“Founders” are to Scott Leonard and Scott Honour;</w:t>
      </w:r>
    </w:p>
    <w:p>
      <w:pPr>
        <w:spacing w:after="0" w:line="225"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“founder shares” are to our Class B ordinary shares initially issued to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83"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shareholders” are to our Sponsor and any other holders of our founder shares prior to our initial public offering (or their permitted transferees);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“ordinary shares” are to our Class A ordinary shares and our Class B ordinary shares;</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that were issued to our Sponsor in a private placement simultaneously with the closing of our initial public offering and upon conversion of working capital loans, if any;</w:t>
      </w:r>
    </w:p>
    <w:p>
      <w:pPr>
        <w:spacing w:after="0" w:line="170" w:lineRule="exact"/>
        <w:rPr>
          <w:rFonts w:ascii="Arial" w:cs="Arial" w:eastAsia="Arial" w:hAnsi="Arial"/>
          <w:sz w:val="18"/>
          <w:szCs w:val="18"/>
          <w:color w:val="auto"/>
        </w:rPr>
      </w:pPr>
    </w:p>
    <w:p>
      <w:pPr>
        <w:ind w:left="324" w:right="8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shares” are to our Class A ordinary shares sold as part of the units in our initial public offering (whether they were purchased in our initial public offering or thereafter in the open market);</w:t>
      </w:r>
    </w:p>
    <w:p>
      <w:pPr>
        <w:spacing w:after="0" w:line="170"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“Sponsor” is to Sustainable Opportunities Holdings LLC, a Delaware limited liability company; and</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“our,” “company,” “SOAC” or “our company” are to Sustainable Opportunities Acquisition Corp., a Cayman Islands exempted company.</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Some of the statements contained in this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 ability to consummate any acquisition or other business combination and any other statements that are not statements of current or historical facts. These statements are based on management’s current expectations, but actual results may differ materially due to various factors, including but not limited to:</w:t>
      </w:r>
    </w:p>
    <w:p>
      <w:pPr>
        <w:spacing w:after="0" w:line="18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DeepGreen Metals Inc., or any other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current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on NYSE or to have our securities listed on NYSE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“Risk Factors” may not be exhaustive.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summary of the principal risks described below in Part I, Item 1A “Risk Factors” in this Report.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Report.</w:t>
      </w:r>
    </w:p>
    <w:p>
      <w:pPr>
        <w:spacing w:after="0" w:line="187"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recently formed company with no operating history and no revenues, and you have no basis on which to evaluate our ability to achieve our business objective.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may be limited to the exercise of your right to redeem your shares from us for cash.</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search for a business combination, and any target business with which we ultimately consummate a business combination, may be materially adversely affected by the current coronavirus (COVID-19) outbreak and the status of debt and equity markets.</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able to consummate an initial business combination within 18 months after the closing of our initial public offering, in which case we would cease all operations except for the purpose of winding up and we would redeem our public shares and liquidate.</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NYSE may delist our securities from trading on its exchange, which could limit investors’ ability to make transactions in our securities and subject us to additional trading restrictions.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225"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3"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86"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net proceeds of our initial public offering and the sale of the private placement warrants not being held in the trust account are insufficient to allow us to operate for 18 months from the closing of our initial public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6"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83"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third parties bring claims against us, the proceeds held in the trust account could be reduced and the per-share redemption amount received by shareholders may be less than $10.00 per share.</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directors may decide not to enforce the indemnification obligations of our Sponsor, resulting in a reduction in the amount of funds in the trust account available for distribution to our public shareholders.</w:t>
      </w:r>
    </w:p>
    <w:p>
      <w:pPr>
        <w:spacing w:after="0" w:line="170"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blank check company incorporated as a Cayman Islands exempted company for the purpose of effecting a merger, share exchange, asset acquisition, share purchase, reorganization or similar business combination with one or more businesses or entities, which we refer to throughout this Report as our initial business combination. We are an emerging growth company and, as such, we are subject to all of the risks associated with emerging growth companies.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believe that there are significant, attractive investment opportunities that exist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undergoing this “brown-to-green” transition in our target universe. Companies in our target universe tend to have stable growth rates and would greatly benefit from access to public market capital.</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eight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w:t>
      </w:r>
      <w:r>
        <w:rPr>
          <w:rFonts w:ascii="Arial" w:cs="Arial" w:eastAsia="Arial" w:hAnsi="Arial"/>
          <w:sz w:val="16"/>
          <w:szCs w:val="16"/>
          <w:i w:val="1"/>
          <w:iCs w:val="1"/>
          <w:color w:val="auto"/>
        </w:rPr>
        <w:t>NPG</w:t>
      </w:r>
      <w:r>
        <w:rPr>
          <w:rFonts w:ascii="Arial" w:cs="Arial" w:eastAsia="Arial" w:hAnsi="Arial"/>
          <w:sz w:val="16"/>
          <w:szCs w:val="16"/>
          <w:color w:val="auto"/>
        </w:rPr>
        <w:t>”), a private equity firm, which he co-founded in 2012. Prior to that, Mr. Honour was at The Gores Group, a Los Angeles based private equity firm, for ten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numerous public and private companies, including Solar Spectrum Holdings LLC, Anthem Sports &amp; Entertainment Inc.,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8"/>
          <w:szCs w:val="18"/>
          <w:i w:val="1"/>
          <w:iCs w:val="1"/>
          <w:color w:val="auto"/>
        </w:rPr>
        <w:t>cum laude</w:t>
      </w:r>
      <w:r>
        <w:rPr>
          <w:rFonts w:ascii="Arial" w:cs="Arial" w:eastAsia="Arial" w:hAnsi="Arial"/>
          <w:sz w:val="18"/>
          <w:szCs w:val="18"/>
          <w:color w:val="auto"/>
        </w:rPr>
        <w:t>, in Business Administration and Economics from Pepperdine University and an M.B.A. in Finance and Marketing from the Wharton School of the University of Pennsylvania.</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69" w:lineRule="auto"/>
        <w:rPr>
          <w:sz w:val="20"/>
          <w:szCs w:val="20"/>
          <w:color w:val="auto"/>
        </w:rPr>
      </w:pPr>
      <w:r>
        <w:rPr>
          <w:rFonts w:ascii="Arial" w:cs="Arial" w:eastAsia="Arial" w:hAnsi="Arial"/>
          <w:sz w:val="17"/>
          <w:szCs w:val="17"/>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Rick Gaenzle serves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spent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Isaac Barchas serves on our board of directors. Mr. Barchas is the President and Chief Executive Officer of Research Bridge Partners (“</w:t>
      </w:r>
      <w:r>
        <w:rPr>
          <w:rFonts w:ascii="Arial" w:cs="Arial" w:eastAsia="Arial" w:hAnsi="Arial"/>
          <w:sz w:val="17"/>
          <w:szCs w:val="17"/>
          <w:i w:val="1"/>
          <w:iCs w:val="1"/>
          <w:color w:val="auto"/>
        </w:rPr>
        <w:t>RBP</w:t>
      </w:r>
      <w:r>
        <w:rPr>
          <w:rFonts w:ascii="Arial" w:cs="Arial" w:eastAsia="Arial" w:hAnsi="Arial"/>
          <w:sz w:val="17"/>
          <w:szCs w:val="17"/>
          <w:color w:val="auto"/>
        </w:rPr>
        <w:t>”),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Justin Kelly serves on our board of directors. Mr. Kelly is currently the Chief Executive Officer and Chief Investment Officer of Winslow Capital Management, LLC (“</w:t>
      </w:r>
      <w:r>
        <w:rPr>
          <w:rFonts w:ascii="Arial" w:cs="Arial" w:eastAsia="Arial" w:hAnsi="Arial"/>
          <w:sz w:val="16"/>
          <w:szCs w:val="16"/>
          <w:i w:val="1"/>
          <w:iCs w:val="1"/>
          <w:color w:val="auto"/>
        </w:rPr>
        <w:t>Winslow Capital</w:t>
      </w:r>
      <w:r>
        <w:rPr>
          <w:rFonts w:ascii="Arial" w:cs="Arial" w:eastAsia="Arial" w:hAnsi="Arial"/>
          <w:sz w:val="16"/>
          <w:szCs w:val="16"/>
          <w:color w:val="auto"/>
        </w:rPr>
        <w:t>”),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311" w:lineRule="auto"/>
        <w:rPr>
          <w:sz w:val="20"/>
          <w:szCs w:val="20"/>
          <w:color w:val="auto"/>
        </w:rPr>
      </w:pPr>
      <w:r>
        <w:rPr>
          <w:rFonts w:ascii="Arial" w:cs="Arial" w:eastAsia="Arial" w:hAnsi="Arial"/>
          <w:sz w:val="16"/>
          <w:szCs w:val="16"/>
          <w:color w:val="auto"/>
        </w:rPr>
        <w:t>We are further supported by our team of advisors comprised of former senior executives from leading global companies with experience in a wide range of sub-sectors and functional areas, who have previously worked together over the last decade or more. They provide us with access to their expertise and extensive industry networks from which we intend to source and evaluate targets as well as devise plans to optimize any business that we acquire.</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team is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“Item 1A.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“Item 10. Directors, Executive Officers and Corporate Governance—Conflicts of Interest.”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4, 2021, we entered into a Business Combination Agreement (as it may be amended, supplemented or otherwise modified from time to time,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Pursuant to the Business Combination Agreement, SOAC will migrate to and be continued as a company in British Columbia, Canada (the “SOAC Continuance”). Following the SOAC Continuance, pursuant to a plan of arrangement (the “Plan of Arrangement”) under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(British Columbia), (i) SOAC will acquire all of the issued and outstanding shares in the capital of DeepGreen (the “DeepGreen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DeepGreen shareholders in exchange for SOAC Common Shares (as defined below) and Company Earnout Shares (as defined below) (the “Share Exchange”), (ii) DeepGreen will become a wholly-owned subsidiary of SOAC,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 (collectively, with the Share Exchange, the “Share Exchange and Amalgamation” and, together with the other transactions contemplated by the Business Combination Agreement, the Plan of Arrangement and the ancillary documents entered into in connection with the Business Combination Agreement, collectively, the “Business Combination”).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terms and subject to the conditions of the Business Combination Agreement, pursuant to the Plan of Arrangement, each option to purchase common shares in the capital of DeepGreen (the “DeepGreen Options”) will become an option to purchase SOAC Common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SOAC’s shareholders and the fulfillment of other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Consideration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and subject to the conditions of the Business Combination Agreement, pursuant to the Plan of Arrangement, the shareholders and the optionholders of DeepGreen will be entitled to receive, in exchange for their DeepGreen Shares or DeepGreen Options, as applicable,</w:t>
      </w:r>
    </w:p>
    <w:p>
      <w:pPr>
        <w:jc w:val="both"/>
        <w:ind w:firstLine="8"/>
        <w:spacing w:after="0" w:line="252"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in the capital of SOAC or comparable equity awards that are settled or are exercisable for shares in the capital of SOAC, as applicable, based on an implied company equity value of $2.25 billion after giving effect to the SOAC Continuance (the “SOAC Common Shares”), (ii) 5,000,000 Class A Special Shares, (iii) 10,000,000 Class B Special Shares, (iv) 10,000,000 Class C Special Shares, (v) 20,000,000 Class D Special Shares, (vi) 20,000,000 Class E Special Shares, (vii) 20,000,000 Class F Special Shares, (viii) 25,000,000 Class G Special Shares and (ix) 25,000,000 Class H Special Shares, in each case, in the capital of SOAC (collectively, the “Company Earnout Shares”), or, as applicable, options to purchase such SOAC Common Shares and Company Earnout Shares.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terms and subject to the conditions of the Business Combination Agreement, immediately prior to closing of the Business Combination, the Sponsor will exchange 10% of the SOAC Common Shares it will own following the SOAC Continuance for (i) 500,000 Class I Special Shares (the “Sponsor Earnout Shares”) in the capital of SOAC, and (ii) 741,000 Class J Special Shares in the capital of SOAC (the “Class J Special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Business Combination Agreement contains representations, warranties and covenants of each of the parties thereto that are customary for transactions of this type. Each of SOAC and DeepGreen has also agreed to take all action within its power as may be necessary or appropriate such that, effective immediately after the closing of the Business Combination, the SOAC board of directors shall consist of nine directors, which shall be comprised of eight individuals determined by DeepGreen prior to the effectiveness of the Registration Statement on Form S-4 (the “Registration Statement”) and one director determined by the Sponsor, prior to the effectiveness of the Registration Statement. In addition, SOAC has agreed to adopt an equity incentive plan, as described in the Business Combination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obligation of SOAC and DeepGreen to consummate the Business Combination is subject to certain closing conditions, including, but not limited to, (i) the absence of any order, law or other legal restraint or prohibition issued by any court of competent jurisdiction or other governmental entity of competent jurisdiction preventing the consummation of the Business Combination, (ii) the effectiveness of the Registration Statement, (iii) the approval of SOAC’s shareholders, (iv) the approval of DeepGreen’s shareholders and optionholders, (v) receipt of a final Canadian court order with respect to the Plan of Arrangement (the “Final Order”), (vi) receipt of approval or deemed approval by the applicable minister under Part IV of the Investment Canada Act (Canada) (if required), (vii) the approval by NYSE of SOAC’s initial listing application in connection with the Business Combination and (viii) SOAC having at least $5,000,001 of net tangible assets (as determined in accordance with Rule 3a51-1(g)(1) of the Securities Exchange Act of 1934, as amended) remaining after the closing of the Business Combination.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the obligation of DeepGreen to consummate the Business Combination is subject to the fulfillment of other closing conditions, including, but not limited to, (i) the aggregate cash proceeds from SOAC’s trust account, together with the proceeds from the PIPE financing, equaling no less than $250,000,000 (after deducting any amounts paid to SOAC shareholders that exercise their redemption rights in connection with the Business Combination and net of SOAC’s unpaid transaction expenses and SOAC’s unpaid liabilities), (ii) no SOAC Material Adverse Effect (as defined in the Business Combination Agreement) having occurred that is continuing, (iii) SOAC having delivered, or caused to be delivered, to DeepGreen, the Registration Rights Agreement (as defined in the Business Combination Agreement), duly executed by an authorized officer of SOAC and (iv) SOAC having taken all actions necessary or appropriate such that the board of directors of SOAC consists of the number of directors, and is comprised of the individuals, determined pursuant to the Business Combination Agreement.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Business Combination Agreement may be terminated under certain customary and limited circumstances prior to the closing of the Business Combination, including, but not limited to, by (i) mutual written consent of SOAC and DeepGreen, (ii) SOAC if the representations and warranties of DeepGreen are not true and correct or if DeepGreen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(iii) DeepGreen if the representations and warranties of any SOAC Party (as defined in the Business Combination Agreement) are not true and correct or if any SOAC Party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(iv) either SOAC or DeepGreen if the Business Combination is not consummated by October 4, 2021, subject to certain limited exceptions,</w:t>
      </w:r>
    </w:p>
    <w:p>
      <w:pPr>
        <w:spacing w:after="0" w:line="6" w:lineRule="exact"/>
        <w:rPr>
          <w:sz w:val="20"/>
          <w:szCs w:val="20"/>
          <w:color w:val="auto"/>
        </w:rPr>
      </w:pPr>
    </w:p>
    <w:p>
      <w:pPr>
        <w:jc w:val="both"/>
        <w:ind w:firstLine="8"/>
        <w:spacing w:after="0" w:line="253" w:lineRule="auto"/>
        <w:tabs>
          <w:tab w:leader="none" w:pos="267" w:val="left"/>
        </w:tabs>
        <w:numPr>
          <w:ilvl w:val="0"/>
          <w:numId w:val="7"/>
        </w:numPr>
        <w:rPr>
          <w:rFonts w:ascii="Arial" w:cs="Arial" w:eastAsia="Arial" w:hAnsi="Arial"/>
          <w:sz w:val="18"/>
          <w:szCs w:val="18"/>
          <w:color w:val="auto"/>
        </w:rPr>
      </w:pPr>
      <w:r>
        <w:rPr>
          <w:rFonts w:ascii="Arial" w:cs="Arial" w:eastAsia="Arial" w:hAnsi="Arial"/>
          <w:sz w:val="18"/>
          <w:szCs w:val="18"/>
          <w:color w:val="auto"/>
        </w:rPr>
        <w:t>either SOAC or DeepGreen, if any governmental entity of competent jurisdiction shall have issued an order permanently enjoining or prohibiting the Business Combination and such order shall have become final and nonappealable, (vi) either SOAC or DeepGreen if certain required approvals are not obtained by SOAC shareholders after the conclusion of a meeting of SOAC’s shareholders held for such purpose at which such shareholders voted on such approvals and (vi) SOAC if DeepGreen Required Approval (as defined in the Business Combination Agreement) is not obtained at the DeepGreen Shareholder Meeting (as defined in the Business Combination Agreement).</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the Business Combination Agreement is validly terminated, none of the parties to the Business Combination Agreement will have any liability or any further obligation under the Business Combination Agreement, except in the case of Willful Breach or Fraud (each, as defined in the Business Combination Agreement) and for customary obligations that survive the termination thereof (such as confidentiality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Alternative Transaction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that the Final Order is not obtained (for any reason other than as a result of a material breach of SOAC’s covenants or obligations under the Business Combination Agreement), the parties to the Business Combination Agreement have agreed to take all actions reasonably required to execute and deliver all related documentation in order to complete the Business Combination by way of an amalgamation under Part 9, Division 3 of the BCBCA (an “Alternative Transaction”). In such event, the parties may consider effecting a share exchange for certain shareholders prior to consummating the Alternative Transaction.</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description of the Business Combination Agreement does not purport to be complete and is qualified in its entirety by the terms and conditions of the Business Combination Agreement, a copy of which is attached hereto as Exhibit 2.1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seek to:</w:t>
      </w:r>
    </w:p>
    <w:p>
      <w:pPr>
        <w:spacing w:after="0" w:line="18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Leverage the strategic and transactional experience of our management team and Sponsor to bring advice and attention to potential targets;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selection process in choosing an attractive investment opportunity leverages our management team’s network of industry, private equity sponsor, credit fund sponsor and lending community relationships as well as relationships with management teams of public and private companies, investment bankers, restructuring advisers, attorneys and accountants, which provides us with a number of business combination opportunities. We have deployed a proactive, thematic sourcing strategy and focus on companies where we believe the combination of our operating experience, relationships, capital and capital markets expertise can be a catalyst to transform a target company and can help accelerate the target’s growth, performance and sustainability profile. Since the completion of our initial public offering, members of our management team have communicated with their network of relationships to articulate our initial business combination criteria, including the parameters of our search for a target business, and have begun the disciplined process of pursuing and reviewing promising leads.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members of our management team have experience in:</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Executing transactions and business plans under various economic and financial market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sourcing, valuation, diligence and execution capabilities of our management team provide us with a significant pipeline of opportunities from which to evaluate and select a business that will benefit from our expertise. Our competitive strengths include the following:</w:t>
      </w:r>
    </w:p>
    <w:p>
      <w:pPr>
        <w:spacing w:after="0" w:line="146" w:lineRule="exact"/>
        <w:rPr>
          <w:sz w:val="20"/>
          <w:szCs w:val="20"/>
          <w:color w:val="auto"/>
        </w:rPr>
      </w:pPr>
    </w:p>
    <w:p>
      <w:pPr>
        <w:jc w:val="both"/>
        <w:ind w:left="980" w:hanging="324"/>
        <w:spacing w:after="0" w:line="279"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 team, with its decade long proven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 and simultaneously improve both financial metrics and sustainability and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left="980" w:hanging="324"/>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Experience in Decarbonization and Environmentally Sustainable Practices. </w:t>
      </w:r>
      <w:r>
        <w:rPr>
          <w:rFonts w:ascii="Arial" w:cs="Arial" w:eastAsia="Arial" w:hAnsi="Arial"/>
          <w:sz w:val="17"/>
          <w:szCs w:val="17"/>
          <w:color w:val="auto"/>
        </w:rPr>
        <w:t>Our management team has significant experience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65"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 and connections associated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186"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Investing Experience. </w:t>
      </w:r>
      <w:r>
        <w:rPr>
          <w:rFonts w:ascii="Arial" w:cs="Arial" w:eastAsia="Arial" w:hAnsi="Arial"/>
          <w:sz w:val="17"/>
          <w:szCs w:val="17"/>
          <w:color w:val="auto"/>
        </w:rPr>
        <w:t>We believe that our management and Sponsor’s track record of identifying and sourcing transactions positions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to evaluate potential investment targets and select one that will be well received by the public markets and our shareholders.</w:t>
      </w:r>
    </w:p>
    <w:p>
      <w:pPr>
        <w:spacing w:after="0" w:line="146" w:lineRule="exact"/>
        <w:rPr>
          <w:rFonts w:ascii="Arial" w:cs="Arial" w:eastAsia="Arial" w:hAnsi="Arial"/>
          <w:sz w:val="17"/>
          <w:szCs w:val="17"/>
          <w:color w:val="auto"/>
        </w:rPr>
      </w:pPr>
    </w:p>
    <w:p>
      <w:pPr>
        <w:jc w:val="both"/>
        <w:ind w:left="980" w:hanging="324"/>
        <w:spacing w:after="0" w:line="296"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Execution and Structuring Capability. </w:t>
      </w:r>
      <w:r>
        <w:rPr>
          <w:rFonts w:ascii="Arial" w:cs="Arial" w:eastAsia="Arial" w:hAnsi="Arial"/>
          <w:sz w:val="16"/>
          <w:szCs w:val="16"/>
          <w:color w:val="auto"/>
        </w:rPr>
        <w:t>We believe that our management team’s and Sponsor’s combined industry expertise and reputation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have used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187" w:lineRule="exact"/>
        <w:rPr>
          <w:sz w:val="20"/>
          <w:szCs w:val="20"/>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Benefits from Environmentally Sustainable Business Practices. </w:t>
      </w:r>
      <w:r>
        <w:rPr>
          <w:rFonts w:ascii="Arial" w:cs="Arial" w:eastAsia="Arial" w:hAnsi="Arial"/>
          <w:sz w:val="18"/>
          <w:szCs w:val="18"/>
          <w:color w:val="auto"/>
        </w:rPr>
        <w:t>We seek to acquire a business that (i) has existing operating practices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 and profit from environmental sustainability or (ii) would benefit from implementing environmentally sustainable commercial and operating practices leveraging the expertise of our management team and Sponsor.</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seek to acquire a business that has a defensible position within a target market as a result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differentiated technology, distribution capabilities, customer service or other competitive advantages.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seek to acquire a business that has highly recurring, stable cash flows and operating leverage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benefit from optimizing or delevering the capital structure.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seek to acquire a business where the collective capabilities of our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 can be leveraged to tangibly improve the operations and market position of the target.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aim to leverage our extensive network to source our business combination and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 to rely on broadly marketed processes to find a business combination target.</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Committed and Capable Management Team. </w:t>
      </w:r>
      <w:r>
        <w:rPr>
          <w:rFonts w:ascii="Arial" w:cs="Arial" w:eastAsia="Arial" w:hAnsi="Arial"/>
          <w:sz w:val="18"/>
          <w:szCs w:val="18"/>
          <w:color w:val="auto"/>
        </w:rPr>
        <w:t>We seek to acquire a business with a professional management team whose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seek to acquire a business that has the potential to grow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organically through market expansion or increased market share as well as through external acquisitions.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Report,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Process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evaluating a prospective target business, we expect to conduct a thorough due diligence review that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16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or other independent entity that commonly renders valuation opinions or an independent accounting firm.</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may directly or indirectly own our ordinary shares and/or private placement warrants following our initial public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or other independent entity that commonly renders valuation opinions. We do not intend to purchase multiple businesses in unrelated industries in conjunction with our initial business combination. Subject to this requirement, our management has virtually unrestricted flexibility in identifying and selecting one or more prospective businesses, although we are not permitted to effectuate our initial business combination with another blank check company or a similar company with nominal operations.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or other independent entity that commonly renders valuation opinions that such initial business combination or transaction is fair to our company from a financial point of view.</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provides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73" w:lineRule="auto"/>
        <w:rPr>
          <w:sz w:val="20"/>
          <w:szCs w:val="20"/>
          <w:color w:val="auto"/>
        </w:rPr>
      </w:pPr>
      <w:r>
        <w:rPr>
          <w:rFonts w:ascii="Arial" w:cs="Arial" w:eastAsia="Arial" w:hAnsi="Arial"/>
          <w:sz w:val="17"/>
          <w:szCs w:val="17"/>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including our lack of an operating history and our potential need to seek shareholder approval of any proposed initial business combination, negatively.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funds available for a business combination initially in the amount of $292,000,000, after payment of the expenses of our initial public offering and $10,500,000 of deferred underwriting fees,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our initial public offering. We intend to effectuate our initial business combination using cash from the proceeds of our initial public offering, the private placements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Sources of Target Businesses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the prospectus relating to our initial public offering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utilities and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acquisition candidate.</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or other independent entity that commonly renders valuation opinions, that such an initial business combination is fair to our company from a financial point of view. We are not required to obtain such an opinion in any other context.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more fully discussed in “Item 10. Directors, Executive Officers and Corporate Governance—Conflicts of Interest,” each of our officers and directors presently has,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7"/>
          <w:szCs w:val="17"/>
          <w:color w:val="auto"/>
        </w:rPr>
        <w:t>In addition, we have agreed not to enter into a definitive agreement regarding an initial business combination without the prior consent of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Sponsor.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87"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NYSE’s listing rules, shareholder approval would be required for our initial business combination if, for example:</w:t>
      </w:r>
    </w:p>
    <w:p>
      <w:pPr>
        <w:spacing w:after="0" w:line="225"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 outstanding (other than in a public offering);</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of our directors, officers or substantial security holders (as defined by the NYSE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184"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shareholder approval would require additional time and there is either not enough time to seek shareholder;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approval or doing so would place the company at a disadvantage in the transaction or result in other additional burdens on the company;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additional legal complexities of a proposed business combination that would be time-consuming and burdensome to present to shareholders.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right="20" w:firstLine="648"/>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directors and/or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Sponsor, officers, directors and/or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memorandum and articles of association provides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170" w:lineRule="exact"/>
        <w:rPr>
          <w:sz w:val="20"/>
          <w:szCs w:val="20"/>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has agreed to vote its founder shares and any public shares purchased during or after our initial public offering in favor of our initial business combination. As a result, in addition to our Sponsor’s founder shares, we would need 11,250,001, or 37.5% (assuming all issued and outstanding shares are voted), or 1,875,001, or 6.25% (assuming only the minimum number of shares representing a quorum are voted), of the 30,000,000 public shares sold in our initial public offering to be voted in favor of an initial business combination in order to have our initial business combination approved. Each public shareholder may elect to redeem their public shares irrespective of whether they vote for or against the proposed transaction. In addition, our Sponsor and each member of our management team have entered into agreements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3" w:lineRule="auto"/>
        <w:rPr>
          <w:sz w:val="20"/>
          <w:szCs w:val="20"/>
          <w:color w:val="auto"/>
        </w:rPr>
      </w:pPr>
      <w:r>
        <w:rPr>
          <w:rFonts w:ascii="Arial" w:cs="Arial" w:eastAsia="Arial" w:hAnsi="Arial"/>
          <w:sz w:val="18"/>
          <w:szCs w:val="18"/>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our initial public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our initial public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18 months from the closing of our initial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amended and restated memorandum and articles of association provides that we have only 18 months from the closing of our initial public offering to consummate an initial business combination. If we have not consummated an initial business combination within 18 months from the closing of our initial public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18 months from the closing of our initial public offering. Our amended and restated memorandum and articles of association provides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18 months from the closing of our initial public offering. However, if our Sponsor, director or members of our management team acquire public shares in or after our initial public offering, they will be entitled to liquidating distributions from the trust account with respect to such public shares if we fail to consummate an initial business combination within 18 months from the closing of our initial public offering.</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87" w:lineRule="auto"/>
        <w:rPr>
          <w:sz w:val="20"/>
          <w:szCs w:val="20"/>
          <w:color w:val="auto"/>
        </w:rPr>
      </w:pPr>
      <w:r>
        <w:rPr>
          <w:rFonts w:ascii="Arial" w:cs="Arial" w:eastAsia="Arial" w:hAnsi="Arial"/>
          <w:sz w:val="16"/>
          <w:szCs w:val="16"/>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initial $2,500,000 of proceeds held outside the trust account plus up to $100,000 of funds from the trust account available to us to pay dissolution expenses, although we cannot assure you that there will be sufficient funds for such purpose.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were to expend all of the net proceeds of our initial public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a third party that has not executed a waiver if management believes that such third party’s engagement would be in the best interest of the company given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 of our initial public offering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our initial public offering against certain liabilities, including liabilities under the Securities Act. We have access to up to $2,500,000 from the proceeds of our initial public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public shareholders will be entitled to receive funds from the trust account only (i) in the event of the redemption of our public shares if we do not consummate an initial business combination within 18 months from the closing of our initial public offering, (ii)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our initial public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pay to an affiliate of our Sponsor for office space, administrative and support services. We consider our current office space adequate for our current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required to file Annual Reports on Form 10-K and Quarterly Reports on Form 10-Q with the SEC on a regular basis, and are required to disclose certain material events (e.g., changes in corporate control, acquisitions or dispositions of a significant amount of assets other than in the ordinary course of business and bankruptcy) in a Current Report on Form 8-K. The SEC maintains an Internet website that contains reports, proxy and information statements and other information regarding issuers that file electronically with the SEC. The SEC’s Internet website is located at http://www.sec.gov.</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Report and the prospectus associated with our initial public offering,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no operating history and no revenues, and you have no basis on which to evaluate our ability to achieve our business objective.</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were formed on December 18, 2019 under the laws of the Cayman Islands and have no operating results. Because we lack an operating history, you have no basis upon which to evaluate our ability to achieve our business objective of completing our initial business combination with one or more target businesses. We may be unable to complete our initial business combination. If we fail to complete our initial business combination, we will never generate any operating revenues.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2020, we had approximately $1.3 million in cash and a working capital deficiency of approximately $372,000. Further, we have incurred and expect to continue to incur significant costs in pursuit of our financing and acquisition plans. We cannot assure you that our plans to raise capital or to consummate an initial business combination will be successful. These factors, among others, raise substantial doubt about our ability to continue as a going concern. The financial statements contained elsewhere in the prospectus do not include any adjustments that might result from our inability to consummate our initial public offering or our inability to continue as a going concern.</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Information regarding performance is presented for informational purposes only. Any past experience and performance of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team’s performance as indicative of the future performance of an investment in us, including whether we can provide an attractive return to our shareholders, or as indicative of every prior investment by each of our Founders and the members of our management team. The market price of our securities may be influenced by numerous factors, many of which are beyond our control, and our shareholders may experience losses on their investment in our securities.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 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the date hereof, our Sponsor owns, on an as-converted basis, approximately 20% of our outstanding ordinary shares. Our Sponsor and members of our management team also may from time to time purchase Class A ordinary shares prior to our initial business combination. Our amended and restated memorandum and articles of association provides that, if we seek shareholder approval, we will complete our initial business combination only if a majority of the ordinary shares, represented in person or by proxy and entitled to vote thereon, voted at a shareholder meeting vote in favor of the business combination, including the founder shares. As a result, in addition to our initial shareholders’ founder shares, we would need 11,250,001, or 37.5% (assuming all issued and outstanding shares are voted), or 1,875,001, or 6.25% (assuming only the minimum number of shares representing a quorum are voted), of the 30,000,000 public shares sold in our initial public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are not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 than we initially expected,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347" w:lineRule="auto"/>
        <w:rPr>
          <w:sz w:val="20"/>
          <w:szCs w:val="20"/>
          <w:color w:val="auto"/>
        </w:rPr>
      </w:pPr>
      <w:r>
        <w:rPr>
          <w:rFonts w:ascii="Arial" w:cs="Arial" w:eastAsia="Arial" w:hAnsi="Arial"/>
          <w:sz w:val="16"/>
          <w:szCs w:val="16"/>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requirement that we consummate an initial business combination within 18 months after the closing of our initial public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consummate an initial business combination within 18 months from the closing of our initial public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may not be able to consummate an initial business combination within 18 months after the closing of our initial public offering, in which case we would cease all operations except for the purpose of winding up and we would redeem our public shares and liquidate.</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not be able to find a suitable target business and consummate an initial business combination within 18 months after the closing of our initial public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right="20" w:firstLine="648"/>
        <w:spacing w:after="0" w:line="263" w:lineRule="auto"/>
        <w:rPr>
          <w:sz w:val="20"/>
          <w:szCs w:val="20"/>
          <w:color w:val="auto"/>
        </w:rPr>
      </w:pPr>
      <w:r>
        <w:rPr>
          <w:rFonts w:ascii="Arial" w:cs="Arial" w:eastAsia="Arial" w:hAnsi="Arial"/>
          <w:sz w:val="18"/>
          <w:szCs w:val="18"/>
          <w:color w:val="auto"/>
        </w:rPr>
        <w:t>Our amended and restated memorandum and articles of association provides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and (iii) the redemption of our public shares if we have not consummated an initial business within 18 months from the closing of our initial public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our initial public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NYSE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units, Class A ordinary shares and warrants are currently listed on the NYSE. Although we expect to continue to meet the minimum initial listing standards set forth in the NYSE listing standards, our securities may not be, or may not continue to be, listed on the NYSE in the future or prior to our initial business combination. In order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400 public holders).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our units will not be traded after completion of our initial business combination and, in connection with our initial business combination, we will be required to demonstrate compliance with the NYSE initial listing requirements, which are more rigorous than the NYSE continued listing requirements, in order to continue to maintain the listing of our securities on the NYSE.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greatest market value of publicly held shares would be required to be at least $100.0 million and we would be required to have at least 400 round lot shareholders. We may not be able to meet those listing requirements at that time.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Class A ordinary shares and warrants are listed on the NYSE, our units, Class A ordinary shares and warrants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the net proceeds of our initial public offering and the sale of the private placement warrants are intended to be used to complete an initial business combination with a target business that has not been selected, we may be deemed to be a “blank check” company under the United States securities laws. However, because we have net tangible assets in excess of $5,000,000, we are exempt from rules promulgated by the SEC to protect investors in blank check companies, such as Rule 419. Accordingly, investors will not be afforded the benefits or protections of those rules. Among other things, this means that since our units were immediately tradable and we have a longer period of time to complete our initial business combination than do companies subject to Rule 419. Moreover, if our initial public offering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encountered and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the net proceeds of our initial public offering and the sale of the private placement warrants not being held in the trust account are insufficient to allow us to operate for 18 months from the closing of our initial public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the funds available to us outside of the trust account, together with funds available from loans from our Sponsor, will be sufficient to allow us to operate for 18 months from the closing of our initial public offering; however, we cannot assure you that our estimate is accurate.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69" w:lineRule="auto"/>
        <w:rPr>
          <w:sz w:val="20"/>
          <w:szCs w:val="20"/>
          <w:color w:val="auto"/>
        </w:rPr>
      </w:pPr>
      <w:r>
        <w:rPr>
          <w:rFonts w:ascii="Arial" w:cs="Arial" w:eastAsia="Arial" w:hAnsi="Arial"/>
          <w:sz w:val="17"/>
          <w:szCs w:val="17"/>
          <w:color w:val="auto"/>
        </w:rPr>
        <w:t>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such third party that has not executed a waiver if management believes that such third party’s engagement would be significantly more beneficial to us than any alternative. The underwriter will not execute an agreement with us waiving such claims to the monies held in the trust account.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85" w:lineRule="auto"/>
        <w:rPr>
          <w:sz w:val="20"/>
          <w:szCs w:val="20"/>
          <w:color w:val="auto"/>
        </w:rPr>
      </w:pPr>
      <w:r>
        <w:rPr>
          <w:rFonts w:ascii="Arial" w:cs="Arial" w:eastAsia="Arial" w:hAnsi="Arial"/>
          <w:sz w:val="16"/>
          <w:szCs w:val="16"/>
          <w:color w:val="auto"/>
        </w:rPr>
        <w:t xml:space="preserve">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18 months from the closing of our initial public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a letter agreement,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 of our initial public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8"/>
          <w:szCs w:val="18"/>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8"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5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do not believe that our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An investment in our securities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or (iii) absent our completing an initial business combination within 18 months from the closing of our initial public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right="20"/>
        <w:spacing w:after="0" w:line="282" w:lineRule="auto"/>
        <w:rPr>
          <w:sz w:val="20"/>
          <w:szCs w:val="20"/>
          <w:color w:val="auto"/>
        </w:rPr>
      </w:pPr>
      <w:r>
        <w:rPr>
          <w:rFonts w:ascii="Arial" w:cs="Arial" w:eastAsia="Arial" w:hAnsi="Arial"/>
          <w:sz w:val="18"/>
          <w:szCs w:val="18"/>
          <w:b w:val="1"/>
          <w:bCs w:val="1"/>
          <w:color w:val="auto"/>
        </w:rPr>
        <w:t>If we have not consummated an initial business combination within 18 months from the closing of our initial public offering, our public shareholders may be forced to wait beyond such 18 months before redemption from our trust account.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we have not consummated an initial business combination within 18 months from the closing of our initial public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18 months from the closing of our initial public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 Our amended and restated memorandum and articles of association provides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$18,292.68 and to imprisonment for five years in the Cayman Islands.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hold an annual meeting of shareholders until after the consummation of our initial business combination.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accordance with the NYSE corporate governance requirements, we are not required to hold an annual meeting until no later than one year after our first fiscal year end following our listing on the NYSE. As an exempted company,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Class A ordinary shares will not be entitled to vote on any election of directors we hold prior to our initial business combination.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8"/>
          <w:szCs w:val="18"/>
          <w:b w:val="1"/>
          <w:b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relating to our initial public offering,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our initial public offering.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3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 they hold.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warrants may become exercisable for a security other than the Class A ordinary shares, and you will not have any information regarding such other security at this time.</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certain situations, including if we are not the surviving entity in our initial business combination, the warrants may become exercisable for a security other than the Class A ordinary shares.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Pursuant to agreement registration and shareholder rights agreement,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pursue business combination opportunities in any sector, except that we are not, under our amended and restated memorandum and articles of association, permitted to effectuate our initial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securities will ultimately prove to be more favorable to investors than a direct investment, if such opportunity were available, in a business combination target. Accordingly, any shareholders who choose to remain shareholders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seek acquisition opportunities in industries or sectors which may or may not be outside of our management’s area of expertise.</w:t>
      </w: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securities will not ultimately prove to be less favorable to investors in our securities than a direct investment, if an opportunity were available, in a business combination candidate. In the event we elect to pursue an acquisition outside of the areas of our management’s expertise, our management’s expertise may not be directly applicable to its evaluation or operation, and the information contained in this Report regarding the areas of our management’s expertise would not be relevant to an understanding of the business that we elect to acquire. As a result, our management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and our strategy is to identify, acquire and build a company in the sustainable sector,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and our strategy is to identify, acquire and build a company in the sustainable sector,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6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1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or 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memorandum and articles of association authorizes the issuance of up to 300,000,000 Class A ordinary shares, par value $0.0001 per share, 30,000,000 Class B ordinary shares, par value $0.0001 per share, and 1,000,000 preference shares, par value $0.0001 per share. There are 270,000,000 and 22,500,000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are automatically convertible into Class A ordinary shares at the time of our initial business combination as described herein and in our amended and restated memorandum and articles of association. There are no preference shares issued and outstanding.</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90" w:lineRule="auto"/>
        <w:rPr>
          <w:sz w:val="20"/>
          <w:szCs w:val="20"/>
          <w:color w:val="auto"/>
        </w:rPr>
      </w:pPr>
      <w:r>
        <w:rPr>
          <w:rFonts w:ascii="Arial" w:cs="Arial" w:eastAsia="Arial" w:hAnsi="Arial"/>
          <w:sz w:val="16"/>
          <w:szCs w:val="16"/>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provides,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165" w:lineRule="exact"/>
        <w:rPr>
          <w:sz w:val="20"/>
          <w:szCs w:val="20"/>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which dilution would increase if the anti-dilution provisions in the Class B ordinary shares resulted in the issuance of Class A ordinary shares on a greater than one-to-one basis upon conversion of the Class B ordinary shares;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such reincorporation may result in taxes imposed on shareholders.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15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79" w:lineRule="auto"/>
        <w:rPr>
          <w:sz w:val="20"/>
          <w:szCs w:val="20"/>
          <w:color w:val="auto"/>
        </w:rPr>
      </w:pPr>
      <w:r>
        <w:rPr>
          <w:rFonts w:ascii="Arial" w:cs="Arial" w:eastAsia="Arial" w:hAnsi="Arial"/>
          <w:sz w:val="17"/>
          <w:szCs w:val="17"/>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22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312" w:lineRule="auto"/>
        <w:rPr>
          <w:sz w:val="20"/>
          <w:szCs w:val="20"/>
          <w:color w:val="auto"/>
        </w:rPr>
      </w:pPr>
      <w:r>
        <w:rPr>
          <w:rFonts w:ascii="Arial" w:cs="Arial" w:eastAsia="Arial" w:hAnsi="Arial"/>
          <w:sz w:val="17"/>
          <w:szCs w:val="17"/>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4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directors also serve as officers and board members for other entities, and may also serve as officers and/or directors for other special purpose acquisition companies.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Until we consummate our initial business combination, we intend to engage in the business of identifying and combining with one or more businesses or entities. Certain of our officers and directors presently has, and any of them in the future may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4" w:lineRule="auto"/>
        <w:rPr>
          <w:sz w:val="20"/>
          <w:szCs w:val="20"/>
          <w:color w:val="auto"/>
        </w:rPr>
      </w:pPr>
      <w:r>
        <w:rPr>
          <w:rFonts w:ascii="Arial" w:cs="Arial" w:eastAsia="Arial" w:hAnsi="Arial"/>
          <w:sz w:val="18"/>
          <w:szCs w:val="18"/>
          <w:color w:val="auto"/>
        </w:rPr>
        <w:t>In addition, our Sponsor, directors and officers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provides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light of the involvement of our Sponsor, executive officers and directors with other entities, we may decide to acquire one or more businesses or entities affiliated with our Sponsor, executive officers, directors or existing holders. Any such companies, businesses or investments may present additional conflicts of interest in pursuing an initial business combination and may compete with us for business combination opportunities. However, we do not believe that any such potential conflicts would materially affect our ability to complete our initial business combination.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Item 1 “Business—Evaluation of a Target Business and Structuring of Our Initial Business Combination” and such transaction was approved by a majority of our independent and disinterested directors. Despite our agreement to obtain an opinion from an independent investment banking firm or other independent entity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314" w:lineRule="auto"/>
        <w:rPr>
          <w:sz w:val="20"/>
          <w:szCs w:val="20"/>
          <w:color w:val="auto"/>
        </w:rPr>
      </w:pPr>
      <w:r>
        <w:rPr>
          <w:rFonts w:ascii="Arial" w:cs="Arial" w:eastAsia="Arial" w:hAnsi="Arial"/>
          <w:sz w:val="16"/>
          <w:szCs w:val="16"/>
          <w:b w:val="1"/>
          <w:bCs w:val="1"/>
          <w:color w:val="auto"/>
        </w:rPr>
        <w:t>Since our Sponsor, executive officers and directors will lose their entire investment in us if our initial business combination is not completed (other than with respect to public shares they may have acquired during or may acquire after our initial public offering), a conflict of interest may arise in determining whether a particular business combination target is appropriate for our initial business combination.</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purchased an aggregate of 9,500,000 private placement warrants, each exercisable to purchase one Class A ordinary share at $11.50 per share, at a price of $1.00 per warrant ($9,500,000 in the aggregate), in a private placement that closed simultaneously with the closing of our initial public offering. If we do not consummate an initial business within 18 months from the closing of our initial public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anniversary of the closing of our initial public offering nears, which is the deadline for our consummation of an initial business combination.</w:t>
      </w:r>
    </w:p>
    <w:p>
      <w:pPr>
        <w:spacing w:after="0" w:line="1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no commitments as of the date of the prospectus to issue any notes or other debt securities, or to otherwise incur outstanding debt following our initial public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our initial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proceeds from our initial public offering and the private placement of warrants provided us with up to $292,000,000 that we may use to complete our initial business combination (after taking into account the $10,500,000 of deferred underwriting commissions being held in the trust account and the estimated expenses of our initial public offering).</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shareholders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8"/>
          <w:szCs w:val="18"/>
          <w:b w:val="1"/>
          <w:bCs w:val="1"/>
          <w:color w:val="auto"/>
        </w:rPr>
        <w:t>We may seek business combination opportunities with a high degree of complexity that require significant operational improvements, which could delay or prevent us from achieving our desired results.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amended and restated memorandum and articles of association does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Amending our amended and restated memorandum and articles of association requires at least a special resolution of our shareholders as a matter of Cayman Islands law, meaning the approval of holders of at least two-thirds of our ordinary shares who attend and vote at a general meeting of the company, and amending our warrant agreement requires a vote of holders of at least 65% of the public warrants and, solely with respect to any amendment to the terms of the private placement warrants or any provision of the warrant agreement with respect to the private placement warrants, 65% of the number of the then-outstanding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To the extent any of such amendments would be deemed to fundamentally change the nature of any of the securities offered through the initial public offering, we would register, or seek an exemption from registration for, the affected securities. We may seek to amend our amended and restated memorandum and articles of association or governing instruments or extend the time to consummate an initial business combination in order to effectuate our initial business combination.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spacing w:after="0" w:line="256" w:lineRule="auto"/>
        <w:rPr>
          <w:sz w:val="20"/>
          <w:szCs w:val="20"/>
          <w:color w:val="auto"/>
        </w:rPr>
      </w:pPr>
      <w:r>
        <w:rPr>
          <w:rFonts w:ascii="Arial" w:cs="Arial" w:eastAsia="Arial" w:hAnsi="Arial"/>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1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provides that any of its provisions related to pre-business combination activity (including the requirement to deposit proceeds of our initial public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 Our Sponsor and its permitted transferees, if any, who will collectively beneficially own, on an as-converted basis, 20% of our ordinary shares upon the closing of our initial public offering (assuming they do not purchase any units in our initial public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executive officers, directors and director nominees have agreed, pursuant to agreements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Although we believe that the net proceeds of our initial public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our initial public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8"/>
          <w:szCs w:val="18"/>
          <w:b w:val="1"/>
          <w:bCs w:val="1"/>
          <w:color w:val="auto"/>
        </w:rPr>
        <w:t>Our Sponsor controls a substantial interest in us and thus may exert a substantial influence on actions requiring a shareholder vote, potentially in a manner that you do not support.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Upon closing of our initial public offering, our Sponsor held, on an as-converted basis, approximately 20% of our issued and outstanding ordinary shares (assuming it does not purchase any units in our initial public offering). Accordingly, it may exert a substantial influence on actions requiring a shareholder vote, potentially in a manner that you do not support, including amendments to our amended and restated memorandum and articles of association.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Factors that would be considered in making such additional purchases would include consideration of the current trading price of our Class A ordinary shares. In addition, our board of directors, whose members were elected by our Sponsor, is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have considerable influence regarding the outcome. In addition, prior to the completion of an initial business combination, holders of a majority of our founder shares may remove a member of the board of directors for any reason. In addition, we have agreed not to enter into a definitive agreement regarding an initial business combination without the prior consent of our Sponsor. Accordingly, our Sponsor continues to exert control at least until the completion of our initial business combination.</w:t>
      </w:r>
    </w:p>
    <w:p>
      <w:pPr>
        <w:spacing w:after="0" w:line="16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of public warrants with the approval by the holders of at least 65%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(i) cure any ambiguity or correct any mistake, including to conform the provisions of the warrant agreement to the description of the terms of the warrants and the warrant agreement set forth in the prospectus, or defective provision, (ii) amending the definition of ordinary cash dividend as contemplated by the warrant agreement, or (iii) adding or changing any provisions with respect to matters or questions arising under the warrant agreement, but requires the approval by the holders of at least 65% of the then-outstanding public warrants to make any change that adversely affects the interests of the registered holders of public warrants. Accordingly, we may amend the terms of the public warrants in a manner adverse to a holder if holders of at least 65% of the then-outstanding public warrants approve of such amendment and, solely with respect to any amendment to the terms of the private placement warrants or any provision of the warrant agreement with respect to the private placement warrants, 65% of the number of the then-outstanding private placement warrants. Although our ability to amend the terms of the public warrants with the consent of at least 65%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have the ability to redeem outstanding warrants at any time after they become exercisable and prior to their expiration, at a price of $0.01 per warrant,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closing price of our Class A ordinary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our Sponsor or its permitted transferees.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issued warrants to purchase 15,000,000 Class A ordinary shares as part of the units issued in our initial public offering and, simultaneously with the closing of our initial public offering, we issued in a private placement an aggregate of 9,500,000 private placement warrants, each exercisable to purchase one Class A ordinary share at $11.50 per share. In addition, if the Sponsor makes any working capital loans, it may convert up to $1,500,000 of such loans into up to an additional 1,500,000 private placement warrants, at the price of $1.00 per warrant.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blank check companies.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Unlike most blank check companies, if (i) we issue additional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 This may make it more difficult for us to consummate an initial business combination with a target business.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The market for our securities may not be sustained, which would adversely affect the liquidity and price of our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price of our securities may vary significantly due to one or more potential business combinations and general market or economic conditions.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Furthermore, an active trading market for our securities may not be sustained. You may be unable to sell your securities unless a market can be sustained.</w:t>
      </w:r>
    </w:p>
    <w:p>
      <w:pPr>
        <w:spacing w:after="0" w:line="23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17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w:t>
      </w:r>
    </w:p>
    <w:p>
      <w:pPr>
        <w:jc w:val="both"/>
        <w:ind w:firstLine="8"/>
        <w:spacing w:after="0" w:line="268" w:lineRule="auto"/>
        <w:tabs>
          <w:tab w:leader="none" w:pos="2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55"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warrants are accounted for as liabilities and the changes in value of our warrants could have a material effect on our financial results.</w:t>
      </w:r>
    </w:p>
    <w:p>
      <w:pPr>
        <w:spacing w:after="0" w:line="2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15,000,000 public warrants and 9,500,000 private placement warrants, and determined to classify the warrants as derivative liabilities measured at fair value, with changes in fair value each period reported in earnings. We expect that we will recognize non-cash gains or losses due to the quarterly fair valuation of our warrants and that such gains or losses could be material.</w:t>
      </w:r>
    </w:p>
    <w:p>
      <w:pPr>
        <w:spacing w:after="0" w:line="9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this issuance of the SEC Statement, after consultation with the Company’s management and the audit committee of our Board of Directors (the “Audit Committee”), the Company concluded that, in light of the SEC Statement, it was appropriate to restate the Company’s previously issued audited financial statements as of and for the year ended December 31, 2020. See “</w:t>
      </w:r>
      <w:r>
        <w:rPr>
          <w:rFonts w:ascii="Arial" w:cs="Arial" w:eastAsia="Arial" w:hAnsi="Arial"/>
          <w:sz w:val="18"/>
          <w:szCs w:val="18"/>
          <w:i w:val="1"/>
          <w:iCs w:val="1"/>
          <w:color w:val="auto"/>
        </w:rPr>
        <w:t>—Our warrants are accounted for as liabilities and the changes</w:t>
      </w:r>
      <w:r>
        <w:rPr>
          <w:rFonts w:ascii="Arial" w:cs="Arial" w:eastAsia="Arial" w:hAnsi="Arial"/>
          <w:sz w:val="18"/>
          <w:szCs w:val="18"/>
          <w:color w:val="auto"/>
        </w:rPr>
        <w:t xml:space="preserve"> </w:t>
      </w:r>
      <w:r>
        <w:rPr>
          <w:rFonts w:ascii="Arial" w:cs="Arial" w:eastAsia="Arial" w:hAnsi="Arial"/>
          <w:sz w:val="18"/>
          <w:szCs w:val="18"/>
          <w:i w:val="1"/>
          <w:iCs w:val="1"/>
          <w:color w:val="auto"/>
        </w:rPr>
        <w:t>in value of our warrants could have a material effect on our financial results</w:t>
      </w:r>
      <w:r>
        <w:rPr>
          <w:rFonts w:ascii="Arial" w:cs="Arial" w:eastAsia="Arial" w:hAnsi="Arial"/>
          <w:sz w:val="18"/>
          <w:szCs w:val="18"/>
          <w:color w:val="auto"/>
        </w:rPr>
        <w:t>.” As part of such process, we identified a material weakness in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0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face litigation and other risks and uncertainties as a result of the material weakness in our internal control over financial reporting and the restatement of our financial statements.</w:t>
      </w:r>
    </w:p>
    <w:p>
      <w:pPr>
        <w:spacing w:after="0" w:line="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result of the material weakness in internal controls over financial reporting described in “</w:t>
      </w:r>
      <w:r>
        <w:rPr>
          <w:rFonts w:ascii="Arial" w:cs="Arial" w:eastAsia="Arial" w:hAnsi="Arial"/>
          <w:sz w:val="17"/>
          <w:szCs w:val="17"/>
          <w:i w:val="1"/>
          <w:iCs w:val="1"/>
          <w:color w:val="auto"/>
        </w:rPr>
        <w:t>—Our warrants are accounted for as liabilities and</w:t>
      </w:r>
      <w:r>
        <w:rPr>
          <w:rFonts w:ascii="Arial" w:cs="Arial" w:eastAsia="Arial" w:hAnsi="Arial"/>
          <w:sz w:val="17"/>
          <w:szCs w:val="17"/>
          <w:color w:val="auto"/>
        </w:rPr>
        <w:t xml:space="preserve"> </w:t>
      </w:r>
      <w:r>
        <w:rPr>
          <w:rFonts w:ascii="Arial" w:cs="Arial" w:eastAsia="Arial" w:hAnsi="Arial"/>
          <w:sz w:val="17"/>
          <w:szCs w:val="17"/>
          <w:i w:val="1"/>
          <w:iCs w:val="1"/>
          <w:color w:val="auto"/>
        </w:rPr>
        <w:t>the changes in value of our warrants could have a material effect on our financial results</w:t>
      </w:r>
      <w:r>
        <w:rPr>
          <w:rFonts w:ascii="Arial" w:cs="Arial" w:eastAsia="Arial" w:hAnsi="Arial"/>
          <w:sz w:val="17"/>
          <w:szCs w:val="17"/>
          <w:color w:val="auto"/>
        </w:rPr>
        <w:t>,” the restatement of previously issued financials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change in accounting for the warrants and other matters raised or that may in the future be raised by the SEC, we face potential for litigation, inquiries from the SEC and other regulatory bodies, other disputes or proceedings which may include, among other things, monetary judgments, penalties or other sanctions, claims invoking the federal and state securities laws and contractual claims. As of the date of this Annual Report, we have no knowledge of any such litigation, inquires, disputes or proceedings. However, we can provide no assurance that such litigation, inquiries, disputes or proceedings will not arise in the future. Any such litigation, inquiries, disputes or proceedings, whether successful or not, could have a material adverse effect on our business, results of operations and financial condition or our ability to complete our initial business combination.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1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89"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fluctuations and currency policies may cause a target business’ ability to succeed in the international markets to be diminished.</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changing law and regulations regarding regulatory matters, corporate governance and public disclosure that have increased both our costs and the risk of non-compliance.</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do not own any real estate or other physical properties materially important to our operations. We currently maintain our executive offices at 1601 Bryan Street, Suite 4141, Dallas, Texas 75201. The cost for our use of this space is included in the $10,000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the knowledge of our management, there is no material litigation currently pending or contemplated against us, any of our officers or directors in their capacity as such or against any of our property.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SHAREHOLDER MATTERS AND ISSUER PURCHASES OF EQUITY SECURITIES</w:t>
      </w:r>
    </w:p>
    <w:p>
      <w:pPr>
        <w:spacing w:after="0" w:line="16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units, Class A ordinary shares and warrants are each traded on the NASDAQ under the symbol “SOAC.U”, “SOAC” and “SOAC WS” respectively.</w:t>
      </w:r>
    </w:p>
    <w:p>
      <w:pPr>
        <w:spacing w:after="0" w:line="166"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March 29, 2021, there was one holder of record for our units, one holder of record for our Class A ordinary shares, four holders of our Class B ordinary shares and two holders of our warrants.</w:t>
      </w:r>
    </w:p>
    <w:p>
      <w:pPr>
        <w:spacing w:after="0" w:line="16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not paid any cash dividends on our common shares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88" w:lineRule="exact"/>
        <w:rPr>
          <w:sz w:val="20"/>
          <w:szCs w:val="20"/>
          <w:color w:val="auto"/>
        </w:rPr>
      </w:pPr>
    </w:p>
    <w:p>
      <w:pPr>
        <w:ind w:left="660" w:right="5220" w:hanging="652"/>
        <w:spacing w:after="0" w:line="500"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Authorized for Issuance Under Equity Compensation Plans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660" w:right="9020" w:hanging="652"/>
        <w:spacing w:after="0" w:line="563" w:lineRule="auto"/>
        <w:tabs>
          <w:tab w:leader="none" w:pos="66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Graph </w:t>
      </w:r>
      <w:r>
        <w:rPr>
          <w:rFonts w:ascii="Arial" w:cs="Arial" w:eastAsia="Arial" w:hAnsi="Arial"/>
          <w:sz w:val="16"/>
          <w:szCs w:val="16"/>
          <w:color w:val="auto"/>
        </w:rPr>
        <w:t>Not applicable.</w:t>
      </w: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and Use of Proceeds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31, 2019, the Sponsor paid $25,000, or approximately $0.003 per share, in consideration of 8,625,000 founder shares, par value $0.0001 per share.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8, 2020, we completed our initial public offering of 30,000,000 units generating gross proceeds of $300.0 million. Each Unit consists of one Class A ordinary share and one-half of one redeemable warrant (“</w:t>
      </w:r>
      <w:r>
        <w:rPr>
          <w:rFonts w:ascii="Arial" w:cs="Arial" w:eastAsia="Arial" w:hAnsi="Arial"/>
          <w:sz w:val="18"/>
          <w:szCs w:val="18"/>
          <w:i w:val="1"/>
          <w:iCs w:val="1"/>
          <w:color w:val="auto"/>
        </w:rPr>
        <w:t>Public Warrant</w:t>
      </w:r>
      <w:r>
        <w:rPr>
          <w:rFonts w:ascii="Arial" w:cs="Arial" w:eastAsia="Arial" w:hAnsi="Arial"/>
          <w:sz w:val="18"/>
          <w:szCs w:val="18"/>
          <w:color w:val="auto"/>
        </w:rPr>
        <w:t>”). Each Public Warrant entitles the holder to purchase one Class A ordinary share at a price of $11.50 per share, subject to adjustment.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5, 2020, the Sponsor purchased 9,500,000 warrants (each, a “</w:t>
      </w:r>
      <w:r>
        <w:rPr>
          <w:rFonts w:ascii="Arial" w:cs="Arial" w:eastAsia="Arial" w:hAnsi="Arial"/>
          <w:sz w:val="17"/>
          <w:szCs w:val="17"/>
          <w:i w:val="1"/>
          <w:iCs w:val="1"/>
          <w:color w:val="auto"/>
        </w:rPr>
        <w:t>Private Placement Warrant</w:t>
      </w:r>
      <w:r>
        <w:rPr>
          <w:rFonts w:ascii="Arial" w:cs="Arial" w:eastAsia="Arial" w:hAnsi="Arial"/>
          <w:sz w:val="17"/>
          <w:szCs w:val="17"/>
          <w:color w:val="auto"/>
        </w:rPr>
        <w:t>”), each exercisable to purchase one ordinary share at $11.50 per share, at a price of $1.00 per warrant ($9,500,000 in the aggregate), in a private placement that closed simultaneously with the closing of the initial public offering. Each Private Placement Warrant is exercisable for one whole Class A ordinary share at a price of $11.50 per share. A portion of the proceeds from the sale of the Private Placement Warrants was added to the proceeds from the initial public offering held in the trust account. Each Private Placement Warrant is exercisable for one whole Class A ordinary share at a price of $11.50 per share.</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right="5200" w:hanging="652"/>
        <w:spacing w:after="0" w:line="500"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References to the “Company,” “Sustainable Opportunities Acquisition Corp.,” “our,” “us” or “we” refer to Sustainable Opportunities Acquisition Corp.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has been amended and restated to give effect to the restatement of our financial statements, as more fully described in Note 2 to our financial statements. For further detail regarding the restatement, see “Explanatory Note” and “Item 9A. 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All statements other than statements of historical fact included in this Report including, without limitation, statements under “Management’s Discussion and Analysis of Financial Condition and Results of Operations” regarding our financial position, business strategy and the plans and objectives of management for future operations, are forward looking statements. When used in this Report, words such as “may,” “should,” “could,” “would,” “expect,” “plan,” “anticipate,” “believe,” “estimate,” “continue,” or the negative of such terms or other similar expressions, as they relate to us or our management, identify forward looking statements. Such forward looking statements are based on the beliefs of management, as well as assumptions made by, and information currently available to, our management. No assurance can be given that results in any forward-looking statement will be achieved and actual results could be affected by one or more factors, which could cause them to differ materially. The cautionary statements made in this Report should be read as being applicable to all forward-looking statements whenever they appear in this Report. For these statements, we claim the protection of the safe harbor for forward-looking statements contained in the Private Securities Litigation Reform Act. Actual results could differ materially from those contemplated by the forward-looking statements as a result of certain factors, including but not limited to, those detailed in our filings with the Securities and Exchange Commission. All subsequent written or oral forward-looking statements attributable to us or persons acting on our behalf are qualified in their entirety by this paragraph.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blank check company incorporated as a Cayman Islands exempted company on December 18, 2019 for the purpose of effecting a merger, share exchange, asset acquisition, share purchase, reorganization or similar business combination with one or more businesses that we have not yet identified (“Business Combination”). Although we are not limited to a particular industry or geographic region for purposes of consummating a Business Combination, we intend to focus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Our Sponsor is Sustainable Opportunities Holdings LLC, a Delaware limited liability company (the “Sponsor”).</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registration statement for our initial public offering was declared effective on May 5, 2020. On May 8, 2020, we consummated our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9,500,000 warrants (each, a “Private Placement Warrant” and collectively, the “Private Placement Warrants”) at a price of $1.00 per Private Placement Warrant in a private placement to our Sponsor, generating gross proceeds of $9.5 million.</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us meeting the conditions of paragraphs (d)(2), (d)(3) and (d)(4) of Rule 2a-7 of the Investment Company Act, as determined by us, until the earlier of: (i) the completion of a Business Combination and (ii) the distribution of the Trust Account as described below. 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are unable to complete a Business Combination within 18 months from the closing of the initial public offering, or November 8, 2021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our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our board of directors, liquidate and dissolve, subject in the case of clauses (ii) and (iii), to our obligations under Cayman Islands law to provide for claims of creditors and the requirements of other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4, 2021, we entered into a Business Combination Agreement (the “Business Combination Agreement”), by and among the Company, 1291924 B.C. Unlimited Liability Company, an unlimited liability company existing under the laws of British Columbia, Canada (“NewCo Sub”), and DeepGreen Metals Inc., a company existing under the laws of British Columbia, Canada (“DeepGreen”).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Pursuant to the Business Combination Agreement, we will migrate to and be continued as a company in British Columbia, Canada (the “SOAC Continuance”). Following the SOAC Continuance, pursuant to a plan of arrangement (the “Plan of Arrangement”) under the </w:t>
      </w:r>
      <w:r>
        <w:rPr>
          <w:rFonts w:ascii="Arial" w:cs="Arial" w:eastAsia="Arial" w:hAnsi="Arial"/>
          <w:sz w:val="18"/>
          <w:szCs w:val="18"/>
          <w:i w:val="1"/>
          <w:iCs w:val="1"/>
          <w:color w:val="auto"/>
        </w:rPr>
        <w:t>Business Corporations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(British Columbia), (i) we will acquire all of the issued and outstanding shares in the capital of DeepGreen (the “DeepGreen Shares”) from DeepGreen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in exchange for the Company’s common shares and Company Earnout Shares (as defined in the Business Combination Agreement)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 See the Company’s Current Report on Form 8-K, filed with the SEC on March 4, 2021,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entire activity from December 18, 2019 (inception) through December 31, 2020, was in preparation for our initial public offering, and since such offering, our activity has been limited to the search for a prospective initial Business Combination. We will not generate any operating revenues until the closing and completion of our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recognize non-cash gains and losses within other income (expense) related to changes in recurring fair value measurement of our warrant liabilities at each reporting period. The activity below reflects the results after considering the restatement of our historical financial statements to account for the Warrants within liabilities as further described in our financial statements.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311" w:lineRule="auto"/>
        <w:rPr>
          <w:sz w:val="20"/>
          <w:szCs w:val="20"/>
          <w:color w:val="auto"/>
        </w:rPr>
      </w:pPr>
      <w:r>
        <w:rPr>
          <w:rFonts w:ascii="Arial" w:cs="Arial" w:eastAsia="Arial" w:hAnsi="Arial"/>
          <w:sz w:val="16"/>
          <w:szCs w:val="16"/>
          <w:color w:val="auto"/>
        </w:rPr>
        <w:t>For the year ended December 31, 2020, we had a net loss of approximately $36,542,055, which consisted of general and administrative expenses of approximately $2,923,654, changes in fair value of warrant liabilities of $32,730,000, offering costs allocated to warrant liabilities of $877,647, general and administrative- related party expenses of approximately $80,000, offset by approximately $69,246 in interest income and in the Trust Account.</w:t>
      </w:r>
    </w:p>
    <w:p>
      <w:pPr>
        <w:spacing w:after="0" w:line="149" w:lineRule="exact"/>
        <w:rPr>
          <w:sz w:val="20"/>
          <w:szCs w:val="20"/>
          <w:color w:val="auto"/>
        </w:rPr>
      </w:pPr>
    </w:p>
    <w:p>
      <w:pPr>
        <w:jc w:val="both"/>
        <w:ind w:firstLine="583"/>
        <w:spacing w:after="0" w:line="308" w:lineRule="auto"/>
        <w:rPr>
          <w:sz w:val="20"/>
          <w:szCs w:val="20"/>
          <w:color w:val="auto"/>
        </w:rPr>
      </w:pPr>
      <w:r>
        <w:rPr>
          <w:rFonts w:ascii="Arial" w:cs="Arial" w:eastAsia="Arial" w:hAnsi="Arial"/>
          <w:sz w:val="17"/>
          <w:szCs w:val="17"/>
          <w:color w:val="auto"/>
        </w:rPr>
        <w:t>For the three months ended September 30, 2020, we had net loss of $23,249,822, which consists of operating costs of $1,252,578, interest income on marketable securities held in the Trust Account of $22,756 and a change in fair value of warrant liabilities of $(22,020,000).</w:t>
      </w:r>
    </w:p>
    <w:p>
      <w:pPr>
        <w:spacing w:after="0" w:line="146"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nine months ended September 30, 2020, we had net loss of $23,302,098, which consists of operating costs of $1,638,975, offering costs allocated to warrant liabilities of $877,647, interest income on marketable securities held in the Trust Account of $64,524 and a change in fair value of warrant liabilities of $(20,850,000).</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three months ended June 30, 2020, we had net income of $6,723, which consists of operating costs of $327,417, offering costs allocated to warrant liabilities of $877,647, interest income on marketable securities held in the Trust Account of $41,787 and a change in fair value of warrant liabilities of $1,170,000.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June 30, 2020, we had net loss of $52,276, which consists of operating costs of $386,416, offering costs allocated to warrant liabilities of $877,647, interest income on marketable securities held in the Trust Account of $41,787 and a change in fair value of warrant liabilities of $1,170,000.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December 18, 2019 (inception) to December 31, 2019, we had a net loss of approximately $9,000, which consisted solely of general and administrative expenses of approximately $9,000.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had approximately $1.3 million in cash and a working capital deficit of approximately $372,000.</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Until the consummation of a Business Combination, we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We will need to raise additional capital through loans or additional investments from our Sponsor, shareholders, officers, directors, or third parties. Our officers, directors and Sponsor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it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it on commercially acceptable terms, if at all. These conditions raise substantial doubt about our ability to continue as a going concern through November 8, 2021. These financial statements do not include any adjustments relating to the recovery of the recorded assets or the classification of the liabilities that might be necessary should we be unable to continue as a going concern.</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we complete a Business Combination, subject to the terms of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entered into an agreement, commencing on May 8, 2020 through the earlier of our consummation of a Business Combination and our liquidation, to reimburse our Sponsor a total of $10,000 per month for office space, secretarial and administrative services. We incurred and paid $80,000 and $0 in expenses in connection with such services and recorded in general and administrative expenses in the statements of operations for the year ended December 31, 2020, and for the period December 18, 2019 (inception) to December 31, 2019 respectively.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Consulting Agreement</w:t>
      </w:r>
    </w:p>
    <w:p>
      <w:pPr>
        <w:spacing w:after="0" w:line="14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receiving consulting services in connection with identification of potential targets for a Business Combination and due diligence on such targets. As compensation for such services, we have paid a nonrefundable fixed fee of $350,000 and agreed to pay the consulting firm $2,650,000 solely in the event that we complete a Business Combination. The consulting agreement may be terminated early by either party to the agreement provided that we pay a termination fee to the consulting firm determined based on a monthly increasing amount through November 2021. As of December 31, 2020, the termination fee is $1,115,800, which has been accrued and recognized in general and administrative expenses within the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as its critical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occurrence of uncertain future events. Accordingly, 22,726,721 Class A ordinary shares subject to possible redemption were presented at redemption value as temporary equity, outside of the shareholders’ equity section of our balance sheet.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issued an aggregate of 15,000,000 Public Warrants associated with Units issued to investors in our initial public offering and we issued 9,500,000 Private Placement Warrants. All of our outstanding warrants are recognized as derivative liabilities in accordance with ASC 815-40.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Public Warrants issued in connection with the initial public offering were measured at fair value using a Monte Carlo simulation and the private placement were initially measured at fair value using a modified Black Sholes Model including inputs from a Monte Carlo simulation. The private warrants have been valued similarly for each subsequent measurement date and fair value of warrants issued in connection with our initial public offering have subsequently been measured based on the listed market price of such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Ordinary Share</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apply the two-class method in calculating earnings per share. Net (loss) per share is computed by dividing net loss by the weighted-average number of ordinary shares outstanding during the periods. An aggregate of 22,726,721 Class A ordinary shares subject to possible redemption at December 31, 2020 has been excluded from the calculation of basic loss per ordinary share, since such shares, if redeemed, only participate in their pro rata share of the Trust earnings. We have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 and did not have any commitments or contractual obligations.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4" w:name="page65"/>
    <w:bookmarkEnd w:id="64"/>
    <w:p>
      <w:pPr>
        <w:jc w:val="both"/>
        <w:ind w:firstLine="648"/>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16 of this Report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principal executive officer and principal financial and accounting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not effective, due to the material weakness in our internal control over financial reporting described below in “Changes in Internal Control Over Financial Reporting” and the Company’s restatement of its financial statements to reclassify the Company’s Public Warrants and Private Placement Warrants as described in the Explanatory Note to this Annual Report, our disclosure controls and procedures were not effective for the Affected Periods (as defined in the Explanatory Note).</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In preparation of our financial statements for the period covered by this Amendment, we identified a material weakness in internal control over financial reporting related to our control environment that existed as of December 31, 2020 as described below.</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identified a material weakness with respect to the classification of the Company’s warrants as components of equity instead of as derivative liabilities. Since issuance, our warrants were accounted for as equity within our balance sheet. On April 12, 2021, the SEC issued the SEC Staff Statement in which it expressed its view that certain terms and conditions common to warrants issued by SPACs may require the warrants to be classified as liabilities on the SPAC’s balance sheet as opposed to equity. After discussion and evaluation, taking into consideration the SEC Staff Statement, we have concluded that our warrants should be classified as liabilities at their fair value upon inception, and remeasured at their fair value each subsequent reporting period. As discussed below and elsewhere in this Amendment, this material weakness resulted in a restatement of our financial statements.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identified material weakness, management believes that the Financial Statements and related financial information included in this Form 10-K fairly present, in all material respects, our balance sheets, statements of operations, comprehensive loss and cash flows as of and for the periods presented.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newly created organization, we are currently in the process of implementing our financial reporting processes and will incorporate enhanced communication and documentation procedures between our operations team and the individuals responsible for preparation of financial statements. These controls are expected to include the implementation of additional supervision and review activities by qualified personnel, and the development and use of checklists and research tools to assist in compliance with GAAP. We intend to complete the enhancement of our financial reporting processes during fiscal year 2021. The process of designing and implementing an effective financial reporting system is a continuous effort that requires us to anticipate and react to changes in our business and the economic and regulatory environments and to expend resources to maintain a financial reporting system that is adequate to satisfy our reporting obligations. As we continue to evaluate and take actions to improve our internal control over financial reporting, we may determine to take additional actions to address control deficiencies or determine to modify certain of the remediation measures described above. We cannot assure you that the measures we have taken to date, or any measures we may take in the future, will be sufficient to remediate the material weaknesses we have identified or avoid potential future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Original Form 10-K did not, and this Amendment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24, 2021, we revised our prior position on accounting for warrants and restated our financial statements to reclassify the Company’s warrants as described in the Explanatory Note to this Amendment. However, the non-cash adjustments to the financial statements do not impact the amounts previously reported for our cash and cash equivalents, total assets, revenue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as the circumstances that led to the restatement of our financial statements described in this Annual Report on Form 10-K/A had not yet been identified. Due solely to the events that led to our restatement of our financial statements, management has identified a material weakness in internal controls related to the accounting for warrants issued in connection with our initial public offering, as described in Note 2 to the Notes to Financial Statements.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Report, our directors and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Leonard</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Scott Honour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Chairman</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Quiram</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Rick Gaenzle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Barchas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Justin Kelly</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Scott Leonard serves as our Chief Executive Officer and on our board of directors. Mr. Leonard has over 15 years of experience leading highly successful business transformations and transitions. Mr. Leonard also has deep expertise over the past eight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In addition, Mr. Leonard serves as a manager of our Sponsor. Mr. Leonard earned a B.S. with Highest Honors from Georgia Tech, and an M.B.A. with Distinction from The Kellogg Graduate School of Management at Northwestern.</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ten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numerous public and private companies including Solar Spectrum Holdings LLC, Anthem Sports &amp; Entertainment Inc.,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Choice Delivery, LLC, United Language Group, Inc., Renters Warehouse LLC, Real Dolmen (REM:BB) and Westwood One, Inc. (formerly Nasdaq: WWON), and is a co-founder of Titan CNG LLC and YapStone Inc. In addition, Mr. Honour serves as a manager of our Sponsor. Mr. Honour earned a B.S. and B.A., </w:t>
      </w:r>
      <w:r>
        <w:rPr>
          <w:rFonts w:ascii="Arial" w:cs="Arial" w:eastAsia="Arial" w:hAnsi="Arial"/>
          <w:sz w:val="18"/>
          <w:szCs w:val="18"/>
          <w:i w:val="1"/>
          <w:iCs w:val="1"/>
          <w:color w:val="auto"/>
        </w:rPr>
        <w:t>cum laude</w:t>
      </w:r>
      <w:r>
        <w:rPr>
          <w:rFonts w:ascii="Arial" w:cs="Arial" w:eastAsia="Arial" w:hAnsi="Arial"/>
          <w:sz w:val="18"/>
          <w:szCs w:val="18"/>
          <w:color w:val="auto"/>
        </w:rPr>
        <w:t>, in Business Administration and Economics from Pepperdine University and an M.B.A. in Finance and Marketing from the Wharton School of the University of Pennsylvania.</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9" w:lineRule="auto"/>
        <w:rPr>
          <w:sz w:val="20"/>
          <w:szCs w:val="20"/>
          <w:color w:val="auto"/>
        </w:rPr>
      </w:pPr>
      <w:r>
        <w:rPr>
          <w:rFonts w:ascii="Arial" w:cs="Arial" w:eastAsia="Arial" w:hAnsi="Arial"/>
          <w:sz w:val="17"/>
          <w:szCs w:val="17"/>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is divided into three classes, with only one class of directors being elected in each year, and with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 term of office of the first class of directors, consisting of Rick Gaenzle, will expire at our first annual meeting of shareholders. The term of office of the second class of directors, consisting of Isaac Barchas and Justin Kelly, will expire at our second annual meeting of shareholders. The term of office of the third class of directors, consisting of Scott Leonard and Scott Honour, will expire at our third annual meeting of shareholders.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an agreement entered into at the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provides that our officers may consist of one or more chairman of the board, chief executive officer, president, chief financial officer, vice presidents, secretary, treasurer and such other offices as may be determined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NYSE listing standards require that a majority of our board of directors be independent. Our board of directors has determined that Rick Gaenzle, Isaac Barchas and Justin Kelly are “independent directors” as defined in the NYSE listing standards. Our independent directors have regularly scheduled meetings at which only independent directors are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has three standing committees: an audit committee, a nominating committee and a compensation committee. Subject to phase-in rules and a limited exception, the rules of the NYSE and Rule 10A-3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established an audit committee of the board of directors. Rick Gaenzle, Isaac Barchas and Justin Kelly serve as members of our audit committee. Our board of directors has determined that each of Rick Gaenzle, Isaac Barchas and Justin Kelly are independent under the NYSE listing standards and applicable SEC rules. Rick Gaenzle serves as the Chairman of the audit committee. Each member of the audit committee is financially literate and our board of directors has determined that Rick Gaenzle qualifies as an “audit committee financial expert” as defined in applicable SEC rules.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is responsible for:</w:t>
      </w:r>
    </w:p>
    <w:p>
      <w:pPr>
        <w:spacing w:after="0" w:line="225"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are reviewed and approved by our board of directors, with the interested director or directors abstaining from such review and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 nominating committee of our board of directors. The members of our nominating committee are Rick Gaenzle, Isaac Barchas and Justin Kelly, and Isaac Barchas serves as chairman of the nominating committee. Under the NYSE listing standards, we are required to have a nominating committee composed entirely of independent directors. Our board of directors has determined that each of Rick Gaenzle, Isaac Barchas and Justin Kelly are independent.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guidelines for selecting nominees, which are specified in a charter to be adopted by us, generally provides that persons to be nominated:</w:t>
      </w:r>
    </w:p>
    <w:p>
      <w:pPr>
        <w:spacing w:after="0" w:line="248"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shareholders.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considers the overall experience and makeup of its members to obtain a broad and diverse mix of board members. The nominating committee does not distinguish among nominees recommended by shareholders and other persons.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established a compensation committee of our board of directors. The members of our compensation committee are Rick Gaenzle, Isaac Barchas and Justin Kelly, and Justin Kelly serves as chairman of the compensation committee.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NYSE listing standards, we are required to have a compensation committee composed entirely of independent directors. Our board of directors has determined that each of Rick Gaenzle, Isaac Barchas and Justin Kelly are independent. We have adopted a compensation committee charter, which details the principal functions of the compensation committee, including:</w:t>
      </w:r>
    </w:p>
    <w:p>
      <w:pPr>
        <w:spacing w:after="0" w:line="184" w:lineRule="exact"/>
        <w:rPr>
          <w:sz w:val="20"/>
          <w:szCs w:val="20"/>
          <w:color w:val="auto"/>
        </w:rPr>
      </w:pPr>
    </w:p>
    <w:p>
      <w:pPr>
        <w:jc w:val="both"/>
        <w:ind w:left="98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charter provides that the compensation committee may, in its sole discretion, retain or obtain the advice of a compensation consultant, legal counsel or other adviser and is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225" w:lineRule="exact"/>
        <w:rPr>
          <w:sz w:val="20"/>
          <w:szCs w:val="20"/>
          <w:color w:val="auto"/>
        </w:rPr>
      </w:pPr>
    </w:p>
    <w:p>
      <w:pPr>
        <w:ind w:left="5520" w:right="1880" w:hanging="4864"/>
        <w:spacing w:after="0" w:line="778" w:lineRule="auto"/>
        <w:tabs>
          <w:tab w:leader="none" w:pos="9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p>
        </w:tc>
        <w:tc>
          <w:tcPr>
            <w:tcW w:w="120" w:type="dxa"/>
            <w:vAlign w:val="bottom"/>
            <w:tcBorders>
              <w:bottom w:val="single" w:sz="8" w:color="CCEEFF"/>
            </w:tcBorders>
          </w:tcPr>
          <w:p>
            <w:pPr>
              <w:spacing w:after="0"/>
              <w:rPr>
                <w:sz w:val="20"/>
                <w:szCs w:val="20"/>
                <w:color w:val="auto"/>
              </w:rPr>
            </w:pPr>
          </w:p>
        </w:tc>
        <w:tc>
          <w:tcPr>
            <w:tcW w:w="394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7"/>
              </w:rPr>
              <w:t>Entity’s Business</w:t>
            </w:r>
          </w:p>
        </w:tc>
        <w:tc>
          <w:tcPr>
            <w:tcW w:w="12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Affiliation</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Scott Leonard</w:t>
            </w: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Lonestar II Generation Holdings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Board Member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Sustainable Opportunities Holdings LLC</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Scott Honour</w:t>
            </w: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Northern Pacific Group</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Private Equity</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Managing Partner</w:t>
            </w:r>
          </w:p>
        </w:tc>
      </w:tr>
      <w:tr>
        <w:trPr>
          <w:trHeight w:val="216"/>
        </w:trPr>
        <w:tc>
          <w:tcPr>
            <w:tcW w:w="136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EVO Transportation &amp; Energy Services Inc.</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Transportation</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Board Member</w:t>
            </w:r>
          </w:p>
        </w:tc>
      </w:tr>
      <w:tr>
        <w:trPr>
          <w:trHeight w:val="216"/>
        </w:trPr>
        <w:tc>
          <w:tcPr>
            <w:tcW w:w="1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Sustainable Opportunities Holdings LLC</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Rick Gaenzle</w:t>
            </w: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Gilbert Global Equity Capital, L.L.C.</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Private Equity</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Founder and Managing Director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Delta</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Advisory</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Advisor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Northern Pacific Group</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Private Equity</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Partner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Lake Street Homes</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Chairman</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Isaac Barchas</w:t>
            </w: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Bridge Partners</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Novosteo, Inc.</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Pharmaceutical</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Board Member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MorphImmune, Inc.</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Pharmaceutical</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Board Member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Justin Kelly</w:t>
            </w: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Winslow Capital Management, LLC</w:t>
            </w:r>
          </w:p>
        </w:tc>
        <w:tc>
          <w:tcPr>
            <w:tcW w:w="1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4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Chief Executive Officer and Chief Investment Officer</w:t>
            </w:r>
          </w:p>
        </w:tc>
      </w:tr>
      <w:tr>
        <w:trPr>
          <w:trHeight w:val="655"/>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jc w:val="both"/>
        <w:ind w:left="980" w:hanging="324"/>
        <w:spacing w:after="0" w:line="25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the prospectus and purchased private placement warrants in a transaction that closed simultaneously with the closing of our initial public offering.</w:t>
      </w:r>
    </w:p>
    <w:p>
      <w:pPr>
        <w:spacing w:after="0" w:line="170" w:lineRule="exact"/>
        <w:rPr>
          <w:rFonts w:ascii="Arial" w:cs="Arial" w:eastAsia="Arial" w:hAnsi="Arial"/>
          <w:sz w:val="18"/>
          <w:szCs w:val="18"/>
          <w:color w:val="auto"/>
        </w:rPr>
      </w:pPr>
    </w:p>
    <w:p>
      <w:pPr>
        <w:jc w:val="both"/>
        <w:ind w:left="980" w:hanging="324"/>
        <w:spacing w:after="0" w:line="283"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our initial public offering.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w:t>
      </w:r>
    </w:p>
    <w:p>
      <w:pPr>
        <w:spacing w:after="0" w:line="4" w:lineRule="exact"/>
        <w:rPr>
          <w:rFonts w:ascii="Arial" w:cs="Arial" w:eastAsia="Arial" w:hAnsi="Arial"/>
          <w:sz w:val="16"/>
          <w:szCs w:val="16"/>
          <w:color w:val="auto"/>
        </w:rPr>
      </w:pPr>
    </w:p>
    <w:p>
      <w:pPr>
        <w:jc w:val="both"/>
        <w:ind w:left="980"/>
        <w:spacing w:after="0" w:line="268" w:lineRule="auto"/>
        <w:rPr>
          <w:rFonts w:ascii="Arial" w:cs="Arial" w:eastAsia="Arial" w:hAnsi="Arial"/>
          <w:sz w:val="16"/>
          <w:szCs w:val="16"/>
          <w:color w:val="auto"/>
        </w:rPr>
      </w:pPr>
      <w:r>
        <w:rPr>
          <w:rFonts w:ascii="Arial" w:cs="Arial" w:eastAsia="Arial" w:hAnsi="Arial"/>
          <w:sz w:val="17"/>
          <w:szCs w:val="17"/>
          <w:color w:val="auto"/>
        </w:rPr>
        <w:t>(B)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certain of our executive officers and directors own ordinary shares or warrants directly or indirectly, they may have a conflict of interest in determining whether a particular target business is an appropriate business with which to effectuate our initial business combination.</w:t>
      </w:r>
    </w:p>
    <w:p>
      <w:pPr>
        <w:spacing w:after="0" w:line="18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or another independent entity that commonly renders valuation opinions,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Sponsor, our Founders and each member of our management team have agreed to vote their founder shares and any public shares purchased during or after our initial public offering in favor of our initial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disclosure concerns the compensation of our executive officers and directors for the fiscal year ended December 31, 2020 (i.e., pre-business combination).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None of our executive officers or directors have received any cash compensation for services rendered to us. Commencing on the date that our securities are first listed on the NYSE through the earlier of consummation of our initial business combination and our liquidation, we reimburse an affiliate of our Sponsor for office space, secretarial and administrative services provided to us in the amount of $10,000 per month.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our Sponsor, executive officers or directors, or our or their affiliates. Any such payments prior to an initial business combination are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are paid by the company to our Sponsor, executive officers and directors, or any of their respective affiliates, prior to completion of our initial business combination.</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are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as of December 31, 2020 based on information obtained from the persons named below, with respect to the beneficial ownership of our ordinary shares, by:</w:t>
      </w:r>
    </w:p>
    <w:p>
      <w:pPr>
        <w:spacing w:after="0" w:line="170"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ordinary shares;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table below, percentage ownership is based on 30,000,000 Class A ordinary shares (which includes Class A ordinary shares that are underlying the units) and 7,500,000 Class B ordinary shares outstanding as of December 31, 2020. The table below does not include the Class A ordinary shares underlying the private placement warrants held by our Sponsor because these securities are not exercisable within 60 days of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Class B ordinary shares</w:t>
            </w:r>
          </w:p>
        </w:tc>
        <w:tc>
          <w:tcPr>
            <w:tcW w:w="26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Class A ordinary shares</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Owners</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Percentage of</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Sustainable Opportunities Holdings LLC (our Sponsor)</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Scott Leonard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7,410,000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Honour</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David Quiram</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Gaenzle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Isaac Barchas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Kelly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All officers, directors and director nominees as a group (six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7,500,000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Periscope Capital</w:t>
            </w:r>
            <w:r>
              <w:rPr>
                <w:rFonts w:ascii="Arial" w:cs="Arial" w:eastAsia="Arial" w:hAnsi="Arial"/>
                <w:sz w:val="29"/>
                <w:szCs w:val="29"/>
                <w:color w:val="auto"/>
                <w:vertAlign w:val="superscript"/>
              </w:rPr>
              <w:t>(3)</w:t>
            </w: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1,746,609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90"/>
        </w:trPr>
        <w:tc>
          <w:tcPr>
            <w:tcW w:w="5940" w:type="dxa"/>
            <w:vAlign w:val="bottom"/>
            <w:gridSpan w:val="2"/>
          </w:tcPr>
          <w:p>
            <w:pPr>
              <w:spacing w:after="0"/>
              <w:rPr>
                <w:sz w:val="20"/>
                <w:szCs w:val="20"/>
                <w:color w:val="auto"/>
              </w:rPr>
            </w:pPr>
            <w:r>
              <w:rPr>
                <w:rFonts w:ascii="Arial" w:cs="Arial" w:eastAsia="Arial" w:hAnsi="Arial"/>
                <w:sz w:val="18"/>
                <w:szCs w:val="18"/>
                <w:color w:val="auto"/>
              </w:rPr>
              <w:t>Glazer Capital, LLC</w:t>
            </w:r>
            <w:r>
              <w:rPr>
                <w:rFonts w:ascii="Arial" w:cs="Arial" w:eastAsia="Arial" w:hAnsi="Arial"/>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1,532,363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our shareholders is 1601 Bryan Street, Suite 4141, Dallas, TX 75201.</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Scott Leonard and Scott Honour are the managers of our sponsor and share voting and dispositive power over the securities held by our sponsor and therefore each may be deemed to be a beneficial owner thereof.</w:t>
      </w:r>
    </w:p>
    <w:p>
      <w:pPr>
        <w:jc w:val="both"/>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address of Periscope Capital Inc. is 333 Bay Street, Suite 1240, Toronto, Ontario, Canada M5H 2R2, based on a Schedule 13G filed on February 16, 2021 (the “Periscope 13G”). According to the Periscope 13G, Periscope Capital Inc. beneficially owns 1,282,132 shares of Class A ordinary shares and acts as investment manager of, and exercises investment discretion with respect to, certain private investment funds that collectively directly own 464,477 Class A ordinary shares.</w:t>
      </w:r>
    </w:p>
    <w:p>
      <w:pPr>
        <w:spacing w:after="0" w:line="1"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address of Glazer Capital, LLC (“Glazer Capital”) is 250 West 55th Street, Suite 30A, New York, New York 10019, based on a Schedule 13G/A filed on February 16, 2021 (the “Glazer 13G”). According to the Adage 13G, Mr. Paul Glazer (“Mr. Glazer”) is the managing member of Glazer Capital and therefore Mr. Glazer may be deemed to have beneficial ownership of the shares of Class A ordinary shares directly owned by Glazer Capital.</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Our Sponsor, officers and directors are deemed to be our “promoter” as such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Of these, an aggregate of up to 1,125,000 shares were subject to forfeiture to the company by the Sponsor for no consideration to the extent that the underwriter’s over-allotment option was not exercised in full or in part, so that the initial shareholders would collectively own 20% of the company’s issued and outstanding ordinary shares after the initial public offering. The over-allotment option expired in June 2020; thus, an aggregate of 1,125,000 Class B ordinary shares was forfeited accordingly. As of December 31, 2020, there were 7,500,000 Class B ordinary shares outstanding. In March 2020, the Sponsor transferred 30,000 founder shares to each of the Company’s independent directors. 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Except as described herein, the Sponsor and SOAC’s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Any permitted transferees will be subject to the same restrictions and other agreements of our Sponsor with respect to any founder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Simultaneously with the consummation of our initial public offering, we completed the sale of Private Placement Warrants to our Sponsor in a private placement, generating gross proceeds of $9.5 million. Each Private Placement Warrant is exercisable for one (1) share of our Class A ordinary shares at an exercise price of $11.50 per share. A portion of the purchase price of the Private Placement Warrants was added to the proceeds from our initial public offering held in the Trust Account. If our initial business combination is not completed by November 8, 2021, the proceeds from the sale of the Private Placement Warrants held in the Trust Account will be used to fund the redemption of the Class A ordinary shares (subject to the requirements of applicable law) and the Private Placement Warrants will expire worthless. The Private Placement Warrants will be non-redeemable for cash and exercisable on a cashless basis so long as they are held by the sponsor or its permitted transferees.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648"/>
        <w:spacing w:after="0" w:line="277" w:lineRule="auto"/>
        <w:rPr>
          <w:sz w:val="20"/>
          <w:szCs w:val="20"/>
          <w:color w:val="auto"/>
        </w:rPr>
      </w:pPr>
      <w:r>
        <w:rPr>
          <w:rFonts w:ascii="Arial" w:cs="Arial" w:eastAsia="Arial" w:hAnsi="Arial"/>
          <w:sz w:val="18"/>
          <w:szCs w:val="18"/>
          <w:color w:val="auto"/>
        </w:rPr>
        <w:t>Our Sponsor agreed, subject to limited exceptions, not to transfer, assign or sell any of its Private Placement Warrants until thirty (30) days after the completion of our initial business combination.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Related Party Loans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December 31, 2019, the Sponsor agreed to loan the company an aggregate of up to $300,000 to cover expenses related to the initial public offering pursuant to a promissory note (the “</w:t>
      </w:r>
      <w:r>
        <w:rPr>
          <w:rFonts w:ascii="Arial" w:cs="Arial" w:eastAsia="Arial" w:hAnsi="Arial"/>
          <w:sz w:val="18"/>
          <w:szCs w:val="18"/>
          <w:i w:val="1"/>
          <w:iCs w:val="1"/>
          <w:color w:val="auto"/>
        </w:rPr>
        <w:t>Note</w:t>
      </w:r>
      <w:r>
        <w:rPr>
          <w:rFonts w:ascii="Arial" w:cs="Arial" w:eastAsia="Arial" w:hAnsi="Arial"/>
          <w:sz w:val="18"/>
          <w:szCs w:val="18"/>
          <w:color w:val="auto"/>
        </w:rPr>
        <w:t>”). This loan was non-interest bearing and payable upon the completion of the initial public offering. The Company borrowed approximately $163,000 under the Note and fully repaid this amount on May 8, 2020.</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t>
      </w:r>
      <w:r>
        <w:rPr>
          <w:rFonts w:ascii="Arial" w:cs="Arial" w:eastAsia="Arial" w:hAnsi="Arial"/>
          <w:sz w:val="17"/>
          <w:szCs w:val="17"/>
          <w:i w:val="1"/>
          <w:iCs w:val="1"/>
          <w:color w:val="auto"/>
        </w:rPr>
        <w:t>Working Capital Loans</w:t>
      </w:r>
      <w:r>
        <w:rPr>
          <w:rFonts w:ascii="Arial" w:cs="Arial" w:eastAsia="Arial" w:hAnsi="Arial"/>
          <w:sz w:val="17"/>
          <w:szCs w:val="17"/>
          <w:color w:val="auto"/>
        </w:rPr>
        <w:t>”).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 Company had no borrowings under the Working Capital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$30,000 and $80,000 in expenses in connection with such services and recorded in general and administrative expenses in the statements of operations for the three and twelve months ended December 31,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audit committee must review and approve any related person transaction we propose to enter into. Our audit committee charter details the policies and procedures relating to transactions that may present actual, potential or perceived conflicts of interest and may raise questions as to whether such transactions are consistent with the best interest of our company and our shareholders. A summary of such policies and procedures is set forth below.</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potential related party transaction that is brought to the audit committee’s attention will be analyzed by the audit committee, in consultation with outside counsel or members of management, as appropriate, to determine whether the transaction or relationship does, in fact, constitute a related party transaction. At its meetings, the audit committee will be provided with the details of each new, existing or proposed related party transaction, including the terms of the transaction, the business purpose of the transaction and the benefits to us and to the relevant related party.</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whether to approve a related party transaction, the audit committee must consider, among other factors, the following factors to the extent relevant:</w:t>
      </w:r>
    </w:p>
    <w:p>
      <w:pPr>
        <w:spacing w:after="0" w:line="17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the terms of the transaction are fair to us and on the same basis as would apply if the transaction did not involve a related party;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there are business reasons for us to enter into the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pre-existing contractual obligations.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86" w:lineRule="auto"/>
        <w:rPr>
          <w:sz w:val="20"/>
          <w:szCs w:val="20"/>
          <w:color w:val="auto"/>
        </w:rPr>
      </w:pPr>
      <w:r>
        <w:rPr>
          <w:rFonts w:ascii="Arial" w:cs="Arial" w:eastAsia="Arial" w:hAnsi="Arial"/>
          <w:sz w:val="17"/>
          <w:szCs w:val="17"/>
          <w:color w:val="auto"/>
        </w:rPr>
        <w:t>Any member of the audit committee who has an interest in the transaction under discussion must abstain from any voting regarding the transaction, but may, if so requested by the chairman of the audit committee, participate in some or all of the audit committee’s discussions of the transaction. Upon completion of its review of the transaction, the audit committee may determine to permit or to prohibit the transaction.</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and our shareholders from a financial point of view. No finder’s fees, reimbursements, consulting fee, monies in respect of any payment of a loan or other compensation will be paid by us to our Sponsor, officers or directors, or any affiliate of our Sponsor or officers,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our initial public offering held in the trust account prior to the completion of our initial business combination:</w:t>
      </w:r>
    </w:p>
    <w:p>
      <w:pPr>
        <w:spacing w:after="0" w:line="178"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Repayment of up to an aggregate of $300,000 in loans made to us by our Sponsor to cover offering related and organizational expenses;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to an affiliate of our Sponsor of $10,000 per month, for up to 18 months, for office space, utilities and secretarial and administrative support;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audit committee reviews on a quarterly basis all payments that were made to our Sponsor, officers or directors, or our or their affiliates.</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fees paid to Marcum LLP (“Marcum”), for services rendered.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financial statements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18, 2019 (inception) through December 31, 2020, reviews of our quarterly financial statements and services that are normally provided by our independent registered public accounting firm in connection with statutory and regulatory filings. The aggregate fees billed by Marcum LLP for audit fees, inclusive of required filings with the SEC for the period from December 18, 2019 (inception) through December 31, 2020, and of services rendered in connection with our initial public offering, totaled $82,240.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services consist of fees billed for assurance and related services that are reasonably related to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During the year ended December 31, 2020, we did not pay Marcum for consultations concerning financial accounting and reporting standards.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consist of fees billed for professional services relating to tax compliance, tax planning and tax advice. We did not pay Marcum</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planning and tax advice during the year ended December 31,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consist of fees billed for all other services. We did not pay Marcum for other services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 AND FINANCIAL STATEMENT SCHEDULES</w:t>
      </w:r>
    </w:p>
    <w:p>
      <w:pPr>
        <w:spacing w:after="0" w:line="229"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120" w:type="dxa"/>
            <w:vAlign w:val="bottom"/>
            <w:gridSpan w:val="1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176"/>
        </w:trPr>
        <w:tc>
          <w:tcPr>
            <w:tcW w:w="42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Balance Sheets as of December 31, 2020 and 2019</w:t>
              </w:r>
            </w:hyperlink>
          </w:p>
        </w:tc>
        <w:tc>
          <w:tcPr>
            <w:tcW w:w="590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1"/>
            <w:shd w:val="clear" w:color="auto" w:fill="CCEEFF"/>
          </w:tcPr>
          <w:p>
            <w:pPr>
              <w:spacing w:after="0" w:line="17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Statements of Operations for the Year Ended December 31, 2020 and for the Period from December 18, 2019 (inception) to December 31,</w:t>
              </w:r>
            </w:hyperlink>
          </w:p>
        </w:tc>
        <w:tc>
          <w:tcPr>
            <w:tcW w:w="11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15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2019</w:t>
              </w:r>
            </w:hyperlink>
          </w:p>
        </w:tc>
        <w:tc>
          <w:tcPr>
            <w:tcW w:w="42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04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524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1"/>
          </w:tcPr>
          <w:p>
            <w:pPr>
              <w:spacing w:after="0" w:line="17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Statements of Changes in Shareholders’ Equity for the Year Ended December 31, 2020 and for the Period from December 18, 2019</w:t>
              </w:r>
            </w:hyperlink>
          </w:p>
        </w:tc>
        <w:tc>
          <w:tcPr>
            <w:tcW w:w="11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(inception) to December 31, 2019</w:t>
              </w:r>
            </w:hyperlink>
          </w:p>
        </w:tc>
        <w:tc>
          <w:tcPr>
            <w:tcW w:w="660" w:type="dxa"/>
            <w:vAlign w:val="bottom"/>
            <w:gridSpan w:val="3"/>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21"/>
        </w:trPr>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1"/>
            <w:shd w:val="clear" w:color="auto" w:fill="CCEEFF"/>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Statements of Cash Flows for the Year Ended December 31, 2020 and for the Period from December 18, 2019 (inception) to December 31,</w:t>
              </w:r>
            </w:hyperlink>
          </w:p>
        </w:tc>
        <w:tc>
          <w:tcPr>
            <w:tcW w:w="11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15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2019</w:t>
              </w:r>
            </w:hyperlink>
          </w:p>
        </w:tc>
        <w:tc>
          <w:tcPr>
            <w:tcW w:w="42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104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0000EE"/>
            </w:tcBorders>
            <w:shd w:val="clear" w:color="auto" w:fill="CCEEFF"/>
          </w:tcPr>
          <w:p>
            <w:pPr>
              <w:spacing w:after="0"/>
              <w:rPr>
                <w:sz w:val="17"/>
                <w:szCs w:val="17"/>
                <w:color w:val="auto"/>
              </w:rPr>
            </w:pPr>
          </w:p>
        </w:tc>
        <w:tc>
          <w:tcPr>
            <w:tcW w:w="524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1"/>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Notes to Financial Statements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0"/>
        </w:trPr>
        <w:tc>
          <w:tcPr>
            <w:tcW w:w="17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6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1740" w:type="dxa"/>
            <w:vAlign w:val="bottom"/>
            <w:gridSpan w:val="3"/>
          </w:tcPr>
          <w:p>
            <w:pPr>
              <w:ind w:left="1300"/>
              <w:spacing w:after="0"/>
              <w:rPr>
                <w:sz w:val="20"/>
                <w:szCs w:val="20"/>
                <w:color w:val="auto"/>
              </w:rPr>
            </w:pPr>
            <w:r>
              <w:rPr>
                <w:rFonts w:ascii="Arial" w:cs="Arial" w:eastAsia="Arial" w:hAnsi="Arial"/>
                <w:sz w:val="18"/>
                <w:szCs w:val="18"/>
                <w:color w:val="auto"/>
              </w:rPr>
              <w:t>(2)</w:t>
            </w:r>
          </w:p>
        </w:tc>
        <w:tc>
          <w:tcPr>
            <w:tcW w:w="8380" w:type="dxa"/>
            <w:vAlign w:val="bottom"/>
            <w:gridSpan w:val="8"/>
          </w:tcPr>
          <w:p>
            <w:pPr>
              <w:ind w:left="220"/>
              <w:spacing w:after="0"/>
              <w:rPr>
                <w:sz w:val="20"/>
                <w:szCs w:val="20"/>
                <w:color w:val="auto"/>
              </w:rPr>
            </w:pPr>
            <w:r>
              <w:rPr>
                <w:rFonts w:ascii="Arial" w:cs="Arial" w:eastAsia="Arial" w:hAnsi="Arial"/>
                <w:sz w:val="18"/>
                <w:szCs w:val="18"/>
                <w:color w:val="auto"/>
              </w:rPr>
              <w:t>Financial Statement Schedules:</w:t>
            </w:r>
          </w:p>
        </w:tc>
        <w:tc>
          <w:tcPr>
            <w:tcW w:w="112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380" w:type="dxa"/>
            <w:vAlign w:val="bottom"/>
            <w:gridSpan w:val="8"/>
          </w:tcPr>
          <w:p>
            <w:pPr>
              <w:ind w:left="220"/>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r>
      <w:tr>
        <w:trPr>
          <w:trHeight w:val="432"/>
        </w:trPr>
        <w:tc>
          <w:tcPr>
            <w:tcW w:w="1740" w:type="dxa"/>
            <w:vAlign w:val="bottom"/>
            <w:gridSpan w:val="3"/>
          </w:tcPr>
          <w:p>
            <w:pPr>
              <w:ind w:left="1300"/>
              <w:spacing w:after="0"/>
              <w:rPr>
                <w:sz w:val="20"/>
                <w:szCs w:val="20"/>
                <w:color w:val="auto"/>
              </w:rPr>
            </w:pPr>
            <w:r>
              <w:rPr>
                <w:rFonts w:ascii="Arial" w:cs="Arial" w:eastAsia="Arial" w:hAnsi="Arial"/>
                <w:sz w:val="18"/>
                <w:szCs w:val="18"/>
                <w:color w:val="auto"/>
              </w:rPr>
              <w:t>(3)</w:t>
            </w:r>
          </w:p>
        </w:tc>
        <w:tc>
          <w:tcPr>
            <w:tcW w:w="8380" w:type="dxa"/>
            <w:vAlign w:val="bottom"/>
            <w:gridSpan w:val="8"/>
          </w:tcPr>
          <w:p>
            <w:pPr>
              <w:ind w:left="220"/>
              <w:spacing w:after="0"/>
              <w:rPr>
                <w:sz w:val="20"/>
                <w:szCs w:val="20"/>
                <w:color w:val="auto"/>
              </w:rPr>
            </w:pPr>
            <w:r>
              <w:rPr>
                <w:rFonts w:ascii="Arial" w:cs="Arial" w:eastAsia="Arial" w:hAnsi="Arial"/>
                <w:sz w:val="18"/>
                <w:szCs w:val="18"/>
                <w:color w:val="auto"/>
              </w:rPr>
              <w:t>Exhibits</w:t>
            </w:r>
          </w:p>
        </w:tc>
        <w:tc>
          <w:tcPr>
            <w:tcW w:w="1120" w:type="dxa"/>
            <w:vAlign w:val="bottom"/>
          </w:tcPr>
          <w:p>
            <w:pPr>
              <w:spacing w:after="0"/>
              <w:rPr>
                <w:sz w:val="24"/>
                <w:szCs w:val="24"/>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hereby file as part of this Report the exhibits listed in the attached Exhibit Index. Exhibits which are incorporated herein by reference can be obtained from the SEC’s website at www.sec.gov.</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Exhibit No.</w:t>
      </w:r>
    </w:p>
    <w:p>
      <w:pPr>
        <w:spacing w:after="0" w:line="63"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4.4</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10.2</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10.3</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17145</wp:posOffset>
            </wp:positionV>
            <wp:extent cx="7132320" cy="454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 w:lineRule="exact"/>
        <w:rPr>
          <w:sz w:val="20"/>
          <w:szCs w:val="20"/>
          <w:color w:val="auto"/>
        </w:rPr>
      </w:pPr>
    </w:p>
    <w:p>
      <w:pPr>
        <w:jc w:val="both"/>
        <w:spacing w:after="0" w:line="274" w:lineRule="auto"/>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Business Combination Agreement, dated as of March 4, 2021, by and among Sustainable Acquisition Corp., 1291924 B.C. Unlimited</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Liability Company, an unlimited liability company existing under the laws of British Columbia, Canada, and DeepGreen Metals Inc.,</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a company existing under the laws of British Columbia, Canada.</w:t>
        </w:r>
        <w:r>
          <w:rPr>
            <w:rFonts w:ascii="Arial" w:cs="Arial" w:eastAsia="Arial" w:hAnsi="Arial"/>
            <w:sz w:val="29"/>
            <w:szCs w:val="29"/>
            <w:u w:val="single" w:color="auto"/>
            <w:color w:val="0000EE"/>
            <w:vertAlign w:val="superscript"/>
          </w:rPr>
          <w:t>(1)</w:t>
        </w:r>
      </w:hyperlink>
    </w:p>
    <w:p>
      <w:pPr>
        <w:spacing w:after="0" w:line="5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Amended and Restated Memorandum and Articles of Association.</w:t>
        </w:r>
      </w:hyperlink>
      <w:r>
        <w:rPr>
          <w:rFonts w:ascii="Arial" w:cs="Arial" w:eastAsia="Arial" w:hAnsi="Arial"/>
          <w:sz w:val="29"/>
          <w:szCs w:val="29"/>
          <w:u w:val="single" w:color="auto"/>
          <w:color w:val="0000EE"/>
          <w:vertAlign w:val="superscript"/>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Warrant Agreement between Continental Stock Transfer &amp; Trust Company and the Registrant.</w:t>
        </w:r>
      </w:hyperlink>
      <w:r>
        <w:rPr>
          <w:rFonts w:ascii="Arial" w:cs="Arial" w:eastAsia="Arial" w:hAnsi="Arial"/>
          <w:sz w:val="29"/>
          <w:szCs w:val="29"/>
          <w:u w:val="single" w:color="auto"/>
          <w:color w:val="0000EE"/>
          <w:vertAlign w:val="superscript"/>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Specimen Unit Certificate.</w:t>
        </w:r>
      </w:hyperlink>
      <w:r>
        <w:rPr>
          <w:rFonts w:ascii="Arial" w:cs="Arial" w:eastAsia="Arial" w:hAnsi="Arial"/>
          <w:sz w:val="29"/>
          <w:szCs w:val="29"/>
          <w:u w:val="single" w:color="auto"/>
          <w:color w:val="0000EE"/>
          <w:vertAlign w:val="superscript"/>
        </w:rPr>
        <w:t>(3)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Specimen Class A Ordinary Share Certificate.</w:t>
        </w:r>
      </w:hyperlink>
      <w:r>
        <w:rPr>
          <w:rFonts w:ascii="Arial" w:cs="Arial" w:eastAsia="Arial" w:hAnsi="Arial"/>
          <w:sz w:val="29"/>
          <w:szCs w:val="29"/>
          <w:u w:val="single" w:color="auto"/>
          <w:color w:val="0000EE"/>
          <w:vertAlign w:val="superscript"/>
        </w:rPr>
        <w:t>(3)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Description of Registrant’s Securities.</w:t>
        </w:r>
      </w:hyperlink>
      <w:r>
        <w:rPr>
          <w:rFonts w:ascii="Arial" w:cs="Arial" w:eastAsia="Arial" w:hAnsi="Arial"/>
          <w:sz w:val="29"/>
          <w:szCs w:val="29"/>
          <w:u w:val="single" w:color="auto"/>
          <w:color w:val="0000EE"/>
          <w:vertAlign w:val="superscript"/>
        </w:rPr>
        <w:t>(4)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Investment Management Trust Agreement between Continental Stock Transfer &amp; Trust Company and the Registrant.</w:t>
        </w:r>
      </w:hyperlink>
      <w:r>
        <w:rPr>
          <w:rFonts w:ascii="Arial" w:cs="Arial" w:eastAsia="Arial" w:hAnsi="Arial"/>
          <w:sz w:val="29"/>
          <w:szCs w:val="29"/>
          <w:u w:val="single" w:color="auto"/>
          <w:color w:val="0000EE"/>
          <w:vertAlign w:val="superscript"/>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Registration and Shareholder Rights Agreement among the Registrant, the Sponsor and the other parties thereto.</w:t>
        </w:r>
      </w:hyperlink>
      <w:r>
        <w:rPr>
          <w:rFonts w:ascii="Arial" w:cs="Arial" w:eastAsia="Arial" w:hAnsi="Arial"/>
          <w:sz w:val="29"/>
          <w:szCs w:val="29"/>
          <w:u w:val="single" w:color="auto"/>
          <w:color w:val="0000EE"/>
          <w:vertAlign w:val="superscript"/>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Private Placement Warrants Purchase Agreement between the Registrant and the Sponsor.</w:t>
        </w:r>
      </w:hyperlink>
      <w:r>
        <w:rPr>
          <w:rFonts w:ascii="Arial" w:cs="Arial" w:eastAsia="Arial" w:hAnsi="Arial"/>
          <w:sz w:val="29"/>
          <w:szCs w:val="29"/>
          <w:u w:val="single" w:color="auto"/>
          <w:color w:val="0000EE"/>
          <w:vertAlign w:val="superscript"/>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Letter Agreement between the Registrant and the Sponsor.</w:t>
        </w:r>
      </w:hyperlink>
      <w:r>
        <w:rPr>
          <w:rFonts w:ascii="Arial" w:cs="Arial" w:eastAsia="Arial" w:hAnsi="Arial"/>
          <w:sz w:val="29"/>
          <w:szCs w:val="29"/>
          <w:u w:val="single" w:color="auto"/>
          <w:color w:val="0000EE"/>
          <w:vertAlign w:val="superscript"/>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-997585</wp:posOffset>
            </wp:positionH>
            <wp:positionV relativeFrom="paragraph">
              <wp:posOffset>-204470</wp:posOffset>
            </wp:positionV>
            <wp:extent cx="713232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1180" w:space="400"/>
            <w:col w:w="9660"/>
          </w:cols>
          <w:pgMar w:left="320" w:top="904" w:right="339" w:bottom="1440" w:gutter="0" w:footer="0" w:header="0"/>
          <w:type w:val="continuous"/>
        </w:sectPr>
      </w:pPr>
    </w:p>
    <w:p>
      <w:pPr>
        <w:spacing w:after="0" w:line="151" w:lineRule="exact"/>
        <w:rPr>
          <w:rFonts w:ascii="Arial" w:cs="Arial" w:eastAsia="Arial" w:hAnsi="Arial"/>
          <w:sz w:val="18"/>
          <w:szCs w:val="18"/>
          <w:u w:val="single" w:color="auto"/>
          <w:color w:val="0000EE"/>
        </w:rPr>
      </w:pPr>
    </w:p>
    <w:p>
      <w:pPr>
        <w:jc w:val="center"/>
        <w:ind w:right="20"/>
        <w:spacing w:after="0"/>
        <w:rPr>
          <w:sz w:val="20"/>
          <w:szCs w:val="20"/>
          <w:color w:val="auto"/>
        </w:rPr>
      </w:pPr>
      <w:r>
        <w:rPr>
          <w:rFonts w:ascii="Arial" w:cs="Arial" w:eastAsia="Arial" w:hAnsi="Arial"/>
          <w:sz w:val="16"/>
          <w:szCs w:val="16"/>
          <w:color w:val="auto"/>
        </w:rPr>
        <w:t>72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9" w:name="page80"/>
    <w:bookmarkEnd w:id="79"/>
    <w:p>
      <w:pPr>
        <w:jc w:val="center"/>
        <w:ind w:left="300"/>
        <w:spacing w:after="0"/>
        <w:rPr>
          <w:sz w:val="20"/>
          <w:szCs w:val="20"/>
          <w:color w:val="auto"/>
        </w:rPr>
      </w:pPr>
      <w:r>
        <w:rPr>
          <w:rFonts w:ascii="Arial" w:cs="Arial" w:eastAsia="Arial" w:hAnsi="Arial"/>
          <w:sz w:val="16"/>
          <w:szCs w:val="16"/>
          <w:b w:val="1"/>
          <w:bCs w:val="1"/>
          <w:color w:val="auto"/>
        </w:rPr>
        <w:t>Exhibit No.</w:t>
      </w:r>
    </w:p>
    <w:p>
      <w:pPr>
        <w:spacing w:after="0" w:line="63"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10.5</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10.6</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10.7</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10.8</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10.9</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17145</wp:posOffset>
            </wp:positionV>
            <wp:extent cx="713232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 w:lineRule="exact"/>
        <w:rPr>
          <w:sz w:val="20"/>
          <w:szCs w:val="20"/>
          <w:color w:val="auto"/>
        </w:rPr>
      </w:pPr>
    </w:p>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Letter Agreement between the Registrant and each of the executive officers and directors of the registrant.</w:t>
        </w:r>
      </w:hyperlink>
      <w:r>
        <w:rPr>
          <w:rFonts w:ascii="Arial" w:cs="Arial" w:eastAsia="Arial" w:hAnsi="Arial"/>
          <w:sz w:val="29"/>
          <w:szCs w:val="29"/>
          <w:u w:val="single" w:color="auto"/>
          <w:color w:val="0000EE"/>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95250</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4" w:lineRule="exact"/>
        <w:rPr>
          <w:sz w:val="20"/>
          <w:szCs w:val="20"/>
          <w:color w:val="auto"/>
        </w:rPr>
      </w:pPr>
    </w:p>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Administrative Services Agreement between the Registrant and the Sponsor.</w:t>
        </w:r>
        <w:r>
          <w:rPr>
            <w:rFonts w:ascii="Arial" w:cs="Arial" w:eastAsia="Arial" w:hAnsi="Arial"/>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97790</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9" w:lineRule="exact"/>
        <w:rPr>
          <w:sz w:val="20"/>
          <w:szCs w:val="20"/>
          <w:color w:val="auto"/>
        </w:rPr>
      </w:pP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PIPE Subscription Agreement for institutional investors.</w:t>
        </w:r>
        <w:r>
          <w:rPr>
            <w:rFonts w:ascii="Arial" w:cs="Arial" w:eastAsia="Arial" w:hAnsi="Arial"/>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97790</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Form of PIPE Subscription Agreement for accredited investors.</w:t>
        </w:r>
        <w:r>
          <w:rPr>
            <w:rFonts w:ascii="Arial" w:cs="Arial" w:eastAsia="Arial" w:hAnsi="Arial"/>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97790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9" w:lineRule="exact"/>
        <w:rPr>
          <w:sz w:val="20"/>
          <w:szCs w:val="20"/>
          <w:color w:val="auto"/>
        </w:rPr>
      </w:pPr>
    </w:p>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Form of Transaction Support Agreement.</w:t>
        </w:r>
        <w:r>
          <w:rPr>
            <w:rFonts w:ascii="Arial" w:cs="Arial" w:eastAsia="Arial" w:hAnsi="Arial"/>
            <w:sz w:val="29"/>
            <w:szCs w:val="29"/>
            <w:u w:val="single" w:color="auto"/>
            <w:color w:val="0000EE"/>
            <w:vertAlign w:val="superscript"/>
          </w:rPr>
          <w:t>(1)</w:t>
        </w:r>
      </w:hyperlink>
    </w:p>
    <w:p>
      <w:pPr>
        <w:spacing w:after="0" w:line="140" w:lineRule="exact"/>
        <w:rPr>
          <w:sz w:val="20"/>
          <w:szCs w:val="20"/>
          <w:color w:val="auto"/>
        </w:rPr>
      </w:pPr>
    </w:p>
    <w:p>
      <w:pPr>
        <w:spacing w:after="0" w:line="289"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Sponsor Letter Agreement, dated as of March 4, 2021, by and among the Registrant, certain other holders party thereto, Sponsor and</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DeepGreen Metals, Inc.</w:t>
        </w:r>
        <w:r>
          <w:rPr>
            <w:rFonts w:ascii="Arial" w:cs="Arial" w:eastAsia="Arial" w:hAnsi="Arial"/>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-403225</wp:posOffset>
            </wp:positionV>
            <wp:extent cx="7132320"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1180" w:space="400"/>
            <w:col w:w="966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27"/>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w:t>
            </w:r>
          </w:p>
        </w:tc>
        <w:tc>
          <w:tcPr>
            <w:tcW w:w="9760" w:type="dxa"/>
            <w:vAlign w:val="bottom"/>
            <w:gridSpan w:val="6"/>
            <w:shd w:val="clear" w:color="auto" w:fill="CCEEFF"/>
          </w:tcPr>
          <w:p>
            <w:pPr>
              <w:ind w:left="100"/>
              <w:spacing w:after="0"/>
              <w:rPr>
                <w:rFonts w:ascii="Arial" w:cs="Arial" w:eastAsia="Arial" w:hAnsi="Arial"/>
                <w:sz w:val="18"/>
                <w:szCs w:val="18"/>
                <w:color w:val="0000EE"/>
              </w:rPr>
            </w:pPr>
            <w:hyperlink w:anchor="page108">
              <w:r>
                <w:rPr>
                  <w:rFonts w:ascii="Arial" w:cs="Arial" w:eastAsia="Arial" w:hAnsi="Arial"/>
                  <w:sz w:val="18"/>
                  <w:szCs w:val="18"/>
                  <w:color w:val="0000EE"/>
                </w:rPr>
                <w:t>Certification of the Chief Executive Officer required by Rule 13a-14(a) or Rule 15d-14(a).*</w:t>
              </w:r>
            </w:hyperlink>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31.2</w:t>
            </w:r>
          </w:p>
        </w:tc>
        <w:tc>
          <w:tcPr>
            <w:tcW w:w="9760" w:type="dxa"/>
            <w:vAlign w:val="bottom"/>
            <w:gridSpan w:val="6"/>
            <w:shd w:val="clear" w:color="auto" w:fill="CCEEFF"/>
          </w:tcPr>
          <w:p>
            <w:pPr>
              <w:ind w:left="100"/>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Certification of the Chief Financial Officer required by Rule 13a-14(a) or Rule 15d-14(a).*</w:t>
              </w:r>
            </w:hyperlink>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5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32.1</w:t>
            </w:r>
          </w:p>
        </w:tc>
        <w:tc>
          <w:tcPr>
            <w:tcW w:w="9760" w:type="dxa"/>
            <w:vAlign w:val="bottom"/>
            <w:gridSpan w:val="6"/>
            <w:shd w:val="clear" w:color="auto" w:fill="CCEEFF"/>
          </w:tcPr>
          <w:p>
            <w:pPr>
              <w:ind w:left="100"/>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Certification of the Chief Executive Officer required by Rule 13a-14(b) or Rule 15d-14(b) and 18 U.S.C. 1350**</w:t>
              </w:r>
            </w:hyperlink>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32.2</w:t>
            </w:r>
          </w:p>
        </w:tc>
        <w:tc>
          <w:tcPr>
            <w:tcW w:w="9760" w:type="dxa"/>
            <w:vAlign w:val="bottom"/>
            <w:gridSpan w:val="6"/>
            <w:shd w:val="clear" w:color="auto" w:fill="CCEEFF"/>
          </w:tcPr>
          <w:p>
            <w:pPr>
              <w:ind w:left="10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Certification of the Chief Financial Officer required by Rule 13a-14(b) or Rule 15d-14(b) and 18 U.S.C. 1350**</w:t>
              </w:r>
            </w:hyperlink>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101.INS* XBRL</w:t>
            </w:r>
          </w:p>
        </w:tc>
        <w:tc>
          <w:tcPr>
            <w:tcW w:w="976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Instance Document</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101.SCH* XBRL</w:t>
            </w:r>
          </w:p>
        </w:tc>
        <w:tc>
          <w:tcPr>
            <w:tcW w:w="976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Taxonomy Extension Schema</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101.CAL* XBRL</w:t>
            </w:r>
          </w:p>
        </w:tc>
        <w:tc>
          <w:tcPr>
            <w:tcW w:w="976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Taxonomy Extension Calculation Linkbase</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101.DEF* XBRL</w:t>
            </w:r>
          </w:p>
        </w:tc>
        <w:tc>
          <w:tcPr>
            <w:tcW w:w="976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Taxonomy Extension Definition Linkbase</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101.LAB* XBRL</w:t>
            </w:r>
          </w:p>
        </w:tc>
        <w:tc>
          <w:tcPr>
            <w:tcW w:w="976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Taxonomy Extension Label Linkbase</w:t>
            </w: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101.PRE* XBRL</w:t>
            </w:r>
          </w:p>
        </w:tc>
        <w:tc>
          <w:tcPr>
            <w:tcW w:w="976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 on March 4,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 on May 8,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filed with the SEC on March 30,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filed on March 30, 2021.</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Annual Report on Form 10-K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24,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SUSTAINABLE OPPORTUNITIES ACQUISITION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jc w:val="center"/>
        <w:ind w:left="54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28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May 24,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Scott Leonard</w:t>
            </w:r>
          </w:p>
        </w:tc>
        <w:tc>
          <w:tcPr>
            <w:tcW w:w="450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Executive Officer)</w:t>
            </w:r>
          </w:p>
        </w:tc>
        <w:tc>
          <w:tcPr>
            <w:tcW w:w="336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Honour</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Chairman</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May 24,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Scott Honour</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Quiram</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May 24,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David Quiram</w:t>
            </w:r>
          </w:p>
        </w:tc>
        <w:tc>
          <w:tcPr>
            <w:tcW w:w="450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336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Gaenzle</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May 24,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Rick Gaenzle</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Isaac Barchas</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May 24,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Isaac Barchas</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Kelly</w:t>
            </w:r>
          </w:p>
        </w:tc>
        <w:tc>
          <w:tcPr>
            <w:tcW w:w="45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May 24,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Justin Kelly</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641"/>
        </w:trPr>
        <w:tc>
          <w:tcPr>
            <w:tcW w:w="33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56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0000EE"/>
            </w:tcBorders>
            <w:gridSpan w:val="6"/>
            <w:shd w:val="clear" w:color="auto" w:fill="CCEEFF"/>
          </w:tcPr>
          <w:p>
            <w:pPr>
              <w:spacing w:after="0" w:line="136" w:lineRule="exact"/>
              <w:rPr>
                <w:rFonts w:ascii="Arial" w:cs="Arial" w:eastAsia="Arial" w:hAnsi="Arial"/>
                <w:sz w:val="15"/>
                <w:szCs w:val="15"/>
                <w:color w:val="0000EE"/>
              </w:rPr>
            </w:pPr>
            <w:hyperlink w:anchor="page83">
              <w:r>
                <w:rPr>
                  <w:rFonts w:ascii="Arial" w:cs="Arial" w:eastAsia="Arial" w:hAnsi="Arial"/>
                  <w:sz w:val="15"/>
                  <w:szCs w:val="15"/>
                  <w:color w:val="0000EE"/>
                </w:rPr>
                <w:t>Report of Independent Registered Public Accounting Firm</w:t>
              </w:r>
            </w:hyperlink>
          </w:p>
        </w:tc>
        <w:tc>
          <w:tcPr>
            <w:tcW w:w="5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8"/>
              </w:rPr>
              <w:t>F-2</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1012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Financial Statements:</w:t>
            </w: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5"/>
        </w:trPr>
        <w:tc>
          <w:tcPr>
            <w:tcW w:w="10120" w:type="dxa"/>
            <w:vAlign w:val="bottom"/>
            <w:gridSpan w:val="1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Balance Sheets as of December 31, 2020 and 2019</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0"/>
          </w:tcPr>
          <w:p>
            <w:pPr>
              <w:ind w:left="20"/>
              <w:spacing w:after="0" w:line="17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Statements of Operations for the Year Ended December 31, 2020 and for the Period from December 18, 2019 (inception) to December</w:t>
              </w:r>
            </w:hyperlink>
          </w:p>
        </w:tc>
        <w:tc>
          <w:tcPr>
            <w:tcW w:w="1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140" w:type="dxa"/>
            <w:vAlign w:val="bottom"/>
            <w:tcBorders>
              <w:top w:val="single" w:sz="8" w:color="0000EE"/>
            </w:tcBorders>
            <w:gridSpan w:val="3"/>
          </w:tcPr>
          <w:p>
            <w:pPr>
              <w:ind w:left="16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31, 2019</w:t>
              </w:r>
            </w:hyperlink>
          </w:p>
        </w:tc>
        <w:tc>
          <w:tcPr>
            <w:tcW w:w="4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0"/>
            <w:shd w:val="clear" w:color="auto" w:fill="CCEEFF"/>
          </w:tcPr>
          <w:p>
            <w:pPr>
              <w:ind w:left="20"/>
              <w:spacing w:after="0" w:line="17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Statements of Changes in Shareholders’ Equity for the Year Ended December 31, 2020 and for the Period from December 18, 2019</w:t>
              </w:r>
            </w:hyperlink>
          </w:p>
        </w:tc>
        <w:tc>
          <w:tcPr>
            <w:tcW w:w="112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EE"/>
            </w:tcBorders>
            <w:gridSpan w:val="7"/>
            <w:shd w:val="clear" w:color="auto" w:fill="CCEEFF"/>
          </w:tcPr>
          <w:p>
            <w:pPr>
              <w:ind w:left="16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(inception) to December 31, 2019</w:t>
              </w:r>
            </w:hyperlink>
          </w:p>
        </w:tc>
        <w:tc>
          <w:tcPr>
            <w:tcW w:w="24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ind w:left="20"/>
              <w:spacing w:after="0" w:line="17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Statements of Cash Flows for the Year Ended December 31, 2020 and for the Period from December 18, 2019 (inception) to December</w:t>
              </w:r>
            </w:hyperlink>
          </w:p>
        </w:tc>
        <w:tc>
          <w:tcPr>
            <w:tcW w:w="1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140" w:type="dxa"/>
            <w:vAlign w:val="bottom"/>
            <w:tcBorders>
              <w:top w:val="single" w:sz="8" w:color="0000EE"/>
            </w:tcBorders>
            <w:gridSpan w:val="3"/>
          </w:tcPr>
          <w:p>
            <w:pPr>
              <w:ind w:left="16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31, 2019</w:t>
              </w:r>
            </w:hyperlink>
          </w:p>
        </w:tc>
        <w:tc>
          <w:tcPr>
            <w:tcW w:w="4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Notes to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655"/>
        </w:trPr>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5900" w:type="dxa"/>
            <w:vAlign w:val="bottom"/>
            <w:tcBorders>
              <w:top w:val="single" w:sz="8" w:color="CCEEFF"/>
              <w:bottom w:val="single" w:sz="8" w:color="auto"/>
            </w:tcBorders>
            <w:gridSpan w:val="3"/>
          </w:tcPr>
          <w:p>
            <w:pPr>
              <w:ind w:left="1280"/>
              <w:spacing w:after="0"/>
              <w:rPr>
                <w:sz w:val="20"/>
                <w:szCs w:val="20"/>
                <w:color w:val="auto"/>
              </w:rPr>
            </w:pPr>
            <w:r>
              <w:rPr>
                <w:rFonts w:ascii="Arial" w:cs="Arial" w:eastAsia="Arial" w:hAnsi="Arial"/>
                <w:sz w:val="18"/>
                <w:szCs w:val="18"/>
                <w:color w:val="auto"/>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2" w:name="page83"/>
    <w:bookmarkEnd w:id="8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balance sheets of Sustainable Opportunities Acquisition Corp. (the “Company”) as of December 31, 2020 and 2019, the related statements of operations, changes in shareholders’ equity and cash flows for the year ended December 31, 2020 and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December 18, 2019 (inception) through December 31, 2019,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the 2020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financial statements, the accompanying financial statements as of December 31, 2020 and for the year then ended have been restated.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business plan is dependent on the completion of a business combination by November 8, 2021, and the Company’s cash and working capital as of December 31, 2020 are not sufficient to complete its planned activities which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w:t>
      </w:r>
      <w:r>
        <w:rPr>
          <w:rFonts w:ascii="Arial" w:cs="Arial" w:eastAsia="Arial" w:hAnsi="Arial"/>
          <w:sz w:val="18"/>
          <w:szCs w:val="18"/>
          <w:b w:val="1"/>
          <w:bCs w:val="1"/>
          <w:color w:val="auto"/>
        </w:rPr>
        <w:t>s</w:t>
      </w:r>
      <w:r>
        <w:rPr>
          <w:rFonts w:ascii="Arial" w:cs="Arial" w:eastAsia="Arial" w:hAnsi="Arial"/>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w:t>
      </w:r>
      <w:r>
        <w:rPr>
          <w:rFonts w:ascii="Arial" w:cs="Arial" w:eastAsia="Arial" w:hAnsi="Arial"/>
          <w:sz w:val="18"/>
          <w:szCs w:val="18"/>
          <w:b w:val="1"/>
          <w:bCs w:val="1"/>
          <w:color w:val="auto"/>
        </w:rPr>
        <w:t>s</w:t>
      </w:r>
      <w:r>
        <w:rPr>
          <w:rFonts w:ascii="Arial" w:cs="Arial" w:eastAsia="Arial" w:hAnsi="Arial"/>
          <w:sz w:val="18"/>
          <w:szCs w:val="18"/>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8"/>
          <w:szCs w:val="18"/>
          <w:b w:val="1"/>
          <w:bCs w:val="1"/>
          <w:color w:val="auto"/>
        </w:rPr>
        <w:t>s</w:t>
      </w:r>
      <w:r>
        <w:rPr>
          <w:rFonts w:ascii="Arial" w:cs="Arial" w:eastAsia="Arial" w:hAnsi="Arial"/>
          <w:sz w:val="18"/>
          <w:szCs w:val="18"/>
          <w:color w:val="auto"/>
        </w:rPr>
        <w: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Our audit</w:t>
      </w:r>
      <w:r>
        <w:rPr>
          <w:rFonts w:ascii="Arial" w:cs="Arial" w:eastAsia="Arial" w:hAnsi="Arial"/>
          <w:sz w:val="16"/>
          <w:szCs w:val="16"/>
          <w:b w:val="1"/>
          <w:bCs w:val="1"/>
          <w:color w:val="auto"/>
        </w:rPr>
        <w:t>s</w:t>
      </w:r>
      <w:r>
        <w:rPr>
          <w:rFonts w:ascii="Arial" w:cs="Arial" w:eastAsia="Arial" w:hAnsi="Arial"/>
          <w:sz w:val="16"/>
          <w:szCs w:val="16"/>
          <w:color w:val="auto"/>
        </w:rPr>
        <w:t xml:space="preserve">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w:t>
      </w:r>
      <w:r>
        <w:rPr>
          <w:rFonts w:ascii="Arial" w:cs="Arial" w:eastAsia="Arial" w:hAnsi="Arial"/>
          <w:sz w:val="16"/>
          <w:szCs w:val="16"/>
          <w:b w:val="1"/>
          <w:bCs w:val="1"/>
          <w:color w:val="auto"/>
        </w:rPr>
        <w:t>s</w:t>
      </w:r>
      <w:r>
        <w:rPr>
          <w:rFonts w:ascii="Arial" w:cs="Arial" w:eastAsia="Arial" w:hAnsi="Arial"/>
          <w:sz w:val="16"/>
          <w:szCs w:val="16"/>
          <w:color w:val="auto"/>
        </w:rPr>
        <w:t xml:space="preserve">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2021, except for the effects of the restatement discussed in Notes 2, 3 and 7 as to which the date is May 24,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4"/>
              </w:rPr>
              <w:t>(As Restated)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1,299,301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209,784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1,509,085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300,069,135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associated with initial public offering</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103,660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301,578,220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119,621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34,298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1,846,704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1,881,002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103,660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80"/>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56,930,000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69,311,002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103,660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20"/>
              <w:spacing w:after="0" w:line="201" w:lineRule="exact"/>
              <w:rPr>
                <w:sz w:val="20"/>
                <w:szCs w:val="20"/>
                <w:color w:val="auto"/>
              </w:rPr>
            </w:pPr>
            <w:r>
              <w:rPr>
                <w:rFonts w:ascii="Arial" w:cs="Arial" w:eastAsia="Arial" w:hAnsi="Arial"/>
                <w:sz w:val="18"/>
                <w:szCs w:val="18"/>
                <w:color w:val="auto"/>
                <w:w w:val="93"/>
              </w:rPr>
              <w:t>Class A ordinary shares, $0.0001 par value; 22,726,721 and -0- shares subject to possible redemption at $10.00 per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share at December 31, 2020 and December 31, 2019,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227,267,210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20"/>
              <w:spacing w:after="0" w:line="201" w:lineRule="exact"/>
              <w:rPr>
                <w:sz w:val="20"/>
                <w:szCs w:val="20"/>
                <w:color w:val="auto"/>
              </w:rPr>
            </w:pPr>
            <w:r>
              <w:rPr>
                <w:rFonts w:ascii="Arial" w:cs="Arial" w:eastAsia="Arial" w:hAnsi="Arial"/>
                <w:sz w:val="18"/>
                <w:szCs w:val="18"/>
                <w:color w:val="auto"/>
                <w:w w:val="95"/>
              </w:rPr>
              <w:t>Class A ordinary shares, $0.0001 par value; 300,000,000 shares authorized; 7,273,279 and -0-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7"/>
              </w:rPr>
              <w:t>outstanding (excluding 22,726,721 and -0- shares subject to possible redemption) at December 31, 2020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2019,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Class B ordinary shares, $0.0001 par value; 30,000,000 shares authorized; 7,500,000 shares issued and outstanding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and 8,625,000 shares issued and outstanding at December 31, 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41,549,625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(36,551,094)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301,578,220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119,621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2"/>
              </w:rPr>
              <w:t>Period</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9"/>
              </w:rPr>
              <w:t>from</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8"/>
              </w:rPr>
              <w:t>December 18,</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1"/>
              </w:rPr>
              <w:t>For the Year</w:t>
            </w: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1"/>
              </w:rPr>
              <w:t>(inception) to</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Restated)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2,923,654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9,039</w:t>
            </w:r>
          </w:p>
        </w:tc>
      </w:tr>
      <w:tr>
        <w:trPr>
          <w:trHeight w:val="237"/>
        </w:trPr>
        <w:tc>
          <w:tcPr>
            <w:tcW w:w="8680" w:type="dxa"/>
            <w:vAlign w:val="bottom"/>
          </w:tcPr>
          <w:p>
            <w:pPr>
              <w:ind w:left="20"/>
              <w:spacing w:after="0"/>
              <w:rPr>
                <w:sz w:val="20"/>
                <w:szCs w:val="20"/>
                <w:color w:val="auto"/>
              </w:rPr>
            </w:pPr>
            <w:r>
              <w:rPr>
                <w:rFonts w:ascii="Arial" w:cs="Arial" w:eastAsia="Arial" w:hAnsi="Arial"/>
                <w:sz w:val="18"/>
                <w:szCs w:val="18"/>
                <w:color w:val="auto"/>
              </w:rPr>
              <w:t>General and administrative expenses - related party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80,000</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(3,003,654)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Change in fair value of the warrant liability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(32,730,000)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Offering costs allocated to derivative warrant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(877,647)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Net gain on investments held in Trust Account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69,135</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earned</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78"/>
        </w:trPr>
        <w:tc>
          <w:tcPr>
            <w:tcW w:w="86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(36,542,055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subject to possible redemption, basic and diluted</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25,440,915</w:t>
            </w:r>
          </w:p>
        </w:tc>
        <w:tc>
          <w:tcPr>
            <w:tcW w:w="18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Basic and diluted net income per share, shares subject to possible redemption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Weighted average ordinary shares outstanding, basic and diluted</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10,464,651</w:t>
            </w:r>
          </w:p>
        </w:tc>
        <w:tc>
          <w:tcPr>
            <w:tcW w:w="18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8,625,000</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loss per share, Non-redeemable shares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SHAREHOLDERS’ EQUITY (As Restated)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6"/>
          </w:tcPr>
          <w:p>
            <w:pPr>
              <w:jc w:val="right"/>
              <w:ind w:right="510"/>
              <w:spacing w:after="0"/>
              <w:rPr>
                <w:sz w:val="20"/>
                <w:szCs w:val="20"/>
                <w:color w:val="auto"/>
              </w:rPr>
            </w:pPr>
            <w:r>
              <w:rPr>
                <w:rFonts w:ascii="Arial" w:cs="Arial" w:eastAsia="Arial" w:hAnsi="Arial"/>
                <w:sz w:val="18"/>
                <w:szCs w:val="18"/>
                <w:b w:val="1"/>
                <w:bCs w:val="1"/>
                <w:color w:val="auto"/>
                <w:w w:val="98"/>
              </w:rPr>
              <w:t>Ordinary Shares</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Class 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Class B</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6"/>
          </w:tcPr>
          <w:p>
            <w:pPr>
              <w:jc w:val="right"/>
              <w:ind w:right="121"/>
              <w:spacing w:after="0"/>
              <w:rPr>
                <w:sz w:val="20"/>
                <w:szCs w:val="20"/>
                <w:color w:val="auto"/>
              </w:rPr>
            </w:pPr>
            <w:r>
              <w:rPr>
                <w:rFonts w:ascii="Arial" w:cs="Arial" w:eastAsia="Arial" w:hAnsi="Arial"/>
                <w:sz w:val="18"/>
                <w:szCs w:val="18"/>
                <w:b w:val="1"/>
                <w:bCs w:val="1"/>
                <w:color w:val="auto"/>
                <w:w w:val="95"/>
              </w:rPr>
              <w:t>Accumulated</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8,625,000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15,961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w w:val="96"/>
              </w:rPr>
              <w:t>Sale of units in initial public offering,</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less fair value of Public Warrant</w:t>
            </w:r>
          </w:p>
        </w:tc>
        <w:tc>
          <w:tcPr>
            <w:tcW w:w="1320" w:type="dxa"/>
            <w:vAlign w:val="bottom"/>
            <w:gridSpan w:val="4"/>
          </w:tcPr>
          <w:p>
            <w:pPr>
              <w:jc w:val="right"/>
              <w:ind w:right="80"/>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0"/>
                <w:szCs w:val="20"/>
                <w:color w:val="auto"/>
              </w:rPr>
            </w:pPr>
          </w:p>
        </w:tc>
        <w:tc>
          <w:tcPr>
            <w:tcW w:w="11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5"/>
              </w:rPr>
              <w:t>285,297,000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285,300,000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4"/>
              </w:rPr>
              <w:t>Forfeiture of Class B ordinary shares</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lef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(1,125,000)</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Offering costs</w:t>
            </w:r>
          </w:p>
        </w:tc>
        <w:tc>
          <w:tcPr>
            <w:tcW w:w="13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(16,506,688)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(16,506,688)</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Ordinary shares subject to possible</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(22,726,721)</w:t>
            </w:r>
          </w:p>
        </w:tc>
        <w:tc>
          <w:tcPr>
            <w:tcW w:w="10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20"/>
                <w:szCs w:val="20"/>
                <w:color w:val="auto"/>
              </w:rPr>
            </w:pPr>
          </w:p>
        </w:tc>
        <w:tc>
          <w:tcPr>
            <w:tcW w:w="1120" w:type="dxa"/>
            <w:vAlign w:val="bottom"/>
            <w:tcBorders>
              <w:left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(227,264,937)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(227,267,210)</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81"/>
              <w:spacing w:after="0"/>
              <w:rPr>
                <w:sz w:val="20"/>
                <w:szCs w:val="20"/>
                <w:color w:val="auto"/>
              </w:rPr>
            </w:pPr>
            <w:r>
              <w:rPr>
                <w:rFonts w:ascii="Arial" w:cs="Arial" w:eastAsia="Arial" w:hAnsi="Arial"/>
                <w:sz w:val="18"/>
                <w:szCs w:val="18"/>
                <w:color w:val="auto"/>
                <w:w w:val="90"/>
              </w:rPr>
              <w:t>(36,542,055)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(36,542,055)</w:t>
            </w:r>
          </w:p>
        </w:tc>
        <w:tc>
          <w:tcPr>
            <w:tcW w:w="0" w:type="dxa"/>
            <w:vAlign w:val="bottom"/>
          </w:tcPr>
          <w:p>
            <w:pPr>
              <w:spacing w:after="0"/>
              <w:rPr>
                <w:sz w:val="1"/>
                <w:szCs w:val="1"/>
                <w:color w:val="auto"/>
              </w:rPr>
            </w:pPr>
          </w:p>
        </w:tc>
      </w:tr>
      <w:tr>
        <w:trPr>
          <w:trHeight w:val="27"/>
        </w:trPr>
        <w:tc>
          <w:tcPr>
            <w:tcW w:w="27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tcBorders>
              <w:right w:val="single" w:sz="8" w:color="CCEEFF"/>
            </w:tcBorders>
            <w:gridSpan w:val="2"/>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7,273,279</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727</w:t>
            </w:r>
          </w:p>
        </w:tc>
        <w:tc>
          <w:tcPr>
            <w:tcW w:w="80" w:type="dxa"/>
            <w:vAlign w:val="bottom"/>
            <w:shd w:val="clear" w:color="auto" w:fill="CCEEFF"/>
          </w:tcPr>
          <w:p>
            <w:pPr>
              <w:spacing w:after="0"/>
              <w:rPr>
                <w:sz w:val="21"/>
                <w:szCs w:val="21"/>
                <w:color w:val="auto"/>
              </w:rPr>
            </w:pPr>
          </w:p>
        </w:tc>
        <w:tc>
          <w:tcPr>
            <w:tcW w:w="1120" w:type="dxa"/>
            <w:vAlign w:val="bottom"/>
            <w:tcBorders>
              <w:left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7,500,000</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41,549,624</w:t>
            </w:r>
          </w:p>
        </w:tc>
        <w:tc>
          <w:tcPr>
            <w:tcW w:w="120" w:type="dxa"/>
            <w:vAlign w:val="bottom"/>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8"/>
              </w:rPr>
              <w:t>$ (36,551,094</w:t>
            </w:r>
          </w:p>
        </w:tc>
        <w:tc>
          <w:tcPr>
            <w:tcW w:w="220" w:type="dxa"/>
            <w:vAlign w:val="bottom"/>
            <w:gridSpan w:val="2"/>
            <w:vMerge w:val="continue"/>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4"/>
                <w:szCs w:val="24"/>
                <w:color w:val="auto"/>
              </w:rPr>
            </w:pPr>
          </w:p>
        </w:tc>
        <w:tc>
          <w:tcPr>
            <w:tcW w:w="5940" w:type="dxa"/>
            <w:vAlign w:val="bottom"/>
            <w:gridSpan w:val="24"/>
          </w:tcPr>
          <w:p>
            <w:pPr>
              <w:jc w:val="right"/>
              <w:ind w:right="300"/>
              <w:spacing w:after="0"/>
              <w:rPr>
                <w:sz w:val="20"/>
                <w:szCs w:val="20"/>
                <w:color w:val="auto"/>
              </w:rPr>
            </w:pPr>
            <w:r>
              <w:rPr>
                <w:rFonts w:ascii="Arial" w:cs="Arial" w:eastAsia="Arial" w:hAnsi="Arial"/>
                <w:sz w:val="18"/>
                <w:szCs w:val="18"/>
                <w:b w:val="1"/>
                <w:bCs w:val="1"/>
                <w:color w:val="auto"/>
                <w:w w:val="90"/>
              </w:rPr>
              <w:t>For the Period from December 18, 2019 (inception) to December 31, 2019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Class A</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w w:val="84"/>
              </w:rPr>
              <w:t>Class B</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20"/>
                <w:szCs w:val="20"/>
                <w:color w:val="auto"/>
              </w:rPr>
            </w:pPr>
          </w:p>
        </w:tc>
        <w:tc>
          <w:tcPr>
            <w:tcW w:w="1220" w:type="dxa"/>
            <w:vAlign w:val="bottom"/>
            <w:gridSpan w:val="5"/>
          </w:tcPr>
          <w:p>
            <w:pPr>
              <w:ind w:left="2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20"/>
                <w:szCs w:val="20"/>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5"/>
              </w:rPr>
              <w:t>Balance - December 18, 2019 (Inception)</w:t>
            </w:r>
          </w:p>
        </w:tc>
        <w:tc>
          <w:tcPr>
            <w:tcW w:w="78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w w:val="89"/>
              </w:rPr>
              <w:t>Issuance of Class B ordinary shares to</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Sponsor</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8,625,000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24,137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(9,039)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December 31, 2019</w:t>
            </w: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8,625,000</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863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24,137</w:t>
            </w:r>
          </w:p>
        </w:tc>
        <w:tc>
          <w:tcPr>
            <w:tcW w:w="200" w:type="dxa"/>
            <w:vAlign w:val="bottom"/>
            <w:gridSpan w:val="3"/>
          </w:tcPr>
          <w:p>
            <w:pPr>
              <w:ind w:left="10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(9,039</w:t>
            </w:r>
          </w:p>
        </w:tc>
        <w:tc>
          <w:tcPr>
            <w:tcW w:w="180" w:type="dxa"/>
            <w:vAlign w:val="bottom"/>
            <w:vMerge w:val="continue"/>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from December 18,</w:t>
            </w:r>
          </w:p>
        </w:tc>
      </w:tr>
      <w:tr>
        <w:trPr>
          <w:trHeight w:val="216"/>
        </w:trPr>
        <w:tc>
          <w:tcPr>
            <w:tcW w:w="7980" w:type="dxa"/>
            <w:vAlign w:val="bottom"/>
          </w:tcPr>
          <w:p>
            <w:pPr>
              <w:spacing w:after="0"/>
              <w:rPr>
                <w:sz w:val="18"/>
                <w:szCs w:val="18"/>
                <w:color w:val="auto"/>
              </w:rPr>
            </w:pPr>
          </w:p>
        </w:tc>
        <w:tc>
          <w:tcPr>
            <w:tcW w:w="170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Year ended</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2019 (inception) to</w:t>
            </w:r>
          </w:p>
        </w:tc>
      </w:tr>
      <w:tr>
        <w:trPr>
          <w:trHeight w:val="216"/>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30"/>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89"/>
              </w:rPr>
              <w:t>(As Restated)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(36,542,055)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(9,039)</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fair value of derivative warrant liability</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32,730,000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Offering costs allocated to derivative warrant liabilities</w:t>
            </w:r>
          </w:p>
        </w:tc>
        <w:tc>
          <w:tcPr>
            <w:tcW w:w="140" w:type="dxa"/>
            <w:vAlign w:val="bottom"/>
          </w:tcPr>
          <w:p>
            <w:pPr>
              <w:spacing w:after="0"/>
              <w:rPr>
                <w:sz w:val="18"/>
                <w:szCs w:val="18"/>
                <w:color w:val="auto"/>
              </w:rPr>
            </w:pP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877,647</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 paid by related party under note agreement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70,123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9,039</w:t>
            </w: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Net gain on investments held in Trust Account</w:t>
            </w:r>
          </w:p>
        </w:tc>
        <w:tc>
          <w:tcPr>
            <w:tcW w:w="140" w:type="dxa"/>
            <w:vAlign w:val="bottom"/>
          </w:tcPr>
          <w:p>
            <w:pPr>
              <w:spacing w:after="0"/>
              <w:rPr>
                <w:sz w:val="18"/>
                <w:szCs w:val="18"/>
                <w:color w:val="auto"/>
              </w:rPr>
            </w:pP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(69,135)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(197,094)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(51,821)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0"/>
                <w:szCs w:val="20"/>
                <w:color w:val="auto"/>
              </w:rPr>
            </w:pPr>
          </w:p>
        </w:tc>
        <w:tc>
          <w:tcPr>
            <w:tcW w:w="1560" w:type="dxa"/>
            <w:vAlign w:val="bottom"/>
            <w:gridSpan w:val="2"/>
          </w:tcPr>
          <w:p>
            <w:pPr>
              <w:jc w:val="right"/>
              <w:ind w:right="141"/>
              <w:spacing w:after="0"/>
              <w:rPr>
                <w:sz w:val="20"/>
                <w:szCs w:val="20"/>
                <w:color w:val="auto"/>
              </w:rPr>
            </w:pPr>
            <w:r>
              <w:rPr>
                <w:rFonts w:ascii="Arial" w:cs="Arial" w:eastAsia="Arial" w:hAnsi="Arial"/>
                <w:sz w:val="18"/>
                <w:szCs w:val="18"/>
                <w:color w:val="auto"/>
              </w:rPr>
              <w:t>1,846,704</w:t>
            </w: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(1,335,631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received from initial public offering,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private placement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Offering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Repayment of note payable from related party</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beginning of the period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300" w:type="dxa"/>
            <w:vAlign w:val="bottom"/>
          </w:tcPr>
          <w:p>
            <w:pPr>
              <w:spacing w:after="0"/>
              <w:rPr>
                <w:sz w:val="21"/>
                <w:szCs w:val="21"/>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(300,000,000)</w:t>
            </w:r>
          </w:p>
        </w:tc>
        <w:tc>
          <w:tcPr>
            <w:tcW w:w="7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(300,000,000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00" w:type="dxa"/>
            <w:vAlign w:val="bottom"/>
          </w:tcPr>
          <w:p>
            <w:pPr>
              <w:spacing w:after="0"/>
              <w:rPr>
                <w:sz w:val="24"/>
                <w:szCs w:val="24"/>
                <w:color w:val="auto"/>
              </w:rPr>
            </w:pPr>
          </w:p>
        </w:tc>
        <w:tc>
          <w:tcPr>
            <w:tcW w:w="1400" w:type="dxa"/>
            <w:vAlign w:val="bottom"/>
            <w:gridSpan w:val="2"/>
          </w:tcPr>
          <w:p>
            <w:pPr>
              <w:jc w:val="right"/>
              <w:ind w:right="141"/>
              <w:spacing w:after="0"/>
              <w:rPr>
                <w:sz w:val="20"/>
                <w:szCs w:val="20"/>
                <w:color w:val="auto"/>
              </w:rPr>
            </w:pPr>
            <w:r>
              <w:rPr>
                <w:rFonts w:ascii="Arial" w:cs="Arial" w:eastAsia="Arial" w:hAnsi="Arial"/>
                <w:sz w:val="18"/>
                <w:szCs w:val="18"/>
                <w:color w:val="auto"/>
              </w:rPr>
              <w:t>300,000,000</w:t>
            </w:r>
          </w:p>
        </w:tc>
        <w:tc>
          <w:tcPr>
            <w:tcW w:w="7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400" w:type="dxa"/>
            <w:vAlign w:val="bottom"/>
            <w:gridSpan w:val="2"/>
          </w:tcPr>
          <w:p>
            <w:pPr>
              <w:jc w:val="right"/>
              <w:ind w:right="141"/>
              <w:spacing w:after="0"/>
              <w:rPr>
                <w:sz w:val="20"/>
                <w:szCs w:val="20"/>
                <w:color w:val="auto"/>
              </w:rPr>
            </w:pPr>
            <w:r>
              <w:rPr>
                <w:rFonts w:ascii="Arial" w:cs="Arial" w:eastAsia="Arial" w:hAnsi="Arial"/>
                <w:sz w:val="18"/>
                <w:szCs w:val="18"/>
                <w:color w:val="auto"/>
              </w:rPr>
              <w:t>9,500,000</w:t>
            </w: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(6,702,089)</w:t>
            </w: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300" w:type="dxa"/>
            <w:vAlign w:val="bottom"/>
          </w:tcPr>
          <w:p>
            <w:pPr>
              <w:spacing w:after="0"/>
              <w:rPr>
                <w:sz w:val="21"/>
                <w:szCs w:val="21"/>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(162,979)</w:t>
            </w:r>
          </w:p>
        </w:tc>
        <w:tc>
          <w:tcPr>
            <w:tcW w:w="7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302,634,932</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00" w:type="dxa"/>
            <w:vAlign w:val="bottom"/>
          </w:tcPr>
          <w:p>
            <w:pPr>
              <w:spacing w:after="0"/>
              <w:rPr>
                <w:sz w:val="24"/>
                <w:szCs w:val="24"/>
                <w:color w:val="auto"/>
              </w:rPr>
            </w:pPr>
          </w:p>
        </w:tc>
        <w:tc>
          <w:tcPr>
            <w:tcW w:w="1400" w:type="dxa"/>
            <w:vAlign w:val="bottom"/>
            <w:gridSpan w:val="2"/>
          </w:tcPr>
          <w:p>
            <w:pPr>
              <w:jc w:val="right"/>
              <w:ind w:right="141"/>
              <w:spacing w:after="0"/>
              <w:rPr>
                <w:sz w:val="20"/>
                <w:szCs w:val="20"/>
                <w:color w:val="auto"/>
              </w:rPr>
            </w:pPr>
            <w:r>
              <w:rPr>
                <w:rFonts w:ascii="Arial" w:cs="Arial" w:eastAsia="Arial" w:hAnsi="Arial"/>
                <w:sz w:val="18"/>
                <w:szCs w:val="18"/>
                <w:color w:val="auto"/>
              </w:rPr>
              <w:t>1,299,301</w:t>
            </w:r>
          </w:p>
        </w:tc>
        <w:tc>
          <w:tcPr>
            <w:tcW w:w="7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3"/>
        </w:trPr>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1,299,301</w:t>
            </w:r>
          </w:p>
        </w:tc>
        <w:tc>
          <w:tcPr>
            <w:tcW w:w="740" w:type="dxa"/>
            <w:vAlign w:val="bottom"/>
          </w:tcPr>
          <w:p>
            <w:pPr>
              <w:jc w:val="right"/>
              <w:ind w:right="5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560" w:type="dxa"/>
            <w:vAlign w:val="bottom"/>
          </w:tcPr>
          <w:p>
            <w:pPr>
              <w:ind w:left="380"/>
              <w:spacing w:after="0"/>
              <w:rPr>
                <w:sz w:val="20"/>
                <w:szCs w:val="20"/>
                <w:color w:val="auto"/>
              </w:rPr>
            </w:pPr>
            <w:r>
              <w:rPr>
                <w:rFonts w:ascii="Arial" w:cs="Arial" w:eastAsia="Arial" w:hAnsi="Arial"/>
                <w:sz w:val="18"/>
                <w:szCs w:val="18"/>
                <w:color w:val="auto"/>
              </w:rPr>
              <w:t>Offering costs included in accounts payable</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85,000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23,060</w:t>
            </w:r>
          </w:p>
        </w:tc>
      </w:tr>
      <w:tr>
        <w:trPr>
          <w:trHeight w:val="216"/>
        </w:trPr>
        <w:tc>
          <w:tcPr>
            <w:tcW w:w="7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Offering costs included in accrued expenses</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80,600</w:t>
            </w:r>
          </w:p>
        </w:tc>
      </w:tr>
      <w:tr>
        <w:trPr>
          <w:trHeight w:val="216"/>
        </w:trPr>
        <w:tc>
          <w:tcPr>
            <w:tcW w:w="7560" w:type="dxa"/>
            <w:vAlign w:val="bottom"/>
          </w:tcPr>
          <w:p>
            <w:pPr>
              <w:ind w:left="380"/>
              <w:spacing w:after="0"/>
              <w:rPr>
                <w:sz w:val="20"/>
                <w:szCs w:val="20"/>
                <w:color w:val="auto"/>
              </w:rPr>
            </w:pPr>
            <w:r>
              <w:rPr>
                <w:rFonts w:ascii="Arial" w:cs="Arial" w:eastAsia="Arial" w:hAnsi="Arial"/>
                <w:sz w:val="18"/>
                <w:szCs w:val="18"/>
                <w:color w:val="auto"/>
              </w:rPr>
              <w:t>Offering costs funded with note payable to Sponsor</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92,856</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Offering costs paid by Sponsor in exchange for issuance of Class B ordinary shares to Sponsor</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15,961</w:t>
            </w:r>
          </w:p>
        </w:tc>
      </w:tr>
      <w:tr>
        <w:trPr>
          <w:trHeight w:val="216"/>
        </w:trPr>
        <w:tc>
          <w:tcPr>
            <w:tcW w:w="7560" w:type="dxa"/>
            <w:vAlign w:val="bottom"/>
          </w:tcPr>
          <w:p>
            <w:pPr>
              <w:ind w:left="380"/>
              <w:spacing w:after="0"/>
              <w:rPr>
                <w:sz w:val="20"/>
                <w:szCs w:val="20"/>
                <w:color w:val="auto"/>
              </w:rPr>
            </w:pPr>
            <w:r>
              <w:rPr>
                <w:rFonts w:ascii="Arial" w:cs="Arial" w:eastAsia="Arial" w:hAnsi="Arial"/>
                <w:sz w:val="18"/>
                <w:szCs w:val="18"/>
                <w:color w:val="auto"/>
              </w:rPr>
              <w:t>Use of retainer for offering costs</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3,271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underwriting commissions in connection with the initial public offering</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10,500,000</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400"/>
              <w:spacing w:after="0"/>
              <w:rPr>
                <w:sz w:val="20"/>
                <w:szCs w:val="20"/>
                <w:color w:val="auto"/>
              </w:rPr>
            </w:pPr>
            <w:r>
              <w:rPr>
                <w:rFonts w:ascii="Arial" w:cs="Arial" w:eastAsia="Arial" w:hAnsi="Arial"/>
                <w:sz w:val="18"/>
                <w:szCs w:val="18"/>
                <w:color w:val="auto"/>
              </w:rPr>
              <w:t>Initial value of Class A ordinary shares subject to possible redemption</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262,826,540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(35,559,330)</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December 18, 2019 (inception) through December 31, 2020 relates to the Company’s formation and the initial public offering (the “Initial Public Offering”) described below,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Initial Public Offering and Private Placement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6).</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Account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right="20"/>
        <w:spacing w:after="0" w:line="291" w:lineRule="auto"/>
        <w:rPr>
          <w:sz w:val="20"/>
          <w:szCs w:val="20"/>
          <w:color w:val="auto"/>
        </w:rPr>
      </w:pPr>
      <w:r>
        <w:rPr>
          <w:rFonts w:ascii="Arial" w:cs="Arial" w:eastAsia="Arial" w:hAnsi="Arial"/>
          <w:sz w:val="16"/>
          <w:szCs w:val="16"/>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w:t>
      </w:r>
    </w:p>
    <w:p>
      <w:pPr>
        <w:jc w:val="both"/>
        <w:ind w:firstLine="8"/>
        <w:spacing w:after="0" w:line="284" w:lineRule="auto"/>
        <w:tabs>
          <w:tab w:leader="none" w:pos="2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6).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5)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spacing w:after="0" w:line="267"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4, 2021, the Company entered into a Business Combination Agreement (the “</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by and among the Company, 1291924 B.C. Unlimited Liability Company, an unlimited liability company existing under the laws of British Columbia, Canada (“</w:t>
      </w:r>
      <w:r>
        <w:rPr>
          <w:rFonts w:ascii="Arial" w:cs="Arial" w:eastAsia="Arial" w:hAnsi="Arial"/>
          <w:sz w:val="17"/>
          <w:szCs w:val="17"/>
          <w:i w:val="1"/>
          <w:iCs w:val="1"/>
          <w:color w:val="auto"/>
        </w:rPr>
        <w:t>NewCo Sub</w:t>
      </w:r>
      <w:r>
        <w:rPr>
          <w:rFonts w:ascii="Arial" w:cs="Arial" w:eastAsia="Arial" w:hAnsi="Arial"/>
          <w:sz w:val="17"/>
          <w:szCs w:val="17"/>
          <w:color w:val="auto"/>
        </w:rPr>
        <w:t>”), and DeepGreen Metals Inc., a company 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Business Combination Agreement, the Company will migrate to and be continued as a company in British Columbia, Canada (the “</w:t>
      </w:r>
      <w:r>
        <w:rPr>
          <w:rFonts w:ascii="Arial" w:cs="Arial" w:eastAsia="Arial" w:hAnsi="Arial"/>
          <w:sz w:val="17"/>
          <w:szCs w:val="17"/>
          <w:i w:val="1"/>
          <w:iCs w:val="1"/>
          <w:color w:val="auto"/>
        </w:rPr>
        <w:t>SOAC</w:t>
      </w:r>
      <w:r>
        <w:rPr>
          <w:rFonts w:ascii="Arial" w:cs="Arial" w:eastAsia="Arial" w:hAnsi="Arial"/>
          <w:sz w:val="17"/>
          <w:szCs w:val="17"/>
          <w:color w:val="auto"/>
        </w:rPr>
        <w:t xml:space="preserve"> </w:t>
      </w:r>
      <w:r>
        <w:rPr>
          <w:rFonts w:ascii="Arial" w:cs="Arial" w:eastAsia="Arial" w:hAnsi="Arial"/>
          <w:sz w:val="17"/>
          <w:szCs w:val="17"/>
          <w:i w:val="1"/>
          <w:iCs w:val="1"/>
          <w:color w:val="auto"/>
        </w:rPr>
        <w:t>Continuance</w:t>
      </w:r>
      <w:r>
        <w:rPr>
          <w:rFonts w:ascii="Arial" w:cs="Arial" w:eastAsia="Arial" w:hAnsi="Arial"/>
          <w:sz w:val="17"/>
          <w:szCs w:val="17"/>
          <w:color w:val="auto"/>
        </w:rPr>
        <w:t>”). Following the SOAC Continuance, pursuant to a plan of arrangement (the “</w:t>
      </w:r>
      <w:r>
        <w:rPr>
          <w:rFonts w:ascii="Arial" w:cs="Arial" w:eastAsia="Arial" w:hAnsi="Arial"/>
          <w:sz w:val="17"/>
          <w:szCs w:val="17"/>
          <w:i w:val="1"/>
          <w:iCs w:val="1"/>
          <w:color w:val="auto"/>
        </w:rPr>
        <w:t>Plan of Arrangement</w:t>
      </w:r>
      <w:r>
        <w:rPr>
          <w:rFonts w:ascii="Arial" w:cs="Arial" w:eastAsia="Arial" w:hAnsi="Arial"/>
          <w:sz w:val="17"/>
          <w:szCs w:val="17"/>
          <w:color w:val="auto"/>
        </w:rPr>
        <w:t>”) under the</w:t>
      </w:r>
      <w:r>
        <w:rPr>
          <w:rFonts w:ascii="Arial" w:cs="Arial" w:eastAsia="Arial" w:hAnsi="Arial"/>
          <w:sz w:val="17"/>
          <w:szCs w:val="17"/>
          <w:i w:val="1"/>
          <w:iCs w:val="1"/>
          <w:color w:val="auto"/>
        </w:rPr>
        <w:t xml:space="preserve"> Business Corporations Act </w:t>
      </w:r>
      <w:r>
        <w:rPr>
          <w:rFonts w:ascii="Arial" w:cs="Arial" w:eastAsia="Arial" w:hAnsi="Arial"/>
          <w:sz w:val="17"/>
          <w:szCs w:val="17"/>
          <w:color w:val="auto"/>
        </w:rPr>
        <w:t>(British Columbia), (i) the Company will acquire all of the issued and outstanding shares in the capital of DeepGreen (the “</w:t>
      </w:r>
      <w:r>
        <w:rPr>
          <w:rFonts w:ascii="Arial" w:cs="Arial" w:eastAsia="Arial" w:hAnsi="Arial"/>
          <w:sz w:val="17"/>
          <w:szCs w:val="17"/>
          <w:i w:val="1"/>
          <w:iCs w:val="1"/>
          <w:color w:val="auto"/>
        </w:rPr>
        <w:t>DeepGreen Shares</w:t>
      </w:r>
      <w:r>
        <w:rPr>
          <w:rFonts w:ascii="Arial" w:cs="Arial" w:eastAsia="Arial" w:hAnsi="Arial"/>
          <w:sz w:val="17"/>
          <w:szCs w:val="17"/>
          <w:color w:val="auto"/>
        </w:rPr>
        <w:t>”) from DeepGreen shareholders in exchange for the Company’s common shares (as defined below) and Company Earnout Shares (as defined in Note 9) (the “</w:t>
      </w:r>
      <w:r>
        <w:rPr>
          <w:rFonts w:ascii="Arial" w:cs="Arial" w:eastAsia="Arial" w:hAnsi="Arial"/>
          <w:sz w:val="17"/>
          <w:szCs w:val="17"/>
          <w:i w:val="1"/>
          <w:iCs w:val="1"/>
          <w:color w:val="auto"/>
        </w:rPr>
        <w:t>Share Exchange</w:t>
      </w:r>
      <w:r>
        <w:rPr>
          <w:rFonts w:ascii="Arial" w:cs="Arial" w:eastAsia="Arial" w:hAnsi="Arial"/>
          <w:sz w:val="17"/>
          <w:szCs w:val="17"/>
          <w:color w:val="auto"/>
        </w:rPr>
        <w:t>”),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Concurrently with the execution of the Business Combination Agreement, the Company entered into subscription agreements (the “Subscription Agreements”)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Ordinary shares for $10.00 per share, for aggregate gross proceeds of $330,300,000 (the “PIPE Financing”).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 See Note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had approximately $1.3 million in cash and a working capital deficit of approximately $372,000.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8"/>
          <w:szCs w:val="18"/>
          <w:color w:val="auto"/>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for financial information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other public companies difficult or impossible because of the potential differences in accounting standards used.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ordinary in warrants issued in connection with the initial public offerings of special purpose acquisition companies such as the Company. As a result of the Staff statement and in light of evolving views as to certain provisions ordinarily included in warrants issued by special purpose acquisition companies, the Company’s management re-evaluated the accounting for our Warrants under ASC 815-40, </w:t>
      </w:r>
      <w:r>
        <w:rPr>
          <w:rFonts w:ascii="Arial" w:cs="Arial" w:eastAsia="Arial" w:hAnsi="Arial"/>
          <w:sz w:val="16"/>
          <w:szCs w:val="16"/>
          <w:i w:val="1"/>
          <w:iCs w:val="1"/>
          <w:color w:val="auto"/>
        </w:rPr>
        <w:t>Derivatives and Hedging—Contracts in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Own Equity</w:t>
      </w:r>
      <w:r>
        <w:rPr>
          <w:rFonts w:ascii="Arial" w:cs="Arial" w:eastAsia="Arial" w:hAnsi="Arial"/>
          <w:sz w:val="16"/>
          <w:szCs w:val="16"/>
          <w:color w:val="auto"/>
        </w:rPr>
        <w:t>, and concluded that they do not meet the criteria to be classified in shareholders’ equity. Since the Warrants meet the definition of a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ASC 815-40, the Company has restated the financial statements to classify the Warrants as liabilities on the balance sheet at fair value, with subsequent changes in their respective fair values recognized in the statement of operations at each reporting date.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prior accounting treatment for the Warrants was equity classification rather than as derivative liabilities. Accounting for the Warrants as liabilities pursuant to ASC 815-40 requires that the Company re-measure the Warrants to their fair value each reporting period and record the changes in such value in the statement of operations. Accordingly, the Company has restated the value and classification of the Warrants in our financial statements included herein (“Restatement”).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2021, the Company concluded that, because of a misapplication of the accounting guidance related to its warrants issued in connection with its initial public offering (“Public Warrants”), as well as warrants issued in a private sale simultaneous to the initial public offering (“Private Placement Warrants”) that the Company issued in May 2020, the Company’s previously issued financial statements as of May 8, 2020, as of and for the year ended December 31, 2020 as well as the interim periods ended June 30, 2020 and September 30, 2020 (the “Affected Periods”) should no longer be relied upon. As such, the Company is restating its financial statements for the Affected Periods in this Annual Report. The following summarizes the effect of the Restatement on each financial statement line item for each period presented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800" w:type="dxa"/>
            <w:vAlign w:val="bottom"/>
            <w:gridSpan w:val="3"/>
          </w:tcPr>
          <w:p>
            <w:pPr>
              <w:ind w:left="260"/>
              <w:spacing w:after="0"/>
              <w:rPr>
                <w:sz w:val="20"/>
                <w:szCs w:val="20"/>
                <w:color w:val="auto"/>
              </w:rPr>
            </w:pPr>
            <w:r>
              <w:rPr>
                <w:rFonts w:ascii="Arial" w:cs="Arial" w:eastAsia="Arial" w:hAnsi="Arial"/>
                <w:sz w:val="18"/>
                <w:szCs w:val="18"/>
                <w:b w:val="1"/>
                <w:bCs w:val="1"/>
                <w:color w:val="auto"/>
              </w:rPr>
              <w:t>BALANCE SHEETS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May 8,</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5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188"/>
        </w:trPr>
        <w:tc>
          <w:tcPr>
            <w:tcW w:w="456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24,200,000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23,030,000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45,050,000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56,930,000</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24,200,000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23,030,000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56,930,000</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11,299,788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10,753,271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11,443,090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12,381,002</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24,200,000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23,030,000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45,050,000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56,930,000</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35,499,788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33,783,271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56,493,090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69,311,002</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287,041,190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286,786,990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285,557,170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284,197,210</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(24,214,650)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(23,030,000)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(45,050,000)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(56,930,000)</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262,826,540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263,756,990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240,507,170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227,267,210</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ordinary shares subject to possible redemption, shares</w:t>
            </w: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28,704,119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28,678,699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28,555,717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28,419,721</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(2,421,465)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(2,303,000)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(4,505,000)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(5,693,000)</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26,282,654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26,375,699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24,050,717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22,726,721</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shares outstanding</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1,295,881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1,321,301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1,444,283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1,580,279</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2,421,465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2,303,000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4,505,000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5,693,000</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3,717,346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3,624,301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5,949,283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7,273,279</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5,113,134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5,352,792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6,582,601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7,942,547</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877,413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(292,578)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21,727,203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33,607,078</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5,990,547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5,060,214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28,309,804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41,549,625</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(114,123)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(353,668)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(1,583,490)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(2,943,447)</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(877,647)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292,353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(21,727,647)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(33,607,647)</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(991,770)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(61,315)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(23,311,137)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(36,551,094)</w:t>
            </w: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60" w:type="dxa"/>
            <w:vAlign w:val="bottom"/>
            <w:shd w:val="clear" w:color="auto" w:fill="CCEEFF"/>
          </w:tcPr>
          <w:p>
            <w:pPr>
              <w:spacing w:after="0"/>
              <w:rPr>
                <w:sz w:val="17"/>
                <w:szCs w:val="17"/>
                <w:color w:val="auto"/>
              </w:rPr>
            </w:pPr>
          </w:p>
        </w:tc>
        <w:tc>
          <w:tcPr>
            <w:tcW w:w="1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As Previously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5,000,008</w:t>
            </w:r>
          </w:p>
        </w:tc>
      </w:tr>
      <w:tr>
        <w:trPr>
          <w:trHeight w:val="216"/>
        </w:trPr>
        <w:tc>
          <w:tcPr>
            <w:tcW w:w="456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Adjustments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 Restated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5,000,008</w:t>
            </w:r>
          </w:p>
        </w:tc>
      </w:tr>
      <w:tr>
        <w:trPr>
          <w:trHeight w:val="655"/>
        </w:trPr>
        <w:tc>
          <w:tcPr>
            <w:tcW w:w="4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F-11</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ind w:left="4000"/>
              <w:spacing w:after="0"/>
              <w:rPr>
                <w:sz w:val="20"/>
                <w:szCs w:val="20"/>
                <w:color w:val="auto"/>
              </w:rPr>
            </w:pPr>
            <w:r>
              <w:rPr>
                <w:rFonts w:ascii="Arial" w:cs="Arial" w:eastAsia="Arial" w:hAnsi="Arial"/>
                <w:sz w:val="18"/>
                <w:szCs w:val="18"/>
                <w:b w:val="1"/>
                <w:bCs w:val="1"/>
                <w:color w:val="auto"/>
                <w:w w:val="99"/>
              </w:rPr>
              <w:t>STATEMENTS OF OPERATIONS - YTD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Six Months</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Nine Months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Year Ended</w:t>
            </w: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8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188"/>
        </w:trPr>
        <w:tc>
          <w:tcPr>
            <w:tcW w:w="5880" w:type="dxa"/>
            <w:vAlign w:val="bottom"/>
            <w:shd w:val="clear" w:color="auto" w:fill="CCEEFF"/>
          </w:tcPr>
          <w:p>
            <w:pPr>
              <w:spacing w:after="0"/>
              <w:rPr>
                <w:sz w:val="16"/>
                <w:szCs w:val="16"/>
                <w:color w:val="auto"/>
              </w:rPr>
            </w:pPr>
          </w:p>
        </w:tc>
        <w:tc>
          <w:tcPr>
            <w:tcW w:w="14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As Previously</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the warrant liability</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Reported</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1,170,000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(20,850,000)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(32,730,000)</w:t>
            </w:r>
          </w:p>
        </w:tc>
      </w:tr>
      <w:tr>
        <w:trPr>
          <w:trHeight w:val="216"/>
        </w:trPr>
        <w:tc>
          <w:tcPr>
            <w:tcW w:w="58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(20,850,000)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(32,730,000)</w:t>
            </w: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shd w:val="clear" w:color="auto" w:fill="CCEEFF"/>
          </w:tcPr>
          <w:p>
            <w:pPr>
              <w:spacing w:after="0"/>
              <w:rPr>
                <w:sz w:val="17"/>
                <w:szCs w:val="17"/>
                <w:color w:val="auto"/>
              </w:rPr>
            </w:pPr>
          </w:p>
        </w:tc>
        <w:tc>
          <w:tcPr>
            <w:tcW w:w="1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As Previously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allocated to derivative warrant liabilities</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Reported</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(877,647)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(877,647)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(877,647)</w:t>
            </w:r>
          </w:p>
        </w:tc>
      </w:tr>
      <w:tr>
        <w:trPr>
          <w:trHeight w:val="216"/>
        </w:trPr>
        <w:tc>
          <w:tcPr>
            <w:tcW w:w="58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(877,647)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(877,647)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(877,647)</w:t>
            </w: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shd w:val="clear" w:color="auto" w:fill="CCEEFF"/>
          </w:tcPr>
          <w:p>
            <w:pPr>
              <w:spacing w:after="0"/>
              <w:rPr>
                <w:sz w:val="17"/>
                <w:szCs w:val="17"/>
                <w:color w:val="auto"/>
              </w:rPr>
            </w:pPr>
          </w:p>
        </w:tc>
        <w:tc>
          <w:tcPr>
            <w:tcW w:w="1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As Previously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Reported</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(344,629)</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(1,574,451)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(2,934,408)</w:t>
            </w:r>
          </w:p>
        </w:tc>
      </w:tr>
      <w:tr>
        <w:trPr>
          <w:trHeight w:val="216"/>
        </w:trPr>
        <w:tc>
          <w:tcPr>
            <w:tcW w:w="588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292,353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(21,727,647)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(33,607,647)</w:t>
            </w:r>
          </w:p>
        </w:tc>
      </w:tr>
      <w:tr>
        <w:trPr>
          <w:trHeight w:val="216"/>
        </w:trPr>
        <w:tc>
          <w:tcPr>
            <w:tcW w:w="58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(23,302,098)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(36,542,055)</w:t>
            </w: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shares outstanding subject to possible redemption, basic and</w:t>
            </w:r>
          </w:p>
        </w:tc>
        <w:tc>
          <w:tcPr>
            <w:tcW w:w="1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As Previously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Reported</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28,635,732</w:t>
            </w:r>
          </w:p>
        </w:tc>
      </w:tr>
      <w:tr>
        <w:trPr>
          <w:trHeight w:val="216"/>
        </w:trPr>
        <w:tc>
          <w:tcPr>
            <w:tcW w:w="588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26,284,377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26,325,998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(3,194,817)</w:t>
            </w:r>
          </w:p>
        </w:tc>
      </w:tr>
      <w:tr>
        <w:trPr>
          <w:trHeight w:val="216"/>
        </w:trPr>
        <w:tc>
          <w:tcPr>
            <w:tcW w:w="58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26,284,377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26,325,998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25,440,915</w:t>
            </w: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shd w:val="clear" w:color="auto" w:fill="CCEEFF"/>
          </w:tcPr>
          <w:p>
            <w:pPr>
              <w:spacing w:after="0"/>
              <w:rPr>
                <w:sz w:val="17"/>
                <w:szCs w:val="17"/>
                <w:color w:val="auto"/>
              </w:rPr>
            </w:pPr>
          </w:p>
        </w:tc>
        <w:tc>
          <w:tcPr>
            <w:tcW w:w="1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As Previously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shares subject to redemption</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Reported</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88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8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shd w:val="clear" w:color="auto" w:fill="CCEEFF"/>
          </w:tcPr>
          <w:p>
            <w:pPr>
              <w:spacing w:after="0"/>
              <w:rPr>
                <w:sz w:val="17"/>
                <w:szCs w:val="17"/>
                <w:color w:val="auto"/>
              </w:rPr>
            </w:pPr>
          </w:p>
        </w:tc>
        <w:tc>
          <w:tcPr>
            <w:tcW w:w="1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As Previously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ordinary shares outstanding, basic and diluted</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Reported</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8,675,841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8,724,681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8,387,147</w:t>
            </w:r>
          </w:p>
        </w:tc>
      </w:tr>
      <w:tr>
        <w:trPr>
          <w:trHeight w:val="216"/>
        </w:trPr>
        <w:tc>
          <w:tcPr>
            <w:tcW w:w="588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(73,403)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732,999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2,077,504</w:t>
            </w:r>
          </w:p>
        </w:tc>
      </w:tr>
      <w:tr>
        <w:trPr>
          <w:trHeight w:val="216"/>
        </w:trPr>
        <w:tc>
          <w:tcPr>
            <w:tcW w:w="58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8,602,438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9,457,680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10,464,651</w:t>
            </w:r>
          </w:p>
        </w:tc>
      </w:tr>
      <w:tr>
        <w:trPr>
          <w:trHeight w:val="216"/>
        </w:trPr>
        <w:tc>
          <w:tcPr>
            <w:tcW w:w="5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shd w:val="clear" w:color="auto" w:fill="CCEEFF"/>
          </w:tcPr>
          <w:p>
            <w:pPr>
              <w:spacing w:after="0"/>
              <w:rPr>
                <w:sz w:val="17"/>
                <w:szCs w:val="17"/>
                <w:color w:val="auto"/>
              </w:rPr>
            </w:pPr>
          </w:p>
        </w:tc>
        <w:tc>
          <w:tcPr>
            <w:tcW w:w="1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As Previously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shares</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r>
      <w:tr>
        <w:trPr>
          <w:trHeight w:val="216"/>
        </w:trPr>
        <w:tc>
          <w:tcPr>
            <w:tcW w:w="588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216"/>
        </w:trPr>
        <w:tc>
          <w:tcPr>
            <w:tcW w:w="58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Restated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655"/>
        </w:trPr>
        <w:tc>
          <w:tcPr>
            <w:tcW w:w="588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F-12</w:t>
            </w: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ind w:left="3120"/>
              <w:spacing w:after="0"/>
              <w:rPr>
                <w:sz w:val="20"/>
                <w:szCs w:val="20"/>
                <w:color w:val="auto"/>
              </w:rPr>
            </w:pPr>
            <w:r>
              <w:rPr>
                <w:rFonts w:ascii="Arial" w:cs="Arial" w:eastAsia="Arial" w:hAnsi="Arial"/>
                <w:sz w:val="18"/>
                <w:szCs w:val="18"/>
                <w:b w:val="1"/>
                <w:bCs w:val="1"/>
                <w:color w:val="auto"/>
              </w:rPr>
              <w:t>STATEMENTS OF OPERATIONS - THREE MONTHS ENDED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Three Months</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Ended</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678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188"/>
        </w:trPr>
        <w:tc>
          <w:tcPr>
            <w:tcW w:w="6780" w:type="dxa"/>
            <w:vAlign w:val="bottom"/>
            <w:shd w:val="clear" w:color="auto" w:fill="CCEEFF"/>
          </w:tcPr>
          <w:p>
            <w:pPr>
              <w:spacing w:after="0"/>
              <w:rPr>
                <w:sz w:val="16"/>
                <w:szCs w:val="16"/>
                <w:color w:val="auto"/>
              </w:rPr>
            </w:pPr>
          </w:p>
        </w:tc>
        <w:tc>
          <w:tcPr>
            <w:tcW w:w="174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As Previously</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the warrant liability</w:t>
            </w: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Reported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1,170,000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(22,020,000)</w:t>
            </w:r>
          </w:p>
        </w:tc>
      </w:tr>
      <w:tr>
        <w:trPr>
          <w:trHeight w:val="216"/>
        </w:trPr>
        <w:tc>
          <w:tcPr>
            <w:tcW w:w="6780" w:type="dxa"/>
            <w:vAlign w:val="bottom"/>
            <w:shd w:val="clear" w:color="auto" w:fill="CCEEFF"/>
          </w:tcPr>
          <w:p>
            <w:pPr>
              <w:spacing w:after="0"/>
              <w:rPr>
                <w:sz w:val="18"/>
                <w:szCs w:val="18"/>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Restated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(22,020,000)</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shd w:val="clear" w:color="auto" w:fill="CCEEFF"/>
          </w:tcPr>
          <w:p>
            <w:pPr>
              <w:spacing w:after="0"/>
              <w:rPr>
                <w:sz w:val="17"/>
                <w:szCs w:val="17"/>
                <w:color w:val="auto"/>
              </w:rPr>
            </w:pPr>
          </w:p>
        </w:tc>
        <w:tc>
          <w:tcPr>
            <w:tcW w:w="17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As Previously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allocated to derivative warrant liabilities</w:t>
            </w: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Reported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(877,647)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18"/>
                <w:szCs w:val="18"/>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Restated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(877,647)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shd w:val="clear" w:color="auto" w:fill="CCEEFF"/>
          </w:tcPr>
          <w:p>
            <w:pPr>
              <w:spacing w:after="0"/>
              <w:rPr>
                <w:sz w:val="17"/>
                <w:szCs w:val="17"/>
                <w:color w:val="auto"/>
              </w:rPr>
            </w:pPr>
          </w:p>
        </w:tc>
        <w:tc>
          <w:tcPr>
            <w:tcW w:w="17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As Previously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Reported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(285,630)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(1,229,822)</w:t>
            </w:r>
          </w:p>
        </w:tc>
      </w:tr>
      <w:tr>
        <w:trPr>
          <w:trHeight w:val="216"/>
        </w:trPr>
        <w:tc>
          <w:tcPr>
            <w:tcW w:w="678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292,353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(22,020,000)</w:t>
            </w:r>
          </w:p>
        </w:tc>
      </w:tr>
      <w:tr>
        <w:trPr>
          <w:trHeight w:val="216"/>
        </w:trPr>
        <w:tc>
          <w:tcPr>
            <w:tcW w:w="6780" w:type="dxa"/>
            <w:vAlign w:val="bottom"/>
            <w:shd w:val="clear" w:color="auto" w:fill="CCEEFF"/>
          </w:tcPr>
          <w:p>
            <w:pPr>
              <w:spacing w:after="0"/>
              <w:rPr>
                <w:sz w:val="18"/>
                <w:szCs w:val="18"/>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Restated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(23,249,822)</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shd w:val="clear" w:color="auto" w:fill="CCEEFF"/>
          </w:tcPr>
          <w:p>
            <w:pPr>
              <w:spacing w:after="0"/>
              <w:rPr>
                <w:sz w:val="17"/>
                <w:szCs w:val="17"/>
                <w:color w:val="auto"/>
              </w:rPr>
            </w:pPr>
          </w:p>
        </w:tc>
        <w:tc>
          <w:tcPr>
            <w:tcW w:w="17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As Previously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shares outstanding subject to possible redemption, basic and diluted</w:t>
            </w: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Reported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78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26,284,377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26,325,998</w:t>
            </w:r>
          </w:p>
        </w:tc>
      </w:tr>
      <w:tr>
        <w:trPr>
          <w:trHeight w:val="216"/>
        </w:trPr>
        <w:tc>
          <w:tcPr>
            <w:tcW w:w="6780" w:type="dxa"/>
            <w:vAlign w:val="bottom"/>
            <w:shd w:val="clear" w:color="auto" w:fill="CCEEFF"/>
          </w:tcPr>
          <w:p>
            <w:pPr>
              <w:spacing w:after="0"/>
              <w:rPr>
                <w:sz w:val="18"/>
                <w:szCs w:val="18"/>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Restated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26,284,377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26,325,998</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shd w:val="clear" w:color="auto" w:fill="CCEEFF"/>
          </w:tcPr>
          <w:p>
            <w:pPr>
              <w:spacing w:after="0"/>
              <w:rPr>
                <w:sz w:val="17"/>
                <w:szCs w:val="17"/>
                <w:color w:val="auto"/>
              </w:rPr>
            </w:pPr>
          </w:p>
        </w:tc>
        <w:tc>
          <w:tcPr>
            <w:tcW w:w="17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As Previously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 shares subject to redemption</w:t>
            </w: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Reported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78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Adjustments</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6780" w:type="dxa"/>
            <w:vAlign w:val="bottom"/>
            <w:shd w:val="clear" w:color="auto" w:fill="CCEEFF"/>
          </w:tcPr>
          <w:p>
            <w:pPr>
              <w:spacing w:after="0"/>
              <w:rPr>
                <w:sz w:val="18"/>
                <w:szCs w:val="18"/>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Restated</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shd w:val="clear" w:color="auto" w:fill="CCEEFF"/>
          </w:tcPr>
          <w:p>
            <w:pPr>
              <w:spacing w:after="0"/>
              <w:rPr>
                <w:sz w:val="17"/>
                <w:szCs w:val="17"/>
                <w:color w:val="auto"/>
              </w:rPr>
            </w:pPr>
          </w:p>
        </w:tc>
        <w:tc>
          <w:tcPr>
            <w:tcW w:w="17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As Previously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ordinary shares outstanding, basic and diluted</w:t>
            </w: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Reported</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8,726,681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8,821,301</w:t>
            </w:r>
          </w:p>
        </w:tc>
      </w:tr>
      <w:tr>
        <w:trPr>
          <w:trHeight w:val="216"/>
        </w:trPr>
        <w:tc>
          <w:tcPr>
            <w:tcW w:w="678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978,194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2,344,174</w:t>
            </w:r>
          </w:p>
        </w:tc>
      </w:tr>
      <w:tr>
        <w:trPr>
          <w:trHeight w:val="216"/>
        </w:trPr>
        <w:tc>
          <w:tcPr>
            <w:tcW w:w="6780" w:type="dxa"/>
            <w:vAlign w:val="bottom"/>
            <w:shd w:val="clear" w:color="auto" w:fill="CCEEFF"/>
          </w:tcPr>
          <w:p>
            <w:pPr>
              <w:spacing w:after="0"/>
              <w:rPr>
                <w:sz w:val="18"/>
                <w:szCs w:val="18"/>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Restated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9,704,875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11,165,475</w:t>
            </w:r>
          </w:p>
        </w:tc>
      </w:tr>
      <w:tr>
        <w:trPr>
          <w:trHeight w:val="216"/>
        </w:trPr>
        <w:tc>
          <w:tcPr>
            <w:tcW w:w="6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780" w:type="dxa"/>
            <w:vAlign w:val="bottom"/>
            <w:shd w:val="clear" w:color="auto" w:fill="CCEEFF"/>
          </w:tcPr>
          <w:p>
            <w:pPr>
              <w:spacing w:after="0"/>
              <w:rPr>
                <w:sz w:val="17"/>
                <w:szCs w:val="17"/>
                <w:color w:val="auto"/>
              </w:rPr>
            </w:pPr>
          </w:p>
        </w:tc>
        <w:tc>
          <w:tcPr>
            <w:tcW w:w="17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As Previously</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Non-redeemable shares</w:t>
            </w: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Reported</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r>
      <w:tr>
        <w:trPr>
          <w:trHeight w:val="216"/>
        </w:trPr>
        <w:tc>
          <w:tcPr>
            <w:tcW w:w="678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rPr>
              <w:t>Adjustments</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216"/>
        </w:trPr>
        <w:tc>
          <w:tcPr>
            <w:tcW w:w="6780" w:type="dxa"/>
            <w:vAlign w:val="bottom"/>
            <w:shd w:val="clear" w:color="auto" w:fill="CCEEFF"/>
          </w:tcPr>
          <w:p>
            <w:pPr>
              <w:spacing w:after="0"/>
              <w:rPr>
                <w:sz w:val="18"/>
                <w:szCs w:val="18"/>
                <w:color w:val="auto"/>
              </w:rPr>
            </w:pPr>
          </w:p>
        </w:tc>
        <w:tc>
          <w:tcPr>
            <w:tcW w:w="1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Restated</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655"/>
        </w:trPr>
        <w:tc>
          <w:tcPr>
            <w:tcW w:w="678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F-13</w:t>
            </w: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6180" w:type="dxa"/>
            <w:vAlign w:val="bottom"/>
            <w:gridSpan w:val="3"/>
          </w:tcPr>
          <w:p>
            <w:pPr>
              <w:ind w:left="600"/>
              <w:spacing w:after="0"/>
              <w:rPr>
                <w:sz w:val="20"/>
                <w:szCs w:val="20"/>
                <w:color w:val="auto"/>
              </w:rPr>
            </w:pPr>
            <w:r>
              <w:rPr>
                <w:rFonts w:ascii="Arial" w:cs="Arial" w:eastAsia="Arial" w:hAnsi="Arial"/>
                <w:sz w:val="18"/>
                <w:szCs w:val="18"/>
                <w:b w:val="1"/>
                <w:bCs w:val="1"/>
                <w:color w:val="auto"/>
              </w:rPr>
              <w:t>STATEMENTS OF CHANGES IN SHAREHOLDERS’ EQUITY</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520" w:type="dxa"/>
            <w:vAlign w:val="bottom"/>
            <w:tcBorders>
              <w:bottom w:val="single" w:sz="8" w:color="CCEEFF"/>
            </w:tcBorders>
          </w:tcPr>
          <w:p>
            <w:pPr>
              <w:spacing w:after="0"/>
              <w:rPr>
                <w:sz w:val="20"/>
                <w:szCs w:val="20"/>
                <w:color w:val="auto"/>
              </w:rPr>
            </w:pPr>
          </w:p>
        </w:tc>
        <w:tc>
          <w:tcPr>
            <w:tcW w:w="48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Previously Reported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4820" w:type="dxa"/>
            <w:vAlign w:val="bottom"/>
          </w:tcPr>
          <w:p>
            <w:pPr>
              <w:ind w:left="21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6"/>
        </w:trPr>
        <w:tc>
          <w:tcPr>
            <w:tcW w:w="2520" w:type="dxa"/>
            <w:vAlign w:val="bottom"/>
            <w:shd w:val="clear" w:color="auto" w:fill="CCEEFF"/>
          </w:tcPr>
          <w:p>
            <w:pPr>
              <w:spacing w:after="0"/>
              <w:rPr>
                <w:sz w:val="18"/>
                <w:szCs w:val="18"/>
                <w:color w:val="auto"/>
              </w:rPr>
            </w:pP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r>
      <w:tr>
        <w:trPr>
          <w:trHeight w:val="216"/>
        </w:trPr>
        <w:tc>
          <w:tcPr>
            <w:tcW w:w="25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Previously Reported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5,352,793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6,582,601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7,942,547</w:t>
            </w:r>
          </w:p>
        </w:tc>
      </w:tr>
      <w:tr>
        <w:trPr>
          <w:trHeight w:val="216"/>
        </w:trPr>
        <w:tc>
          <w:tcPr>
            <w:tcW w:w="2520" w:type="dxa"/>
            <w:vAlign w:val="bottom"/>
          </w:tcPr>
          <w:p>
            <w:pPr>
              <w:spacing w:after="0"/>
              <w:rPr>
                <w:sz w:val="18"/>
                <w:szCs w:val="18"/>
                <w:color w:val="auto"/>
              </w:rPr>
            </w:pPr>
          </w:p>
        </w:tc>
        <w:tc>
          <w:tcPr>
            <w:tcW w:w="4820" w:type="dxa"/>
            <w:vAlign w:val="bottom"/>
          </w:tcPr>
          <w:p>
            <w:pPr>
              <w:ind w:left="21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(292,579)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21,727,203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33,607,078</w:t>
            </w:r>
          </w:p>
        </w:tc>
      </w:tr>
      <w:tr>
        <w:trPr>
          <w:trHeight w:val="216"/>
        </w:trPr>
        <w:tc>
          <w:tcPr>
            <w:tcW w:w="2520" w:type="dxa"/>
            <w:vAlign w:val="bottom"/>
            <w:shd w:val="clear" w:color="auto" w:fill="CCEEFF"/>
          </w:tcPr>
          <w:p>
            <w:pPr>
              <w:spacing w:after="0"/>
              <w:rPr>
                <w:sz w:val="18"/>
                <w:szCs w:val="18"/>
                <w:color w:val="auto"/>
              </w:rPr>
            </w:pP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5,060,214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28,309,804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41,549,625</w:t>
            </w:r>
          </w:p>
        </w:tc>
      </w:tr>
      <w:tr>
        <w:trPr>
          <w:trHeight w:val="216"/>
        </w:trPr>
        <w:tc>
          <w:tcPr>
            <w:tcW w:w="25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Previously Reported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(353,668)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(1,583,490)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(2,943,447)</w:t>
            </w:r>
          </w:p>
        </w:tc>
      </w:tr>
      <w:tr>
        <w:trPr>
          <w:trHeight w:val="216"/>
        </w:trPr>
        <w:tc>
          <w:tcPr>
            <w:tcW w:w="2520" w:type="dxa"/>
            <w:vAlign w:val="bottom"/>
          </w:tcPr>
          <w:p>
            <w:pPr>
              <w:spacing w:after="0"/>
              <w:rPr>
                <w:sz w:val="18"/>
                <w:szCs w:val="18"/>
                <w:color w:val="auto"/>
              </w:rPr>
            </w:pPr>
          </w:p>
        </w:tc>
        <w:tc>
          <w:tcPr>
            <w:tcW w:w="4820" w:type="dxa"/>
            <w:vAlign w:val="bottom"/>
          </w:tcPr>
          <w:p>
            <w:pPr>
              <w:ind w:left="21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292,353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(21,727,647)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(33,607,647)</w:t>
            </w:r>
          </w:p>
        </w:tc>
      </w:tr>
      <w:tr>
        <w:trPr>
          <w:trHeight w:val="216"/>
        </w:trPr>
        <w:tc>
          <w:tcPr>
            <w:tcW w:w="2520" w:type="dxa"/>
            <w:vAlign w:val="bottom"/>
            <w:shd w:val="clear" w:color="auto" w:fill="CCEEFF"/>
          </w:tcPr>
          <w:p>
            <w:pPr>
              <w:spacing w:after="0"/>
              <w:rPr>
                <w:sz w:val="18"/>
                <w:szCs w:val="18"/>
                <w:color w:val="auto"/>
              </w:rPr>
            </w:pP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(61,315)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(23,311,137)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(36,551,094)</w:t>
            </w:r>
          </w:p>
        </w:tc>
      </w:tr>
      <w:tr>
        <w:trPr>
          <w:trHeight w:val="216"/>
        </w:trPr>
        <w:tc>
          <w:tcPr>
            <w:tcW w:w="25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Previously Reported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5,000,008</w:t>
            </w:r>
          </w:p>
        </w:tc>
      </w:tr>
      <w:tr>
        <w:trPr>
          <w:trHeight w:val="216"/>
        </w:trPr>
        <w:tc>
          <w:tcPr>
            <w:tcW w:w="2520" w:type="dxa"/>
            <w:vAlign w:val="bottom"/>
          </w:tcPr>
          <w:p>
            <w:pPr>
              <w:spacing w:after="0"/>
              <w:rPr>
                <w:sz w:val="18"/>
                <w:szCs w:val="18"/>
                <w:color w:val="auto"/>
              </w:rPr>
            </w:pPr>
          </w:p>
        </w:tc>
        <w:tc>
          <w:tcPr>
            <w:tcW w:w="4820" w:type="dxa"/>
            <w:vAlign w:val="bottom"/>
          </w:tcPr>
          <w:p>
            <w:pPr>
              <w:ind w:left="21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shd w:val="clear" w:color="auto" w:fill="CCEEFF"/>
          </w:tcPr>
          <w:p>
            <w:pPr>
              <w:spacing w:after="0"/>
              <w:rPr>
                <w:sz w:val="18"/>
                <w:szCs w:val="18"/>
                <w:color w:val="auto"/>
              </w:rPr>
            </w:pPr>
          </w:p>
        </w:tc>
        <w:tc>
          <w:tcPr>
            <w:tcW w:w="482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5,000,008</w:t>
            </w:r>
          </w:p>
        </w:tc>
      </w:tr>
      <w:tr>
        <w:trPr>
          <w:trHeight w:val="655"/>
        </w:trPr>
        <w:tc>
          <w:tcPr>
            <w:tcW w:w="2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F-14</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STATEMENTS OF CASH FLOWS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Nine Months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22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(344,629)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(2,934,408)</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292,353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(21,727,647)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(33,607,647)</w:t>
            </w:r>
          </w:p>
        </w:tc>
      </w:tr>
      <w:tr>
        <w:trPr>
          <w:trHeight w:val="216"/>
        </w:trPr>
        <w:tc>
          <w:tcPr>
            <w:tcW w:w="4220" w:type="dxa"/>
            <w:vAlign w:val="bottom"/>
            <w:shd w:val="clear" w:color="auto" w:fill="CCEEFF"/>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(52,276)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(23,302,098)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(36,542,055)</w:t>
            </w:r>
          </w:p>
        </w:tc>
      </w:tr>
      <w:tr>
        <w:trPr>
          <w:trHeight w:val="216"/>
        </w:trPr>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(1,170,000)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20,850,000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32,730,000</w:t>
            </w:r>
          </w:p>
        </w:tc>
      </w:tr>
      <w:tr>
        <w:trPr>
          <w:trHeight w:val="216"/>
        </w:trPr>
        <w:tc>
          <w:tcPr>
            <w:tcW w:w="4220" w:type="dxa"/>
            <w:vAlign w:val="bottom"/>
            <w:shd w:val="clear" w:color="auto" w:fill="CCEEFF"/>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32,730,000</w:t>
            </w:r>
          </w:p>
        </w:tc>
      </w:tr>
      <w:tr>
        <w:trPr>
          <w:trHeight w:val="216"/>
        </w:trPr>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Offering costs allocated to derivative warrant liabilities</w:t>
            </w: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877,647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877,647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877,647</w:t>
            </w:r>
          </w:p>
        </w:tc>
      </w:tr>
      <w:tr>
        <w:trPr>
          <w:trHeight w:val="216"/>
        </w:trPr>
        <w:tc>
          <w:tcPr>
            <w:tcW w:w="4220" w:type="dxa"/>
            <w:vAlign w:val="bottom"/>
            <w:shd w:val="clear" w:color="auto" w:fill="CCEEFF"/>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877,647</w:t>
            </w:r>
          </w:p>
        </w:tc>
      </w:tr>
      <w:tr>
        <w:trPr>
          <w:trHeight w:val="216"/>
        </w:trPr>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Initial value of Class A ordinary shares subject to possible</w:t>
            </w:r>
          </w:p>
        </w:tc>
        <w:tc>
          <w:tcPr>
            <w:tcW w:w="3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287,041,190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287,041,190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287,041,190</w:t>
            </w:r>
          </w:p>
        </w:tc>
      </w:tr>
      <w:tr>
        <w:trPr>
          <w:trHeight w:val="216"/>
        </w:trPr>
        <w:tc>
          <w:tcPr>
            <w:tcW w:w="42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(24,214,650)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(24,214,650)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(24,214,650)</w:t>
            </w:r>
          </w:p>
        </w:tc>
      </w:tr>
      <w:tr>
        <w:trPr>
          <w:trHeight w:val="216"/>
        </w:trPr>
        <w:tc>
          <w:tcPr>
            <w:tcW w:w="4220" w:type="dxa"/>
            <w:vAlign w:val="bottom"/>
            <w:shd w:val="clear" w:color="auto" w:fill="CCEEFF"/>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262,826,540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262,826,540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262,826,540</w:t>
            </w:r>
          </w:p>
        </w:tc>
      </w:tr>
      <w:tr>
        <w:trPr>
          <w:trHeight w:val="216"/>
        </w:trPr>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value of Class A ordinary shares subject to</w:t>
            </w:r>
          </w:p>
        </w:tc>
        <w:tc>
          <w:tcPr>
            <w:tcW w:w="3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Previously Reported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(254,200)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(1,229,820)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(2,843,980)</w:t>
            </w:r>
          </w:p>
        </w:tc>
      </w:tr>
      <w:tr>
        <w:trPr>
          <w:trHeight w:val="216"/>
        </w:trPr>
        <w:tc>
          <w:tcPr>
            <w:tcW w:w="4220" w:type="dxa"/>
            <w:vAlign w:val="bottom"/>
          </w:tcPr>
          <w:p>
            <w:pPr>
              <w:spacing w:after="0"/>
              <w:rPr>
                <w:sz w:val="18"/>
                <w:szCs w:val="18"/>
                <w:color w:val="auto"/>
              </w:rPr>
            </w:pPr>
          </w:p>
        </w:tc>
        <w:tc>
          <w:tcPr>
            <w:tcW w:w="312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1,184,650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(22,020,000)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(32,715,350)</w:t>
            </w:r>
          </w:p>
        </w:tc>
      </w:tr>
      <w:tr>
        <w:trPr>
          <w:trHeight w:val="216"/>
        </w:trPr>
        <w:tc>
          <w:tcPr>
            <w:tcW w:w="4220" w:type="dxa"/>
            <w:vAlign w:val="bottom"/>
            <w:shd w:val="clear" w:color="auto" w:fill="CCEEFF"/>
          </w:tcPr>
          <w:p>
            <w:pPr>
              <w:spacing w:after="0"/>
              <w:rPr>
                <w:sz w:val="18"/>
                <w:szCs w:val="18"/>
                <w:color w:val="auto"/>
              </w:rPr>
            </w:pPr>
          </w:p>
        </w:tc>
        <w:tc>
          <w:tcPr>
            <w:tcW w:w="3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Restated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930,450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(23,249,820)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(35,559,330)</w:t>
            </w:r>
          </w:p>
        </w:tc>
      </w:tr>
      <w:tr>
        <w:trPr>
          <w:trHeight w:val="655"/>
        </w:trPr>
        <w:tc>
          <w:tcPr>
            <w:tcW w:w="4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F-15</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 and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complies with the requirements of ASC 340-10-S99 and SEC Staff Accounting Bulletin (“SAB”) Topic 5A - “Expenses of Offering”. Offering costs consist of legal, accounting, underwriting fees and other costs that were directly related to the Initial Public Offering. Upon the completion of the Initial Public Offering on May 8, 2020, the offering costs were allocated to the separable financial instruments based on their relative fair value compared to the proceeds received, with $877,647 being expensed on fair value of warrant liabilities relative to Initial Public Offering proceeds.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issued 15,000,000 warrants as part of the units offered in its Initial Public Offering and, simultaneously with the closing of Initial Public Offering, the Company issued in a private placement an aggregate of 9,500,000 private placement warrants. The Company accounts for the Warrants in accordance with the guidance contained in ASC 815-40-15-7D and 7F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was initially measured using a Modified Black Scholes Option Pricing Model and has subsequently been estimated using the Public Warrants’ quoted market price. The Private Placement Warrants are valued using a Modified Black Scholes Option Pricing Model.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December 31, 2020, 22,726,721 Class A ordinary shares subject to possible redemption were presented at redemption value as temporary equity, outside of the shareholders’ equity section of the Company’s balance sheet.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the two-class method in calculating earnings per share. Net loss per share is computed by dividing net loss by the weighted-average number of ordinary shares outstanding during the periods. An aggregate of 22,726,721 and 0 Class A ordinary shares subject to possible redemption at December 31, 2020 and 2019, respectively has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per Ordinary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net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9"/>
              </w:rPr>
              <w:t>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21"/>
              <w:spacing w:after="0"/>
              <w:rPr>
                <w:sz w:val="20"/>
                <w:szCs w:val="20"/>
                <w:color w:val="auto"/>
              </w:rPr>
            </w:pPr>
            <w:r>
              <w:rPr>
                <w:rFonts w:ascii="Arial" w:cs="Arial" w:eastAsia="Arial" w:hAnsi="Arial"/>
                <w:sz w:val="18"/>
                <w:szCs w:val="18"/>
                <w:b w:val="1"/>
                <w:bCs w:val="1"/>
                <w:color w:val="auto"/>
                <w:w w:val="97"/>
              </w:rPr>
              <w:t>For the Year</w:t>
            </w: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Ended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i w:val="1"/>
                <w:iCs w:val="1"/>
                <w:color w:val="auto"/>
              </w:rPr>
              <w:t>Class A Ordinary Shares subject to possible redemption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 redemption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investments held in Trust Account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65,492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200"/>
              <w:spacing w:after="0"/>
              <w:rPr>
                <w:sz w:val="20"/>
                <w:szCs w:val="20"/>
                <w:color w:val="auto"/>
              </w:rPr>
            </w:pPr>
            <w:r>
              <w:rPr>
                <w:rFonts w:ascii="Arial" w:cs="Arial" w:eastAsia="Arial" w:hAnsi="Arial"/>
                <w:sz w:val="18"/>
                <w:szCs w:val="18"/>
                <w:color w:val="auto"/>
              </w:rPr>
              <w:t>Less: Company’s portion available to be withdrawn to pay taxes</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Net income attributable</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65,492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 Weighted average Class A ordinary shares subject to possible redemption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shares subject to redemption, basic and diluted</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25,440,915</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net income per share, shares subject to redemption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i w:val="1"/>
                <w:iCs w:val="1"/>
                <w:color w:val="auto"/>
              </w:rPr>
              <w:t>Non-Redeemable Ordinary Shares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Net Loss minus Net Earnings attributable to redeemable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(36,542,055)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attributable to Class A ordinary shares subject to possible redemption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65,492</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ind w:left="380"/>
              <w:spacing w:after="0"/>
              <w:rPr>
                <w:sz w:val="20"/>
                <w:szCs w:val="20"/>
                <w:color w:val="auto"/>
              </w:rPr>
            </w:pPr>
            <w:r>
              <w:rPr>
                <w:rFonts w:ascii="Arial" w:cs="Arial" w:eastAsia="Arial" w:hAnsi="Arial"/>
                <w:sz w:val="18"/>
                <w:szCs w:val="18"/>
                <w:color w:val="auto"/>
              </w:rPr>
              <w:t>Non-redeemable net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(36,607,546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weighted average Non-redeemable ordinary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20"/>
              <w:spacing w:after="0"/>
              <w:rPr>
                <w:sz w:val="20"/>
                <w:szCs w:val="20"/>
                <w:color w:val="auto"/>
              </w:rPr>
            </w:pPr>
            <w:r>
              <w:rPr>
                <w:rFonts w:ascii="Arial" w:cs="Arial" w:eastAsia="Arial" w:hAnsi="Arial"/>
                <w:sz w:val="18"/>
                <w:szCs w:val="18"/>
                <w:color w:val="auto"/>
              </w:rPr>
              <w:t>Weighted average ordinary shares outstanding, basic and diluted</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10,464,651</w:t>
            </w:r>
          </w:p>
        </w:tc>
        <w:tc>
          <w:tcPr>
            <w:tcW w:w="18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 net loss per share, Non-redeemable shares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and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December 31,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9.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December 31, 2020, the Company had no borrowings under the Working Capital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$80,000 and $0 in expenses in connection with such services and recorded in general and administrative expenses in the statements of operations for year ended December 31, 2020 and for the period December 18, 2019 (inception) to December 31,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receiving consulting services in connection with identification of potential targets for a Business Combination and due diligence on such targets. As compensation for such services, the Company paid a nonrefundable fixed fee of $350,000 and agreed to pay the consulting firm $2,650,000 solely in the event that the Company completes a Business Combination. The consulting agreement may be terminated early by either party to the agreement provided that the Company pays a termination fee to the consulting firm determined based on a monthly increasing amount through November 2021. As of December 31, 2020, the termination fee is $1,115,800, which has been accrued and recognized in general and administrative expenses within the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640" w:firstLine="583"/>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and 2019, the carrying values of cash, prepaid expenses, and accounts payable approximate their fair values due to the short-term nature of the instruments. As of December 31, 2020, the Company’s portfolio of investments held in Trust Account is comprised entirely of investments in money market funds that invest in U.S. government securities.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are accounted for as liabilities pursuant to ASC 815-40 and are measured at fair value as of each reporting period. Changes in the fair value of the Warrants are recorded in the statement of operations each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fair value hierarchy for liabilities measured at fair value on a recurring basis for each reporting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 (As Restated)</w:t>
            </w: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
        </w:trPr>
        <w:tc>
          <w:tcPr>
            <w:tcW w:w="25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Warrant liabilities:</w:t>
            </w:r>
          </w:p>
        </w:tc>
        <w:tc>
          <w:tcPr>
            <w:tcW w:w="344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3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33,750,000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33,750,000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Private Placement Warrants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23,180,000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23,180,000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warrant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33,750,000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23,180,000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56,930,000</w:t>
            </w:r>
          </w:p>
        </w:tc>
        <w:tc>
          <w:tcPr>
            <w:tcW w:w="0" w:type="dxa"/>
            <w:vAlign w:val="bottom"/>
          </w:tcPr>
          <w:p>
            <w:pPr>
              <w:spacing w:after="0"/>
              <w:rPr>
                <w:sz w:val="1"/>
                <w:szCs w:val="1"/>
                <w:color w:val="auto"/>
              </w:rPr>
            </w:pPr>
          </w:p>
        </w:tc>
      </w:tr>
      <w:tr>
        <w:trPr>
          <w:trHeight w:val="21"/>
        </w:trPr>
        <w:tc>
          <w:tcPr>
            <w:tcW w:w="25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September 30, 2020 (As Restated)</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Warrants(1)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27,000,000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Private Placement Warrants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18,050,000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18,050,000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warrant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18,050,000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45,050,000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June 30, 2020 (As Restated)</w:t>
            </w:r>
          </w:p>
        </w:tc>
        <w:tc>
          <w:tcPr>
            <w:tcW w:w="3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14,100,000</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Private Placement Warrants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8,930,000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8,930,000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warrant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23,030,000</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May 8, 2020 (As Restated)</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Warrant liabilities:</w:t>
            </w:r>
          </w:p>
        </w:tc>
        <w:tc>
          <w:tcPr>
            <w:tcW w:w="39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3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14,700,000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14,700,000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Private Placement Warrants</w:t>
            </w:r>
          </w:p>
        </w:tc>
        <w:tc>
          <w:tcPr>
            <w:tcW w:w="18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9,500,000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9,500,000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warrant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24,200,000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24,200,000</w:t>
            </w:r>
          </w:p>
        </w:tc>
        <w:tc>
          <w:tcPr>
            <w:tcW w:w="0" w:type="dxa"/>
            <w:vAlign w:val="bottom"/>
          </w:tcPr>
          <w:p>
            <w:pPr>
              <w:spacing w:after="0"/>
              <w:rPr>
                <w:sz w:val="1"/>
                <w:szCs w:val="1"/>
                <w:color w:val="auto"/>
              </w:rPr>
            </w:pPr>
          </w:p>
        </w:tc>
      </w:tr>
      <w:tr>
        <w:trPr>
          <w:trHeight w:val="21"/>
        </w:trPr>
        <w:tc>
          <w:tcPr>
            <w:tcW w:w="20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Due to the use of quoted prices in an active market (Level 1) to measure the fair value of the Public Warrants, subsequent to initial measurement, the Company had transfers out of Level 3 totaling $14,700,000 during the period May 8, 2020 through December 31,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spacing w:after="0" w:line="301" w:lineRule="auto"/>
        <w:rPr>
          <w:sz w:val="20"/>
          <w:szCs w:val="20"/>
          <w:color w:val="auto"/>
        </w:rPr>
      </w:pPr>
      <w:r>
        <w:rPr>
          <w:rFonts w:ascii="Arial" w:cs="Arial" w:eastAsia="Arial" w:hAnsi="Arial"/>
          <w:sz w:val="16"/>
          <w:szCs w:val="16"/>
          <w:color w:val="auto"/>
        </w:rPr>
        <w:t>The Private Placement Warrants were valued using a modified Black Scholes Model including inputs from a Monte Carlo simulation, which is considered to be a Level 3 fair value measurement. The Monte Carlo simulation’s primary unobservable input utilized in determining the fair value of the Warrants is the probability of consummation of the Business Combination. The probability assigned to the consummation of the Business Combination was 88% which was estimated based on the observed success rates of business combinations for special purpose acquisition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As of</w:t>
            </w:r>
          </w:p>
        </w:tc>
        <w:tc>
          <w:tcPr>
            <w:tcW w:w="16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200" w:type="dxa"/>
            <w:vAlign w:val="bottom"/>
          </w:tcPr>
          <w:p>
            <w:pPr>
              <w:spacing w:after="0"/>
              <w:rPr>
                <w:sz w:val="18"/>
                <w:szCs w:val="18"/>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May 8,</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(As Restated)</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(As Restated)</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(As Restated)</w:t>
            </w: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(As Restated)</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IPO price</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7"/>
              </w:rPr>
              <w:t>Implied stock price range (or underlying asset price at December 31, 2020)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17.45%</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26.95%</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Private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Warrant</w:t>
            </w:r>
          </w:p>
        </w:tc>
      </w:tr>
      <w:tr>
        <w:trPr>
          <w:trHeight w:val="241"/>
        </w:trPr>
        <w:tc>
          <w:tcPr>
            <w:tcW w:w="4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Placement</w:t>
            </w:r>
          </w:p>
        </w:tc>
        <w:tc>
          <w:tcPr>
            <w:tcW w:w="2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r>
      <w:tr>
        <w:trPr>
          <w:trHeight w:val="21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measurement on May 8, 2020 (As Restated)</w:t>
            </w:r>
          </w:p>
        </w:tc>
        <w:tc>
          <w:tcPr>
            <w:tcW w:w="2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(570,000)</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(1,170,000)</w:t>
            </w:r>
          </w:p>
        </w:tc>
      </w:tr>
      <w:tr>
        <w:trPr>
          <w:trHeight w:val="236"/>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June 30, 2020 (As Restated)</w:t>
            </w:r>
          </w:p>
        </w:tc>
        <w:tc>
          <w:tcPr>
            <w:tcW w:w="27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14,100,000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5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Change in fair value of warrant liability</w:t>
            </w:r>
          </w:p>
        </w:tc>
        <w:tc>
          <w:tcPr>
            <w:tcW w:w="2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9,120,000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12,900,000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22,020,000</w:t>
            </w:r>
          </w:p>
        </w:tc>
        <w:tc>
          <w:tcPr>
            <w:tcW w:w="100" w:type="dxa"/>
            <w:vAlign w:val="bottom"/>
            <w:tcBorders>
              <w:bottom w:val="single" w:sz="8" w:color="CCEEFF"/>
            </w:tcBorders>
          </w:tcPr>
          <w:p>
            <w:pPr>
              <w:spacing w:after="0"/>
              <w:rPr>
                <w:sz w:val="18"/>
                <w:szCs w:val="18"/>
                <w:color w:val="auto"/>
              </w:rPr>
            </w:pPr>
          </w:p>
        </w:tc>
      </w:tr>
      <w:tr>
        <w:trPr>
          <w:trHeight w:val="236"/>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September 30, 2020 (As Restated)</w:t>
            </w:r>
          </w:p>
        </w:tc>
        <w:tc>
          <w:tcPr>
            <w:tcW w:w="2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18,050,000</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27,000,000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45,050,000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45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Change in fair value of warrant liability</w:t>
            </w:r>
          </w:p>
        </w:tc>
        <w:tc>
          <w:tcPr>
            <w:tcW w:w="2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5,130,000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6,750,000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11,880,000</w:t>
            </w:r>
          </w:p>
        </w:tc>
        <w:tc>
          <w:tcPr>
            <w:tcW w:w="100" w:type="dxa"/>
            <w:vAlign w:val="bottom"/>
            <w:tcBorders>
              <w:bottom w:val="single" w:sz="8" w:color="CCEEFF"/>
            </w:tcBorders>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Fair value, December 31, 2020 (As Restated)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23,180,000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33,750,000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56,930,000</w:t>
            </w:r>
          </w:p>
        </w:tc>
      </w:tr>
      <w:tr>
        <w:trPr>
          <w:trHeight w:val="21"/>
        </w:trPr>
        <w:tc>
          <w:tcPr>
            <w:tcW w:w="45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71"/>
        </w:trPr>
        <w:tc>
          <w:tcPr>
            <w:tcW w:w="45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570"/>
              <w:spacing w:after="0"/>
              <w:rPr>
                <w:sz w:val="20"/>
                <w:szCs w:val="20"/>
                <w:color w:val="auto"/>
              </w:rPr>
            </w:pPr>
            <w:r>
              <w:rPr>
                <w:rFonts w:ascii="Arial" w:cs="Arial" w:eastAsia="Arial" w:hAnsi="Arial"/>
                <w:sz w:val="18"/>
                <w:szCs w:val="18"/>
                <w:color w:val="auto"/>
              </w:rPr>
              <w:t>F-23</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8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1,000,000 preference shares with such designations, voting and other rights and preferences as may be determined from time to time by the Company’s board of directors. As of December 31, 2020 and December 31, 2019, there were no preference shares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300,000,000 Class A ordinary shares with a par value of $0.0001 per share.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and December 31, 2019, there were 30,000,000 and no Class A ordinary shares outstanding, including 28,419,721 and no Class A ordinary shares subject to possible redemption classified as temporary equity in the accompanying balance sheets, respectively.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 a par value of $0.0001 per share.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B ordinary shares are entitled to one vote for each share. As of December 31, 2019, there were 8,625,000 Class B ordinary shares outstanding. Of these, an aggregate of up to 1,125,000 shares were subject to forfeiture to the Company by the Sponsor for no consideration to the extent that the underwriter’s over-allotment option was not exercised in full or in part, so that the Initial Shareholders will collectively own 20% of the Company’s issued and outstanding ordinary shares after the Initial Public Offering. The over-allotment option expired in June 2020; thus, an aggregate of 1,125,000 Class B ordinary shares was forfeited accordingly. As of December 31, 2020, there were 7,500,000 Class B ordinary shares outstanding.</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the Company’s shareholders except as required by law.</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w:t>
      </w:r>
    </w:p>
    <w:p>
      <w:pPr>
        <w:jc w:val="both"/>
        <w:ind w:firstLine="8"/>
        <w:spacing w:after="0" w:line="269" w:lineRule="auto"/>
        <w:tabs>
          <w:tab w:leader="none" w:pos="21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w:t>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shares 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spacing w:after="0" w:line="268"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 and Related Transactions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4, 2021, the Company entered into a Business Combination Agreement (the “</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by and among the Company, 1291924 B.C. Unlimited Liability Company, an unlimited liability company existing under the laws of British Columbia, Canada (“</w:t>
      </w:r>
      <w:r>
        <w:rPr>
          <w:rFonts w:ascii="Arial" w:cs="Arial" w:eastAsia="Arial" w:hAnsi="Arial"/>
          <w:sz w:val="17"/>
          <w:szCs w:val="17"/>
          <w:i w:val="1"/>
          <w:iCs w:val="1"/>
          <w:color w:val="auto"/>
        </w:rPr>
        <w:t>NewCo Sub</w:t>
      </w:r>
      <w:r>
        <w:rPr>
          <w:rFonts w:ascii="Arial" w:cs="Arial" w:eastAsia="Arial" w:hAnsi="Arial"/>
          <w:sz w:val="17"/>
          <w:szCs w:val="17"/>
          <w:color w:val="auto"/>
        </w:rPr>
        <w:t>”), and DeepGreen Metals Inc., a company 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Business Combination Agreement, the Company will migrate to and be continued as a company in British Columbia, Canada (the “</w:t>
      </w:r>
      <w:r>
        <w:rPr>
          <w:rFonts w:ascii="Arial" w:cs="Arial" w:eastAsia="Arial" w:hAnsi="Arial"/>
          <w:sz w:val="17"/>
          <w:szCs w:val="17"/>
          <w:i w:val="1"/>
          <w:iCs w:val="1"/>
          <w:color w:val="auto"/>
        </w:rPr>
        <w:t>SOAC</w:t>
      </w:r>
      <w:r>
        <w:rPr>
          <w:rFonts w:ascii="Arial" w:cs="Arial" w:eastAsia="Arial" w:hAnsi="Arial"/>
          <w:sz w:val="17"/>
          <w:szCs w:val="17"/>
          <w:color w:val="auto"/>
        </w:rPr>
        <w:t xml:space="preserve"> </w:t>
      </w:r>
      <w:r>
        <w:rPr>
          <w:rFonts w:ascii="Arial" w:cs="Arial" w:eastAsia="Arial" w:hAnsi="Arial"/>
          <w:sz w:val="17"/>
          <w:szCs w:val="17"/>
          <w:i w:val="1"/>
          <w:iCs w:val="1"/>
          <w:color w:val="auto"/>
        </w:rPr>
        <w:t>Continuance</w:t>
      </w:r>
      <w:r>
        <w:rPr>
          <w:rFonts w:ascii="Arial" w:cs="Arial" w:eastAsia="Arial" w:hAnsi="Arial"/>
          <w:sz w:val="17"/>
          <w:szCs w:val="17"/>
          <w:color w:val="auto"/>
        </w:rPr>
        <w:t>”). Following the SOAC Continuance, pursuant to a plan of arrangement (the “</w:t>
      </w:r>
      <w:r>
        <w:rPr>
          <w:rFonts w:ascii="Arial" w:cs="Arial" w:eastAsia="Arial" w:hAnsi="Arial"/>
          <w:sz w:val="17"/>
          <w:szCs w:val="17"/>
          <w:i w:val="1"/>
          <w:iCs w:val="1"/>
          <w:color w:val="auto"/>
        </w:rPr>
        <w:t>Plan of Arrangement</w:t>
      </w:r>
      <w:r>
        <w:rPr>
          <w:rFonts w:ascii="Arial" w:cs="Arial" w:eastAsia="Arial" w:hAnsi="Arial"/>
          <w:sz w:val="17"/>
          <w:szCs w:val="17"/>
          <w:color w:val="auto"/>
        </w:rPr>
        <w:t>”) under the</w:t>
      </w:r>
      <w:r>
        <w:rPr>
          <w:rFonts w:ascii="Arial" w:cs="Arial" w:eastAsia="Arial" w:hAnsi="Arial"/>
          <w:sz w:val="17"/>
          <w:szCs w:val="17"/>
          <w:i w:val="1"/>
          <w:iCs w:val="1"/>
          <w:color w:val="auto"/>
        </w:rPr>
        <w:t xml:space="preserve"> Business Corporations Act </w:t>
      </w:r>
      <w:r>
        <w:rPr>
          <w:rFonts w:ascii="Arial" w:cs="Arial" w:eastAsia="Arial" w:hAnsi="Arial"/>
          <w:sz w:val="17"/>
          <w:szCs w:val="17"/>
          <w:color w:val="auto"/>
        </w:rPr>
        <w:t>(British Columbia), (i) the Company will acquire all of the issued and outstanding shares in the capital of DeepGreen (the “</w:t>
      </w:r>
      <w:r>
        <w:rPr>
          <w:rFonts w:ascii="Arial" w:cs="Arial" w:eastAsia="Arial" w:hAnsi="Arial"/>
          <w:sz w:val="17"/>
          <w:szCs w:val="17"/>
          <w:i w:val="1"/>
          <w:iCs w:val="1"/>
          <w:color w:val="auto"/>
        </w:rPr>
        <w:t>DeepGreen Shares</w:t>
      </w:r>
      <w:r>
        <w:rPr>
          <w:rFonts w:ascii="Arial" w:cs="Arial" w:eastAsia="Arial" w:hAnsi="Arial"/>
          <w:sz w:val="17"/>
          <w:szCs w:val="17"/>
          <w:color w:val="auto"/>
        </w:rPr>
        <w:t>”) from DeepGreen shareholders in exchange for the Company’s common shares (as defined below) and Company Earnout Shares (as defined below) (the “</w:t>
      </w:r>
      <w:r>
        <w:rPr>
          <w:rFonts w:ascii="Arial" w:cs="Arial" w:eastAsia="Arial" w:hAnsi="Arial"/>
          <w:sz w:val="17"/>
          <w:szCs w:val="17"/>
          <w:i w:val="1"/>
          <w:iCs w:val="1"/>
          <w:color w:val="auto"/>
        </w:rPr>
        <w:t>Share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w:t>
      </w:r>
      <w:r>
        <w:rPr>
          <w:rFonts w:ascii="Arial" w:cs="Arial" w:eastAsia="Arial" w:hAnsi="Arial"/>
          <w:sz w:val="17"/>
          <w:szCs w:val="17"/>
          <w:color w:val="auto"/>
        </w:rPr>
        <w:t>”), (ii) DeepGreen will become a wholly-owned subsidiary of the Company, and (iii) DeepGreen and NewCo Sub will amalgamate to continue as</w:t>
      </w:r>
      <w:r>
        <w:rPr>
          <w:rFonts w:ascii="Arial" w:cs="Arial" w:eastAsia="Arial" w:hAnsi="Arial"/>
          <w:sz w:val="17"/>
          <w:szCs w:val="17"/>
          <w:i w:val="1"/>
          <w:iCs w:val="1"/>
          <w:color w:val="auto"/>
        </w:rPr>
        <w:t xml:space="preserve"> </w:t>
      </w:r>
      <w:r>
        <w:rPr>
          <w:rFonts w:ascii="Arial" w:cs="Arial" w:eastAsia="Arial" w:hAnsi="Arial"/>
          <w:sz w:val="17"/>
          <w:szCs w:val="17"/>
          <w:color w:val="auto"/>
        </w:rPr>
        <w:t>one unlimited liability company, in each case, on the terms and subject to the conditions set forth in the Business Combination Agreement and the Plan of Arrangement and in accordance with the provisions of applicable law.</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option to purchase common shares in the capital of the Company (the “</w:t>
      </w:r>
      <w:r>
        <w:rPr>
          <w:rFonts w:ascii="Arial" w:cs="Arial" w:eastAsia="Arial" w:hAnsi="Arial"/>
          <w:sz w:val="18"/>
          <w:szCs w:val="18"/>
          <w:i w:val="1"/>
          <w:iCs w:val="1"/>
          <w:color w:val="auto"/>
        </w:rPr>
        <w:t>DeepGreen Options</w:t>
      </w:r>
      <w:r>
        <w:rPr>
          <w:rFonts w:ascii="Arial" w:cs="Arial" w:eastAsia="Arial" w:hAnsi="Arial"/>
          <w:sz w:val="18"/>
          <w:szCs w:val="18"/>
          <w:color w:val="auto"/>
        </w:rPr>
        <w:t>”) will become an option to purchase SOAC Common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Proposed Business Combination is expected to close in the second quarter of 2021, following the receipt of the required approval by the Company’s shareholders and the fulfillment of other conditions.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shareholders and the optionholders of DeepGreen will be entitled to receive, in exchange for their DeepGreen Shares or DeepGreen Options, as applicable, an aggregate of (i) will receive shares in the capital of the Company or comparable equity awards that are settled or are exercisable for shares in the capital of the Company, as applicable, based on an implied DeepGreen equity value of $2.25 billion after giving effect to the SOAC Continuance (the “</w:t>
      </w:r>
      <w:r>
        <w:rPr>
          <w:rFonts w:ascii="Arial" w:cs="Arial" w:eastAsia="Arial" w:hAnsi="Arial"/>
          <w:sz w:val="17"/>
          <w:szCs w:val="17"/>
          <w:i w:val="1"/>
          <w:iCs w:val="1"/>
          <w:color w:val="auto"/>
        </w:rPr>
        <w:t>SOAC Common Shares</w:t>
      </w:r>
      <w:r>
        <w:rPr>
          <w:rFonts w:ascii="Arial" w:cs="Arial" w:eastAsia="Arial" w:hAnsi="Arial"/>
          <w:sz w:val="17"/>
          <w:szCs w:val="17"/>
          <w:color w:val="auto"/>
        </w:rPr>
        <w:t>”), (ii) 5,000,000 Class A Special Shares, (iii) 10,000,000 Class B Special Shares, (iv) 10,000,000 Class C Special Shares, (v) 20,000,000 Class D Special Shares, (vi) 20,000,000 Class E Special Shares, (vii) 20,000,000 Class F Special Shares, (viii) 25,000,000 Class G Special Shares and (ix) 25,000,000 Class H Special Shares, in each case, in the capital of SOAC (collectively, the “</w:t>
      </w:r>
      <w:r>
        <w:rPr>
          <w:rFonts w:ascii="Arial" w:cs="Arial" w:eastAsia="Arial" w:hAnsi="Arial"/>
          <w:sz w:val="17"/>
          <w:szCs w:val="17"/>
          <w:i w:val="1"/>
          <w:iCs w:val="1"/>
          <w:color w:val="auto"/>
        </w:rPr>
        <w:t>Company Earnout Shares</w:t>
      </w:r>
      <w:r>
        <w:rPr>
          <w:rFonts w:ascii="Arial" w:cs="Arial" w:eastAsia="Arial" w:hAnsi="Arial"/>
          <w:sz w:val="17"/>
          <w:szCs w:val="17"/>
          <w:color w:val="auto"/>
        </w:rPr>
        <w:t>”), or, as applicable, options to purchase such SOAC Common Shares and Company Earnout Shares.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Concurrently with the execution of the Business Combination Agreement, the Company entered into subscription agreements (the “</w:t>
      </w:r>
      <w:r>
        <w:rPr>
          <w:rFonts w:ascii="Arial" w:cs="Arial" w:eastAsia="Arial" w:hAnsi="Arial"/>
          <w:sz w:val="17"/>
          <w:szCs w:val="17"/>
          <w:i w:val="1"/>
          <w:iCs w:val="1"/>
          <w:color w:val="auto"/>
        </w:rPr>
        <w:t>Subscription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with certain institutional and accredited investors, pursuant to which such investors agreed to subscribe for and purchase, and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agreed to issue and sell to such investors, substantially concurrently with the Closing (as defined in the Business Combination Agreement), an aggregate of 33,030,000 shares of SOAC Common Shares for $10.00 per share, for aggregate gross proceeds of $330,300,000 (the “</w:t>
      </w:r>
      <w:r>
        <w:rPr>
          <w:rFonts w:ascii="Arial" w:cs="Arial" w:eastAsia="Arial" w:hAnsi="Arial"/>
          <w:sz w:val="17"/>
          <w:szCs w:val="17"/>
          <w:i w:val="1"/>
          <w:iCs w:val="1"/>
          <w:color w:val="auto"/>
        </w:rPr>
        <w:t>PIPE Financing</w:t>
      </w:r>
      <w:r>
        <w:rPr>
          <w:rFonts w:ascii="Arial" w:cs="Arial" w:eastAsia="Arial" w:hAnsi="Arial"/>
          <w:sz w:val="17"/>
          <w:szCs w:val="17"/>
          <w:color w:val="auto"/>
        </w:rPr>
        <w:t>”).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1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Scott Leonard, certify that:</w:t>
      </w:r>
    </w:p>
    <w:p>
      <w:pPr>
        <w:spacing w:after="0" w:line="225" w:lineRule="exact"/>
        <w:rPr>
          <w:sz w:val="20"/>
          <w:szCs w:val="20"/>
          <w:color w:val="auto"/>
        </w:rPr>
      </w:pPr>
    </w:p>
    <w:p>
      <w:pPr>
        <w:ind w:left="660" w:right="20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December 31, 2020 of Sustainable Opportunities Acquisition Corp.;</w:t>
      </w:r>
    </w:p>
    <w:p>
      <w:pPr>
        <w:spacing w:after="0" w:line="17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Leonard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1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Quiram, certify that:</w:t>
      </w:r>
    </w:p>
    <w:p>
      <w:pPr>
        <w:spacing w:after="0" w:line="225" w:lineRule="exact"/>
        <w:rPr>
          <w:sz w:val="20"/>
          <w:szCs w:val="20"/>
          <w:color w:val="auto"/>
        </w:rPr>
      </w:pPr>
    </w:p>
    <w:p>
      <w:pPr>
        <w:ind w:left="660" w:right="20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for the year ended December 31, 2020 of Sustainable Opportunities Acquisition Corp.;</w:t>
      </w:r>
    </w:p>
    <w:p>
      <w:pPr>
        <w:spacing w:after="0" w:line="17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Quiram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Amendment No. 1 to the Annual Report of Sustainable Opportunities Acquisition Corp.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10-K for the year ended December 31, 2020,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Scott Leonard, Chief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8"/>
        <w:spacing w:after="0" w:line="500"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24,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jc w:val="center"/>
        <w:ind w:left="54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Amendment No. 1 to the Annual Report of Sustainable Opportunities Acquisition Corp.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10-K for the year ended December 31, 2020,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David Quiram, Chief Financial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8"/>
        <w:spacing w:after="0" w:line="500"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24,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David Quiram</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lvl w:ilvl="1">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1)"/>
      <w:numFmt w:val="lowerRoman"/>
      <w:start w:val="5"/>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lowerRoman"/>
      <w:start w:val="2"/>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Letter"/>
      <w:start w:val="2"/>
    </w:lvl>
  </w:abstractNum>
  <w:abstractNum w:abstractNumId="28">
    <w:nsid w:val="70A64E2A"/>
    <w:multiLevelType w:val="hybridMultilevel"/>
    <w:lvl w:ilvl="0">
      <w:lvlJc w:val="left"/>
      <w:lvlText w:val="(%1)"/>
      <w:numFmt w:val="lowerLetter"/>
      <w:start w:val="3"/>
    </w:lvl>
  </w:abstractNum>
  <w:abstractNum w:abstractNumId="29">
    <w:nsid w:val="6A2342EC"/>
    <w:multiLevelType w:val="hybridMultilevel"/>
    <w:lvl w:ilvl="0">
      <w:lvlJc w:val="left"/>
      <w:lvlText w:val="(%1)"/>
      <w:numFmt w:val="lowerLetter"/>
      <w:start w:val="4"/>
    </w:lvl>
  </w:abstractNum>
  <w:abstractNum w:abstractNumId="30">
    <w:nsid w:val="2A487CB0"/>
    <w:multiLevelType w:val="hybridMultilevel"/>
    <w:lvl w:ilvl="0">
      <w:lvlJc w:val="left"/>
      <w:lvlText w:val="(%1)"/>
      <w:numFmt w:val="lowerLetter"/>
      <w:start w:val="7"/>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lowerLetter"/>
      <w:start w:val="1"/>
    </w:lvl>
    <w:lvl w:ilvl="1">
      <w:lvlJc w:val="left"/>
      <w:lvlText w:val="(%2)"/>
      <w:numFmt w:val="decimal"/>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Roman"/>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lowerRoman"/>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5" Type="http://schemas.openxmlformats.org/officeDocument/2006/relationships/image" Target="media/image85.png"/><Relationship Id="rId97" Type="http://schemas.openxmlformats.org/officeDocument/2006/relationships/image" Target="media/image86.png"/><Relationship Id="rId99" Type="http://schemas.openxmlformats.org/officeDocument/2006/relationships/image" Target="media/image87.png"/><Relationship Id="rId101" Type="http://schemas.openxmlformats.org/officeDocument/2006/relationships/image" Target="media/image88.png"/><Relationship Id="rId103" Type="http://schemas.openxmlformats.org/officeDocument/2006/relationships/image" Target="media/image89.png"/><Relationship Id="rId105" Type="http://schemas.openxmlformats.org/officeDocument/2006/relationships/image" Target="media/image90.png"/><Relationship Id="rId107"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3" Type="http://schemas.openxmlformats.org/officeDocument/2006/relationships/image" Target="media/image95.png"/><Relationship Id="rId115" Type="http://schemas.openxmlformats.org/officeDocument/2006/relationships/image" Target="media/image96.png"/><Relationship Id="rId117" Type="http://schemas.openxmlformats.org/officeDocument/2006/relationships/image" Target="media/image97.png"/><Relationship Id="rId119"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91" Type="http://schemas.openxmlformats.org/officeDocument/2006/relationships/hyperlink" Target="https://www.sec.gov/Archives/edgar/data/1798562/000121390021013347/ea137001ex2-1_sustainable.htm" TargetMode="External"/><Relationship Id="rId92" Type="http://schemas.openxmlformats.org/officeDocument/2006/relationships/hyperlink" Target="https://www.sec.gov/Archives/edgar/data/1798562/000121390020011491/ea121545ex3-1_sustainable.htm" TargetMode="External"/><Relationship Id="rId94" Type="http://schemas.openxmlformats.org/officeDocument/2006/relationships/hyperlink" Target="https://www.sec.gov/Archives/edgar/data/1798562/000121390020011491/ea121545ex4-1_sustainable.htm" TargetMode="External"/><Relationship Id="rId96" Type="http://schemas.openxmlformats.org/officeDocument/2006/relationships/hyperlink" Target="https://www.sec.gov/Archives/edgar/data/1798562/000121390020010708/ea121276ex4-1_sustainable.htm" TargetMode="External"/><Relationship Id="rId98" Type="http://schemas.openxmlformats.org/officeDocument/2006/relationships/hyperlink" Target="https://www.sec.gov/Archives/edgar/data/1798562/000121390020010708/ea121276ex4-2_sustainable.htm" TargetMode="External"/><Relationship Id="rId100" Type="http://schemas.openxmlformats.org/officeDocument/2006/relationships/hyperlink" Target="https://www.sec.gov/Archives/edgar/data/1798562/000121390021018753/f10k2020ex4-4_sustainable.htm" TargetMode="External"/><Relationship Id="rId102" Type="http://schemas.openxmlformats.org/officeDocument/2006/relationships/hyperlink" Target="https://www.sec.gov/Archives/edgar/data/1798562/000121390020011491/ea121545ex10-2_sustainable.htm" TargetMode="External"/><Relationship Id="rId104" Type="http://schemas.openxmlformats.org/officeDocument/2006/relationships/hyperlink" Target="https://www.sec.gov/Archives/edgar/data/1798562/000121390020011491/ea121545ex10-3_sustainable.htm" TargetMode="External"/><Relationship Id="rId106" Type="http://schemas.openxmlformats.org/officeDocument/2006/relationships/hyperlink" Target="https://www.sec.gov/Archives/edgar/data/1798562/000121390020011491/ea121545ex10-1_sustainable.htm" TargetMode="External"/><Relationship Id="rId108" Type="http://schemas.openxmlformats.org/officeDocument/2006/relationships/hyperlink" Target="https://www.sec.gov/Archives/edgar/data/1798562/000121390020011491/ea121545ex10-4_sustainable.htm" TargetMode="External"/><Relationship Id="rId112" Type="http://schemas.openxmlformats.org/officeDocument/2006/relationships/hyperlink" Target="https://www.sec.gov/Archives/edgar/data/1798562/000121390020011491/ea121545ex10-5_sustainable.htm" TargetMode="External"/><Relationship Id="rId114" Type="http://schemas.openxmlformats.org/officeDocument/2006/relationships/hyperlink" Target="https://www.sec.gov/Archives/edgar/data/1798562/000121390020011491/ea121545ex10-6_sustainable.htm" TargetMode="External"/><Relationship Id="rId116" Type="http://schemas.openxmlformats.org/officeDocument/2006/relationships/hyperlink" Target="https://www.sec.gov/Archives/edgar/data/1798562/000121390021013347/ea137001ex10-2_sustainable.htm" TargetMode="External"/><Relationship Id="rId118" Type="http://schemas.openxmlformats.org/officeDocument/2006/relationships/hyperlink" Target="https://www.sec.gov/Archives/edgar/data/1798562/000121390021013347/ea137001ex10-3_sustainable.htm" TargetMode="External"/><Relationship Id="rId120" Type="http://schemas.openxmlformats.org/officeDocument/2006/relationships/hyperlink" Target="https://www.sec.gov/Archives/edgar/data/1798562/000121390021013347/ea137001ex10-4_sustainable.htm" TargetMode="External"/><Relationship Id="rId121" Type="http://schemas.openxmlformats.org/officeDocument/2006/relationships/hyperlink" Target="https://www.sec.gov/Archives/edgar/data/1798562/000121390021013347/ea137001ex10-1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2021-05-24T15:11:26Z</dcterms:created>
  <dcterms:modified xsi:type="dcterms:W3CDTF">2021-05-24T15:11:26Z</dcterms:modified>
</cp:coreProperties>
</file>