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1140" w:hanging="199"/>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transition period from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6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0"/>
              </w:rPr>
              <w:t>Cayman Islands</w:t>
            </w:r>
          </w:p>
        </w:tc>
        <w:tc>
          <w:tcPr>
            <w:tcW w:w="2880" w:type="dxa"/>
            <w:vAlign w:val="bottom"/>
            <w:gridSpan w:val="3"/>
          </w:tcPr>
          <w:p>
            <w:pPr>
              <w:jc w:val="right"/>
              <w:ind w:right="1360"/>
              <w:spacing w:after="0"/>
              <w:rPr>
                <w:sz w:val="20"/>
                <w:szCs w:val="20"/>
                <w:color w:val="auto"/>
              </w:rPr>
            </w:pPr>
            <w:r>
              <w:rPr>
                <w:rFonts w:ascii="Arial" w:cs="Arial" w:eastAsia="Arial" w:hAnsi="Arial"/>
                <w:sz w:val="18"/>
                <w:szCs w:val="18"/>
                <w:b w:val="1"/>
                <w:bCs w:val="1"/>
                <w:color w:val="auto"/>
              </w:rPr>
              <w:t>001-39281</w:t>
            </w:r>
          </w:p>
        </w:tc>
        <w:tc>
          <w:tcPr>
            <w:tcW w:w="200" w:type="dxa"/>
            <w:vAlign w:val="bottom"/>
          </w:tcPr>
          <w:p>
            <w:pPr>
              <w:spacing w:after="0"/>
              <w:rPr>
                <w:sz w:val="20"/>
                <w:szCs w:val="20"/>
                <w:color w:val="auto"/>
              </w:rPr>
            </w:pPr>
          </w:p>
        </w:tc>
        <w:tc>
          <w:tcPr>
            <w:tcW w:w="360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98-1523768</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(State or other jurisdiction</w:t>
            </w:r>
          </w:p>
        </w:tc>
        <w:tc>
          <w:tcPr>
            <w:tcW w:w="2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880" w:type="dxa"/>
            <w:vAlign w:val="bottom"/>
            <w:tcBorders>
              <w:top w:val="single" w:sz="8" w:color="auto"/>
            </w:tcBorders>
            <w:gridSpan w:val="3"/>
          </w:tcPr>
          <w:p>
            <w:pPr>
              <w:jc w:val="center"/>
              <w:ind w:right="620"/>
              <w:spacing w:after="0" w:line="198" w:lineRule="exact"/>
              <w:rPr>
                <w:sz w:val="20"/>
                <w:szCs w:val="20"/>
                <w:color w:val="auto"/>
              </w:rPr>
            </w:pPr>
            <w:r>
              <w:rPr>
                <w:rFonts w:ascii="Arial" w:cs="Arial" w:eastAsia="Arial" w:hAnsi="Arial"/>
                <w:sz w:val="18"/>
                <w:szCs w:val="18"/>
                <w:b w:val="1"/>
                <w:bCs w:val="1"/>
                <w:color w:val="auto"/>
                <w:w w:val="91"/>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56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1"/>
              </w:rPr>
              <w:t>of incorporation or organization)</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Identification Number)</w:t>
            </w:r>
          </w:p>
        </w:tc>
      </w:tr>
      <w:tr>
        <w:trPr>
          <w:trHeight w:val="452"/>
        </w:trPr>
        <w:tc>
          <w:tcPr>
            <w:tcW w:w="4560" w:type="dxa"/>
            <w:vAlign w:val="bottom"/>
            <w:tcBorders>
              <w:bottom w:val="single" w:sz="8" w:color="auto"/>
            </w:tcBorders>
            <w:gridSpan w:val="3"/>
          </w:tcPr>
          <w:p>
            <w:pPr>
              <w:jc w:val="center"/>
              <w:ind w:left="970"/>
              <w:spacing w:after="0"/>
              <w:rPr>
                <w:sz w:val="20"/>
                <w:szCs w:val="20"/>
                <w:color w:val="auto"/>
              </w:rPr>
            </w:pPr>
            <w:r>
              <w:rPr>
                <w:rFonts w:ascii="Arial" w:cs="Arial" w:eastAsia="Arial" w:hAnsi="Arial"/>
                <w:sz w:val="18"/>
                <w:szCs w:val="18"/>
                <w:b w:val="1"/>
                <w:bCs w:val="1"/>
                <w:color w:val="auto"/>
                <w:w w:val="89"/>
              </w:rPr>
              <w:t>1601 Bryan Street, Suite 4141 Dallas, Texas</w:t>
            </w:r>
          </w:p>
        </w:tc>
        <w:tc>
          <w:tcPr>
            <w:tcW w:w="9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390"/>
              <w:spacing w:after="0"/>
              <w:rPr>
                <w:sz w:val="20"/>
                <w:szCs w:val="20"/>
                <w:color w:val="auto"/>
              </w:rPr>
            </w:pPr>
            <w:r>
              <w:rPr>
                <w:rFonts w:ascii="Arial" w:cs="Arial" w:eastAsia="Arial" w:hAnsi="Arial"/>
                <w:sz w:val="18"/>
                <w:szCs w:val="18"/>
                <w:b w:val="1"/>
                <w:bCs w:val="1"/>
                <w:color w:val="auto"/>
              </w:rPr>
              <w:t>75201</w:t>
            </w:r>
          </w:p>
        </w:tc>
      </w:tr>
      <w:tr>
        <w:trPr>
          <w:trHeight w:val="234"/>
        </w:trPr>
        <w:tc>
          <w:tcPr>
            <w:tcW w:w="456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10"/>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(952) 456-5304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212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8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212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2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660" w:type="dxa"/>
            <w:vAlign w:val="bottom"/>
          </w:tcPr>
          <w:p>
            <w:pPr>
              <w:ind w:left="212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9"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414"/>
        </w:trPr>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41"/>
        </w:trPr>
        <w:tc>
          <w:tcPr>
            <w:tcW w:w="4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Title of each class</w:t>
            </w:r>
          </w:p>
        </w:tc>
        <w:tc>
          <w:tcPr>
            <w:tcW w:w="23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Trading Symbol(s)</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02"/>
        </w:trPr>
        <w:tc>
          <w:tcPr>
            <w:tcW w:w="44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Units, each consisting of one Class A Ordinary Share,</w:t>
            </w:r>
          </w:p>
        </w:tc>
        <w:tc>
          <w:tcPr>
            <w:tcW w:w="12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SOAC.U</w:t>
            </w:r>
          </w:p>
        </w:tc>
        <w:tc>
          <w:tcPr>
            <w:tcW w:w="100" w:type="dxa"/>
            <w:vAlign w:val="bottom"/>
            <w:tcBorders>
              <w:top w:val="single" w:sz="8" w:color="CCEEFF"/>
            </w:tcBorders>
            <w:shd w:val="clear" w:color="auto" w:fill="CCEEFF"/>
          </w:tcPr>
          <w:p>
            <w:pPr>
              <w:spacing w:after="0"/>
              <w:rPr>
                <w:sz w:val="17"/>
                <w:szCs w:val="17"/>
                <w:color w:val="auto"/>
              </w:rPr>
            </w:pPr>
          </w:p>
        </w:tc>
        <w:tc>
          <w:tcPr>
            <w:tcW w:w="43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The New York Stock Exchange</w:t>
            </w:r>
          </w:p>
        </w:tc>
      </w:tr>
      <w:tr>
        <w:trPr>
          <w:trHeight w:val="230"/>
        </w:trPr>
        <w:tc>
          <w:tcPr>
            <w:tcW w:w="45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9"/>
              </w:rPr>
              <w:t>0.0001 par value, and one-half of one redeemable warrant</w:t>
            </w:r>
          </w:p>
        </w:tc>
        <w:tc>
          <w:tcPr>
            <w:tcW w:w="2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80" w:type="dxa"/>
            <w:vAlign w:val="bottom"/>
            <w:shd w:val="clear" w:color="auto" w:fill="CCEEFF"/>
          </w:tcPr>
          <w:p>
            <w:pPr>
              <w:spacing w:after="0"/>
              <w:rPr>
                <w:sz w:val="20"/>
                <w:szCs w:val="20"/>
                <w:color w:val="auto"/>
              </w:rPr>
            </w:pPr>
          </w:p>
        </w:tc>
      </w:tr>
      <w:tr>
        <w:trPr>
          <w:trHeight w:val="216"/>
        </w:trPr>
        <w:tc>
          <w:tcPr>
            <w:tcW w:w="452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Class A Ordinary Shares included as part of the units</w:t>
            </w: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SOAC</w:t>
            </w:r>
          </w:p>
        </w:tc>
        <w:tc>
          <w:tcPr>
            <w:tcW w:w="4380" w:type="dxa"/>
            <w:vAlign w:val="bottom"/>
          </w:tcPr>
          <w:p>
            <w:pPr>
              <w:jc w:val="center"/>
              <w:spacing w:after="0"/>
              <w:rPr>
                <w:sz w:val="20"/>
                <w:szCs w:val="20"/>
                <w:color w:val="auto"/>
              </w:rPr>
            </w:pPr>
            <w:r>
              <w:rPr>
                <w:rFonts w:ascii="Arial" w:cs="Arial" w:eastAsia="Arial" w:hAnsi="Arial"/>
                <w:sz w:val="18"/>
                <w:szCs w:val="18"/>
                <w:color w:val="auto"/>
                <w:w w:val="90"/>
              </w:rPr>
              <w:t>The New York Stock Exchange</w:t>
            </w:r>
          </w:p>
        </w:tc>
      </w:tr>
      <w:tr>
        <w:trPr>
          <w:trHeight w:val="202"/>
        </w:trPr>
        <w:tc>
          <w:tcPr>
            <w:tcW w:w="452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0"/>
              </w:rPr>
              <w:t>Warrants included as part of the Units, each whole warrant</w:t>
            </w:r>
          </w:p>
        </w:tc>
        <w:tc>
          <w:tcPr>
            <w:tcW w:w="2340" w:type="dxa"/>
            <w:vAlign w:val="bottom"/>
            <w:gridSpan w:val="2"/>
            <w:shd w:val="clear" w:color="auto" w:fill="CCEEFF"/>
          </w:tcPr>
          <w:p>
            <w:pPr>
              <w:jc w:val="center"/>
              <w:ind w:right="40"/>
              <w:spacing w:after="0" w:line="201" w:lineRule="exact"/>
              <w:rPr>
                <w:sz w:val="20"/>
                <w:szCs w:val="20"/>
                <w:color w:val="auto"/>
              </w:rPr>
            </w:pPr>
            <w:r>
              <w:rPr>
                <w:rFonts w:ascii="Arial" w:cs="Arial" w:eastAsia="Arial" w:hAnsi="Arial"/>
                <w:sz w:val="18"/>
                <w:szCs w:val="18"/>
                <w:color w:val="auto"/>
                <w:w w:val="91"/>
              </w:rPr>
              <w:t>SOAC WS</w:t>
            </w:r>
          </w:p>
        </w:tc>
        <w:tc>
          <w:tcPr>
            <w:tcW w:w="4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The New York Stock Exchange</w:t>
            </w:r>
          </w:p>
        </w:tc>
      </w:tr>
      <w:tr>
        <w:trPr>
          <w:trHeight w:val="216"/>
        </w:trPr>
        <w:tc>
          <w:tcPr>
            <w:tcW w:w="45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9"/>
              </w:rPr>
              <w:t>exercisable for one Class A Ordinary Share at an exercise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r>
      <w:tr>
        <w:trPr>
          <w:trHeight w:val="230"/>
        </w:trPr>
        <w:tc>
          <w:tcPr>
            <w:tcW w:w="45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1"/>
              </w:rPr>
              <w:t>price of 11.50</w:t>
            </w:r>
          </w:p>
        </w:tc>
        <w:tc>
          <w:tcPr>
            <w:tcW w:w="2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8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As of May 24, 2021, 30,000,000 Class A ordinary shares, par value $0.0001 per share, and 7,500,000 Class B ordinary shares, par value $0.0001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900" w:type="dxa"/>
            <w:vAlign w:val="bottom"/>
            <w:gridSpan w:val="7"/>
          </w:tcPr>
          <w:p>
            <w:pPr>
              <w:ind w:left="132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20"/>
                <w:szCs w:val="20"/>
                <w:color w:val="auto"/>
              </w:rPr>
            </w:pPr>
          </w:p>
        </w:tc>
      </w:tr>
      <w:tr>
        <w:trPr>
          <w:trHeight w:val="45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Page</w:t>
            </w: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308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160" w:type="dxa"/>
            <w:vAlign w:val="bottom"/>
            <w:tcBorders>
              <w:bottom w:val="single" w:sz="8" w:color="CCEEFF"/>
            </w:tcBorders>
            <w:gridSpan w:val="8"/>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79"/>
              </w:rPr>
              <w:t>1</w:t>
            </w:r>
          </w:p>
        </w:tc>
      </w:tr>
      <w:tr>
        <w:trPr>
          <w:trHeight w:val="176"/>
        </w:trPr>
        <w:tc>
          <w:tcPr>
            <w:tcW w:w="1020" w:type="dxa"/>
            <w:vAlign w:val="bottom"/>
            <w:gridSpan w:val="3"/>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220" w:type="dxa"/>
            <w:vAlign w:val="bottom"/>
            <w:gridSpan w:val="18"/>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2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2021 and December 31, 2020</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9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20" w:type="dxa"/>
            <w:vAlign w:val="bottom"/>
            <w:gridSpan w:val="18"/>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2021 and 2020</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79"/>
              </w:rPr>
              <w:t>2</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922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Changes in Shareholders’ Equity for the Three Months Ended March 31, 2021 and</w:t>
              </w:r>
            </w:hyperlink>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2020</w:t>
              </w:r>
            </w:hyperlink>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20" w:type="dxa"/>
            <w:vAlign w:val="bottom"/>
            <w:gridSpan w:val="18"/>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March 31, 2021 and 2020</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Consolidated Condensed Financial Statements</w:t>
              </w:r>
            </w:hyperlink>
          </w:p>
        </w:tc>
        <w:tc>
          <w:tcPr>
            <w:tcW w:w="5220" w:type="dxa"/>
            <w:vAlign w:val="bottom"/>
            <w:tcBorders>
              <w:bottom w:val="single" w:sz="8" w:color="CCEEFF"/>
            </w:tcBorders>
            <w:gridSpan w:val="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176"/>
        </w:trPr>
        <w:tc>
          <w:tcPr>
            <w:tcW w:w="1020" w:type="dxa"/>
            <w:vAlign w:val="bottom"/>
            <w:gridSpan w:val="3"/>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9220" w:type="dxa"/>
            <w:vAlign w:val="bottom"/>
            <w:gridSpan w:val="18"/>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3.</w:t>
              </w:r>
            </w:hyperlink>
          </w:p>
        </w:tc>
        <w:tc>
          <w:tcPr>
            <w:tcW w:w="500" w:type="dxa"/>
            <w:vAlign w:val="bottom"/>
            <w:tcBorders>
              <w:bottom w:val="single" w:sz="8" w:color="CCEEFF"/>
            </w:tcBorders>
            <w:gridSpan w:val="2"/>
            <w:shd w:val="clear" w:color="auto" w:fill="CCEEFF"/>
          </w:tcPr>
          <w:p>
            <w:pPr>
              <w:spacing w:after="0"/>
              <w:rPr>
                <w:sz w:val="17"/>
                <w:szCs w:val="17"/>
                <w:color w:val="auto"/>
              </w:rPr>
            </w:pPr>
          </w:p>
        </w:tc>
        <w:tc>
          <w:tcPr>
            <w:tcW w:w="43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Quantitative and Qualitative Disclosures About Market Risk</w:t>
              </w:r>
            </w:hyperlink>
          </w:p>
        </w:tc>
        <w:tc>
          <w:tcPr>
            <w:tcW w:w="486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175"/>
        </w:trPr>
        <w:tc>
          <w:tcPr>
            <w:tcW w:w="1020" w:type="dxa"/>
            <w:vAlign w:val="bottom"/>
            <w:gridSpan w:val="3"/>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4.</w:t>
              </w:r>
            </w:hyperlink>
          </w:p>
        </w:tc>
        <w:tc>
          <w:tcPr>
            <w:tcW w:w="9220" w:type="dxa"/>
            <w:vAlign w:val="bottom"/>
            <w:gridSpan w:val="18"/>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1"/>
            <w:shd w:val="clear" w:color="auto" w:fill="CCEEFF"/>
          </w:tcPr>
          <w:p>
            <w:pPr>
              <w:spacing w:after="0" w:line="17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II—OTHER INFORMATION</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26</w:t>
            </w:r>
          </w:p>
        </w:tc>
      </w:tr>
      <w:tr>
        <w:trPr>
          <w:trHeight w:val="176"/>
        </w:trPr>
        <w:tc>
          <w:tcPr>
            <w:tcW w:w="102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1.</w:t>
              </w:r>
            </w:hyperlink>
          </w:p>
        </w:tc>
        <w:tc>
          <w:tcPr>
            <w:tcW w:w="184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7380" w:type="dxa"/>
            <w:vAlign w:val="bottom"/>
            <w:tcBorders>
              <w:top w:val="single" w:sz="8" w:color="CCEEFF"/>
            </w:tcBorders>
            <w:gridSpan w:val="9"/>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0" w:type="dxa"/>
            <w:vAlign w:val="bottom"/>
            <w:gridSpan w:val="3"/>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1A.</w:t>
              </w:r>
            </w:hyperlink>
          </w:p>
        </w:tc>
        <w:tc>
          <w:tcPr>
            <w:tcW w:w="9220" w:type="dxa"/>
            <w:vAlign w:val="bottom"/>
            <w:gridSpan w:val="18"/>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40" w:type="dxa"/>
            <w:vAlign w:val="bottom"/>
            <w:gridSpan w:val="2"/>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2.</w:t>
              </w:r>
            </w:hyperlink>
          </w:p>
        </w:tc>
        <w:tc>
          <w:tcPr>
            <w:tcW w:w="380" w:type="dxa"/>
            <w:vAlign w:val="bottom"/>
          </w:tcPr>
          <w:p>
            <w:pPr>
              <w:spacing w:after="0"/>
              <w:rPr>
                <w:sz w:val="15"/>
                <w:szCs w:val="15"/>
                <w:color w:val="auto"/>
              </w:rPr>
            </w:pPr>
          </w:p>
        </w:tc>
        <w:tc>
          <w:tcPr>
            <w:tcW w:w="9220" w:type="dxa"/>
            <w:vAlign w:val="bottom"/>
            <w:gridSpan w:val="18"/>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 from Registered Securities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3.</w:t>
              </w:r>
            </w:hyperlink>
          </w:p>
        </w:tc>
        <w:tc>
          <w:tcPr>
            <w:tcW w:w="500" w:type="dxa"/>
            <w:vAlign w:val="bottom"/>
            <w:gridSpan w:val="2"/>
            <w:shd w:val="clear" w:color="auto" w:fill="CCEEFF"/>
          </w:tcPr>
          <w:p>
            <w:pPr>
              <w:spacing w:after="0"/>
              <w:rPr>
                <w:sz w:val="17"/>
                <w:szCs w:val="17"/>
                <w:color w:val="auto"/>
              </w:rPr>
            </w:pPr>
          </w:p>
        </w:tc>
        <w:tc>
          <w:tcPr>
            <w:tcW w:w="9220" w:type="dxa"/>
            <w:vAlign w:val="bottom"/>
            <w:gridSpan w:val="18"/>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Defaults Upon Senior Securities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175"/>
        </w:trPr>
        <w:tc>
          <w:tcPr>
            <w:tcW w:w="520" w:type="dxa"/>
            <w:vAlign w:val="bottom"/>
            <w:tcBorders>
              <w:top w:val="single" w:sz="8" w:color="0000EE"/>
            </w:tcBorders>
          </w:tcPr>
          <w:p>
            <w:pPr>
              <w:spacing w:after="0" w:line="17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4.</w:t>
              </w:r>
            </w:hyperlink>
          </w:p>
        </w:tc>
        <w:tc>
          <w:tcPr>
            <w:tcW w:w="500" w:type="dxa"/>
            <w:vAlign w:val="bottom"/>
            <w:tcBorders>
              <w:top w:val="single" w:sz="8" w:color="CCEEFF"/>
            </w:tcBorders>
            <w:gridSpan w:val="2"/>
          </w:tcPr>
          <w:p>
            <w:pPr>
              <w:spacing w:after="0"/>
              <w:rPr>
                <w:sz w:val="15"/>
                <w:szCs w:val="15"/>
                <w:color w:val="auto"/>
              </w:rPr>
            </w:pPr>
          </w:p>
        </w:tc>
        <w:tc>
          <w:tcPr>
            <w:tcW w:w="232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6900" w:type="dxa"/>
            <w:vAlign w:val="bottom"/>
            <w:tcBorders>
              <w:top w:val="single" w:sz="8" w:color="CCEEFF"/>
            </w:tcBorders>
            <w:gridSpan w:val="7"/>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5.</w:t>
              </w:r>
            </w:hyperlink>
          </w:p>
        </w:tc>
        <w:tc>
          <w:tcPr>
            <w:tcW w:w="500" w:type="dxa"/>
            <w:vAlign w:val="bottom"/>
            <w:tcBorders>
              <w:bottom w:val="single" w:sz="8" w:color="CCEEFF"/>
            </w:tcBorders>
            <w:gridSpan w:val="2"/>
            <w:shd w:val="clear" w:color="auto" w:fill="CCEEFF"/>
          </w:tcPr>
          <w:p>
            <w:pPr>
              <w:spacing w:after="0"/>
              <w:rPr>
                <w:sz w:val="17"/>
                <w:szCs w:val="17"/>
                <w:color w:val="auto"/>
              </w:rPr>
            </w:pPr>
          </w:p>
        </w:tc>
        <w:tc>
          <w:tcPr>
            <w:tcW w:w="13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Other Information</w:t>
              </w:r>
            </w:hyperlink>
          </w:p>
        </w:tc>
        <w:tc>
          <w:tcPr>
            <w:tcW w:w="7900" w:type="dxa"/>
            <w:vAlign w:val="bottom"/>
            <w:tcBorders>
              <w:bottom w:val="single" w:sz="8" w:color="CCEEFF"/>
            </w:tcBorders>
            <w:gridSpan w:val="1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176"/>
        </w:trPr>
        <w:tc>
          <w:tcPr>
            <w:tcW w:w="1020" w:type="dxa"/>
            <w:vAlign w:val="bottom"/>
            <w:gridSpan w:val="3"/>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6.</w:t>
              </w:r>
            </w:hyperlink>
          </w:p>
        </w:tc>
        <w:tc>
          <w:tcPr>
            <w:tcW w:w="9220" w:type="dxa"/>
            <w:vAlign w:val="bottom"/>
            <w:gridSpan w:val="18"/>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21"/>
            <w:shd w:val="clear" w:color="auto" w:fill="CCEEFF"/>
          </w:tcPr>
          <w:p>
            <w:pPr>
              <w:spacing w:after="0" w:line="17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SIGNATURE</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28</w:t>
            </w: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9"/>
              </w:rPr>
              <w:t>SUSTAINABLE OPPORTUNITIES ACQUISITION CORP.</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1,169,714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1,299,301</w:t>
            </w:r>
          </w:p>
        </w:tc>
        <w:tc>
          <w:tcPr>
            <w:tcW w:w="0" w:type="dxa"/>
            <w:vAlign w:val="bottom"/>
          </w:tcPr>
          <w:p>
            <w:pPr>
              <w:spacing w:after="0"/>
              <w:rPr>
                <w:sz w:val="1"/>
                <w:szCs w:val="1"/>
                <w:color w:val="auto"/>
              </w:rPr>
            </w:pPr>
          </w:p>
        </w:tc>
      </w:tr>
      <w:tr>
        <w:trPr>
          <w:trHeight w:val="236"/>
        </w:trPr>
        <w:tc>
          <w:tcPr>
            <w:tcW w:w="868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199,999</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209,784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1,369,713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1,509,085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Investments held in Trust Account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300,073,644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300,069,135</w:t>
            </w: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w w:val="99"/>
              </w:rPr>
              <w:t>301,443,357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301,578,220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454,002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34,298</w:t>
            </w:r>
          </w:p>
        </w:tc>
        <w:tc>
          <w:tcPr>
            <w:tcW w:w="0" w:type="dxa"/>
            <w:vAlign w:val="bottom"/>
          </w:tcPr>
          <w:p>
            <w:pPr>
              <w:spacing w:after="0"/>
              <w:rPr>
                <w:sz w:val="1"/>
                <w:szCs w:val="1"/>
                <w:color w:val="auto"/>
              </w:rPr>
            </w:pPr>
          </w:p>
        </w:tc>
      </w:tr>
      <w:tr>
        <w:trPr>
          <w:trHeight w:val="237"/>
        </w:trPr>
        <w:tc>
          <w:tcPr>
            <w:tcW w:w="868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4,302,517</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1,846,704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4,756,519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1,881,002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Long term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Warrant liability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22,050,000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56,930,000</w:t>
            </w:r>
          </w:p>
        </w:tc>
        <w:tc>
          <w:tcPr>
            <w:tcW w:w="0" w:type="dxa"/>
            <w:vAlign w:val="bottom"/>
          </w:tcPr>
          <w:p>
            <w:pPr>
              <w:spacing w:after="0"/>
              <w:rPr>
                <w:sz w:val="1"/>
                <w:szCs w:val="1"/>
                <w:color w:val="auto"/>
              </w:rPr>
            </w:pPr>
          </w:p>
        </w:tc>
      </w:tr>
      <w:tr>
        <w:trPr>
          <w:trHeight w:val="236"/>
        </w:trPr>
        <w:tc>
          <w:tcPr>
            <w:tcW w:w="8680" w:type="dxa"/>
            <w:vAlign w:val="bottom"/>
          </w:tcPr>
          <w:p>
            <w:pPr>
              <w:ind w:left="260"/>
              <w:spacing w:after="0"/>
              <w:rPr>
                <w:sz w:val="20"/>
                <w:szCs w:val="20"/>
                <w:color w:val="auto"/>
              </w:rPr>
            </w:pPr>
            <w:r>
              <w:rPr>
                <w:rFonts w:ascii="Arial" w:cs="Arial" w:eastAsia="Arial" w:hAnsi="Arial"/>
                <w:sz w:val="18"/>
                <w:szCs w:val="18"/>
                <w:color w:val="auto"/>
              </w:rPr>
              <w:t>Deferred underwriting commissions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10,500,000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10,500,000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37,306,519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69,311,002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5"/>
              </w:rPr>
              <w:t>Class A ordinary shares, $0.0001 par value; 30,000,000 and 22,726,721 shares subject to possible redemption at</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$10.00 per share at March 31, 2021 and December 31, 2020, respectively</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300,073,645</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227,267,210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5"/>
              </w:rPr>
              <w:t>Class A ordinary shares, $0.0001 par value; 300,000,000 shares authorized; -0- and 7,273,279 shares issued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w w:val="94"/>
              </w:rPr>
              <w:t>outstanding (excluding 30,000,000 and 22,726,721 shares subject to possible redemption) at March 31, 2021 and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December 31, 2020, respectively</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Class B ordinary shares, $0.0001 par value; 30,000,000 shares authorized; 7,500,000 shares issued and outstanding at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March 31, 2021 and December 31, 2020,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41,549,625</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(35,937,557)</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(36,551,094)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shareholders’ equity</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(35,936,807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5,000,008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w w:val="99"/>
              </w:rPr>
              <w:t>301,443,357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301,578,220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For the three</w:t>
            </w:r>
          </w:p>
        </w:tc>
        <w:tc>
          <w:tcPr>
            <w:tcW w:w="12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For the three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months ended</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w w:val="95"/>
              </w:rPr>
              <w:t>months 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18"/>
                <w:szCs w:val="18"/>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2,984,922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General and administrative expenses - related party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(3,014,922)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(58,999)</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34,880,000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60"/>
              <w:spacing w:after="0"/>
              <w:rPr>
                <w:sz w:val="20"/>
                <w:szCs w:val="20"/>
                <w:color w:val="auto"/>
              </w:rPr>
            </w:pPr>
            <w:r>
              <w:rPr>
                <w:rFonts w:ascii="Arial" w:cs="Arial" w:eastAsia="Arial" w:hAnsi="Arial"/>
                <w:sz w:val="18"/>
                <w:szCs w:val="18"/>
                <w:color w:val="auto"/>
              </w:rPr>
              <w:t>Net gain on investments held in Trust Account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4,510</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earned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Total other income</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34,884,542</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31,869,620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(58,999</w:t>
            </w:r>
          </w:p>
        </w:tc>
        <w:tc>
          <w:tcPr>
            <w:tcW w:w="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shares subject to redemption, basic and diluted</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24,908,705</w:t>
            </w: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Basic and diluted net income per share, shares subject to redemption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68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Weighted average ordinary shares outstanding,</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basic and diluted</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12,591,295</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b w:val="1"/>
                <w:bCs w:val="1"/>
                <w:color w:val="auto"/>
              </w:rPr>
              <w:t>Basic and diluted net income (loss)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CONDENSED CONSOLIDATED STATEMENTS OF CHANGES IN SHAREHOLDERS’ EQUITY (Unaudited)</w:t>
      </w:r>
    </w:p>
    <w:p>
      <w:pPr>
        <w:sectPr>
          <w:pgSz w:w="11900" w:h="16838" w:orient="portrait"/>
          <w:cols w:equalWidth="0" w:num="1">
            <w:col w:w="11200"/>
          </w:cols>
          <w:pgMar w:left="320" w:top="87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0" w:hanging="129"/>
        <w:spacing w:after="0" w:line="261" w:lineRule="auto"/>
        <w:rPr>
          <w:sz w:val="20"/>
          <w:szCs w:val="20"/>
          <w:color w:val="auto"/>
        </w:rPr>
      </w:pPr>
      <w:r>
        <w:rPr>
          <w:rFonts w:ascii="Arial" w:cs="Arial" w:eastAsia="Arial" w:hAnsi="Arial"/>
          <w:sz w:val="18"/>
          <w:szCs w:val="18"/>
          <w:b w:val="1"/>
          <w:bCs w:val="1"/>
          <w:color w:val="auto"/>
        </w:rPr>
        <w:t>Balance - December 31, 2020</w:t>
      </w:r>
    </w:p>
    <w:p>
      <w:pPr>
        <w:ind w:left="140" w:right="200" w:hanging="129"/>
        <w:spacing w:after="0" w:line="250" w:lineRule="auto"/>
        <w:rPr>
          <w:sz w:val="20"/>
          <w:szCs w:val="20"/>
          <w:color w:val="auto"/>
        </w:rPr>
      </w:pPr>
      <w:r>
        <w:rPr>
          <w:rFonts w:ascii="Arial" w:cs="Arial" w:eastAsia="Arial" w:hAnsi="Arial"/>
          <w:sz w:val="18"/>
          <w:szCs w:val="18"/>
          <w:color w:val="auto"/>
        </w:rPr>
        <w:t>Measurement adjustment on redeemable ordinary shares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18" w:lineRule="exact"/>
        <w:rPr>
          <w:sz w:val="20"/>
          <w:szCs w:val="20"/>
          <w:color w:val="auto"/>
        </w:rPr>
      </w:pPr>
    </w:p>
    <w:p>
      <w:pPr>
        <w:ind w:left="140" w:right="260" w:hanging="129"/>
        <w:spacing w:after="0" w:line="282" w:lineRule="auto"/>
        <w:rPr>
          <w:sz w:val="20"/>
          <w:szCs w:val="20"/>
          <w:color w:val="auto"/>
        </w:rPr>
      </w:pPr>
      <w:r>
        <w:rPr>
          <w:rFonts w:ascii="Arial" w:cs="Arial" w:eastAsia="Arial" w:hAnsi="Arial"/>
          <w:sz w:val="18"/>
          <w:szCs w:val="18"/>
          <w:b w:val="1"/>
          <w:bCs w:val="1"/>
          <w:color w:val="auto"/>
        </w:rPr>
        <w:t>Balance -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40" w:hanging="129"/>
        <w:spacing w:after="0" w:line="261" w:lineRule="auto"/>
        <w:rPr>
          <w:sz w:val="20"/>
          <w:szCs w:val="20"/>
          <w:color w:val="auto"/>
        </w:rPr>
      </w:pPr>
      <w:r>
        <w:rPr>
          <w:rFonts w:ascii="Arial" w:cs="Arial" w:eastAsia="Arial" w:hAnsi="Arial"/>
          <w:sz w:val="18"/>
          <w:szCs w:val="18"/>
          <w:b w:val="1"/>
          <w:bCs w:val="1"/>
          <w:color w:val="auto"/>
        </w:rPr>
        <w:t>Balance - December 31, 2019</w:t>
      </w:r>
    </w:p>
    <w:p>
      <w:pPr>
        <w:spacing w:after="0"/>
        <w:rPr>
          <w:sz w:val="20"/>
          <w:szCs w:val="20"/>
          <w:color w:val="auto"/>
        </w:rPr>
      </w:pPr>
      <w:r>
        <w:rPr>
          <w:rFonts w:ascii="Arial" w:cs="Arial" w:eastAsia="Arial" w:hAnsi="Arial"/>
          <w:sz w:val="18"/>
          <w:szCs w:val="18"/>
          <w:color w:val="auto"/>
        </w:rPr>
        <w:t>Net loss</w:t>
      </w:r>
    </w:p>
    <w:p>
      <w:pPr>
        <w:spacing w:after="0" w:line="18" w:lineRule="exact"/>
        <w:rPr>
          <w:sz w:val="20"/>
          <w:szCs w:val="20"/>
          <w:color w:val="auto"/>
        </w:rPr>
      </w:pPr>
    </w:p>
    <w:p>
      <w:pPr>
        <w:ind w:left="140" w:right="260" w:hanging="129"/>
        <w:spacing w:after="0" w:line="282" w:lineRule="auto"/>
        <w:rPr>
          <w:sz w:val="20"/>
          <w:szCs w:val="20"/>
          <w:color w:val="auto"/>
        </w:rPr>
      </w:pPr>
      <w:r>
        <w:rPr>
          <w:rFonts w:ascii="Arial" w:cs="Arial" w:eastAsia="Arial" w:hAnsi="Arial"/>
          <w:sz w:val="18"/>
          <w:szCs w:val="18"/>
          <w:b w:val="1"/>
          <w:bCs w:val="1"/>
          <w:color w:val="auto"/>
        </w:rPr>
        <w:t>Balance - March 31, 2020</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1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540" w:type="dxa"/>
            <w:vAlign w:val="bottom"/>
            <w:tcBorders>
              <w:top w:val="single" w:sz="8" w:color="auto"/>
              <w:bottom w:val="single" w:sz="8" w:color="auto"/>
            </w:tcBorders>
            <w:gridSpan w:val="4"/>
          </w:tcPr>
          <w:p>
            <w:pPr>
              <w:jc w:val="right"/>
              <w:ind w:right="860"/>
              <w:spacing w:after="0"/>
              <w:rPr>
                <w:sz w:val="20"/>
                <w:szCs w:val="20"/>
                <w:color w:val="auto"/>
              </w:rPr>
            </w:pPr>
            <w:r>
              <w:rPr>
                <w:rFonts w:ascii="Arial" w:cs="Arial" w:eastAsia="Arial" w:hAnsi="Arial"/>
                <w:sz w:val="18"/>
                <w:szCs w:val="18"/>
                <w:b w:val="1"/>
                <w:bCs w:val="1"/>
                <w:color w:val="auto"/>
              </w:rPr>
              <w:t>Ordinary Shares</w:t>
            </w:r>
          </w:p>
        </w:tc>
        <w:tc>
          <w:tcPr>
            <w:tcW w:w="2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Total</w:t>
            </w:r>
          </w:p>
        </w:tc>
        <w:tc>
          <w:tcPr>
            <w:tcW w:w="60" w:type="dxa"/>
            <w:vAlign w:val="bottom"/>
            <w:gridSpan w:val="2"/>
          </w:tcPr>
          <w:p>
            <w:pPr>
              <w:spacing w:after="0"/>
              <w:rPr>
                <w:sz w:val="21"/>
                <w:szCs w:val="21"/>
                <w:color w:val="auto"/>
              </w:rPr>
            </w:pPr>
          </w:p>
        </w:tc>
      </w:tr>
      <w:tr>
        <w:trPr>
          <w:trHeight w:val="236"/>
        </w:trPr>
        <w:tc>
          <w:tcPr>
            <w:tcW w:w="15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Class A</w:t>
            </w:r>
          </w:p>
        </w:tc>
        <w:tc>
          <w:tcPr>
            <w:tcW w:w="9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Class B</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Paid-in</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180" w:type="dxa"/>
            <w:vAlign w:val="bottom"/>
            <w:gridSpan w:val="4"/>
          </w:tcPr>
          <w:p>
            <w:pPr>
              <w:ind w:left="20"/>
              <w:spacing w:after="0"/>
              <w:rPr>
                <w:sz w:val="20"/>
                <w:szCs w:val="20"/>
                <w:color w:val="auto"/>
              </w:rPr>
            </w:pPr>
            <w:r>
              <w:rPr>
                <w:rFonts w:ascii="Arial" w:cs="Arial" w:eastAsia="Arial" w:hAnsi="Arial"/>
                <w:sz w:val="18"/>
                <w:szCs w:val="18"/>
                <w:b w:val="1"/>
                <w:bCs w:val="1"/>
                <w:color w:val="auto"/>
                <w:w w:val="94"/>
              </w:rPr>
              <w:t>Shareholders’</w:t>
            </w:r>
          </w:p>
        </w:tc>
      </w:tr>
      <w:tr>
        <w:trPr>
          <w:trHeight w:val="237"/>
        </w:trPr>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Deficit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60" w:type="dxa"/>
            <w:vAlign w:val="bottom"/>
            <w:gridSpan w:val="2"/>
          </w:tcPr>
          <w:p>
            <w:pPr>
              <w:spacing w:after="0"/>
              <w:rPr>
                <w:sz w:val="20"/>
                <w:szCs w:val="20"/>
                <w:color w:val="auto"/>
              </w:rPr>
            </w:pPr>
          </w:p>
        </w:tc>
      </w:tr>
      <w:tr>
        <w:trPr>
          <w:trHeight w:val="419"/>
        </w:trPr>
        <w:tc>
          <w:tcPr>
            <w:tcW w:w="1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7,273,279</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727</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7,500,000</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41,549,625</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7"/>
              </w:rPr>
              <w:t>(36,551,094)</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5,000,008</w:t>
            </w:r>
          </w:p>
        </w:tc>
        <w:tc>
          <w:tcPr>
            <w:tcW w:w="40" w:type="dxa"/>
            <w:vAlign w:val="bottom"/>
          </w:tcPr>
          <w:p>
            <w:pPr>
              <w:spacing w:after="0"/>
              <w:rPr>
                <w:sz w:val="24"/>
                <w:szCs w:val="24"/>
                <w:color w:val="auto"/>
              </w:rPr>
            </w:pPr>
          </w:p>
        </w:tc>
      </w:tr>
      <w:tr>
        <w:trPr>
          <w:trHeight w:val="863"/>
        </w:trPr>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(7,273,279)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(727)</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(41,549,625)</w:t>
            </w:r>
          </w:p>
        </w:tc>
        <w:tc>
          <w:tcPr>
            <w:tcW w:w="14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(31,256,083)</w:t>
            </w:r>
          </w:p>
        </w:tc>
        <w:tc>
          <w:tcPr>
            <w:tcW w:w="16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w w:val="97"/>
              </w:rPr>
              <w:t>(72,806,435)</w:t>
            </w:r>
          </w:p>
        </w:tc>
      </w:tr>
      <w:tr>
        <w:trPr>
          <w:trHeight w:val="230"/>
        </w:trPr>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31,869,620</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31,869,620</w:t>
            </w:r>
          </w:p>
        </w:tc>
        <w:tc>
          <w:tcPr>
            <w:tcW w:w="40" w:type="dxa"/>
            <w:vAlign w:val="bottom"/>
          </w:tcPr>
          <w:p>
            <w:pPr>
              <w:spacing w:after="0"/>
              <w:rPr>
                <w:sz w:val="20"/>
                <w:szCs w:val="20"/>
                <w:color w:val="auto"/>
              </w:rPr>
            </w:pPr>
          </w:p>
        </w:tc>
      </w:tr>
      <w:tr>
        <w:trPr>
          <w:trHeight w:val="27"/>
        </w:trPr>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66"/>
        </w:trPr>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7,500,000</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6"/>
              </w:rPr>
              <w:t>(35,937,557</w:t>
            </w:r>
            <w:r>
              <w:rPr>
                <w:rFonts w:ascii="Arial" w:cs="Arial" w:eastAsia="Arial" w:hAnsi="Arial"/>
                <w:sz w:val="35"/>
                <w:szCs w:val="35"/>
                <w:b w:val="1"/>
                <w:bCs w:val="1"/>
                <w:color w:val="auto"/>
                <w:w w:val="96"/>
                <w:vertAlign w:val="superscript"/>
              </w:rPr>
              <w:t>)</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(35,936,807</w:t>
            </w:r>
            <w:r>
              <w:rPr>
                <w:rFonts w:ascii="Arial" w:cs="Arial" w:eastAsia="Arial" w:hAnsi="Arial"/>
                <w:sz w:val="35"/>
                <w:szCs w:val="35"/>
                <w:b w:val="1"/>
                <w:bCs w:val="1"/>
                <w:color w:val="auto"/>
                <w:w w:val="96"/>
                <w:vertAlign w:val="superscript"/>
              </w:rPr>
              <w:t>)</w:t>
            </w:r>
          </w:p>
        </w:tc>
      </w:tr>
      <w:tr>
        <w:trPr>
          <w:trHeight w:val="21"/>
        </w:trPr>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79"/>
        </w:trPr>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8"/>
          </w:tcPr>
          <w:p>
            <w:pPr>
              <w:jc w:val="right"/>
              <w:ind w:right="480"/>
              <w:spacing w:after="0"/>
              <w:rPr>
                <w:sz w:val="20"/>
                <w:szCs w:val="20"/>
                <w:color w:val="auto"/>
              </w:rPr>
            </w:pPr>
            <w:r>
              <w:rPr>
                <w:rFonts w:ascii="Arial" w:cs="Arial" w:eastAsia="Arial" w:hAnsi="Arial"/>
                <w:sz w:val="18"/>
                <w:szCs w:val="18"/>
                <w:b w:val="1"/>
                <w:bCs w:val="1"/>
                <w:color w:val="auto"/>
                <w:w w:val="94"/>
              </w:rPr>
              <w:t>For the three months ended March 31, 2020</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1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8"/>
                <w:szCs w:val="18"/>
                <w:b w:val="1"/>
                <w:bCs w:val="1"/>
                <w:color w:val="auto"/>
              </w:rPr>
              <w:t>Ordinary Shares</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Total</w:t>
            </w:r>
          </w:p>
        </w:tc>
      </w:tr>
      <w:tr>
        <w:trPr>
          <w:trHeight w:val="237"/>
        </w:trPr>
        <w:tc>
          <w:tcPr>
            <w:tcW w:w="15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Class A</w:t>
            </w:r>
          </w:p>
        </w:tc>
        <w:tc>
          <w:tcPr>
            <w:tcW w:w="9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Class B</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Paid-in</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180" w:type="dxa"/>
            <w:vAlign w:val="bottom"/>
            <w:gridSpan w:val="4"/>
          </w:tcPr>
          <w:p>
            <w:pPr>
              <w:ind w:left="20"/>
              <w:spacing w:after="0"/>
              <w:rPr>
                <w:sz w:val="20"/>
                <w:szCs w:val="20"/>
                <w:color w:val="auto"/>
              </w:rPr>
            </w:pPr>
            <w:r>
              <w:rPr>
                <w:rFonts w:ascii="Arial" w:cs="Arial" w:eastAsia="Arial" w:hAnsi="Arial"/>
                <w:sz w:val="18"/>
                <w:szCs w:val="18"/>
                <w:b w:val="1"/>
                <w:bCs w:val="1"/>
                <w:color w:val="auto"/>
                <w:w w:val="94"/>
              </w:rPr>
              <w:t>Shareholders’</w:t>
            </w:r>
          </w:p>
        </w:tc>
      </w:tr>
      <w:tr>
        <w:trPr>
          <w:trHeight w:val="236"/>
        </w:trPr>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Deficit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60" w:type="dxa"/>
            <w:vAlign w:val="bottom"/>
            <w:gridSpan w:val="2"/>
          </w:tcPr>
          <w:p>
            <w:pPr>
              <w:spacing w:after="0"/>
              <w:rPr>
                <w:sz w:val="20"/>
                <w:szCs w:val="20"/>
                <w:color w:val="auto"/>
              </w:rPr>
            </w:pPr>
          </w:p>
        </w:tc>
      </w:tr>
      <w:tr>
        <w:trPr>
          <w:trHeight w:val="404"/>
        </w:trPr>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8,625,000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863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24,137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(9,039)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15,961</w:t>
            </w:r>
          </w:p>
        </w:tc>
        <w:tc>
          <w:tcPr>
            <w:tcW w:w="40" w:type="dxa"/>
            <w:vAlign w:val="bottom"/>
          </w:tcPr>
          <w:p>
            <w:pPr>
              <w:spacing w:after="0"/>
              <w:rPr>
                <w:sz w:val="24"/>
                <w:szCs w:val="24"/>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(58,999)</w:t>
            </w:r>
          </w:p>
        </w:tc>
        <w:tc>
          <w:tcPr>
            <w:tcW w:w="1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(58,999)</w:t>
            </w:r>
          </w:p>
        </w:tc>
      </w:tr>
      <w:tr>
        <w:trPr>
          <w:trHeight w:val="27"/>
        </w:trPr>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66"/>
        </w:trPr>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8,625,000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863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24,137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(68,038</w:t>
            </w:r>
            <w:r>
              <w:rPr>
                <w:rFonts w:ascii="Arial" w:cs="Arial" w:eastAsia="Arial" w:hAnsi="Arial"/>
                <w:sz w:val="35"/>
                <w:szCs w:val="35"/>
                <w:color w:val="auto"/>
                <w:vertAlign w:val="superscript"/>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(43,038</w:t>
            </w:r>
            <w:r>
              <w:rPr>
                <w:rFonts w:ascii="Arial" w:cs="Arial" w:eastAsia="Arial" w:hAnsi="Arial"/>
                <w:sz w:val="35"/>
                <w:szCs w:val="35"/>
                <w:color w:val="auto"/>
                <w:vertAlign w:val="superscript"/>
              </w:rPr>
              <w:t>)</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-2887980</wp:posOffset>
            </wp:positionV>
            <wp:extent cx="7132320"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-2065020</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-770890</wp:posOffset>
            </wp:positionV>
            <wp:extent cx="713232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-342265</wp:posOffset>
            </wp:positionV>
            <wp:extent cx="7132320" cy="317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20" w:space="120"/>
            <w:col w:w="9260"/>
          </w:cols>
          <w:pgMar w:left="320" w:top="877" w:right="379" w:bottom="1440" w:gutter="0" w:footer="0" w:header="0"/>
          <w:type w:val="continuous"/>
        </w:sectPr>
      </w:pP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0"/>
              </w:rPr>
              <w:t>For the three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For the three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87"/>
              </w:rPr>
              <w:t>months ended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months 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6"/>
              </w:rPr>
              <w:t>March 31,</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31,869,620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(58,999)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 in fair value of warrant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(34,880,000)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260"/>
              <w:spacing w:after="0"/>
              <w:rPr>
                <w:sz w:val="20"/>
                <w:szCs w:val="20"/>
                <w:color w:val="auto"/>
              </w:rPr>
            </w:pPr>
            <w:r>
              <w:rPr>
                <w:rFonts w:ascii="Arial" w:cs="Arial" w:eastAsia="Arial" w:hAnsi="Arial"/>
                <w:sz w:val="18"/>
                <w:szCs w:val="18"/>
                <w:color w:val="auto"/>
              </w:rPr>
              <w:t>General and administrative expenses paid by related party under note agreement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53,456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gain on investments held in Trust Account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(4,510)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9,786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16"/>
        </w:trPr>
        <w:tc>
          <w:tcPr>
            <w:tcW w:w="86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419,704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9,718</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2,455,813</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260"/>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(129,587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(129,587)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b w:val="1"/>
                <w:bCs w:val="1"/>
                <w:color w:val="auto"/>
              </w:rPr>
              <w:t>Cash - beginning of the period</w:t>
            </w:r>
          </w:p>
        </w:tc>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1,299,301</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Cash - end of the period</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1,169,714</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60"/>
              <w:spacing w:after="0"/>
              <w:rPr>
                <w:sz w:val="20"/>
                <w:szCs w:val="20"/>
                <w:color w:val="auto"/>
              </w:rPr>
            </w:pPr>
            <w:r>
              <w:rPr>
                <w:rFonts w:ascii="Arial" w:cs="Arial" w:eastAsia="Arial" w:hAnsi="Arial"/>
                <w:sz w:val="18"/>
                <w:szCs w:val="18"/>
                <w:color w:val="auto"/>
              </w:rPr>
              <w:t>Offering costs included in accounts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78,449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Offering costs included in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326,996</w:t>
            </w:r>
          </w:p>
        </w:tc>
        <w:tc>
          <w:tcPr>
            <w:tcW w:w="0" w:type="dxa"/>
            <w:vAlign w:val="bottom"/>
          </w:tcPr>
          <w:p>
            <w:pPr>
              <w:spacing w:after="0"/>
              <w:rPr>
                <w:sz w:val="1"/>
                <w:szCs w:val="1"/>
                <w:color w:val="auto"/>
              </w:rPr>
            </w:pPr>
          </w:p>
        </w:tc>
      </w:tr>
      <w:tr>
        <w:trPr>
          <w:trHeight w:val="216"/>
        </w:trPr>
        <w:tc>
          <w:tcPr>
            <w:tcW w:w="8680" w:type="dxa"/>
            <w:vAlign w:val="bottom"/>
          </w:tcPr>
          <w:p>
            <w:pPr>
              <w:ind w:left="260"/>
              <w:spacing w:after="0"/>
              <w:rPr>
                <w:sz w:val="20"/>
                <w:szCs w:val="20"/>
                <w:color w:val="auto"/>
              </w:rPr>
            </w:pPr>
            <w:r>
              <w:rPr>
                <w:rFonts w:ascii="Arial" w:cs="Arial" w:eastAsia="Arial" w:hAnsi="Arial"/>
                <w:sz w:val="18"/>
                <w:szCs w:val="18"/>
                <w:color w:val="auto"/>
              </w:rPr>
              <w:t>Offering costs included in note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92,856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Offering costs paid by Sponsor in exchange for issuance of Class B ordinary shares to Sponsor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15,961</w:t>
            </w:r>
          </w:p>
        </w:tc>
        <w:tc>
          <w:tcPr>
            <w:tcW w:w="0" w:type="dxa"/>
            <w:vAlign w:val="bottom"/>
          </w:tcPr>
          <w:p>
            <w:pPr>
              <w:spacing w:after="0"/>
              <w:rPr>
                <w:sz w:val="1"/>
                <w:szCs w:val="1"/>
                <w:color w:val="auto"/>
              </w:rPr>
            </w:pPr>
          </w:p>
        </w:tc>
      </w:tr>
      <w:tr>
        <w:trPr>
          <w:trHeight w:val="216"/>
        </w:trPr>
        <w:tc>
          <w:tcPr>
            <w:tcW w:w="8680" w:type="dxa"/>
            <w:vAlign w:val="bottom"/>
          </w:tcPr>
          <w:p>
            <w:pPr>
              <w:ind w:left="260"/>
              <w:spacing w:after="0"/>
              <w:rPr>
                <w:sz w:val="20"/>
                <w:szCs w:val="20"/>
                <w:color w:val="auto"/>
              </w:rPr>
            </w:pPr>
            <w:r>
              <w:rPr>
                <w:rFonts w:ascii="Arial" w:cs="Arial" w:eastAsia="Arial" w:hAnsi="Arial"/>
                <w:sz w:val="18"/>
                <w:szCs w:val="18"/>
                <w:color w:val="auto"/>
              </w:rPr>
              <w:t>Use of retainer for offering costs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Measurement adjustment on redeemable ordinary shares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72,806,435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229"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Sustainable Opportunities Acquisition Corp. (the “Company”) is a newly organized blank check company incorporated as a Cayman Islands exempted company on December 18, 2019. The Company was incorporated for the purpose of effecting a merger, share exchange, asset acquisition, share purchase, reorganization or similar business combination with one or more businesses or entities (the “Business Combination”). The Company is an emerging growth company and, as such, the Company is subject to all of the risks associated with emerging growth companies.</w:t>
      </w:r>
    </w:p>
    <w:p>
      <w:pPr>
        <w:spacing w:after="0" w:line="157"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As of March 31, 2021, the Company had not commenced any operations. All activity for the period from December 18, 2019 (inception) through December 31, 2020 and the three months ended March 31, 2021 relates to the Company’s formation, the initial public offering (the “Initial Public Offering”), and, since the closing of the Initial Public Offering, a search for a business combination candidate. The Company will not generate any operating revenues until after the completion of its initial Business Combination, at the earliest. The Company generates non-operating income in the form of interest income on cash from the proceeds derived from the Initial Public Offering and interest income earned on investments held in Trust Account.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Business Combination and Related Transactions</w:t>
      </w:r>
    </w:p>
    <w:p>
      <w:pPr>
        <w:spacing w:after="0" w:line="225"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On March 4, 2021, the Company entered into a Business Combination Agreement (the “Business Combination Agreement”), by and among the Company, 1291924 B.C. Unlimited Liability Company, an unlimited liability company existing under the laws of British Columbia, Canada (“NewCo Sub”), and DeepGreen Metals Inc., a company existing under the laws of British Columbia, Canada (“DeepGreen”).</w:t>
      </w:r>
    </w:p>
    <w:p>
      <w:pPr>
        <w:spacing w:after="0" w:line="16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Pursuant to the Business Combination Agreement, the Company will migrate to and be continued as a company in British Columbia, Canada (the “SOAC Continuance”). Following the SOAC Continuance, pursuant to a plan of arrangement (the “Plan of Arrangement”) under the Business Corporations Act (British Columbia), (i) the Company will acquire all of the issued and outstanding shares in the capital of DeepGreen (the “DeepGreen Shares”) from DeepGreen shareholders in exchange for the Company’s ordinary shares (as defined below) and Company Earnout Shares (as defined below) (the “Share Exchange”), (ii) DeepGreen will become a wholly-owned subsidiary of the Company, and (iii) DeepGreen and NewCo Sub will amalgamate to continue as one unlimited liability company, in each case, on the terms and subject to the conditions set forth in the Business Combination Agreement and the Plan of Arrangement and in accordance with the provisions of applicable law.</w:t>
      </w:r>
    </w:p>
    <w:p>
      <w:pPr>
        <w:spacing w:after="0" w:line="177"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Each option to purchase ordinary shares in the capital of the Company (the “DeepGreen Options”) will become an option to purchase SOAC ordinary shares and Company Earnout Shares on the same terms and conditions (including applicable vesting, expiration and forfeiture provisions) that applied to the corresponding DeepGreen Options immediately prior to closing of the Business Combination.</w:t>
      </w:r>
    </w:p>
    <w:p>
      <w:pPr>
        <w:spacing w:after="0" w:line="16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Proposed Business Combination is expected to close in the second quarter of 2021, following the receipt of the required approval by the Company’s shareholders and the fulfillment of other conditions.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shareholders and the optionholders of DeepGreen will be entitled to receive, in exchange for their DeepGreen Shares or DeepGreen Options, as applicable, an aggregate of (i) a number of shares in the capital of the Company or comparable equity awards that are settled or are exercisable for shares in the capital of the Company, as applicable, based on an implied DeepGreen equity value of $2.25 billion after giving effect to the SOAC Continuance (the “SOAC Ordinary shares”), (ii) 5,000,000 Class A Special Shares, (iii) 10,000,000 Class B Special Shares, (iv) 10,000,000 Class C Special Shares, (v) 20,000,000 Class D Special Shares, (vi) 20,000,000 Class E Special Shares, (vii) 20,000,000 Class F Special Shares, (viii) 25,000,000 Class G Special Shares and (ix) 25,000,000 Class H Special Shares, in each case, in the capital of the Company (collectively, the “Company Earnout Shares”), or, as applicable, options to purchase such SOAC Ordinary shares and Company Earnout Shares.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Concurrently with the execution of the Business Combination Agreement, the Company entered into subscription agreements (the “Subscription Agreements”) with certain institutional and accredited investors, pursuant to which such investors agreed to subscribe for and purchase, and the Company agreed to issue and sell to such investors, substantially concurrently with the Closing (as defined in the Business Combination Agreement), an aggregate of 33,030,000 shares of SOAC Ordinary shares for $10.00 per share, for aggregate gross proceeds of $330,300,000 (the “PIPE Financing”). The closing of the PIPE Financing is contingent upon, among other things, the substantially concurrent consummation of the Business Combination. The Subscription Agreements provide that the Company will grant the investors in the PIPE Financing certain customary registration rights. The PIPE Financing is contingent upon, among other things, the substantially concurrent closing of the Business Combination.</w:t>
      </w:r>
    </w:p>
    <w:p>
      <w:pPr>
        <w:spacing w:after="0" w:line="16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the financial statements were issued. Based upon this review, the Company did not identify any subsequent events that would have required adjustment or disclosure in the financial statements which have not previously been disclosed within the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Initial Public Offering and Private Placement</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Company’s sponsor is Sustainable Opportunities Holdings LLC, a Delaware limited liability company (the “Sponsor”). The registration statement for the Company’s Initial Public Offering was declared effective on May 5, 2020. On May 8, 2020, the Company consummated its Initial Public Offering of 30,000,000 units (the “Units” and, with respect to the Class A ordinary shares included in the Units being offered, the “Public Shares”) at $10.00 per Unit, generating gross proceeds of $300.0 million, and incurring offering costs of approximately $17.4 million, inclusive of $10.5 million in deferred underwriting commissions (Note 5).</w:t>
      </w:r>
    </w:p>
    <w:p>
      <w:pPr>
        <w:spacing w:after="0" w:line="188"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9,500,000 warrants (each, a “Private Placement Warrant” and collectively, the “Private Placement Warrants”) at a price of $1.00 per Private Placement Warrant in a private placement to the Sponsor, generating gross proceeds of $9.5 million (Note 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Account</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Upon the closing of the Initial Public Offering and the Private Placement, $300.0 million ($10.00 per Unit) of the net proceeds of the sale of the Units in the Initial Public Offering and the Private Placement were placed in a trust account (the “Trust Account”), located in the United States at JP Morgan Chase Bank, N.A., with Continental Stock Transfer &amp; Trust Company acting as trustee, and invested only in U.S. government securities, within the meaning set forth in Section 2(a)(16) of the Investment Company Act, with a maturity of 185 days or less or in any open-ended investment company that holds itself out as a money market fund selected by the Company meeting the conditions of paragraphs (d)(2), (d)(3) and (d)(4) of Rule 2a-7 of the Investment Company Act, as determined by the Company, until the earlier of: (i) the completion of a Business Combination and (ii) the distribution of the Trust Account as described below.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Business Combination</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assets held in the Trust Account (as defined below) (excluding the deferred underwriting commissions and taxes payable on income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The Company will provide the holders (the “Public Shareholders”) of its Class A ordinary shares, par value $0.0001 per share sold in the Initial Public Offering (the “Public Shares”)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The per-share amount to be distributed to Public Shareholders who redeem their Public Shares will not be reduced by the deferred underwriting commissions the Company will pay to the underwriter (as discussed in Note 5). These Public Shares will be recorded at a redemption value and classified as temporary equity upon the completion of the Initial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the Company adopted upon the consummation of the Initial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Initial Shareholders (as defined below) have agreed to vote their Founder Shares (as defined below in Note 4) and any Public Shares purchased during or after the Initial Public Offering in favor of a Business Combination. In addition, the Initial Shareholders have agreed to waive their redemption rights with respect to their Founder Shares and Public Shares in connection with the completion of a Business Combination.</w:t>
      </w:r>
    </w:p>
    <w:p>
      <w:pPr>
        <w:spacing w:after="0" w:line="184"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Notwithstanding the foregoing, the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15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Company’s Sponsor, officers and directors (the “Initial Shareholders”) have agreed not to propose an amendment to the Amended and Restated Memorandum and Articles of Association that would affect the substance or timing of the Company’s obligation to provide holders of its Public Shares the right to have their shares redeemed in connection with its initial business combination or to redeem 100% of its Public Shares if the Company does not complete a Business Combination within 18 months from the closing of the Initial Public Offering, or November 8, 2021 (the “Combination Period”) unless the Company provides the Public Shareholders with the opportunity to redeem their Class A ordinary shares in conjunction with any such amendment.</w:t>
      </w:r>
    </w:p>
    <w:p>
      <w:pPr>
        <w:spacing w:after="0" w:line="192"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tax obligations,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Company’s board of directors, liquidate and dissolve, subject in the case of clauses (ii) and (iii), to the Company’s obligations under Cayman Islands law to provide for claims of creditors and the requirements of other applicable law.</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The Initial Shareholders have agreed to waive their liquidation rights with respect to the Founder Shares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 has agreed to waive its rights to its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the Company’s indemnity of the underwriter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March 31, 2021, the Company had approximately $1.2 million in cash and a working capital deficit of approximately $3.4 million.</w:t>
      </w:r>
    </w:p>
    <w:p>
      <w:pPr>
        <w:spacing w:after="0" w:line="23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will need to raise additional capital through loans or additional investments from its Sponsor, stockholders,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cannot provide any assurance that new financing will be available to it on commercially acceptable terms, if at all. These conditions raise substantial doubt about the Company’s ability to continue as a going concern through November 8, 2021. These financial statements do not include any adjustments relating to the recovery of the recorded assets or the classification of the liabilities that might be necessary should the Company be unable to continue as a going concern.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accompanying unaudited condensed consolidated financial statements are presented in U.S. dollars in conformity with accounting principles generally accepted in the United States of America (“U.S. GAAP”) for interim financial information and pursuant to the rules and regulations of the SEC. Accordingly, they do not include all of the information and footnotes required by GAAP. In the opinion of management, the unaudited consolidated financial statements reflect all adjustments, which include only normal recurring adjustments necessary for the fair statement of the balances and results for the periods presented. Operating results for the period for the three months ended March 31, 2021 are not necessarily indicative of the results that may be expected for the year ending December 31, 2021 or for any future interim periods.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accompanying unaudited consolidated financial statements should be read in conjunction the financial statements and notes thereto included in with the Company’s Annual Report as amended on Form 10-K/A for the year ended December 31, 2020 as filed with the SEC on May 24,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subsidiary. All significant intercompany balances and transactions have been eliminated in consolidation. Activities in relation to the noncontrolling interest are not considered to be significant and are, therefore, not presented in the accompanying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9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Further, 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9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This may make comparison of the Company’s financial statements with other public companies difficult or impossible because of the potential differences in accounting standards used.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preparation of the financial statements in conformity with U.S. GAAP requires the Company’s management to make estimates and assumptions that affect the reported amounts of assets and liabilities and disclosure of contingent assets and liabilities at the date the financial statements and the reported amounts of expenses during the reporting periods. Actual results could differ from those estimates.</w:t>
      </w:r>
    </w:p>
    <w:p>
      <w:pPr>
        <w:spacing w:after="0" w:line="165"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520" w:firstLine="648"/>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The Company has not experienced losses on these accounts.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no cash equivalents as of March 31, 2021 and December 31,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Held in Trust Account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portfolio of marketable securities is comprised solely of U.S. government securities, within the meaning set forth in Section 2(a)</w:t>
      </w:r>
    </w:p>
    <w:p>
      <w:pPr>
        <w:spacing w:after="0" w:line="46" w:lineRule="exact"/>
        <w:rPr>
          <w:sz w:val="20"/>
          <w:szCs w:val="20"/>
          <w:color w:val="auto"/>
        </w:rPr>
      </w:pPr>
    </w:p>
    <w:p>
      <w:pPr>
        <w:ind w:right="60" w:firstLine="8"/>
        <w:spacing w:after="0" w:line="269" w:lineRule="auto"/>
        <w:tabs>
          <w:tab w:leader="none" w:pos="345" w:val="left"/>
        </w:tabs>
        <w:numPr>
          <w:ilvl w:val="0"/>
          <w:numId w:val="3"/>
        </w:numPr>
        <w:rPr>
          <w:rFonts w:ascii="Arial" w:cs="Arial" w:eastAsia="Arial" w:hAnsi="Arial"/>
          <w:sz w:val="17"/>
          <w:szCs w:val="17"/>
          <w:color w:val="auto"/>
        </w:rPr>
      </w:pPr>
      <w:r>
        <w:rPr>
          <w:rFonts w:ascii="Arial" w:cs="Arial" w:eastAsia="Arial" w:hAnsi="Arial"/>
          <w:sz w:val="17"/>
          <w:szCs w:val="17"/>
          <w:color w:val="auto"/>
        </w:rPr>
        <w:t>of the Investment Company Act, with a maturity of 185 days or less or in any open-ended investment company that holds itself out as a money market fund selected by the Company meeting the conditions of paragraphs (d)(2), (d)(3) and (d)(4) of Rule 2a-7 of the Investment Company Act. Upon the closing of the Initial Public Offering and the Private Placement, $300 million was placed in the Trust Account and invested in money market funds that invest in U.S. government securities. All of the Company’s investments held in the Trust Account are classified as trading securities. Trading securities are presented on the balance sheet at fair value at the end of each reporting period. Gains and losses resulting from the change in fair value of investments held in Trust Account are included in net gain on investments held in Trust Account in the accompanying statement of operations. The estimated fair values of investments held in Trust Account are determined using available market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18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70"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for identical instruments in active markets;</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46" w:lineRule="exact"/>
        <w:rPr>
          <w:rFonts w:ascii="Arial" w:cs="Arial" w:eastAsia="Arial" w:hAnsi="Arial"/>
          <w:sz w:val="17"/>
          <w:szCs w:val="17"/>
          <w:color w:val="auto"/>
        </w:rPr>
      </w:pPr>
    </w:p>
    <w:p>
      <w:pPr>
        <w:ind w:left="980" w:hanging="324"/>
        <w:spacing w:after="0" w:line="34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51"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As of March 31, 2021 and December 31, 2020, the carrying values of cash, prepaid expenses, and accounts payable approximate their fair values due to the short-term nature of the instruments. As of March 31, 2021, the Company’s portfolio of investments held in Trust Account is comprised entirely of investments in money market funds that invest in U.S. government securities.</w:t>
      </w:r>
    </w:p>
    <w:p>
      <w:pPr>
        <w:spacing w:after="0" w:line="18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Warrants are accounted for as liabilities pursuant to ASC 815-40 and are measured at fair value as of each reporting period. Changes in the fair value of the Warrants are recorded in the statement of operations each period.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 Associated with the Initial Public Offering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complies with the requirements of ASC 340-10-S99 and SEC Staff Accounting Bulletin ("SAB") Topic 5A - "Expenses of Offering". Offering costs consist of legal, accounting, underwriting fees and other costs that were directly related to the Initial Public Offering. Upon the completion of the Initial Public Offering on May 8, 2020, the offering costs were allocated to the separable financial instruments based on their relative fair value compared to the proceeds received, with $877,647 being expensed on fair value of warrant liabilities relative to Initial Public Offering proceeds within the statement of operations for the year ended December 31, 2020. No such expenses were incurred for the three months ended March 31, 2021 or March 30,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w:t>
      </w:r>
    </w:p>
    <w:p>
      <w:pPr>
        <w:spacing w:after="0" w:line="17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issued 15,000,000 warrants as part of the units offered in its Initial Public Offering and, simultaneously with the closing of Initial Public Offering, the Company issued in a private placement an aggregate of 9,500,000 private placement warrants. The Company accounts for the Warrants in accordance with the guidance contained in ASC 815-40 under which the Warrants do not meet the criteria for equity treatment and must be recorded as liabilities. Accordingly, the Company classifies the Warrants as liabilities at their fair value and adjusts the warrants to fair value at each reporting period. This liability is subject to re-measurement at each balance sheet date until exercised, and any change in fair value is recognized in the Company’s statement of operations. The fair value of the Public Warrants has been estimated using the Public Warrants’ quoted market price. The Private Placement Warrants are valued using a Modified Black Scholes Option Pricing Model.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Ordinary Shares subject to possible redemption</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occurrence of uncertain future events. Accordingly, as of March 31, 2021, 30,000,000 Class A ordinary shares subject to possible redemption were presented at redemption value as temporary equity, outside of the shareholders’ equity section of the Company’s balance sheet.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Ordinary Share</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Company applies the two-class method in calculating earnings per share. Net income (loss) per share is computed by dividing net income (loss) by the weighted-average number of ordinary shares outstanding during the periods. An aggregate of 30,000,000 and 22,726,721 Class A ordinary shares subject to possible redemption at March 31, 2021 and December 31, 2020, respectively have been excluded from the calculation of basic loss per ordinary share, since such shares, if redeemed, only participate in their pro rata share of the Trust earnings. The Company has not considered the effect of the warrants sold in the Initial Public Offering and Private Placement to purchase an aggregate of 24,500,000 Class A ordinary shares in the calculation of diluted loss per ordinary share, since the exercise of the warrants are contingent upon the occurrence of future events. As a result, diluted net income (loss) per ordinary share is the same as basic net income (loss) per ordinary share for the periods presented.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per Ordinary Share</w:t>
      </w:r>
    </w:p>
    <w:p>
      <w:pPr>
        <w:spacing w:after="0" w:line="225"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The Company’s net income (loss) is adjusted for the portion of income (loss) that is attributable to ordinary shares subject to redemption, as these shares only participate in the earnings of the Trust Account and not the income or losses of the Company. Accordingly, basic and diluted loss per ordinary share is calculated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For the three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w w:val="89"/>
              </w:rPr>
              <w:t>For the three</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months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01"/>
              <w:spacing w:after="0"/>
              <w:rPr>
                <w:sz w:val="20"/>
                <w:szCs w:val="20"/>
                <w:color w:val="auto"/>
              </w:rPr>
            </w:pPr>
            <w:r>
              <w:rPr>
                <w:rFonts w:ascii="Arial" w:cs="Arial" w:eastAsia="Arial" w:hAnsi="Arial"/>
                <w:sz w:val="18"/>
                <w:szCs w:val="18"/>
                <w:b w:val="1"/>
                <w:bCs w:val="1"/>
                <w:color w:val="auto"/>
              </w:rPr>
              <w:t>months</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w w:val="99"/>
              </w:rPr>
              <w:t>ended March 31,</w:t>
            </w:r>
          </w:p>
        </w:tc>
        <w:tc>
          <w:tcPr>
            <w:tcW w:w="1460" w:type="dxa"/>
            <w:vAlign w:val="bottom"/>
            <w:gridSpan w:val="4"/>
          </w:tcPr>
          <w:p>
            <w:pPr>
              <w:ind w:left="60"/>
              <w:spacing w:after="0"/>
              <w:rPr>
                <w:sz w:val="20"/>
                <w:szCs w:val="20"/>
                <w:color w:val="auto"/>
              </w:rPr>
            </w:pPr>
            <w:r>
              <w:rPr>
                <w:rFonts w:ascii="Arial" w:cs="Arial" w:eastAsia="Arial" w:hAnsi="Arial"/>
                <w:sz w:val="18"/>
                <w:szCs w:val="18"/>
                <w:b w:val="1"/>
                <w:bCs w:val="1"/>
                <w:color w:val="auto"/>
                <w:w w:val="97"/>
              </w:rPr>
              <w:t>ended March 31,</w:t>
            </w:r>
          </w:p>
        </w:tc>
        <w:tc>
          <w:tcPr>
            <w:tcW w:w="0" w:type="dxa"/>
            <w:vAlign w:val="bottom"/>
          </w:tcPr>
          <w:p>
            <w:pPr>
              <w:spacing w:after="0"/>
              <w:rPr>
                <w:sz w:val="1"/>
                <w:szCs w:val="1"/>
                <w:color w:val="auto"/>
              </w:rPr>
            </w:pPr>
          </w:p>
        </w:tc>
      </w:tr>
      <w:tr>
        <w:trPr>
          <w:trHeight w:val="241"/>
        </w:trPr>
        <w:tc>
          <w:tcPr>
            <w:tcW w:w="8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360" w:type="dxa"/>
            <w:vAlign w:val="bottom"/>
          </w:tcPr>
          <w:p>
            <w:pPr>
              <w:spacing w:after="0" w:line="201" w:lineRule="exact"/>
              <w:rPr>
                <w:sz w:val="20"/>
                <w:szCs w:val="20"/>
                <w:color w:val="auto"/>
              </w:rPr>
            </w:pPr>
            <w:r>
              <w:rPr>
                <w:rFonts w:ascii="Arial" w:cs="Arial" w:eastAsia="Arial" w:hAnsi="Arial"/>
                <w:sz w:val="18"/>
                <w:szCs w:val="18"/>
                <w:i w:val="1"/>
                <w:iCs w:val="1"/>
                <w:color w:val="auto"/>
              </w:rPr>
              <w:t>Class A Ordinary Shares subject to possible redemption</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Numerator: Earnings allocable to Ordinary Shares subject to possible redemption</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investments held in Trust Account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4,510</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Company's portion available to be withdrawn to pay taxes</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attributable to ordinary shares subject to possible redemption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4,510</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 Weighted average Class A ordinary shares subject to possible redemption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outstanding subject to redemption,</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24,908,705</w:t>
            </w:r>
          </w:p>
        </w:tc>
        <w:tc>
          <w:tcPr>
            <w:tcW w:w="1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360" w:type="dxa"/>
            <w:vAlign w:val="bottom"/>
            <w:vMerge w:val="restart"/>
          </w:tcPr>
          <w:p>
            <w:pPr>
              <w:spacing w:after="0"/>
              <w:rPr>
                <w:sz w:val="20"/>
                <w:szCs w:val="20"/>
                <w:color w:val="auto"/>
              </w:rPr>
            </w:pPr>
            <w:r>
              <w:rPr>
                <w:rFonts w:ascii="Arial" w:cs="Arial" w:eastAsia="Arial" w:hAnsi="Arial"/>
                <w:sz w:val="18"/>
                <w:szCs w:val="18"/>
                <w:color w:val="auto"/>
              </w:rPr>
              <w:t>Basic and diluted net income per share, shares subject to redemption</w:t>
            </w:r>
          </w:p>
        </w:tc>
        <w:tc>
          <w:tcPr>
            <w:tcW w:w="1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360" w:type="dxa"/>
            <w:vAlign w:val="bottom"/>
            <w:tcBorders>
              <w:bottom w:val="single" w:sz="8" w:color="CCEEFF"/>
            </w:tcBorders>
            <w:vMerge w:val="continue"/>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i w:val="1"/>
                <w:iCs w:val="1"/>
                <w:color w:val="auto"/>
              </w:rPr>
              <w:t>Non-Redeemable Ordinary Shares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Numerator: Net Income (Loss) minus Net Earnings attributable to redeemable shares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31,869,620</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(58,999)</w:t>
            </w:r>
          </w:p>
        </w:tc>
        <w:tc>
          <w:tcPr>
            <w:tcW w:w="0" w:type="dxa"/>
            <w:vAlign w:val="bottom"/>
          </w:tcPr>
          <w:p>
            <w:pPr>
              <w:spacing w:after="0"/>
              <w:rPr>
                <w:sz w:val="1"/>
                <w:szCs w:val="1"/>
                <w:color w:val="auto"/>
              </w:rPr>
            </w:pPr>
          </w:p>
        </w:tc>
      </w:tr>
      <w:tr>
        <w:trPr>
          <w:trHeight w:val="25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Less: Income attributable to Class A ordinary shares subject to possible redemption</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(4,510)</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83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Non-redeemable net income (loss)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31,865,110</w:t>
            </w:r>
          </w:p>
        </w:tc>
        <w:tc>
          <w:tcPr>
            <w:tcW w:w="140" w:type="dxa"/>
            <w:vAlign w:val="bottom"/>
            <w:tcBorders>
              <w:top w:val="single" w:sz="8" w:color="CCEEFF"/>
              <w:bottom w:val="single" w:sz="8" w:color="CCEEFF"/>
            </w:tcBorders>
          </w:tcPr>
          <w:p>
            <w:pPr>
              <w:spacing w:after="0"/>
              <w:rPr>
                <w:sz w:val="24"/>
                <w:szCs w:val="24"/>
                <w:color w:val="auto"/>
              </w:rPr>
            </w:pPr>
          </w:p>
        </w:tc>
        <w:tc>
          <w:tcPr>
            <w:tcW w:w="60" w:type="dxa"/>
            <w:vAlign w:val="bottom"/>
            <w:tcBorders>
              <w:top w:val="single" w:sz="8" w:color="CCEEFF"/>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(58,999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Denominator: weighted average Non-redeemable ordinary shares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Weighted average ordinary shares outstanding, basic and diluted</w:t>
            </w: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12,591,295</w:t>
            </w:r>
          </w:p>
        </w:tc>
        <w:tc>
          <w:tcPr>
            <w:tcW w:w="1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7,500,000</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and diluted net income (loss) per share, Non-redeemable shares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FASB ASC Topic 740, “Income Taxes,”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March 31, 2021 and December 31, 2020. The Company’s management determined that the Cayman Islands is the Company’s only major tax jurisdiction. The Company recognizes accrued interest and penalties related to unrecognized tax benefits as income tax expense. No amounts were accrued for the payment of interest and penalties as of March 31, 2021 and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66" w:lineRule="exact"/>
        <w:rPr>
          <w:sz w:val="20"/>
          <w:szCs w:val="20"/>
          <w:color w:val="auto"/>
        </w:rPr>
      </w:pPr>
    </w:p>
    <w:p>
      <w:pPr>
        <w:ind w:right="420" w:firstLine="648"/>
        <w:spacing w:after="0" w:line="311" w:lineRule="auto"/>
        <w:rPr>
          <w:sz w:val="20"/>
          <w:szCs w:val="20"/>
          <w:color w:val="auto"/>
        </w:rPr>
      </w:pPr>
      <w:r>
        <w:rPr>
          <w:rFonts w:ascii="Arial" w:cs="Arial" w:eastAsia="Arial" w:hAnsi="Arial"/>
          <w:sz w:val="16"/>
          <w:szCs w:val="16"/>
          <w:color w:val="auto"/>
        </w:rPr>
        <w:t>There is currently no taxation imposed on income by the Government of the Cayman Islands. In accordance with Cayman Islands income tax regulations, income taxes are not levied on the Company. Consequently, income taxes are not reflected in the Company’s financial statements. The Company’s management does not expect that the total amount of unrecognized tax benefits will materially change over the next twelve months.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Company’s management does not believe that any recently issued, but not yet effective, accounting pronouncements, if currently adopted, would have a material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Initial Public Offering</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May 8, 2020, the Company consummated its Initial Public Offering of 30,000,000 Units at $10.00 per Unit, generating gross proceeds of $300 million, and incurring offering costs of approximately $17.4 million, inclusive of $10.5 million in deferred underwriting commissions. Each Unit consists of one Class A ordinary share and one-half of one redeemable warrant (each, a “Public Warrant”). Each Public Warrant entitles the holder to purchase one Class A ordinary share at a price of $11.50 per share, subject to adjustment (see Note 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December 31, 2019, the Sponsor purchased 8,625,000 shares (the “Founder Shares”) of the Company’s Class B ordinary shares, par value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$0.0001 for an aggregate price of $25,000. In March 2020, the Sponsor transferred 30,000 Founder Shares to each of the Company’s independent directors.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Founder Shares will automatically convert into Class A ordinary shares at the time of the Company’s initial Business Combination and are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transfer restrictions, as described in Note 6. The Sponsor had agreed to forfeit up to 1,125,000 Founder Shares to the extent that the over-allotment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 was not exercised in full by the underwriter so that the Founder Shares will represent 20.0% of the Company’s issued and outstanding shares after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Initial Public Offering. The over-allotment option expired in June 2020; thus, these Founder Shares were forfeited accordingly.</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Initial Shareholders agreed, subject to limited exceptions, not to transfer, assign or sell any of their Founder Shares until the earlier to occur of: (A) one year after the completion of the initial Business Combination or (B) subsequent to the initial Business Combination, (x) if the last sale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Company’s shareholders having the right to exchange their Class A ordinary shares for cash, securities or other property.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of 9,500,000 Private Placement Warrants at a price of $1.00 per Private Placement Warrant to the Sponsor, generating gross proceeds of $9.5 million. Each Private Placement Warrant is exercisable for one whole Class A ordinary share at a price of $11.50 per share.</w:t>
      </w:r>
    </w:p>
    <w:p>
      <w:pPr>
        <w:spacing w:after="0" w:line="184"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 portion of the proceeds from the sale of the Private Placement Warrants was added to the proceeds from the Initial Public Offering held in the Trust Account. If the Company does not complete a Business Combination within the Combination Period, the Private Placement Warrants will expire worthless. The Private Placement Warrants will be non-redeemable and exercisable on a cashless basis so long as they are held by the Sponsor or its permitted transferees.</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On December 31, 2019, the Sponsor agreed to loan the Company an aggregate of up to $300,000 to cover expenses related to the Initial Public Offering pursuant to a promissory note (the “Note”). This loan was non-interest bearing and payable upon the completion of the Initial Public Offering. The Company borrowed approximately $163,000 under the Note and fully repaid this amount on May 8, 2020.</w:t>
      </w:r>
    </w:p>
    <w:p>
      <w:pPr>
        <w:spacing w:after="0" w:line="184"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warrants of the post Business Combination entity at a price of $1.00 per warrant. The warrants would be identical to the Private Placement Warrants. As of March 31, 2021, the Company had no borrowings under the Working Capital Loans.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225" w:lineRule="exact"/>
        <w:rPr>
          <w:sz w:val="20"/>
          <w:szCs w:val="20"/>
          <w:color w:val="auto"/>
        </w:rPr>
      </w:pPr>
    </w:p>
    <w:p>
      <w:pPr>
        <w:jc w:val="both"/>
        <w:ind w:right="520" w:firstLine="648"/>
        <w:spacing w:after="0" w:line="279" w:lineRule="auto"/>
        <w:rPr>
          <w:sz w:val="20"/>
          <w:szCs w:val="20"/>
          <w:color w:val="auto"/>
        </w:rPr>
      </w:pPr>
      <w:r>
        <w:rPr>
          <w:rFonts w:ascii="Arial" w:cs="Arial" w:eastAsia="Arial" w:hAnsi="Arial"/>
          <w:sz w:val="17"/>
          <w:szCs w:val="17"/>
          <w:color w:val="auto"/>
        </w:rPr>
        <w:t>The Company entered into an agreement, commencing on May 8, 2020 through the earlier of the Company’s consummation of a Business Combination and its liquidation, to reimburse the Sponsor a total of $10,000 per month for office space, secretarial and administrative services. The Company incurred and paid $30,000 and $0 in expenses in connection with such services and recorded in general and administrative expenses in the statements of operations for the three months ended March 31, 2021, and 2020,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Commitments &amp;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and Shareholder Rights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holders of Founder Shares, Private Placement Warrants and warrants that may be issued upon conversion of Working Capital Loans, if any, will be entitled to registration rights (in the case of the Founder Shares, only after conversion of such shares to Class A ordinary shares) pursuant to a registration and shareholder rights agreement. These holders will be entitled to certain demand and “piggyback” registration rights. However, the registration and shareholder rights agreement provides that the Company will not permit any registration statement filed under the Securities Act to become effective until the termination of the applicable lock-up period for the securities to be registered. The Company will bear the expenses incurred in connection with the filing of any such registration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granted the underwriter a 45-day option from the date of the final prospectus relating to the Initial Public Offering to purchase up to 4,500,000 additional Units to cover over-allotments, if any, at $10.00 per Unit, less the underwriting discounts and commissions. The over-allotment option expired in June 2020.</w:t>
      </w:r>
    </w:p>
    <w:p>
      <w:pPr>
        <w:spacing w:after="0" w:line="184" w:lineRule="exact"/>
        <w:rPr>
          <w:sz w:val="20"/>
          <w:szCs w:val="20"/>
          <w:color w:val="auto"/>
        </w:rPr>
      </w:pPr>
    </w:p>
    <w:p>
      <w:pPr>
        <w:jc w:val="both"/>
        <w:ind w:right="300" w:firstLine="648"/>
        <w:spacing w:after="0" w:line="279" w:lineRule="auto"/>
        <w:rPr>
          <w:sz w:val="20"/>
          <w:szCs w:val="20"/>
          <w:color w:val="auto"/>
        </w:rPr>
      </w:pPr>
      <w:r>
        <w:rPr>
          <w:rFonts w:ascii="Arial" w:cs="Arial" w:eastAsia="Arial" w:hAnsi="Arial"/>
          <w:sz w:val="17"/>
          <w:szCs w:val="17"/>
          <w:color w:val="auto"/>
        </w:rPr>
        <w:t>The underwriter was entitled to an underwriting discount of $0.20 per unit, or $6.0 million in the aggregate paid upon the closing of the Initial Public Offering. In addition, $0.35 per unit, or $10.5 million in the aggregate will be payable to the underwriter for deferred underwriting commissions. The deferred underwriting commissions will become payable to the underwriter from the amounts held in the Trust Account solely in the event that the Company completes a Business Combination, subject to the terms of the underwriting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is receiving consulting services in connection with identification of potential targets for a Business Combination and due diligence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on such targets. As compensation for such services, the Company paid a nonrefundable fixed fee of $350,000 and agreed to pay the consulting firm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$2,650,000 solely in the event that the Company completes a Business Combination. The consulting agreement may be terminated early by either party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agreement provided that the Company pays a termination fee to the consulting firm determined based on a monthly increasing amount through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November 2021. The Company recognized $418,000 and $0 in general and administrative expenses within the statements of operations for the three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months ended March 31, 2021 and March 31, 2020, respectively. The termination fee accrued was $1,533,800 and $1,115,800 as of March 31, 2021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Preference Shares</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Company is authorized to issue 1,000,000 preference shares with such designations, voting and other rights and preferences as may be determined from time to time by the Company’s board of directors. As of March 31, 2021 and December 31, 2020, there were no preference shares issued or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Shares</w:t>
      </w:r>
    </w:p>
    <w:p>
      <w:pPr>
        <w:spacing w:after="0" w:line="225"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b w:val="1"/>
          <w:bCs w:val="1"/>
          <w:i w:val="1"/>
          <w:iCs w:val="1"/>
          <w:color w:val="auto"/>
        </w:rPr>
        <w:t xml:space="preserve">Class A Ordinary Shares </w:t>
      </w:r>
      <w:r>
        <w:rPr>
          <w:rFonts w:ascii="Arial" w:cs="Arial" w:eastAsia="Arial" w:hAnsi="Arial"/>
          <w:sz w:val="16"/>
          <w:szCs w:val="16"/>
          <w:color w:val="auto"/>
        </w:rPr>
        <w:t>— The Company is authorized to issue 300,000,000 Class A ordinary shares with a par value of $0.0001 per share.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March 31, 2021 and December 31, 2020, there were 30,000,000 Class A ordinary shares outstanding, including 30,000,000 and 22,726,721 Class A ordinary shares subject to possible redemption classified as temporary equity in the accompanying balance sheets, respectively.</w:t>
      </w:r>
    </w:p>
    <w:p>
      <w:pPr>
        <w:spacing w:after="0" w:line="149"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b w:val="1"/>
          <w:bCs w:val="1"/>
          <w:i w:val="1"/>
          <w:iCs w:val="1"/>
          <w:color w:val="auto"/>
        </w:rPr>
        <w:t xml:space="preserve">Class B Ordinary Shares </w:t>
      </w:r>
      <w:r>
        <w:rPr>
          <w:rFonts w:ascii="Arial" w:cs="Arial" w:eastAsia="Arial" w:hAnsi="Arial"/>
          <w:sz w:val="18"/>
          <w:szCs w:val="18"/>
          <w:color w:val="auto"/>
        </w:rPr>
        <w:t>— The Company is authorized to issue 30,000,000 Class B ordinary shares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B ordinary shares are entitled to one vote for each share. As of March 31, 2021 and December 31, 2020, there were 7,500,000 Class B ordinary shares outstanding.</w:t>
      </w:r>
    </w:p>
    <w:p>
      <w:pPr>
        <w:spacing w:after="0" w:line="18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Holders of the Class A ordinary shares and holders of the Class B ordinary shares will vote together as a single class on all matters submitted to a vote of the Company’s shareholders except as required by law.</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Class B ordinary shares will automatically convert into Class A ordinary shares at the time of the initial Business Combination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the Sponsor upon conversion of Working Capital Loans. Any conversion of Class B ordinary shares will take effect as a compulsory redemption of Class B ordinary shares and an issuance of Class A ordinary shares as a matter of Cayman Islands law. In no event will the Class B ordinary shares convert into Class A ordinary shares at a rate of less than one-to-one.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Fair Value Measurements</w:t>
      </w:r>
    </w:p>
    <w:p>
      <w:pPr>
        <w:spacing w:after="0" w:line="229"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fair value hierarchy for liabilities measured at fair value on a recurring basis as of March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March 31, 2021</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Warrant liabilities: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Public Warrants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13,500,000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13,500,000</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Private Placement Warrants</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8,550,000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8,550,000</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warrant liabilities</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13,500,000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8,550,000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22,050,000</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 Private Placement Warrants were valued using a modified Black Scholes Model including inputs from a Monte Carlo simulation, which is considered to be a Level 3 fair value measurement. The Monte Carlo simulation’s primary unobservable input utilized in determining the fair value of the Warrants is the probability of consummation of the Business Combination. The probability assigned to the consummation of the Business Combination was 88% which was estimated based on the observed success rates of business combinations for special purpose acquisition companies.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quantitative information regarding Level 3 fair value measurements inputs at their measurement dates: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As of</w:t>
            </w:r>
          </w:p>
        </w:tc>
        <w:tc>
          <w:tcPr>
            <w:tcW w:w="2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As of</w:t>
            </w:r>
          </w:p>
        </w:tc>
      </w:tr>
      <w:tr>
        <w:trPr>
          <w:trHeight w:val="216"/>
        </w:trPr>
        <w:tc>
          <w:tcPr>
            <w:tcW w:w="330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March 31,</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3300" w:type="dxa"/>
            <w:vAlign w:val="bottom"/>
            <w:tcBorders>
              <w:bottom w:val="single" w:sz="8" w:color="CCEEFF"/>
            </w:tcBorders>
          </w:tcPr>
          <w:p>
            <w:pPr>
              <w:spacing w:after="0"/>
              <w:rPr>
                <w:sz w:val="20"/>
                <w:szCs w:val="20"/>
                <w:color w:val="auto"/>
              </w:rPr>
            </w:pPr>
          </w:p>
        </w:tc>
        <w:tc>
          <w:tcPr>
            <w:tcW w:w="53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20"/>
                <w:szCs w:val="20"/>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Stock price</w:t>
            </w:r>
          </w:p>
        </w:tc>
        <w:tc>
          <w:tcPr>
            <w:tcW w:w="5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9.93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10.76</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Term</w:t>
            </w: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5.25</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5.25</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0.40%</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Dividend yield</w:t>
            </w: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330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655"/>
        </w:trPr>
        <w:tc>
          <w:tcPr>
            <w:tcW w:w="330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jc w:val="right"/>
              <w:ind w:right="279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660"/>
              <w:spacing w:after="0"/>
              <w:rPr>
                <w:sz w:val="20"/>
                <w:szCs w:val="20"/>
                <w:color w:val="auto"/>
              </w:rPr>
            </w:pPr>
            <w:r>
              <w:rPr>
                <w:rFonts w:ascii="Arial" w:cs="Arial" w:eastAsia="Arial" w:hAnsi="Arial"/>
                <w:sz w:val="18"/>
                <w:szCs w:val="18"/>
                <w:color w:val="auto"/>
              </w:rPr>
              <w:t>The following table presents the changes in the fair value of warrant liabilities: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Private</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Warrant</w:t>
            </w: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Placement</w:t>
            </w:r>
          </w:p>
        </w:tc>
        <w:tc>
          <w:tcPr>
            <w:tcW w:w="1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Public</w:t>
            </w:r>
          </w:p>
        </w:tc>
        <w:tc>
          <w:tcPr>
            <w:tcW w:w="14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Liabilities</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23,180,000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33,750,000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56,930,000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Recognized income on change in fair value</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(14,630,000)</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(20,250,000)</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(34,880,000)</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Fair value, March 31, 2021</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8,550,000</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22,050,000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Warrant Liability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right="40" w:firstLine="648"/>
        <w:spacing w:after="0" w:line="283" w:lineRule="auto"/>
        <w:rPr>
          <w:sz w:val="20"/>
          <w:szCs w:val="20"/>
          <w:color w:val="auto"/>
        </w:rPr>
      </w:pPr>
      <w:r>
        <w:rPr>
          <w:rFonts w:ascii="Arial" w:cs="Arial" w:eastAsia="Arial" w:hAnsi="Arial"/>
          <w:sz w:val="16"/>
          <w:szCs w:val="16"/>
          <w:color w:val="auto"/>
        </w:rPr>
        <w:t>Public Warrants may only be exercised for a whole number of shares. No fractional Public Warrants will be issued upon separation of the Units and only whole Public Warrants will trade. The Public Warrants will become exercisable on the later of (a) 30 days after the completion of a Business Combination or (b) 12 months from the closing of the Initial Public Offering; provided in each case that the Company has an effective registration statement under the Securities Act covering the issuance of the Class A ordinary shares issuable upon exercise of the warrants and a current prospectus relating to them is available and such shares are registered, qualified or exempt from registration under the securities, or blue sky, laws of the state of residence of the holder (or the Company permits holders to exercise their warrants on a cashless basis under certain circumstances). The Company has agreed that as soon as practicable, but in no event later than 20 business days, after the closing of a Business Combination, the Company will use its commercially reasonable efforts to file with the SEC a registration statement covering the Class A ordinary shares issuable upon exercise of the warrants and to maintain a current prospectus relating to those Class A ordinary shares until the warrants expire or are redeemed. If a registration statement covering</w:t>
      </w:r>
    </w:p>
    <w:p>
      <w:pPr>
        <w:spacing w:after="0" w:line="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Class A ordinary shares issuable upon exercise of the warrants is not effective by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The Public Warrants will expire five years after the completion of a Business Combination or earlier upon redemption or liquidation.</w:t>
      </w:r>
    </w:p>
    <w:p>
      <w:pPr>
        <w:spacing w:after="0" w:line="18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Each whole Public Warrant entitles the holder to purchase one Class A ordinary share at a price of $11.50 per share.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Company and, (i) in the case of any such issuance to the Sponsor or its affiliates, without taking into account any Founder Shares held by the Sponsor or such affiliates, as applicable, prior to such issuance, and (ii) without taking into account the transfer of Founder Shares or Private Placement Warrants (including if such transfer is effectuated as a surrender to us and subsequent reissuance by the Company) by the Sponsor in connection with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Company’s Class A ordinary shares during the 20-trading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discussed below will be adjusted (to the nearest cent) to be equal to 180% of the higher of the Market Value and the Newly Issued Price.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call the Public Warrants for redemption (except with respect to the Private Placement Warrants):</w:t>
      </w:r>
    </w:p>
    <w:p>
      <w:pPr>
        <w:spacing w:after="0" w:line="22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225" w:lineRule="exact"/>
        <w:rPr>
          <w:rFonts w:ascii="Arial" w:cs="Arial" w:eastAsia="Arial" w:hAnsi="Arial"/>
          <w:sz w:val="18"/>
          <w:szCs w:val="18"/>
          <w:color w:val="auto"/>
        </w:rPr>
      </w:pPr>
    </w:p>
    <w:p>
      <w:pPr>
        <w:ind w:left="980" w:right="420" w:hanging="324"/>
        <w:spacing w:after="0" w:line="311"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and only if, the closing price of the Company’s Class A ordinary shares equals or exceeds $18.00 per share (as adjusted for share subdivisions, share capitalizations, reorganizations, recapitalizations and the like) for any 20 trading days within a 30-trading day period ending on the third trading day prior to the date on which the Company sends the notice of redemption to the warrant holders.</w:t>
      </w:r>
    </w:p>
    <w:p>
      <w:pPr>
        <w:spacing w:after="0" w:line="14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17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Additionally, in no event will the Company be required to net cash settle any Warrants. If the Company is unable to complete the initial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w:t>
      </w:r>
    </w:p>
    <w:p>
      <w:pPr>
        <w:spacing w:after="0" w:line="229"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Company has evaluated subsequent events and transactions that occurred after the balance sheet date up to the date that the financial statements were issued. Based upon this review, other than as described in these financial statements, the Company did not identify any subsequent events that would have required adjustment or disclosure in the financial statements.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References to the “Company,” “Sustainable Opportunities Acquisition Corp.,” “our,” “us” or “we” refer to Sustainable Opportunities Acquisition Corp. The following discussion and analysis of the Company’s financial condition and results of operations should be read in conjunction with the unaudited consolidated financial statements and the notes thereto contained elsewhere in this report. Certain information contained in the discussion and analysis set forth below includes forward-looking statements that involve risks and uncertainties.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This Quarterly Report on Form 10-Q includes forward-looking statements within the meaning of Section 27A of the Securities Act of 1933, as amended (the “Securities Act”),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U.S. Securities and Exchange Commission (“SEC”) filings.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are a blank check company incorporated as a Cayman Islands exempted company on December 18, 2019 for the purpose of effecting a merger, share exchange, asset acquisition, share purchase, reorganization or similar business combination with one or more businesses that we have not yet identified (“Business Combination”). Although we are not limited to a particular industry or geographic region for purposes of consummating a Business Combination, we intend to focus within industries that benefit from strong Environmental, Social and Governance (“ESG”) profiles. While investing in ESG covers a broad range of themes, we are focused on evaluating suitable targets that have existing environmental sustainability practices or that may benefit, both operationally and economically, from our management team’s commitment and expertise in executing such practices. Our sponsor is Sustainable Opportunities Holdings LLC, a Delaware limited liability company (the “Sponsor”).</w:t>
      </w:r>
    </w:p>
    <w:p>
      <w:pPr>
        <w:spacing w:after="0" w:line="177"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The registration statement for our Initial Public Offering was declared effective on May 5, 2020. On May 8, 2020, we consummated our Initial Public Offering of 30,000,000 units (the “Units” and, with respect to the Class A ordinary shares included in the Units being offered, the “Public Shares”) at $10.00 per Unit, generating gross proceeds of $300.0 million, and incurring offering costs of approximately $17.4 million, inclusive of $10.5 million in deferred underwriting commissions. We granted the underwriter a 45-day option to purchase up to an additional 4,500,000 Units at the Initial Public Offering price to cover over-allotments, if any. To date, the over-allotment option has not yet been exercised.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1" w:name="page22"/>
    <w:bookmarkEnd w:id="21"/>
    <w:p>
      <w:pPr>
        <w:ind w:right="220" w:firstLine="648"/>
        <w:spacing w:after="0" w:line="263" w:lineRule="auto"/>
        <w:rPr>
          <w:sz w:val="20"/>
          <w:szCs w:val="20"/>
          <w:color w:val="auto"/>
        </w:rPr>
      </w:pPr>
      <w:r>
        <w:rPr>
          <w:rFonts w:ascii="Arial" w:cs="Arial" w:eastAsia="Arial" w:hAnsi="Arial"/>
          <w:sz w:val="18"/>
          <w:szCs w:val="18"/>
          <w:color w:val="auto"/>
        </w:rPr>
        <w:t>Simultaneously with the closing of the Initial Public Offering, we consummated the private placement (“Private Placement”) of 9,500,000 warrants (each, a “Private Placement Warrant” and collectively, the “Private Placement Warrants”) at a price of $1.00 per Private Placement Warrant in a private placement to our Sponsor, generating gross proceeds of $9.5 million.</w:t>
      </w:r>
    </w:p>
    <w:p>
      <w:pPr>
        <w:spacing w:after="0" w:line="18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Upon the closing of the Initial Public Offering and the Private Placement, $300.0 million ($10.00 per Unit) of the net proceeds of the sale of the Units in the Initial Public Offering and the Private Placement were placed in a trust account (the “Trust Account”), located in the United States at J.P. Morgan Chase Bank, N.A., with Continental Stock Transfer &amp; Trust Company acting as trustee, and invested only in U.S. government securities, within the meaning set forth in Section 2(a)(16) of the Investment Company Act, with a maturity of 185 days or less or in any open-ended investment company that holds itself out as a money market fund selected by us meeting the conditions of paragraphs (d)(2), (d)(3) and (d)(4) of Rule 2a-7 of the Investment Company Act, as determined by us, until the earlier of: (i) the completion of a Business Combination and (ii) the distribution of the Trust Account as described below. Our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w:t>
      </w:r>
    </w:p>
    <w:p>
      <w:pPr>
        <w:spacing w:after="0" w:line="19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If we are unable to complete a Business Combination within 18 months from the closing of the Initial Public Offering, or November 8, 2021 (the “Combination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for our tax obligations,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our board of directors, liquidate and dissolve, subject in the case of clauses (ii) and (iii), to our obligations under Cayman Islands law to provide for claims of creditors and the requirements of other applicable law.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Business Combination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On March 4, 2021, the Company entered into a Business Combination Agreement (the “Business Combination Agreement”) with NewCo Sub and DeepGreen. Pursuant to the Business Combination Agreement, the Company will migrate to and be continued as a company in British Columbia, Canada (the “SOAC Continuance”). Following the SOAC Continuance, pursuant to a plan of arrangement (the “Plan of Arrangement”) under the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Corporations Act </w:t>
      </w:r>
      <w:r>
        <w:rPr>
          <w:rFonts w:ascii="Arial" w:cs="Arial" w:eastAsia="Arial" w:hAnsi="Arial"/>
          <w:sz w:val="17"/>
          <w:szCs w:val="17"/>
          <w:color w:val="auto"/>
        </w:rPr>
        <w:t>(British Columbia), (i) the Company will acquire all of the issued and outstanding shares in the capital of DeepGreen (the “DeepGreen</w:t>
      </w:r>
      <w:r>
        <w:rPr>
          <w:rFonts w:ascii="Arial" w:cs="Arial" w:eastAsia="Arial" w:hAnsi="Arial"/>
          <w:sz w:val="17"/>
          <w:szCs w:val="17"/>
          <w:i w:val="1"/>
          <w:iCs w:val="1"/>
          <w:color w:val="auto"/>
        </w:rPr>
        <w:t xml:space="preserve"> </w:t>
      </w:r>
      <w:r>
        <w:rPr>
          <w:rFonts w:ascii="Arial" w:cs="Arial" w:eastAsia="Arial" w:hAnsi="Arial"/>
          <w:sz w:val="17"/>
          <w:szCs w:val="17"/>
          <w:color w:val="auto"/>
        </w:rPr>
        <w:t>Shares”) from DeepGreen shareholders in exchange for the Company’s ordinary shares and Company Earnout Shares (as defined in the Business Combination Agreement) (the “Share Exchange”), (ii) DeepGreen will become a wholly-owned subsidiary of the Company, and (iii) DeepGreen and NewCo Sub will amalgamate to continue as one unlimited liability company, in each case, on the terms and subject to the conditions set forth in the Business Combination Agreement and the Plan of Arrangement and in accordance with the provisions of applicable law. See the Company’s Current Report on Form 8-K, filed with the SEC on March 4, 2021, for further information.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Our entire activity from December 18, 2019 (inception) through May 8, 2020, was in preparation for our Initial Public Offering, and since such offering, our activity has been limited to the search for a prospective initial Business Combination. We will not generate any operating revenues until the closing and completion of our initial Business Combination.</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For the three months ended March 31, 2021, we had net income of $31,869,620, which consisted primarily of $34,880,000 related to the change in the fair value of the Company’s Warrants partially offset by $3,014,922 of general and administrative expenses.</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For the three months ended March 31, 2020, we had net loss of approximately $59,000, which consisted solely of general and administrative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we had cash of $1,169,714 and working capital deficit of $3,386,806.</w:t>
      </w:r>
    </w:p>
    <w:p>
      <w:pPr>
        <w:spacing w:after="0" w:line="225"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Subsequent to the consummation of the Initial Public Offering and the Private Placement Warrants, our liquidity has been satisfied through the proceeds from the consummation of the Private Placement not held in the Trust Account of approximately $3.1 million.</w:t>
      </w:r>
    </w:p>
    <w:p>
      <w:pPr>
        <w:spacing w:after="0" w:line="146"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Until the consummation of a Business Combination, we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We will need to raise additional capital through loans or additional investments from our Sponsor, shareholders, officers, directors, or third parties. Our officers, directors and Sponsor may, but are not obligated to, loan us funds, from time to time or at any time, in whatever amount they deem reasonable in their sole discretion, to meet our working capital needs through Working Capital loans. As of March 31, 2021, there were no amounts outstanding under any Working Capital Loans.</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Accordingly, we may not be able to obtain additional financing. If we are unable to raise additional capital, we may be required to take additional measures to conserve liquidity, which could include, but not necessarily be limited to, curtailing operations, suspending the pursuit of a potential transaction, and reducing overhead expenses. We cannot provide any assurance that new financing will be available to it on commercially acceptable terms, if at all. These conditions raise substantial doubt about our ability to continue as a going concern. These financial statements do not include any adjustments relating to the recovery of the recorded assets or the classification of the liabilities that might be necessary should we be unable to continue as a going concern.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right="140" w:firstLine="648"/>
        <w:spacing w:after="0" w:line="308" w:lineRule="auto"/>
        <w:rPr>
          <w:sz w:val="20"/>
          <w:szCs w:val="20"/>
          <w:color w:val="auto"/>
        </w:rPr>
      </w:pPr>
      <w:r>
        <w:rPr>
          <w:rFonts w:ascii="Arial" w:cs="Arial" w:eastAsia="Arial" w:hAnsi="Arial"/>
          <w:sz w:val="17"/>
          <w:szCs w:val="17"/>
          <w:color w:val="auto"/>
        </w:rPr>
        <w:t>We continue to evaluate the impact of the COVID-19 pandemic and have concluded that the specific impact is not readily determinable as of the date of the balance sheet. The financial statements do not include any adjustments that might result from the outcome of this uncertainty.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 Agreement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underwriter was entitled to an underwriting discount of $0.20 per unit, or $6.0 million in the aggregate paid upon the closing of the initial public offering. In addition, $0.35 per unit, or $10.5 million in the aggregate will be payable to the underwriter for deferred underwriting commissions. The deferred underwriting commissions will become payable to the underwriter from the amounts held in the Trust Account solely in the event that we complete a Business Combination, subject to the terms of the underwriting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Administrative Support Agreement</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entered into an agreement, commencing on May 8, 2020 through the earlier of our consummation of a Business Combination and our liquidation, to reimburse our Sponsor a total of $10,000 per month for office space, secretarial and administrative services. We incurred and paid $30,000 and $0 in expenses in connection with such services and recorded in general and administrative expenses in the statements of operations for the three months ended March 31, 2021 and March 31, 2020,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is receiving consulting services in connection with identification of potential targets for a Business Combination and due diligence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on such targets. As compensation for such services, the Company paid a nonrefundable fixed fee of $350,000 and agreed to pay the consulting firm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$2,650,000 solely in the event that the Company completes a Business Combination. The consulting agreement may be terminated early by either party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agreement provided that the Company pays a termination fee to the consulting firm determined based on a monthly increasing amount through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November 2021. the Company recognized $418,000 and $0 in general and administrative expenses within the statements of operations for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March 31, 2021 and March 31, 2020, respectively. The termination fee accrued was $1,533,800 and $1,115,800 as of March 31, 2021 and December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31, 2020,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The preparation of financial statements and related disclosures in conformity with accounting principles generally accepted in the United States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The Company has identified the following as its critical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our control) are classified as temporary equity. At all other times, Class A ordinary shares are classified as shareholders’ equity. Our Class A ordinary shares feature certain redemption rights that are considered to be outside of our control and subject to occurrence of uncertain future events. Accordingly, 30,000,000 Class A ordinary shares subject to possible redemption were presented at redemption value as temporary equity, outside of the shareholders’ equity section of our balance sheet.</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Warrant Liability</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do not use derivative instruments to hedge exposures to cash flow, market or foreign currency risks. We evaluate all of our financial instruments, including issued stock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w:t>
      </w:r>
    </w:p>
    <w:p>
      <w:pPr>
        <w:spacing w:after="0" w:line="18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issued an aggregate of 15,000,000 Public Warrants associated with Units issued to investors in our initial public offering and the underwriters’ exercise of their overallotment option and we issued 9,500,000 Private Placement Warrants. All of our outstanding warrants are recognized as derivative liabilities in accordance with ASC 815-40. Accordingly, we recognize the warrant instruments as liabilities at fair value and adjust the instruments to fair value at each reporting period. The liabilities are subject to remeasurement at each balance sheet date until exercised, and any change in fair value is recognized in the Company’s statement of operations. The fair value of warrants issued in connection with the initial public offering and Private Placement were initially measured at fair value using a Monte Carlo simulation model and subsequently, the fair value of the Private Placement warrants have been estimated using a modified Black Scholes Model including inputs from a Monte Carlo simulation. The fair value of warrants issued in connection with our initial public offering has subsequently been measured based on the listed market price of such warrants.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Ordinary Share</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apply the two-class method in calculating earnings per share. Net income (loss) per share is computed by dividing net income (loss) by the weighted-average number of ordinary shares outstanding during the periods. An aggregate of 30,000,000 Class A ordinary shares subject to possible redemption at March 31, 2021 has been excluded from the calculation of basic loss per ordinary share, since such shares, if redeemed, only participate in their pro rata share of the Trust earnings. We have not considered the effect of the warrants sold in the Initial Public Offering and Private Placement to purchase an aggregate of 24,500,000 Class A ordinary shares in the calculation of diluted loss per ordinary share, since the exercise of the warrants are contingent upon the occurrence of future events. As a result, diluted net income (loss) per ordinary share is the same as basic net income (loss) per ordinary share for the periods presented.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we did not have any off-balance sheet arrangements as defined in Item 303(a)(4)(ii) of Regulation S-K.</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such, our financial statements may not be comparable to companies that comply with public company effective dates.</w:t>
      </w:r>
    </w:p>
    <w:p>
      <w:pPr>
        <w:spacing w:after="0" w:line="19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of March 31, 2021, we were not subject to any market or interest rate risk. Following the consummation of our Initial Public Offering, the net proceeds of our Initial Public Offering, including amounts in the Trust Account, were invested in U.S. government treasury bills, notes or bonds or in certain money market funds that invest solely in direct U.S. government treasury obligations. Due to the short-term nature of these investments, we believe there will be no associated material exposure to interest rate risk.</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have not engaged in any hedging activities since our inception and we do not expect to engage in any hedging activities with respect to the market risk to which we are exposed.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In connection with the restatement of our financial statements described below, our management re-evaluated, with the participation of our current chief executive officer and chief financial officer (our “Certifying Officers”), the effectiveness of our disclosure controls and procedures as of March 31, 2021, pursuant to Rule 13a-15(b) under the Exchange Act. Based upon that evaluation, our Certifying Officers concluded that, solely due to the Company’s restatement of its financial statements to reclassify the Company’s Public Warrants and Private Placement Warrants as described in our Annual Report on Form 10-K/A for the year ended December 31, 2020 filed with the SEC on May 24, 2021, our disclosure controls and procedures were not effective as of March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the Exchange Act Rule 13a-15(f). Our internal control over financial reporting is designed to provide reasonable assurance to our management and board of directors regarding the preparation and fair presentation of published financial statements. A control system, no matter how well designed and operated, can only provide reasonable, not absolute, assurance that the objectives of the control system are met. Because of these inherent limitations, management does not expect that our internal control over financial reporting will prevent all error and all fraud. Management conducted an evaluation of our internal control over financial reporting based on the framework in Internal Control-Integrated Framework issued in 2013 by the Committee of Sponsoring Organizations of the Treadway Commission (the “2013 Framework”). Based on our evaluation under the 2013 Framework, management concluded that our internal control over financial reporting was not effective as of March 31, 2021.</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6" w:name="page27"/>
    <w:bookmarkEnd w:id="26"/>
    <w:p>
      <w:pPr>
        <w:ind w:firstLine="648"/>
        <w:spacing w:after="0" w:line="254" w:lineRule="auto"/>
        <w:rPr>
          <w:sz w:val="20"/>
          <w:szCs w:val="20"/>
          <w:color w:val="auto"/>
        </w:rPr>
      </w:pPr>
      <w:r>
        <w:rPr>
          <w:rFonts w:ascii="Arial" w:cs="Arial" w:eastAsia="Arial" w:hAnsi="Arial"/>
          <w:sz w:val="18"/>
          <w:szCs w:val="18"/>
          <w:color w:val="auto"/>
        </w:rPr>
        <w:t>In connection with the restatement of our financial statements on Form 10-K/A for the year ended December 31, 2020 filed with the SEC on May 24, 2021, our management, including our principal executive and financial officers, have evaluated the effectiveness of our internal control over financial reporting and concluded that we did not maintain effective internal control over financial reporting as of March 31, 2021 because of a material weakness in our internal control over financial reporting described below related to the accounting for a significant and unusual transaction related to the warrants we issued in connection with our Initial Public Offering. Notwithstanding the material weakness described below, our management has concluded that the financial statements included in this Annual Report are fairly stated in all material respects in accordance with U.S. GAAP for each of the periods presented herein.</w:t>
      </w:r>
    </w:p>
    <w:p>
      <w:pPr>
        <w:spacing w:after="0" w:line="19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connection with the restatement of previously issued financial statements described below, management identified a material weakness in our internal control over financial reporting related to the accounting for a significant and unusual transaction related to the warrants we issued in connection with the Initial Public Offering. This material weakness resulted in a material misstatement of our warrant liability, change in fair value of warrant liability, additional paid-in capital and accumulated deficit as of and for the period from December 18, 2019 (inception) through December 31, 2019 and for the year ended December 31, 2020.</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To respond to this material weakness, we have devoted, and plan to continue to devote, significant effort and resources to the remediation and improvement of our internal control over financial reporting. While we have processes to identify and appropriately apply applicable accounting requirements, we plan to enhance these processes to better evaluate our research and understanding of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Restatement of Previously Issued Financial Statements</w:t>
      </w:r>
    </w:p>
    <w:p>
      <w:pPr>
        <w:spacing w:after="0" w:line="225"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On May 24, 2021, we revised our prior position on accounting for warrants and restated our financial statements in an amended Form 10-K/A for the year ended December 31, 2020. However, the non-cash adjustments to the financial statements do not impact the amounts previously reported for our cash and cash equivalents, total assets, revenue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Due solely to the events that led to our restatement of our financial statements, management has identified a material weakness in internal controls related to the accounting for warrants issued in connection with our initial public offering. Management has implemented remediation steps to address the material weakness and to improve our internal control over financial reporting. Specifically, we expanded and improved our review process for complex securities and related accounting standards. We plan to further improve this process by enhancing access to accounting literature, identification of third-party professionals with whom to consult regarding complex accounting applications and consideration of additional staff with the requisite experience and training to supplement existing accounting professionals.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center"/>
        <w:ind w:right="94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As of the date of this Quarterly Report on Form 10-Q, there have been no material changes to the risk factors disclosed in our Annual Report as amended on Form 10-K/A for the year ended December 31, 2020 filed with the SEC on May 24, 2021, except for the below risk factor. We may disclose changes to such factors or disclose additional factors from time to time in our future filings with the SEC.</w:t>
      </w:r>
    </w:p>
    <w:p>
      <w:pPr>
        <w:spacing w:after="0" w:line="165"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b w:val="1"/>
          <w:bCs w:val="1"/>
          <w:i w:val="1"/>
          <w:i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12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memorandum and articles of association, our public shareholders are entitled to receive their pro-rata share of the proceeds held in the trust account, plus any interest income, net of income taxes paid or payable (less, in the case we are unable to complete our initial business combination, $100,000 of interest to pay dissolution expenses). Negative interest rates could reduce the value of the assets held in trust such that the per-share redemption amount received by public shareholders may be less than $10.00 per 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 from 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On December 31, 2019, the Sponsor paid $25,000, or approximately $0.003 per share, in consideration of 8,625,000 Class B ordinary shares, par value $0.0001 per share. Such securities were issued in connection with the Company’s organization pursuant to the exemption from registration contained in Section 4(a)(2) of the Securities Act.</w:t>
      </w:r>
    </w:p>
    <w:p>
      <w:pPr>
        <w:spacing w:after="0" w:line="184"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On May 5, 2020, the Sponsor purchased 9,500,000 Private Placement Warrants, each exercisable to purchase one ordinary share at $11.50 per share, at a price of $1.00 per warrant ($9,500,000 in the aggregate), in a private placement that closed simultaneously with the closing of the Initial Public Offering. This issuance was made pursuant to the exemption from registration contained in Section 4(a)(2) of the Securities Act.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Use of Proceeds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connection with the Initial Public Offering, we incurred offering costs of approximately $17.4 million (including deferred underwriting commissions of approximately $10.5 million). Other incurred offering costs consisted principally preparation fees related to the Initial Public Offering. After deducting the underwriting discounts and commissions (excluding the deferred portion, which amount will be payable upon consummation of the Initial Business Combination, if consummated) and the Initial Public Offering expenses, $300 million of the net proceeds from our Initial Public Offering and certain of the proceeds from the private placement of the Private Placement Warrants (or $10.00 per Unit sold in the Initial Public Offering) was placed in the Trust Account. The net proceeds of the Initial Public Offering and certain proceeds from the sale of the Private Placement Warrants are held in the Trust Account and invested as described elsewhere in this Quarterly Report on Form 10-Q.</w:t>
      </w:r>
    </w:p>
    <w:p>
      <w:pPr>
        <w:spacing w:after="0" w:line="17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There has been no material change in the planned use of the proceeds from the Initial Public Offering and Private Placement as is described in the Company’s final prospectus related to the Initial Public Offering.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center"/>
        <w:ind w:right="99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10000" w:type="dxa"/>
            <w:vAlign w:val="bottom"/>
            <w:tcBorders>
              <w:bottom w:val="single" w:sz="8" w:color="auto"/>
            </w:tcBorders>
            <w:gridSpan w:val="21"/>
          </w:tcPr>
          <w:p>
            <w:pPr>
              <w:ind w:left="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15"/>
                <w:szCs w:val="15"/>
                <w:color w:val="auto"/>
              </w:rPr>
            </w:pPr>
          </w:p>
        </w:tc>
        <w:tc>
          <w:tcPr>
            <w:tcW w:w="9640" w:type="dxa"/>
            <w:vAlign w:val="bottom"/>
            <w:tcBorders>
              <w:bottom w:val="single" w:sz="8" w:color="0000EE"/>
            </w:tcBorders>
            <w:gridSpan w:val="17"/>
            <w:shd w:val="clear" w:color="auto" w:fill="CCEEFF"/>
          </w:tcPr>
          <w:p>
            <w:pPr>
              <w:ind w:left="20"/>
              <w:spacing w:after="0" w:line="176" w:lineRule="exact"/>
              <w:rPr>
                <w:rFonts w:ascii="Arial" w:cs="Arial" w:eastAsia="Arial" w:hAnsi="Arial"/>
                <w:sz w:val="18"/>
                <w:szCs w:val="18"/>
                <w:color w:val="0000EE"/>
                <w:w w:val="90"/>
              </w:rPr>
            </w:pPr>
            <w:hyperlink r:id="rId43">
              <w:r>
                <w:rPr>
                  <w:rFonts w:ascii="Arial" w:cs="Arial" w:eastAsia="Arial" w:hAnsi="Arial"/>
                  <w:sz w:val="18"/>
                  <w:szCs w:val="18"/>
                  <w:color w:val="0000EE"/>
                  <w:w w:val="90"/>
                </w:rPr>
                <w:t>Business Combination Agreement, dated as of March 4, 2021, by and among Sustainable Acquisition Corp., 1291924 B.C. Unlimited</w:t>
              </w:r>
            </w:hyperlink>
          </w:p>
        </w:tc>
        <w:tc>
          <w:tcPr>
            <w:tcW w:w="360" w:type="dxa"/>
            <w:vAlign w:val="bottom"/>
            <w:tcBorders>
              <w:bottom w:val="single" w:sz="8" w:color="CCEEFF"/>
            </w:tcBorders>
            <w:gridSpan w:val="4"/>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21"/>
            <w:shd w:val="clear" w:color="auto" w:fill="CCEEFF"/>
          </w:tcPr>
          <w:p>
            <w:pPr>
              <w:ind w:left="20"/>
              <w:spacing w:after="0" w:line="196" w:lineRule="exact"/>
              <w:rPr>
                <w:rFonts w:ascii="Arial" w:cs="Arial" w:eastAsia="Arial" w:hAnsi="Arial"/>
                <w:sz w:val="18"/>
                <w:szCs w:val="18"/>
                <w:color w:val="0000EE"/>
                <w:w w:val="94"/>
              </w:rPr>
            </w:pPr>
            <w:hyperlink r:id="rId43">
              <w:r>
                <w:rPr>
                  <w:rFonts w:ascii="Arial" w:cs="Arial" w:eastAsia="Arial" w:hAnsi="Arial"/>
                  <w:sz w:val="18"/>
                  <w:szCs w:val="18"/>
                  <w:color w:val="0000EE"/>
                  <w:w w:val="94"/>
                </w:rPr>
                <w:t>Liability Company, an unlimited liability company existing under the laws of British Columbia, Canada, and DeepGreen Metals Inc., a</w:t>
              </w:r>
            </w:hyperlink>
          </w:p>
        </w:tc>
        <w:tc>
          <w:tcPr>
            <w:tcW w:w="0" w:type="dxa"/>
            <w:vAlign w:val="bottom"/>
          </w:tcPr>
          <w:p>
            <w:pPr>
              <w:spacing w:after="0"/>
              <w:rPr>
                <w:sz w:val="1"/>
                <w:szCs w:val="1"/>
                <w:color w:val="auto"/>
              </w:rPr>
            </w:pPr>
          </w:p>
        </w:tc>
      </w:tr>
      <w:tr>
        <w:trPr>
          <w:trHeight w:val="169"/>
        </w:trPr>
        <w:tc>
          <w:tcPr>
            <w:tcW w:w="1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540" w:type="dxa"/>
            <w:vAlign w:val="bottom"/>
            <w:tcBorders>
              <w:top w:val="single" w:sz="8" w:color="0000EE"/>
              <w:bottom w:val="single" w:sz="8" w:color="0000EE"/>
            </w:tcBorders>
            <w:gridSpan w:val="8"/>
            <w:vMerge w:val="restart"/>
            <w:shd w:val="clear" w:color="auto" w:fill="CCEEFF"/>
          </w:tcPr>
          <w:p>
            <w:pPr>
              <w:ind w:left="20"/>
              <w:spacing w:after="0"/>
              <w:rPr>
                <w:rFonts w:ascii="Arial" w:cs="Arial" w:eastAsia="Arial" w:hAnsi="Arial"/>
                <w:sz w:val="18"/>
                <w:szCs w:val="18"/>
                <w:color w:val="0000EE"/>
                <w:w w:val="90"/>
              </w:rPr>
            </w:pPr>
            <w:hyperlink r:id="rId43">
              <w:r>
                <w:rPr>
                  <w:rFonts w:ascii="Arial" w:cs="Arial" w:eastAsia="Arial" w:hAnsi="Arial"/>
                  <w:sz w:val="18"/>
                  <w:szCs w:val="18"/>
                  <w:color w:val="0000EE"/>
                  <w:w w:val="90"/>
                </w:rPr>
                <w:t>company existing under the laws of British Columbia, Canada.</w:t>
              </w:r>
            </w:hyperlink>
          </w:p>
        </w:tc>
        <w:tc>
          <w:tcPr>
            <w:tcW w:w="180" w:type="dxa"/>
            <w:vAlign w:val="bottom"/>
            <w:tcBorders>
              <w:top w:val="single" w:sz="8" w:color="0000EE"/>
              <w:bottom w:val="single" w:sz="8" w:color="0000EE"/>
            </w:tcBorders>
            <w:gridSpan w:val="2"/>
            <w:shd w:val="clear" w:color="auto" w:fill="CCEEFF"/>
          </w:tcPr>
          <w:p>
            <w:pPr>
              <w:jc w:val="right"/>
              <w:spacing w:after="0" w:line="156" w:lineRule="exact"/>
              <w:rPr>
                <w:rFonts w:ascii="Arial" w:cs="Arial" w:eastAsia="Arial" w:hAnsi="Arial"/>
                <w:sz w:val="15"/>
                <w:szCs w:val="15"/>
                <w:color w:val="0000EE"/>
                <w:w w:val="87"/>
              </w:rPr>
            </w:pPr>
            <w:hyperlink r:id="rId43">
              <w:r>
                <w:rPr>
                  <w:rFonts w:ascii="Arial" w:cs="Arial" w:eastAsia="Arial" w:hAnsi="Arial"/>
                  <w:sz w:val="15"/>
                  <w:szCs w:val="15"/>
                  <w:color w:val="0000EE"/>
                  <w:w w:val="87"/>
                </w:rPr>
                <w:t>(1)</w:t>
              </w:r>
            </w:hyperlink>
          </w:p>
        </w:tc>
        <w:tc>
          <w:tcPr>
            <w:tcW w:w="4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2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14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8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442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14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140" w:type="dxa"/>
            <w:vAlign w:val="bottom"/>
            <w:tcBorders>
              <w:top w:val="single" w:sz="8" w:color="0000EE"/>
              <w:bottom w:val="single" w:sz="8" w:color="0000EE"/>
            </w:tcBorders>
            <w:gridSpan w:val="2"/>
            <w:vMerge w:val="restart"/>
            <w:shd w:val="clear" w:color="auto" w:fill="CCEEFF"/>
          </w:tcPr>
          <w:p>
            <w:pPr>
              <w:spacing w:after="0"/>
              <w:rPr>
                <w:sz w:val="14"/>
                <w:szCs w:val="14"/>
                <w:color w:val="auto"/>
              </w:rPr>
            </w:pPr>
          </w:p>
        </w:tc>
        <w:tc>
          <w:tcPr>
            <w:tcW w:w="2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260" w:type="dxa"/>
            <w:vAlign w:val="bottom"/>
            <w:tcBorders>
              <w:top w:val="single" w:sz="8" w:color="CCEEFF"/>
              <w:bottom w:val="single" w:sz="8" w:color="CCEEFF"/>
            </w:tcBorders>
            <w:vMerge w:val="restart"/>
            <w:shd w:val="clear" w:color="auto" w:fill="CCEEFF"/>
          </w:tcPr>
          <w:p>
            <w:pPr>
              <w:spacing w:after="0"/>
              <w:rPr>
                <w:sz w:val="14"/>
                <w:szCs w:val="14"/>
                <w:color w:val="auto"/>
              </w:rPr>
            </w:pPr>
          </w:p>
        </w:tc>
        <w:tc>
          <w:tcPr>
            <w:tcW w:w="20" w:type="dxa"/>
            <w:vAlign w:val="bottom"/>
            <w:tcBorders>
              <w:top w:val="single" w:sz="8" w:color="CCEEFF"/>
              <w:bottom w:val="single" w:sz="8" w:color="CCEEFF"/>
            </w:tcBorders>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11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540" w:type="dxa"/>
            <w:vAlign w:val="bottom"/>
            <w:tcBorders>
              <w:bottom w:val="single" w:sz="8" w:color="0000EE"/>
            </w:tcBorders>
            <w:gridSpan w:val="8"/>
            <w:vMerge w:val="continue"/>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442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gridSpan w:val="2"/>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tcBorders>
          </w:tcPr>
          <w:p>
            <w:pPr>
              <w:spacing w:after="0"/>
              <w:rPr>
                <w:sz w:val="12"/>
                <w:szCs w:val="12"/>
                <w:color w:val="auto"/>
              </w:rPr>
            </w:pPr>
          </w:p>
        </w:tc>
        <w:tc>
          <w:tcPr>
            <w:tcW w:w="4760" w:type="dxa"/>
            <w:vAlign w:val="bottom"/>
            <w:tcBorders>
              <w:top w:val="single" w:sz="8" w:color="CCEEFF"/>
              <w:bottom w:val="single" w:sz="8" w:color="CCEEFF"/>
            </w:tcBorders>
            <w:gridSpan w:val="11"/>
            <w:vMerge w:val="restart"/>
          </w:tcPr>
          <w:p>
            <w:pPr>
              <w:ind w:left="20"/>
              <w:spacing w:after="0"/>
              <w:rPr>
                <w:rFonts w:ascii="Arial" w:cs="Arial" w:eastAsia="Arial" w:hAnsi="Arial"/>
                <w:sz w:val="18"/>
                <w:szCs w:val="18"/>
                <w:color w:val="0000EE"/>
                <w:w w:val="92"/>
              </w:rPr>
            </w:pPr>
            <w:hyperlink r:id="rId44">
              <w:r>
                <w:rPr>
                  <w:rFonts w:ascii="Arial" w:cs="Arial" w:eastAsia="Arial" w:hAnsi="Arial"/>
                  <w:sz w:val="18"/>
                  <w:szCs w:val="18"/>
                  <w:color w:val="0000EE"/>
                  <w:w w:val="92"/>
                </w:rPr>
                <w:t>Form of PIPE Subscription Agreement for institutional investors.</w:t>
              </w:r>
            </w:hyperlink>
          </w:p>
        </w:tc>
        <w:tc>
          <w:tcPr>
            <w:tcW w:w="160" w:type="dxa"/>
            <w:vAlign w:val="bottom"/>
            <w:tcBorders>
              <w:top w:val="single" w:sz="8" w:color="CCEEFF"/>
              <w:bottom w:val="single" w:sz="8" w:color="0000EE"/>
            </w:tcBorders>
            <w:gridSpan w:val="2"/>
          </w:tcPr>
          <w:p>
            <w:pPr>
              <w:jc w:val="right"/>
              <w:spacing w:after="0" w:line="129" w:lineRule="exact"/>
              <w:rPr>
                <w:rFonts w:ascii="Arial" w:cs="Arial" w:eastAsia="Arial" w:hAnsi="Arial"/>
                <w:sz w:val="14"/>
                <w:szCs w:val="14"/>
                <w:color w:val="0000EE"/>
                <w:w w:val="81"/>
              </w:rPr>
            </w:pPr>
            <w:hyperlink r:id="rId44">
              <w:r>
                <w:rPr>
                  <w:rFonts w:ascii="Arial" w:cs="Arial" w:eastAsia="Arial" w:hAnsi="Arial"/>
                  <w:sz w:val="14"/>
                  <w:szCs w:val="14"/>
                  <w:color w:val="0000EE"/>
                  <w:w w:val="81"/>
                </w:rPr>
                <w:t>(1)</w:t>
              </w:r>
            </w:hyperlink>
          </w:p>
        </w:tc>
        <w:tc>
          <w:tcPr>
            <w:tcW w:w="80" w:type="dxa"/>
            <w:vAlign w:val="bottom"/>
            <w:tcBorders>
              <w:top w:val="single" w:sz="8" w:color="CCEEFF"/>
              <w:bottom w:val="single" w:sz="8" w:color="CCEEFF"/>
            </w:tcBorders>
            <w:vMerge w:val="restart"/>
          </w:tcPr>
          <w:p>
            <w:pPr>
              <w:spacing w:after="0"/>
              <w:rPr>
                <w:sz w:val="12"/>
                <w:szCs w:val="12"/>
                <w:color w:val="auto"/>
              </w:rPr>
            </w:pPr>
          </w:p>
        </w:tc>
        <w:tc>
          <w:tcPr>
            <w:tcW w:w="4420" w:type="dxa"/>
            <w:vAlign w:val="bottom"/>
            <w:tcBorders>
              <w:top w:val="single" w:sz="8" w:color="CCEEFF"/>
              <w:bottom w:val="single" w:sz="8" w:color="CCEEFF"/>
            </w:tcBorders>
            <w:vMerge w:val="restart"/>
          </w:tcPr>
          <w:p>
            <w:pPr>
              <w:spacing w:after="0"/>
              <w:rPr>
                <w:sz w:val="12"/>
                <w:szCs w:val="12"/>
                <w:color w:val="auto"/>
              </w:rPr>
            </w:pPr>
          </w:p>
        </w:tc>
        <w:tc>
          <w:tcPr>
            <w:tcW w:w="140" w:type="dxa"/>
            <w:vAlign w:val="bottom"/>
            <w:tcBorders>
              <w:top w:val="single" w:sz="8" w:color="CCEEFF"/>
              <w:bottom w:val="single" w:sz="8" w:color="CCEEFF"/>
            </w:tcBorders>
            <w:vMerge w:val="restart"/>
          </w:tcPr>
          <w:p>
            <w:pPr>
              <w:spacing w:after="0"/>
              <w:rPr>
                <w:sz w:val="12"/>
                <w:szCs w:val="12"/>
                <w:color w:val="auto"/>
              </w:rPr>
            </w:pPr>
          </w:p>
        </w:tc>
        <w:tc>
          <w:tcPr>
            <w:tcW w:w="140" w:type="dxa"/>
            <w:vAlign w:val="bottom"/>
            <w:tcBorders>
              <w:top w:val="single" w:sz="8" w:color="CCEEFF"/>
              <w:bottom w:val="single" w:sz="8" w:color="CCEEFF"/>
            </w:tcBorders>
            <w:gridSpan w:val="2"/>
            <w:vMerge w:val="restart"/>
          </w:tcPr>
          <w:p>
            <w:pPr>
              <w:spacing w:after="0"/>
              <w:rPr>
                <w:sz w:val="12"/>
                <w:szCs w:val="12"/>
                <w:color w:val="auto"/>
              </w:rPr>
            </w:pPr>
          </w:p>
        </w:tc>
        <w:tc>
          <w:tcPr>
            <w:tcW w:w="280" w:type="dxa"/>
            <w:vAlign w:val="bottom"/>
            <w:tcBorders>
              <w:top w:val="single" w:sz="8" w:color="CCEEFF"/>
              <w:bottom w:val="single" w:sz="8" w:color="CCEEFF"/>
            </w:tcBorders>
            <w:gridSpan w:val="2"/>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760" w:type="dxa"/>
            <w:vAlign w:val="bottom"/>
            <w:tcBorders>
              <w:bottom w:val="single" w:sz="8" w:color="0000EE"/>
            </w:tcBorders>
            <w:gridSpan w:val="11"/>
            <w:vMerge w:val="continue"/>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442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14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12"/>
                <w:szCs w:val="12"/>
                <w:color w:val="auto"/>
              </w:rPr>
            </w:pPr>
          </w:p>
        </w:tc>
        <w:tc>
          <w:tcPr>
            <w:tcW w:w="4580" w:type="dxa"/>
            <w:vAlign w:val="bottom"/>
            <w:tcBorders>
              <w:bottom w:val="single" w:sz="8" w:color="CCEEFF"/>
            </w:tcBorders>
            <w:gridSpan w:val="9"/>
            <w:vMerge w:val="restart"/>
            <w:shd w:val="clear" w:color="auto" w:fill="CCEEFF"/>
          </w:tcPr>
          <w:p>
            <w:pPr>
              <w:ind w:left="20"/>
              <w:spacing w:after="0"/>
              <w:rPr>
                <w:rFonts w:ascii="Arial" w:cs="Arial" w:eastAsia="Arial" w:hAnsi="Arial"/>
                <w:sz w:val="18"/>
                <w:szCs w:val="18"/>
                <w:color w:val="0000EE"/>
                <w:w w:val="90"/>
              </w:rPr>
            </w:pPr>
            <w:hyperlink r:id="rId45">
              <w:r>
                <w:rPr>
                  <w:rFonts w:ascii="Arial" w:cs="Arial" w:eastAsia="Arial" w:hAnsi="Arial"/>
                  <w:sz w:val="18"/>
                  <w:szCs w:val="18"/>
                  <w:color w:val="0000EE"/>
                  <w:w w:val="90"/>
                </w:rPr>
                <w:t>Form of PIPE Subscription Agreement for accredited investors.</w:t>
              </w:r>
            </w:hyperlink>
          </w:p>
        </w:tc>
        <w:tc>
          <w:tcPr>
            <w:tcW w:w="200" w:type="dxa"/>
            <w:vAlign w:val="bottom"/>
            <w:tcBorders>
              <w:bottom w:val="single" w:sz="8" w:color="0000EE"/>
            </w:tcBorders>
            <w:gridSpan w:val="3"/>
            <w:shd w:val="clear" w:color="auto" w:fill="CCEEFF"/>
          </w:tcPr>
          <w:p>
            <w:pPr>
              <w:jc w:val="right"/>
              <w:spacing w:after="0" w:line="129" w:lineRule="exact"/>
              <w:rPr>
                <w:rFonts w:ascii="Arial" w:cs="Arial" w:eastAsia="Arial" w:hAnsi="Arial"/>
                <w:sz w:val="14"/>
                <w:szCs w:val="14"/>
                <w:color w:val="0000EE"/>
                <w:w w:val="93"/>
              </w:rPr>
            </w:pPr>
            <w:hyperlink r:id="rId45">
              <w:r>
                <w:rPr>
                  <w:rFonts w:ascii="Arial" w:cs="Arial" w:eastAsia="Arial" w:hAnsi="Arial"/>
                  <w:sz w:val="14"/>
                  <w:szCs w:val="14"/>
                  <w:color w:val="0000EE"/>
                  <w:w w:val="93"/>
                </w:rPr>
                <w:t>(1)</w:t>
              </w:r>
            </w:hyperlink>
          </w:p>
        </w:tc>
        <w:tc>
          <w:tcPr>
            <w:tcW w:w="220" w:type="dxa"/>
            <w:vAlign w:val="bottom"/>
            <w:tcBorders>
              <w:bottom w:val="single" w:sz="8" w:color="CCEEFF"/>
            </w:tcBorders>
            <w:gridSpan w:val="2"/>
            <w:vMerge w:val="restart"/>
            <w:shd w:val="clear" w:color="auto" w:fill="CCEEFF"/>
          </w:tcPr>
          <w:p>
            <w:pPr>
              <w:spacing w:after="0"/>
              <w:rPr>
                <w:sz w:val="12"/>
                <w:szCs w:val="12"/>
                <w:color w:val="auto"/>
              </w:rPr>
            </w:pPr>
          </w:p>
        </w:tc>
        <w:tc>
          <w:tcPr>
            <w:tcW w:w="442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gridSpan w:val="2"/>
            <w:vMerge w:val="restart"/>
            <w:shd w:val="clear" w:color="auto" w:fill="CCEEFF"/>
          </w:tcPr>
          <w:p>
            <w:pPr>
              <w:spacing w:after="0"/>
              <w:rPr>
                <w:sz w:val="12"/>
                <w:szCs w:val="12"/>
                <w:color w:val="auto"/>
              </w:rPr>
            </w:pPr>
          </w:p>
        </w:tc>
        <w:tc>
          <w:tcPr>
            <w:tcW w:w="280" w:type="dxa"/>
            <w:vAlign w:val="bottom"/>
            <w:tcBorders>
              <w:bottom w:val="single" w:sz="8" w:color="CCEEFF"/>
            </w:tcBorders>
            <w:gridSpan w:val="2"/>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14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580" w:type="dxa"/>
            <w:vAlign w:val="bottom"/>
            <w:tcBorders>
              <w:bottom w:val="single" w:sz="8" w:color="0000EE"/>
            </w:tcBorders>
            <w:gridSpan w:val="9"/>
            <w:vMerge w:val="continue"/>
            <w:shd w:val="clear" w:color="auto" w:fill="CCEEFF"/>
          </w:tcPr>
          <w:p>
            <w:pPr>
              <w:spacing w:after="0"/>
              <w:rPr>
                <w:sz w:val="5"/>
                <w:szCs w:val="5"/>
                <w:color w:val="auto"/>
              </w:rPr>
            </w:pPr>
          </w:p>
        </w:tc>
        <w:tc>
          <w:tcPr>
            <w:tcW w:w="200" w:type="dxa"/>
            <w:vAlign w:val="bottom"/>
            <w:tcBorders>
              <w:bottom w:val="single" w:sz="8" w:color="CCEEFF"/>
            </w:tcBorders>
            <w:gridSpan w:val="3"/>
            <w:shd w:val="clear" w:color="auto" w:fill="CCEEFF"/>
          </w:tcPr>
          <w:p>
            <w:pPr>
              <w:spacing w:after="0"/>
              <w:rPr>
                <w:sz w:val="5"/>
                <w:szCs w:val="5"/>
                <w:color w:val="auto"/>
              </w:rPr>
            </w:pPr>
          </w:p>
        </w:tc>
        <w:tc>
          <w:tcPr>
            <w:tcW w:w="220" w:type="dxa"/>
            <w:vAlign w:val="bottom"/>
            <w:tcBorders>
              <w:bottom w:val="single" w:sz="8" w:color="CCEEFF"/>
            </w:tcBorders>
            <w:gridSpan w:val="2"/>
            <w:vMerge w:val="continue"/>
            <w:shd w:val="clear" w:color="auto" w:fill="CCEEFF"/>
          </w:tcPr>
          <w:p>
            <w:pPr>
              <w:spacing w:after="0"/>
              <w:rPr>
                <w:sz w:val="5"/>
                <w:szCs w:val="5"/>
                <w:color w:val="auto"/>
              </w:rPr>
            </w:pPr>
          </w:p>
        </w:tc>
        <w:tc>
          <w:tcPr>
            <w:tcW w:w="442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gridSpan w:val="2"/>
            <w:vMerge w:val="continue"/>
            <w:shd w:val="clear" w:color="auto" w:fill="CCEEFF"/>
          </w:tcPr>
          <w:p>
            <w:pPr>
              <w:spacing w:after="0"/>
              <w:rPr>
                <w:sz w:val="5"/>
                <w:szCs w:val="5"/>
                <w:color w:val="auto"/>
              </w:rPr>
            </w:pPr>
          </w:p>
        </w:tc>
        <w:tc>
          <w:tcPr>
            <w:tcW w:w="280" w:type="dxa"/>
            <w:vAlign w:val="bottom"/>
            <w:tcBorders>
              <w:bottom w:val="single" w:sz="8" w:color="CCEEFF"/>
            </w:tcBorders>
            <w:gridSpan w:val="2"/>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CCEEFF"/>
            </w:tcBorders>
          </w:tcPr>
          <w:p>
            <w:pPr>
              <w:spacing w:after="0"/>
              <w:rPr>
                <w:sz w:val="12"/>
                <w:szCs w:val="12"/>
                <w:color w:val="auto"/>
              </w:rPr>
            </w:pPr>
          </w:p>
        </w:tc>
        <w:tc>
          <w:tcPr>
            <w:tcW w:w="2980" w:type="dxa"/>
            <w:vAlign w:val="bottom"/>
            <w:tcBorders>
              <w:top w:val="single" w:sz="8" w:color="CCEEFF"/>
              <w:bottom w:val="single" w:sz="8" w:color="CCEEFF"/>
            </w:tcBorders>
            <w:gridSpan w:val="5"/>
            <w:vMerge w:val="restart"/>
          </w:tcPr>
          <w:p>
            <w:pPr>
              <w:ind w:left="20"/>
              <w:spacing w:after="0"/>
              <w:rPr>
                <w:rFonts w:ascii="Arial" w:cs="Arial" w:eastAsia="Arial" w:hAnsi="Arial"/>
                <w:sz w:val="18"/>
                <w:szCs w:val="18"/>
                <w:color w:val="0000EE"/>
                <w:w w:val="89"/>
              </w:rPr>
            </w:pPr>
            <w:hyperlink r:id="rId46">
              <w:r>
                <w:rPr>
                  <w:rFonts w:ascii="Arial" w:cs="Arial" w:eastAsia="Arial" w:hAnsi="Arial"/>
                  <w:sz w:val="18"/>
                  <w:szCs w:val="18"/>
                  <w:color w:val="0000EE"/>
                  <w:w w:val="89"/>
                </w:rPr>
                <w:t>Form of Transaction Support Agreement.</w:t>
              </w:r>
            </w:hyperlink>
          </w:p>
        </w:tc>
        <w:tc>
          <w:tcPr>
            <w:tcW w:w="180" w:type="dxa"/>
            <w:vAlign w:val="bottom"/>
            <w:tcBorders>
              <w:top w:val="single" w:sz="8" w:color="CCEEFF"/>
              <w:bottom w:val="single" w:sz="8" w:color="0000EE"/>
            </w:tcBorders>
          </w:tcPr>
          <w:p>
            <w:pPr>
              <w:jc w:val="right"/>
              <w:spacing w:after="0" w:line="129" w:lineRule="exact"/>
              <w:rPr>
                <w:rFonts w:ascii="Arial" w:cs="Arial" w:eastAsia="Arial" w:hAnsi="Arial"/>
                <w:sz w:val="14"/>
                <w:szCs w:val="14"/>
                <w:color w:val="0000EE"/>
                <w:w w:val="93"/>
              </w:rPr>
            </w:pPr>
            <w:hyperlink r:id="rId46">
              <w:r>
                <w:rPr>
                  <w:rFonts w:ascii="Arial" w:cs="Arial" w:eastAsia="Arial" w:hAnsi="Arial"/>
                  <w:sz w:val="14"/>
                  <w:szCs w:val="14"/>
                  <w:color w:val="0000EE"/>
                  <w:w w:val="93"/>
                </w:rPr>
                <w:t>(1)</w:t>
              </w:r>
            </w:hyperlink>
          </w:p>
        </w:tc>
        <w:tc>
          <w:tcPr>
            <w:tcW w:w="1160" w:type="dxa"/>
            <w:vAlign w:val="bottom"/>
            <w:tcBorders>
              <w:top w:val="single" w:sz="8" w:color="CCEEFF"/>
              <w:bottom w:val="single" w:sz="8" w:color="CCEEFF"/>
            </w:tcBorders>
            <w:vMerge w:val="restart"/>
          </w:tcPr>
          <w:p>
            <w:pPr>
              <w:spacing w:after="0"/>
              <w:rPr>
                <w:sz w:val="12"/>
                <w:szCs w:val="12"/>
                <w:color w:val="auto"/>
              </w:rPr>
            </w:pPr>
          </w:p>
        </w:tc>
        <w:tc>
          <w:tcPr>
            <w:tcW w:w="680" w:type="dxa"/>
            <w:vAlign w:val="bottom"/>
            <w:tcBorders>
              <w:top w:val="single" w:sz="8" w:color="CCEEFF"/>
              <w:bottom w:val="single" w:sz="8" w:color="CCEEFF"/>
            </w:tcBorders>
            <w:gridSpan w:val="7"/>
            <w:vMerge w:val="restart"/>
          </w:tcPr>
          <w:p>
            <w:pPr>
              <w:spacing w:after="0"/>
              <w:rPr>
                <w:sz w:val="12"/>
                <w:szCs w:val="12"/>
                <w:color w:val="auto"/>
              </w:rPr>
            </w:pPr>
          </w:p>
        </w:tc>
        <w:tc>
          <w:tcPr>
            <w:tcW w:w="4420" w:type="dxa"/>
            <w:vAlign w:val="bottom"/>
            <w:tcBorders>
              <w:top w:val="single" w:sz="8" w:color="CCEEFF"/>
              <w:bottom w:val="single" w:sz="8" w:color="CCEEFF"/>
            </w:tcBorders>
            <w:vMerge w:val="restart"/>
          </w:tcPr>
          <w:p>
            <w:pPr>
              <w:spacing w:after="0"/>
              <w:rPr>
                <w:sz w:val="12"/>
                <w:szCs w:val="12"/>
                <w:color w:val="auto"/>
              </w:rPr>
            </w:pPr>
          </w:p>
        </w:tc>
        <w:tc>
          <w:tcPr>
            <w:tcW w:w="140" w:type="dxa"/>
            <w:vAlign w:val="bottom"/>
            <w:tcBorders>
              <w:top w:val="single" w:sz="8" w:color="CCEEFF"/>
              <w:bottom w:val="single" w:sz="8" w:color="CCEEFF"/>
            </w:tcBorders>
            <w:vMerge w:val="restart"/>
          </w:tcPr>
          <w:p>
            <w:pPr>
              <w:spacing w:after="0"/>
              <w:rPr>
                <w:sz w:val="12"/>
                <w:szCs w:val="12"/>
                <w:color w:val="auto"/>
              </w:rPr>
            </w:pPr>
          </w:p>
        </w:tc>
        <w:tc>
          <w:tcPr>
            <w:tcW w:w="140" w:type="dxa"/>
            <w:vAlign w:val="bottom"/>
            <w:tcBorders>
              <w:top w:val="single" w:sz="8" w:color="CCEEFF"/>
              <w:bottom w:val="single" w:sz="8" w:color="CCEEFF"/>
            </w:tcBorders>
            <w:gridSpan w:val="2"/>
            <w:vMerge w:val="restart"/>
          </w:tcPr>
          <w:p>
            <w:pPr>
              <w:spacing w:after="0"/>
              <w:rPr>
                <w:sz w:val="12"/>
                <w:szCs w:val="12"/>
                <w:color w:val="auto"/>
              </w:rPr>
            </w:pPr>
          </w:p>
        </w:tc>
        <w:tc>
          <w:tcPr>
            <w:tcW w:w="280" w:type="dxa"/>
            <w:vAlign w:val="bottom"/>
            <w:tcBorders>
              <w:top w:val="single" w:sz="8" w:color="CCEEFF"/>
              <w:bottom w:val="single" w:sz="8" w:color="CCEEFF"/>
            </w:tcBorders>
            <w:gridSpan w:val="2"/>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980" w:type="dxa"/>
            <w:vAlign w:val="bottom"/>
            <w:tcBorders>
              <w:bottom w:val="single" w:sz="8" w:color="0000EE"/>
            </w:tcBorders>
            <w:gridSpan w:val="5"/>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680" w:type="dxa"/>
            <w:vAlign w:val="bottom"/>
            <w:gridSpan w:val="7"/>
            <w:vMerge w:val="continue"/>
          </w:tcPr>
          <w:p>
            <w:pPr>
              <w:spacing w:after="0"/>
              <w:rPr>
                <w:sz w:val="4"/>
                <w:szCs w:val="4"/>
                <w:color w:val="auto"/>
              </w:rPr>
            </w:pPr>
          </w:p>
        </w:tc>
        <w:tc>
          <w:tcPr>
            <w:tcW w:w="442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5"/>
                <w:szCs w:val="15"/>
                <w:color w:val="auto"/>
              </w:rPr>
            </w:pPr>
          </w:p>
        </w:tc>
        <w:tc>
          <w:tcPr>
            <w:tcW w:w="10000" w:type="dxa"/>
            <w:vAlign w:val="bottom"/>
            <w:gridSpan w:val="21"/>
            <w:shd w:val="clear" w:color="auto" w:fill="CCEEFF"/>
          </w:tcPr>
          <w:p>
            <w:pPr>
              <w:ind w:left="20"/>
              <w:spacing w:after="0" w:line="176" w:lineRule="exact"/>
              <w:rPr>
                <w:rFonts w:ascii="Arial" w:cs="Arial" w:eastAsia="Arial" w:hAnsi="Arial"/>
                <w:sz w:val="18"/>
                <w:szCs w:val="18"/>
                <w:color w:val="0000EE"/>
                <w:w w:val="93"/>
              </w:rPr>
            </w:pPr>
            <w:hyperlink r:id="rId47">
              <w:r>
                <w:rPr>
                  <w:rFonts w:ascii="Arial" w:cs="Arial" w:eastAsia="Arial" w:hAnsi="Arial"/>
                  <w:sz w:val="18"/>
                  <w:szCs w:val="18"/>
                  <w:color w:val="0000EE"/>
                  <w:w w:val="93"/>
                </w:rPr>
                <w:t>Sponsor Letter Agreement, dated as of March 4, 2021, by and among the Registrant, certain other holders party thereto, Sponsor and</w:t>
              </w:r>
            </w:hyperlink>
          </w:p>
        </w:tc>
        <w:tc>
          <w:tcPr>
            <w:tcW w:w="0" w:type="dxa"/>
            <w:vAlign w:val="bottom"/>
          </w:tcPr>
          <w:p>
            <w:pPr>
              <w:spacing w:after="0"/>
              <w:rPr>
                <w:sz w:val="1"/>
                <w:szCs w:val="1"/>
                <w:color w:val="auto"/>
              </w:rPr>
            </w:pPr>
          </w:p>
        </w:tc>
      </w:tr>
      <w:tr>
        <w:trPr>
          <w:trHeight w:val="169"/>
        </w:trPr>
        <w:tc>
          <w:tcPr>
            <w:tcW w:w="1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720" w:type="dxa"/>
            <w:vAlign w:val="bottom"/>
            <w:tcBorders>
              <w:top w:val="single" w:sz="8" w:color="0000EE"/>
              <w:bottom w:val="single" w:sz="8" w:color="0000EE"/>
            </w:tcBorders>
            <w:gridSpan w:val="3"/>
            <w:vMerge w:val="restart"/>
            <w:shd w:val="clear" w:color="auto" w:fill="CCEEFF"/>
          </w:tcPr>
          <w:p>
            <w:pPr>
              <w:ind w:left="20"/>
              <w:spacing w:after="0"/>
              <w:rPr>
                <w:rFonts w:ascii="Arial" w:cs="Arial" w:eastAsia="Arial" w:hAnsi="Arial"/>
                <w:sz w:val="18"/>
                <w:szCs w:val="18"/>
                <w:color w:val="0000EE"/>
                <w:w w:val="88"/>
              </w:rPr>
            </w:pPr>
            <w:hyperlink r:id="rId47">
              <w:r>
                <w:rPr>
                  <w:rFonts w:ascii="Arial" w:cs="Arial" w:eastAsia="Arial" w:hAnsi="Arial"/>
                  <w:sz w:val="18"/>
                  <w:szCs w:val="18"/>
                  <w:color w:val="0000EE"/>
                  <w:w w:val="88"/>
                </w:rPr>
                <w:t>DeepGreen Metals, Inc.</w:t>
              </w:r>
            </w:hyperlink>
          </w:p>
        </w:tc>
        <w:tc>
          <w:tcPr>
            <w:tcW w:w="180" w:type="dxa"/>
            <w:vAlign w:val="bottom"/>
            <w:tcBorders>
              <w:top w:val="single" w:sz="8" w:color="0000EE"/>
              <w:bottom w:val="single" w:sz="8" w:color="0000EE"/>
            </w:tcBorders>
            <w:shd w:val="clear" w:color="auto" w:fill="CCEEFF"/>
          </w:tcPr>
          <w:p>
            <w:pPr>
              <w:jc w:val="right"/>
              <w:spacing w:after="0" w:line="156" w:lineRule="exact"/>
              <w:rPr>
                <w:rFonts w:ascii="Arial" w:cs="Arial" w:eastAsia="Arial" w:hAnsi="Arial"/>
                <w:sz w:val="15"/>
                <w:szCs w:val="15"/>
                <w:color w:val="0000EE"/>
                <w:w w:val="87"/>
              </w:rPr>
            </w:pPr>
            <w:hyperlink r:id="rId47">
              <w:r>
                <w:rPr>
                  <w:rFonts w:ascii="Arial" w:cs="Arial" w:eastAsia="Arial" w:hAnsi="Arial"/>
                  <w:sz w:val="15"/>
                  <w:szCs w:val="15"/>
                  <w:color w:val="0000EE"/>
                  <w:w w:val="87"/>
                </w:rPr>
                <w:t>(1)</w:t>
              </w:r>
            </w:hyperlink>
          </w:p>
        </w:tc>
        <w:tc>
          <w:tcPr>
            <w:tcW w:w="2420" w:type="dxa"/>
            <w:vAlign w:val="bottom"/>
            <w:tcBorders>
              <w:top w:val="single" w:sz="8" w:color="0000EE"/>
              <w:bottom w:val="single" w:sz="8" w:color="0000EE"/>
            </w:tcBorders>
            <w:gridSpan w:val="3"/>
            <w:vMerge w:val="restart"/>
            <w:shd w:val="clear" w:color="auto" w:fill="CCEEFF"/>
          </w:tcPr>
          <w:p>
            <w:pPr>
              <w:spacing w:after="0"/>
              <w:rPr>
                <w:sz w:val="14"/>
                <w:szCs w:val="14"/>
                <w:color w:val="auto"/>
              </w:rPr>
            </w:pPr>
          </w:p>
        </w:tc>
        <w:tc>
          <w:tcPr>
            <w:tcW w:w="680" w:type="dxa"/>
            <w:vAlign w:val="bottom"/>
            <w:tcBorders>
              <w:top w:val="single" w:sz="8" w:color="0000EE"/>
              <w:bottom w:val="single" w:sz="8" w:color="0000EE"/>
            </w:tcBorders>
            <w:gridSpan w:val="7"/>
            <w:vMerge w:val="restart"/>
            <w:shd w:val="clear" w:color="auto" w:fill="CCEEFF"/>
          </w:tcPr>
          <w:p>
            <w:pPr>
              <w:spacing w:after="0"/>
              <w:rPr>
                <w:sz w:val="14"/>
                <w:szCs w:val="14"/>
                <w:color w:val="auto"/>
              </w:rPr>
            </w:pPr>
          </w:p>
        </w:tc>
        <w:tc>
          <w:tcPr>
            <w:tcW w:w="442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14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140" w:type="dxa"/>
            <w:vAlign w:val="bottom"/>
            <w:tcBorders>
              <w:top w:val="single" w:sz="8" w:color="CCEEFF"/>
              <w:bottom w:val="single" w:sz="8" w:color="CCEEFF"/>
            </w:tcBorders>
            <w:gridSpan w:val="2"/>
            <w:vMerge w:val="restart"/>
            <w:shd w:val="clear" w:color="auto" w:fill="CCEEFF"/>
          </w:tcPr>
          <w:p>
            <w:pPr>
              <w:spacing w:after="0"/>
              <w:rPr>
                <w:sz w:val="14"/>
                <w:szCs w:val="14"/>
                <w:color w:val="auto"/>
              </w:rPr>
            </w:pPr>
          </w:p>
        </w:tc>
        <w:tc>
          <w:tcPr>
            <w:tcW w:w="280" w:type="dxa"/>
            <w:vAlign w:val="bottom"/>
            <w:tcBorders>
              <w:top w:val="single" w:sz="8" w:color="CCEEFF"/>
              <w:bottom w:val="single" w:sz="8" w:color="CCEEFF"/>
            </w:tcBorders>
            <w:gridSpan w:val="2"/>
            <w:vMerge w:val="restart"/>
            <w:shd w:val="clear" w:color="auto" w:fill="CCEEFF"/>
          </w:tcPr>
          <w:p>
            <w:pPr>
              <w:spacing w:after="0"/>
              <w:rPr>
                <w:sz w:val="14"/>
                <w:szCs w:val="14"/>
                <w:color w:val="auto"/>
              </w:rPr>
            </w:pPr>
          </w:p>
        </w:tc>
        <w:tc>
          <w:tcPr>
            <w:tcW w:w="20" w:type="dxa"/>
            <w:vAlign w:val="bottom"/>
            <w:tcBorders>
              <w:top w:val="single" w:sz="8" w:color="CCEEFF"/>
              <w:bottom w:val="single" w:sz="8" w:color="CCEEFF"/>
            </w:tcBorders>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11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720" w:type="dxa"/>
            <w:vAlign w:val="bottom"/>
            <w:tcBorders>
              <w:bottom w:val="single" w:sz="8" w:color="0000EE"/>
            </w:tcBorders>
            <w:gridSpan w:val="3"/>
            <w:vMerge w:val="continue"/>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2420" w:type="dxa"/>
            <w:vAlign w:val="bottom"/>
            <w:tcBorders>
              <w:bottom w:val="single" w:sz="8" w:color="CCEEFF"/>
            </w:tcBorders>
            <w:gridSpan w:val="3"/>
            <w:vMerge w:val="continue"/>
            <w:shd w:val="clear" w:color="auto" w:fill="CCEEFF"/>
          </w:tcPr>
          <w:p>
            <w:pPr>
              <w:spacing w:after="0"/>
              <w:rPr>
                <w:sz w:val="5"/>
                <w:szCs w:val="5"/>
                <w:color w:val="auto"/>
              </w:rPr>
            </w:pPr>
          </w:p>
        </w:tc>
        <w:tc>
          <w:tcPr>
            <w:tcW w:w="680" w:type="dxa"/>
            <w:vAlign w:val="bottom"/>
            <w:tcBorders>
              <w:bottom w:val="single" w:sz="8" w:color="CCEEFF"/>
            </w:tcBorders>
            <w:gridSpan w:val="7"/>
            <w:vMerge w:val="continue"/>
            <w:shd w:val="clear" w:color="auto" w:fill="CCEEFF"/>
          </w:tcPr>
          <w:p>
            <w:pPr>
              <w:spacing w:after="0"/>
              <w:rPr>
                <w:sz w:val="5"/>
                <w:szCs w:val="5"/>
                <w:color w:val="auto"/>
              </w:rPr>
            </w:pPr>
          </w:p>
        </w:tc>
        <w:tc>
          <w:tcPr>
            <w:tcW w:w="442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gridSpan w:val="2"/>
            <w:vMerge w:val="continue"/>
            <w:shd w:val="clear" w:color="auto" w:fill="CCEEFF"/>
          </w:tcPr>
          <w:p>
            <w:pPr>
              <w:spacing w:after="0"/>
              <w:rPr>
                <w:sz w:val="5"/>
                <w:szCs w:val="5"/>
                <w:color w:val="auto"/>
              </w:rPr>
            </w:pPr>
          </w:p>
        </w:tc>
        <w:tc>
          <w:tcPr>
            <w:tcW w:w="280" w:type="dxa"/>
            <w:vAlign w:val="bottom"/>
            <w:tcBorders>
              <w:bottom w:val="single" w:sz="8" w:color="CCEEFF"/>
            </w:tcBorders>
            <w:gridSpan w:val="2"/>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31.1*</w:t>
            </w:r>
          </w:p>
        </w:tc>
        <w:tc>
          <w:tcPr>
            <w:tcW w:w="100" w:type="dxa"/>
            <w:vAlign w:val="bottom"/>
            <w:tcBorders>
              <w:top w:val="single" w:sz="8" w:color="CCEEFF"/>
            </w:tcBorders>
          </w:tcPr>
          <w:p>
            <w:pPr>
              <w:spacing w:after="0"/>
              <w:rPr>
                <w:sz w:val="15"/>
                <w:szCs w:val="15"/>
                <w:color w:val="auto"/>
              </w:rPr>
            </w:pPr>
          </w:p>
        </w:tc>
        <w:tc>
          <w:tcPr>
            <w:tcW w:w="9420" w:type="dxa"/>
            <w:vAlign w:val="bottom"/>
            <w:tcBorders>
              <w:top w:val="single" w:sz="8" w:color="CCEEFF"/>
              <w:bottom w:val="single" w:sz="8" w:color="0000EE"/>
            </w:tcBorders>
            <w:gridSpan w:val="15"/>
          </w:tcPr>
          <w:p>
            <w:pPr>
              <w:ind w:left="20"/>
              <w:spacing w:after="0" w:line="17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Certification of Chief Executive Officer Pursuant to Rules 13a-14(a) and 15d-14(a) under the Securities Exchange Act of 1934, as</w:t>
              </w:r>
            </w:hyperlink>
          </w:p>
        </w:tc>
        <w:tc>
          <w:tcPr>
            <w:tcW w:w="580" w:type="dxa"/>
            <w:vAlign w:val="bottom"/>
            <w:tcBorders>
              <w:top w:val="single" w:sz="8" w:color="CCEEFF"/>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1"/>
          </w:tcPr>
          <w:p>
            <w:pPr>
              <w:ind w:left="20"/>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5"/>
                <w:szCs w:val="15"/>
                <w:color w:val="auto"/>
              </w:rPr>
            </w:pPr>
          </w:p>
        </w:tc>
        <w:tc>
          <w:tcPr>
            <w:tcW w:w="10000" w:type="dxa"/>
            <w:vAlign w:val="bottom"/>
            <w:gridSpan w:val="21"/>
            <w:shd w:val="clear" w:color="auto" w:fill="CCEEFF"/>
          </w:tcPr>
          <w:p>
            <w:pPr>
              <w:ind w:left="20"/>
              <w:spacing w:after="0" w:line="17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Certification of Chief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980" w:type="dxa"/>
            <w:vAlign w:val="bottom"/>
            <w:tcBorders>
              <w:top w:val="single" w:sz="8" w:color="0000EE"/>
            </w:tcBorders>
            <w:gridSpan w:val="20"/>
            <w:shd w:val="clear" w:color="auto" w:fill="CCEEFF"/>
          </w:tcPr>
          <w:p>
            <w:pPr>
              <w:ind w:left="20"/>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Pursuant to Section 302 of the Sarbanes-Oxley Act of 2002.</w:t>
              </w:r>
            </w:hyperlink>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32.1*</w:t>
            </w:r>
          </w:p>
        </w:tc>
        <w:tc>
          <w:tcPr>
            <w:tcW w:w="100" w:type="dxa"/>
            <w:vAlign w:val="bottom"/>
          </w:tcPr>
          <w:p>
            <w:pPr>
              <w:spacing w:after="0"/>
              <w:rPr>
                <w:sz w:val="15"/>
                <w:szCs w:val="15"/>
                <w:color w:val="auto"/>
              </w:rPr>
            </w:pPr>
          </w:p>
        </w:tc>
        <w:tc>
          <w:tcPr>
            <w:tcW w:w="10000" w:type="dxa"/>
            <w:vAlign w:val="bottom"/>
            <w:gridSpan w:val="21"/>
          </w:tcPr>
          <w:p>
            <w:pPr>
              <w:ind w:left="20"/>
              <w:spacing w:after="0" w:line="176"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Certification of Principal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60" w:type="dxa"/>
            <w:vAlign w:val="bottom"/>
            <w:tcBorders>
              <w:top w:val="single" w:sz="8" w:color="0000EE"/>
            </w:tcBorders>
            <w:gridSpan w:val="16"/>
          </w:tcPr>
          <w:p>
            <w:pPr>
              <w:ind w:left="20"/>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Oxley Act of 2002</w:t>
              </w:r>
            </w:hyperlink>
          </w:p>
        </w:tc>
        <w:tc>
          <w:tcPr>
            <w:tcW w:w="4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5"/>
                <w:szCs w:val="15"/>
                <w:color w:val="auto"/>
              </w:rPr>
            </w:pPr>
          </w:p>
        </w:tc>
        <w:tc>
          <w:tcPr>
            <w:tcW w:w="10000" w:type="dxa"/>
            <w:vAlign w:val="bottom"/>
            <w:gridSpan w:val="21"/>
            <w:shd w:val="clear" w:color="auto" w:fill="CCEEFF"/>
          </w:tcPr>
          <w:p>
            <w:pPr>
              <w:ind w:left="20"/>
              <w:spacing w:after="0" w:line="176" w:lineRule="exact"/>
              <w:rPr>
                <w:rFonts w:ascii="Arial" w:cs="Arial" w:eastAsia="Arial" w:hAnsi="Arial"/>
                <w:sz w:val="18"/>
                <w:szCs w:val="18"/>
                <w:color w:val="0000EE"/>
                <w:w w:val="93"/>
              </w:rPr>
            </w:pPr>
            <w:hyperlink w:anchor="page34">
              <w:r>
                <w:rPr>
                  <w:rFonts w:ascii="Arial" w:cs="Arial" w:eastAsia="Arial" w:hAnsi="Arial"/>
                  <w:sz w:val="18"/>
                  <w:szCs w:val="18"/>
                  <w:color w:val="0000EE"/>
                  <w:w w:val="93"/>
                </w:rPr>
                <w:t>Certification of Chief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700" w:type="dxa"/>
            <w:vAlign w:val="bottom"/>
            <w:tcBorders>
              <w:top w:val="single" w:sz="8" w:color="0000EE"/>
            </w:tcBorders>
            <w:gridSpan w:val="18"/>
            <w:shd w:val="clear" w:color="auto" w:fill="CCEEFF"/>
          </w:tcPr>
          <w:p>
            <w:pPr>
              <w:ind w:left="20"/>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Act of 2002</w:t>
              </w:r>
            </w:hyperlink>
          </w:p>
        </w:tc>
        <w:tc>
          <w:tcPr>
            <w:tcW w:w="300" w:type="dxa"/>
            <w:vAlign w:val="bottom"/>
            <w:tcBorders>
              <w:top w:val="single" w:sz="8" w:color="CCEEFF"/>
            </w:tcBorders>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18"/>
                <w:szCs w:val="18"/>
                <w:color w:val="auto"/>
              </w:rPr>
            </w:pPr>
          </w:p>
        </w:tc>
        <w:tc>
          <w:tcPr>
            <w:tcW w:w="10000" w:type="dxa"/>
            <w:vAlign w:val="bottom"/>
            <w:gridSpan w:val="21"/>
          </w:tcPr>
          <w:p>
            <w:pPr>
              <w:ind w:left="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0" w:type="dxa"/>
            <w:vAlign w:val="bottom"/>
            <w:shd w:val="clear" w:color="auto" w:fill="CCEEFF"/>
          </w:tcPr>
          <w:p>
            <w:pPr>
              <w:spacing w:after="0"/>
              <w:rPr>
                <w:sz w:val="18"/>
                <w:szCs w:val="18"/>
                <w:color w:val="auto"/>
              </w:rPr>
            </w:pPr>
          </w:p>
        </w:tc>
        <w:tc>
          <w:tcPr>
            <w:tcW w:w="10000" w:type="dxa"/>
            <w:vAlign w:val="bottom"/>
            <w:gridSpan w:val="21"/>
            <w:shd w:val="clear" w:color="auto" w:fill="CCEEFF"/>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18"/>
                <w:szCs w:val="18"/>
                <w:color w:val="auto"/>
              </w:rPr>
            </w:pPr>
          </w:p>
        </w:tc>
        <w:tc>
          <w:tcPr>
            <w:tcW w:w="10000" w:type="dxa"/>
            <w:vAlign w:val="bottom"/>
            <w:gridSpan w:val="21"/>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0" w:type="dxa"/>
            <w:vAlign w:val="bottom"/>
            <w:shd w:val="clear" w:color="auto" w:fill="CCEEFF"/>
          </w:tcPr>
          <w:p>
            <w:pPr>
              <w:spacing w:after="0"/>
              <w:rPr>
                <w:sz w:val="18"/>
                <w:szCs w:val="18"/>
                <w:color w:val="auto"/>
              </w:rPr>
            </w:pPr>
          </w:p>
        </w:tc>
        <w:tc>
          <w:tcPr>
            <w:tcW w:w="10000" w:type="dxa"/>
            <w:vAlign w:val="bottom"/>
            <w:gridSpan w:val="21"/>
            <w:shd w:val="clear" w:color="auto" w:fill="CCEEFF"/>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18"/>
                <w:szCs w:val="18"/>
                <w:color w:val="auto"/>
              </w:rPr>
            </w:pPr>
          </w:p>
        </w:tc>
        <w:tc>
          <w:tcPr>
            <w:tcW w:w="10000" w:type="dxa"/>
            <w:vAlign w:val="bottom"/>
            <w:gridSpan w:val="21"/>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0" w:type="dxa"/>
            <w:vAlign w:val="bottom"/>
            <w:shd w:val="clear" w:color="auto" w:fill="CCEEFF"/>
          </w:tcPr>
          <w:p>
            <w:pPr>
              <w:spacing w:after="0"/>
              <w:rPr>
                <w:sz w:val="18"/>
                <w:szCs w:val="18"/>
                <w:color w:val="auto"/>
              </w:rPr>
            </w:pPr>
          </w:p>
        </w:tc>
        <w:tc>
          <w:tcPr>
            <w:tcW w:w="10000" w:type="dxa"/>
            <w:vAlign w:val="bottom"/>
            <w:gridSpan w:val="21"/>
            <w:shd w:val="clear" w:color="auto" w:fill="CCEEFF"/>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60" w:hanging="332"/>
        <w:spacing w:after="0" w:line="34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w:t>
      </w:r>
    </w:p>
    <w:p>
      <w:pPr>
        <w:spacing w:after="0" w:line="124" w:lineRule="exact"/>
        <w:rPr>
          <w:sz w:val="20"/>
          <w:szCs w:val="20"/>
          <w:color w:val="auto"/>
        </w:rPr>
      </w:pPr>
    </w:p>
    <w:p>
      <w:pPr>
        <w:ind w:left="5540" w:right="2840" w:hanging="5532"/>
        <w:spacing w:after="0" w:line="778" w:lineRule="auto"/>
        <w:tabs>
          <w:tab w:leader="none" w:pos="338"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filed with the SEC on March 4, 2021.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24, 2021</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Scott Leonard</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340" w:right="21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Scott Leonard, certify that:</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March 31, 2021 of Sustainable Opportunities Acquisition Corp.;</w:t>
      </w:r>
    </w:p>
    <w:p>
      <w:pPr>
        <w:spacing w:after="0" w:line="236"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4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225"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0" w:hanging="652"/>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460" w:hanging="644"/>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24, 2021</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Scott Leonard</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22"/>
          <w:szCs w:val="22"/>
          <w:b w:val="1"/>
          <w:bCs w:val="1"/>
          <w:color w:val="auto"/>
        </w:rPr>
        <w:t>EXHIBIT 31.2</w:t>
      </w:r>
    </w:p>
    <w:p>
      <w:pPr>
        <w:spacing w:after="0" w:line="243" w:lineRule="exact"/>
        <w:rPr>
          <w:sz w:val="20"/>
          <w:szCs w:val="20"/>
          <w:color w:val="auto"/>
        </w:rPr>
      </w:pPr>
    </w:p>
    <w:p>
      <w:pPr>
        <w:jc w:val="center"/>
        <w:ind w:left="340" w:right="21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David Quiram, certify that:</w:t>
      </w:r>
    </w:p>
    <w:p>
      <w:pPr>
        <w:spacing w:after="0" w:line="22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March 31, 2021 of Sustainable Opportunities Acquisition Corp.;</w:t>
      </w:r>
    </w:p>
    <w:p>
      <w:pPr>
        <w:spacing w:after="0" w:line="236"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4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225"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0" w:hanging="652"/>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460" w:hanging="644"/>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24, 2021</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David Quiram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David Quiram</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1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In connection with the Quarterly Report of Sustainable Opportunities Acquisition Corp.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quarter ended March 31, 2021,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Scott Leonard, Chief Executive Officer of the Company, certify, pursuant to 18 U.S.C. Section 1350, as adopted pursuant to Section 906 of the Sarbanes-Oxley Act of 2002, that, to my knowledge:</w:t>
      </w:r>
    </w:p>
    <w:p>
      <w:pPr>
        <w:spacing w:after="0" w:line="149"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0" w:firstLine="8"/>
        <w:spacing w:after="0" w:line="500"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24, 2021</w:t>
      </w:r>
    </w:p>
    <w:p>
      <w:pPr>
        <w:spacing w:after="0" w:line="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802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2802890" cy="1714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Scott Leonard</w:t>
      </w:r>
    </w:p>
    <w:p>
      <w:pPr>
        <w:spacing w:after="0" w:line="23" w:lineRule="exact"/>
        <w:rPr>
          <w:sz w:val="20"/>
          <w:szCs w:val="20"/>
          <w:color w:val="auto"/>
        </w:rPr>
      </w:pPr>
    </w:p>
    <w:p>
      <w:pPr>
        <w:ind w:left="6820"/>
        <w:spacing w:after="0"/>
        <w:tabs>
          <w:tab w:leader="none" w:pos="73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9"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1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22"/>
          <w:szCs w:val="22"/>
          <w:b w:val="1"/>
          <w:bCs w:val="1"/>
          <w:color w:val="auto"/>
        </w:rPr>
        <w:t>EXHIBIT 32.2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In connection with the Quarterly Report of Sustainable Opportunities Acquisition Corp.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quarter ended March 31, 2021,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David Quiram, Chief Financial Officer of the Company, certify, pursuant to 18 U.S.C. Section 1350, as adopted pursuant to Section 906 of the Sarbanes-Oxley Act of 2002, that, to my knowledge:</w:t>
      </w:r>
    </w:p>
    <w:p>
      <w:pPr>
        <w:spacing w:after="0" w:line="14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0" w:firstLine="8"/>
        <w:spacing w:after="0" w:line="500"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24, 2021</w:t>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David Quiram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David Quiram</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6"/>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43" Type="http://schemas.openxmlformats.org/officeDocument/2006/relationships/hyperlink" Target="http://www.sec.gov/Archives/edgar/data/1798562/000121390021013347/ea137001ex2-1_sustainable.htm" TargetMode="External"/><Relationship Id="rId44" Type="http://schemas.openxmlformats.org/officeDocument/2006/relationships/hyperlink" Target="http://www.sec.gov/Archives/edgar/data/1798562/000121390021013347/ea137001ex10-2_sustainable.htm" TargetMode="External"/><Relationship Id="rId45" Type="http://schemas.openxmlformats.org/officeDocument/2006/relationships/hyperlink" Target="http://www.sec.gov/Archives/edgar/data/1798562/000121390021013347/ea137001ex10-3_sustainable.htm" TargetMode="External"/><Relationship Id="rId46" Type="http://schemas.openxmlformats.org/officeDocument/2006/relationships/hyperlink" Target="http://www.sec.gov/Archives/edgar/data/1798562/000121390021013347/ea137001ex10-4_sustainable.htm" TargetMode="External"/><Relationship Id="rId47" Type="http://schemas.openxmlformats.org/officeDocument/2006/relationships/hyperlink" Target="http://www.sec.gov/Archives/edgar/data/1798562/000121390021013347/ea137001ex10-1_sustainabl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2021-05-25T05:31:17Z</dcterms:created>
  <dcterms:modified xsi:type="dcterms:W3CDTF">2021-05-25T05:31:17Z</dcterms:modified>
</cp:coreProperties>
</file>