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80"/>
        <w:spacing w:after="0"/>
        <w:rPr>
          <w:sz w:val="20"/>
          <w:szCs w:val="20"/>
          <w:color w:val="auto"/>
        </w:rPr>
      </w:pPr>
      <w:r>
        <w:rPr>
          <w:rFonts w:ascii="Arial" w:cs="Arial" w:eastAsia="Arial" w:hAnsi="Arial"/>
          <w:sz w:val="13"/>
          <w:szCs w:val="13"/>
          <w:b w:val="1"/>
          <w:bCs w:val="1"/>
          <w:color w:val="auto"/>
        </w:rPr>
        <w:t>Filed by Sustainable Opportunities Acquisition Corp. pursuant to</w:t>
      </w:r>
    </w:p>
    <w:p>
      <w:pPr>
        <w:spacing w:after="0" w:line="54" w:lineRule="exact"/>
        <w:rPr>
          <w:sz w:val="24"/>
          <w:szCs w:val="24"/>
          <w:color w:val="auto"/>
        </w:rPr>
      </w:pPr>
    </w:p>
    <w:p>
      <w:pPr>
        <w:ind w:left="8500"/>
        <w:spacing w:after="0"/>
        <w:rPr>
          <w:sz w:val="20"/>
          <w:szCs w:val="20"/>
          <w:color w:val="auto"/>
        </w:rPr>
      </w:pPr>
      <w:r>
        <w:rPr>
          <w:rFonts w:ascii="Arial" w:cs="Arial" w:eastAsia="Arial" w:hAnsi="Arial"/>
          <w:sz w:val="13"/>
          <w:szCs w:val="13"/>
          <w:b w:val="1"/>
          <w:bCs w:val="1"/>
          <w:color w:val="auto"/>
        </w:rPr>
        <w:t>Rule 425 under the Securities Act of 1933</w:t>
      </w:r>
    </w:p>
    <w:p>
      <w:pPr>
        <w:spacing w:after="0" w:line="38" w:lineRule="exact"/>
        <w:rPr>
          <w:sz w:val="24"/>
          <w:szCs w:val="24"/>
          <w:color w:val="auto"/>
        </w:rPr>
      </w:pPr>
    </w:p>
    <w:p>
      <w:pPr>
        <w:ind w:left="8460"/>
        <w:spacing w:after="0"/>
        <w:rPr>
          <w:sz w:val="20"/>
          <w:szCs w:val="20"/>
          <w:color w:val="auto"/>
        </w:rPr>
      </w:pPr>
      <w:r>
        <w:rPr>
          <w:rFonts w:ascii="Arial" w:cs="Arial" w:eastAsia="Arial" w:hAnsi="Arial"/>
          <w:sz w:val="13"/>
          <w:szCs w:val="13"/>
          <w:b w:val="1"/>
          <w:bCs w:val="1"/>
          <w:color w:val="auto"/>
        </w:rPr>
        <w:t>and deemed filed pursuant to Rule 14a-12</w:t>
      </w:r>
    </w:p>
    <w:p>
      <w:pPr>
        <w:spacing w:after="0" w:line="38" w:lineRule="exact"/>
        <w:rPr>
          <w:sz w:val="24"/>
          <w:szCs w:val="24"/>
          <w:color w:val="auto"/>
        </w:rPr>
      </w:pPr>
    </w:p>
    <w:p>
      <w:pPr>
        <w:ind w:left="8420"/>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Subject Company: Sustainable Opportunities Acquisition Corp.</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693420" cy="328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 cy="328295"/>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122555</wp:posOffset>
            </wp:positionV>
            <wp:extent cx="2855595" cy="559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559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following communication was made available by DeepGreen Metals Inc. on June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4620895</wp:posOffset>
            </wp:positionV>
            <wp:extent cx="715010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132080</wp:posOffset>
            </wp:positionV>
            <wp:extent cx="7204710" cy="4055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4710" cy="4055745"/>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About DeepGreen</w:t>
      </w:r>
    </w:p>
    <w:p>
      <w:pPr>
        <w:spacing w:after="0" w:line="19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deep.green.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Sustainable Opportunities Acquisition Corporation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About the Proposed Business Combination and Where to Find It</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This communication is being made in respect of a proposed business combination transaction contemplated by the business combination agreement (the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w:t>
      </w:r>
      <w:r>
        <w:rPr>
          <w:rFonts w:ascii="Arial" w:cs="Arial" w:eastAsia="Arial" w:hAnsi="Arial"/>
          <w:sz w:val="13"/>
          <w:szCs w:val="13"/>
          <w:i w:val="1"/>
          <w:iCs w:val="1"/>
          <w:color w:val="auto"/>
        </w:rPr>
        <w:t>Agreement</w:t>
      </w:r>
      <w:r>
        <w:rPr>
          <w:rFonts w:ascii="Arial" w:cs="Arial" w:eastAsia="Arial" w:hAnsi="Arial"/>
          <w:sz w:val="13"/>
          <w:szCs w:val="13"/>
          <w:color w:val="auto"/>
        </w:rPr>
        <w:t>”), dated as of March 4, 2021, by and among Sustainable Opportunities Acquisition Corp. (“</w:t>
      </w:r>
      <w:r>
        <w:rPr>
          <w:rFonts w:ascii="Arial" w:cs="Arial" w:eastAsia="Arial" w:hAnsi="Arial"/>
          <w:sz w:val="13"/>
          <w:szCs w:val="13"/>
          <w:i w:val="1"/>
          <w:iCs w:val="1"/>
          <w:color w:val="auto"/>
        </w:rPr>
        <w:t>SOAC</w:t>
      </w:r>
      <w:r>
        <w:rPr>
          <w:rFonts w:ascii="Arial" w:cs="Arial" w:eastAsia="Arial" w:hAnsi="Arial"/>
          <w:sz w:val="13"/>
          <w:szCs w:val="13"/>
          <w:color w:val="auto"/>
        </w:rPr>
        <w:t>”), 1291924 B.C. Unlimited Liability Company, an unlimited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existing under the laws of British Columbia, Canada, and DeepGreen Metals Inc., a company existing under the laws of British Columbia, Canada (the “</w:t>
      </w:r>
      <w:r>
        <w:rPr>
          <w:rFonts w:ascii="Arial" w:cs="Arial" w:eastAsia="Arial" w:hAnsi="Arial"/>
          <w:sz w:val="13"/>
          <w:szCs w:val="13"/>
          <w:i w:val="1"/>
          <w:iCs w:val="1"/>
          <w:color w:val="auto"/>
        </w:rPr>
        <w:t>Company</w:t>
      </w:r>
      <w:r>
        <w:rPr>
          <w:rFonts w:ascii="Arial" w:cs="Arial" w:eastAsia="Arial" w:hAnsi="Arial"/>
          <w:sz w:val="13"/>
          <w:szCs w:val="13"/>
          <w:color w:val="auto"/>
        </w:rPr>
        <w:t>” or “</w:t>
      </w:r>
      <w:r>
        <w:rPr>
          <w:rFonts w:ascii="Arial" w:cs="Arial" w:eastAsia="Arial" w:hAnsi="Arial"/>
          <w:sz w:val="13"/>
          <w:szCs w:val="13"/>
          <w:i w:val="1"/>
          <w:iCs w:val="1"/>
          <w:color w:val="auto"/>
        </w:rPr>
        <w:t>DeepGreen</w:t>
      </w:r>
      <w:r>
        <w:rPr>
          <w:rFonts w:ascii="Arial" w:cs="Arial" w:eastAsia="Arial" w:hAnsi="Arial"/>
          <w:sz w:val="13"/>
          <w:szCs w:val="13"/>
          <w:color w:val="auto"/>
        </w:rPr>
        <w:t>”) and other concurrent agreements related thereto (together, the “</w:t>
      </w:r>
      <w:r>
        <w:rPr>
          <w:rFonts w:ascii="Arial" w:cs="Arial" w:eastAsia="Arial" w:hAnsi="Arial"/>
          <w:sz w:val="13"/>
          <w:szCs w:val="13"/>
          <w:i w:val="1"/>
          <w:iCs w:val="1"/>
          <w:color w:val="auto"/>
        </w:rPr>
        <w:t>Business Combination</w:t>
      </w:r>
      <w:r>
        <w:rPr>
          <w:rFonts w:ascii="Arial" w:cs="Arial" w:eastAsia="Arial" w:hAnsi="Arial"/>
          <w:sz w:val="13"/>
          <w:szCs w:val="13"/>
          <w:color w:val="auto"/>
        </w:rPr>
        <w:t>”). In connection with the proposed Business Combination, SOAC has filed with the U.S. Securities and Exchange Commission’s (“</w:t>
      </w:r>
      <w:r>
        <w:rPr>
          <w:rFonts w:ascii="Arial" w:cs="Arial" w:eastAsia="Arial" w:hAnsi="Arial"/>
          <w:sz w:val="13"/>
          <w:szCs w:val="13"/>
          <w:i w:val="1"/>
          <w:iCs w:val="1"/>
          <w:color w:val="auto"/>
        </w:rPr>
        <w:t>SEC</w:t>
      </w:r>
      <w:r>
        <w:rPr>
          <w:rFonts w:ascii="Arial" w:cs="Arial" w:eastAsia="Arial" w:hAnsi="Arial"/>
          <w:sz w:val="13"/>
          <w:szCs w:val="13"/>
          <w:color w:val="auto"/>
        </w:rPr>
        <w:t xml:space="preserve">”) a Registration Statement on Form S-4, including a preliminary proxy statement/prospectus. </w:t>
      </w:r>
      <w:r>
        <w:rPr>
          <w:rFonts w:ascii="Arial" w:cs="Arial" w:eastAsia="Arial" w:hAnsi="Arial"/>
          <w:sz w:val="13"/>
          <w:szCs w:val="13"/>
          <w:b w:val="1"/>
          <w:bCs w:val="1"/>
          <w:color w:val="auto"/>
        </w:rPr>
        <w:t>SOAC’s shareholders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and other interested persons are advised to read the preliminary 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3"/>
          <w:szCs w:val="13"/>
          <w:color w:val="auto"/>
        </w:rPr>
        <w:t>When available, the definitive proxy statement/prospectus and other relevant materials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715010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10"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 proxy statement/prospectus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Business Combination and be available at www.sec.gov. Additional information regarding the interests of such participants will be contained in the proxy statement/prospectus for the proposed Business Combination when available.</w:t>
      </w:r>
    </w:p>
    <w:p>
      <w:pPr>
        <w:spacing w:after="0" w:line="16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 their interests in the proposed Business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included in the proxy statement/prospectus for the proposed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96"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3"/>
          <w:szCs w:val="13"/>
          <w:i w:val="1"/>
          <w:iCs w:val="1"/>
          <w:color w:val="auto"/>
        </w:rPr>
        <w:t>believe</w:t>
      </w:r>
      <w:r>
        <w:rPr>
          <w:rFonts w:ascii="Arial" w:cs="Arial" w:eastAsia="Arial" w:hAnsi="Arial"/>
          <w:sz w:val="13"/>
          <w:szCs w:val="13"/>
          <w:color w:val="auto"/>
        </w:rPr>
        <w:t>,” “</w:t>
      </w:r>
      <w:r>
        <w:rPr>
          <w:rFonts w:ascii="Arial" w:cs="Arial" w:eastAsia="Arial" w:hAnsi="Arial"/>
          <w:sz w:val="13"/>
          <w:szCs w:val="13"/>
          <w:i w:val="1"/>
          <w:iCs w:val="1"/>
          <w:color w:val="auto"/>
        </w:rPr>
        <w:t>may</w:t>
      </w:r>
      <w:r>
        <w:rPr>
          <w:rFonts w:ascii="Arial" w:cs="Arial" w:eastAsia="Arial" w:hAnsi="Arial"/>
          <w:sz w:val="13"/>
          <w:szCs w:val="13"/>
          <w:color w:val="auto"/>
        </w:rPr>
        <w:t>,” “</w:t>
      </w:r>
      <w:r>
        <w:rPr>
          <w:rFonts w:ascii="Arial" w:cs="Arial" w:eastAsia="Arial" w:hAnsi="Arial"/>
          <w:sz w:val="13"/>
          <w:szCs w:val="13"/>
          <w:i w:val="1"/>
          <w:iCs w:val="1"/>
          <w:color w:val="auto"/>
        </w:rPr>
        <w:t>will</w:t>
      </w:r>
      <w:r>
        <w:rPr>
          <w:rFonts w:ascii="Arial" w:cs="Arial" w:eastAsia="Arial" w:hAnsi="Arial"/>
          <w:sz w:val="13"/>
          <w:szCs w:val="13"/>
          <w:color w:val="auto"/>
        </w:rPr>
        <w:t>,” “</w:t>
      </w:r>
      <w:r>
        <w:rPr>
          <w:rFonts w:ascii="Arial" w:cs="Arial" w:eastAsia="Arial" w:hAnsi="Arial"/>
          <w:sz w:val="13"/>
          <w:szCs w:val="13"/>
          <w:i w:val="1"/>
          <w:iCs w:val="1"/>
          <w:color w:val="auto"/>
        </w:rPr>
        <w:t>estimate</w:t>
      </w:r>
      <w:r>
        <w:rPr>
          <w:rFonts w:ascii="Arial" w:cs="Arial" w:eastAsia="Arial" w:hAnsi="Arial"/>
          <w:sz w:val="13"/>
          <w:szCs w:val="13"/>
          <w:color w:val="auto"/>
        </w:rPr>
        <w:t>,” “</w:t>
      </w:r>
      <w:r>
        <w:rPr>
          <w:rFonts w:ascii="Arial" w:cs="Arial" w:eastAsia="Arial" w:hAnsi="Arial"/>
          <w:sz w:val="13"/>
          <w:szCs w:val="13"/>
          <w:i w:val="1"/>
          <w:iCs w:val="1"/>
          <w:color w:val="auto"/>
        </w:rPr>
        <w:t>continue</w:t>
      </w:r>
      <w:r>
        <w:rPr>
          <w:rFonts w:ascii="Arial" w:cs="Arial" w:eastAsia="Arial" w:hAnsi="Arial"/>
          <w:sz w:val="13"/>
          <w:szCs w:val="13"/>
          <w:color w:val="auto"/>
        </w:rPr>
        <w:t>,” “</w:t>
      </w:r>
      <w:r>
        <w:rPr>
          <w:rFonts w:ascii="Arial" w:cs="Arial" w:eastAsia="Arial" w:hAnsi="Arial"/>
          <w:sz w:val="13"/>
          <w:szCs w:val="13"/>
          <w:i w:val="1"/>
          <w:iCs w:val="1"/>
          <w:color w:val="auto"/>
        </w:rPr>
        <w:t>anticipate</w:t>
      </w:r>
      <w:r>
        <w:rPr>
          <w:rFonts w:ascii="Arial" w:cs="Arial" w:eastAsia="Arial" w:hAnsi="Arial"/>
          <w:sz w:val="13"/>
          <w:szCs w:val="13"/>
          <w:color w:val="auto"/>
        </w:rPr>
        <w:t>,” “</w:t>
      </w:r>
      <w:r>
        <w:rPr>
          <w:rFonts w:ascii="Arial" w:cs="Arial" w:eastAsia="Arial" w:hAnsi="Arial"/>
          <w:sz w:val="13"/>
          <w:szCs w:val="13"/>
          <w:i w:val="1"/>
          <w:iCs w:val="1"/>
          <w:color w:val="auto"/>
        </w:rPr>
        <w:t>intend</w:t>
      </w:r>
      <w:r>
        <w:rPr>
          <w:rFonts w:ascii="Arial" w:cs="Arial" w:eastAsia="Arial" w:hAnsi="Arial"/>
          <w:sz w:val="13"/>
          <w:szCs w:val="13"/>
          <w:color w:val="auto"/>
        </w:rPr>
        <w:t>,” “</w:t>
      </w:r>
      <w:r>
        <w:rPr>
          <w:rFonts w:ascii="Arial" w:cs="Arial" w:eastAsia="Arial" w:hAnsi="Arial"/>
          <w:sz w:val="13"/>
          <w:szCs w:val="13"/>
          <w:i w:val="1"/>
          <w:iCs w:val="1"/>
          <w:color w:val="auto"/>
        </w:rPr>
        <w:t>expect</w:t>
      </w:r>
      <w:r>
        <w:rPr>
          <w:rFonts w:ascii="Arial" w:cs="Arial" w:eastAsia="Arial" w:hAnsi="Arial"/>
          <w:sz w:val="13"/>
          <w:szCs w:val="13"/>
          <w:color w:val="auto"/>
        </w:rPr>
        <w:t>,” “</w:t>
      </w:r>
      <w:r>
        <w:rPr>
          <w:rFonts w:ascii="Arial" w:cs="Arial" w:eastAsia="Arial" w:hAnsi="Arial"/>
          <w:sz w:val="13"/>
          <w:szCs w:val="13"/>
          <w:i w:val="1"/>
          <w:iCs w:val="1"/>
          <w:color w:val="auto"/>
        </w:rPr>
        <w:t>should</w:t>
      </w:r>
      <w:r>
        <w:rPr>
          <w:rFonts w:ascii="Arial" w:cs="Arial" w:eastAsia="Arial" w:hAnsi="Arial"/>
          <w:sz w:val="13"/>
          <w:szCs w:val="13"/>
          <w:color w:val="auto"/>
        </w:rPr>
        <w:t>,” “</w:t>
      </w:r>
      <w:r>
        <w:rPr>
          <w:rFonts w:ascii="Arial" w:cs="Arial" w:eastAsia="Arial" w:hAnsi="Arial"/>
          <w:sz w:val="13"/>
          <w:szCs w:val="13"/>
          <w:i w:val="1"/>
          <w:iCs w:val="1"/>
          <w:color w:val="auto"/>
        </w:rPr>
        <w:t>would</w:t>
      </w:r>
      <w:r>
        <w:rPr>
          <w:rFonts w:ascii="Arial" w:cs="Arial" w:eastAsia="Arial" w:hAnsi="Arial"/>
          <w:sz w:val="13"/>
          <w:szCs w:val="13"/>
          <w:color w:val="auto"/>
        </w:rPr>
        <w:t>,” “</w:t>
      </w:r>
      <w:r>
        <w:rPr>
          <w:rFonts w:ascii="Arial" w:cs="Arial" w:eastAsia="Arial" w:hAnsi="Arial"/>
          <w:sz w:val="13"/>
          <w:szCs w:val="13"/>
          <w:i w:val="1"/>
          <w:iCs w:val="1"/>
          <w:color w:val="auto"/>
        </w:rPr>
        <w:t>plan</w:t>
      </w:r>
      <w:r>
        <w:rPr>
          <w:rFonts w:ascii="Arial" w:cs="Arial" w:eastAsia="Arial" w:hAnsi="Arial"/>
          <w:sz w:val="13"/>
          <w:szCs w:val="13"/>
          <w:color w:val="auto"/>
        </w:rPr>
        <w:t>,” “</w:t>
      </w:r>
      <w:r>
        <w:rPr>
          <w:rFonts w:ascii="Arial" w:cs="Arial" w:eastAsia="Arial" w:hAnsi="Arial"/>
          <w:sz w:val="13"/>
          <w:szCs w:val="13"/>
          <w:i w:val="1"/>
          <w:iCs w:val="1"/>
          <w:color w:val="auto"/>
        </w:rPr>
        <w:t>predict</w:t>
      </w:r>
      <w:r>
        <w:rPr>
          <w:rFonts w:ascii="Arial" w:cs="Arial" w:eastAsia="Arial" w:hAnsi="Arial"/>
          <w:sz w:val="13"/>
          <w:szCs w:val="13"/>
          <w:color w:val="auto"/>
        </w:rPr>
        <w:t>,” “</w:t>
      </w:r>
      <w:r>
        <w:rPr>
          <w:rFonts w:ascii="Arial" w:cs="Arial" w:eastAsia="Arial" w:hAnsi="Arial"/>
          <w:sz w:val="13"/>
          <w:szCs w:val="13"/>
          <w:i w:val="1"/>
          <w:iCs w:val="1"/>
          <w:color w:val="auto"/>
        </w:rPr>
        <w:t>potential</w:t>
      </w:r>
      <w:r>
        <w:rPr>
          <w:rFonts w:ascii="Arial" w:cs="Arial" w:eastAsia="Arial" w:hAnsi="Arial"/>
          <w:sz w:val="13"/>
          <w:szCs w:val="13"/>
          <w:color w:val="auto"/>
        </w:rPr>
        <w:t>,” “</w:t>
      </w:r>
      <w:r>
        <w:rPr>
          <w:rFonts w:ascii="Arial" w:cs="Arial" w:eastAsia="Arial" w:hAnsi="Arial"/>
          <w:sz w:val="13"/>
          <w:szCs w:val="13"/>
          <w:i w:val="1"/>
          <w:iCs w:val="1"/>
          <w:color w:val="auto"/>
        </w:rPr>
        <w:t>seem</w:t>
      </w:r>
      <w:r>
        <w:rPr>
          <w:rFonts w:ascii="Arial" w:cs="Arial" w:eastAsia="Arial" w:hAnsi="Arial"/>
          <w:sz w:val="13"/>
          <w:szCs w:val="13"/>
          <w:color w:val="auto"/>
        </w:rPr>
        <w:t>,” “</w:t>
      </w:r>
      <w:r>
        <w:rPr>
          <w:rFonts w:ascii="Arial" w:cs="Arial" w:eastAsia="Arial" w:hAnsi="Arial"/>
          <w:sz w:val="13"/>
          <w:szCs w:val="13"/>
          <w:i w:val="1"/>
          <w:iCs w:val="1"/>
          <w:color w:val="auto"/>
        </w:rPr>
        <w:t>seek</w:t>
      </w:r>
      <w:r>
        <w:rPr>
          <w:rFonts w:ascii="Arial" w:cs="Arial" w:eastAsia="Arial" w:hAnsi="Arial"/>
          <w:sz w:val="13"/>
          <w:szCs w:val="13"/>
          <w:color w:val="auto"/>
        </w:rPr>
        <w:t>,” “</w:t>
      </w:r>
      <w:r>
        <w:rPr>
          <w:rFonts w:ascii="Arial" w:cs="Arial" w:eastAsia="Arial" w:hAnsi="Arial"/>
          <w:sz w:val="13"/>
          <w:szCs w:val="13"/>
          <w:i w:val="1"/>
          <w:iCs w:val="1"/>
          <w:color w:val="auto"/>
        </w:rPr>
        <w:t>future</w:t>
      </w:r>
      <w:r>
        <w:rPr>
          <w:rFonts w:ascii="Arial" w:cs="Arial" w:eastAsia="Arial" w:hAnsi="Arial"/>
          <w:sz w:val="13"/>
          <w:szCs w:val="13"/>
          <w:color w:val="auto"/>
        </w:rPr>
        <w:t>,” “</w:t>
      </w:r>
      <w:r>
        <w:rPr>
          <w:rFonts w:ascii="Arial" w:cs="Arial" w:eastAsia="Arial" w:hAnsi="Arial"/>
          <w:sz w:val="13"/>
          <w:szCs w:val="13"/>
          <w:i w:val="1"/>
          <w:iCs w:val="1"/>
          <w:color w:val="auto"/>
        </w:rPr>
        <w:t>outlook</w:t>
      </w:r>
      <w:r>
        <w:rPr>
          <w:rFonts w:ascii="Arial" w:cs="Arial" w:eastAsia="Arial" w:hAnsi="Arial"/>
          <w:sz w:val="13"/>
          <w:szCs w:val="13"/>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150100" cy="119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535940</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610235</wp:posOffset>
            </wp:positionV>
            <wp:extent cx="7150100" cy="23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238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968375</wp:posOffset>
            </wp:positionV>
            <wp:extent cx="7150100" cy="119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sectPr>
      <w:pgSz w:w="11900" w:h="16838" w:orient="portrait"/>
      <w:cols w:equalWidth="0" w:num="1">
        <w:col w:w="11260"/>
      </w:cols>
      <w:pgMar w:left="320" w:top="7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2021-06-04T15:04:46Z</dcterms:created>
  <dcterms:modified xsi:type="dcterms:W3CDTF">2021-06-04T15:04:46Z</dcterms:modified>
</cp:coreProperties>
</file>